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dp" ContentType="image/vnd.ms-photo"/>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26C37CC">
      <w:pPr>
        <w:adjustRightInd w:val="0"/>
        <w:snapToGrid w:val="0"/>
        <w:spacing w:line="360" w:lineRule="auto"/>
        <w:jc w:val="center"/>
        <w:rPr>
          <w:rFonts w:hint="eastAsia" w:ascii="黑体" w:hAnsi="黑体" w:eastAsia="黑体" w:cs="宋体"/>
          <w:b/>
          <w:color w:val="auto"/>
          <w:spacing w:val="30"/>
          <w:w w:val="90"/>
          <w:sz w:val="36"/>
          <w:szCs w:val="36"/>
        </w:rPr>
      </w:pPr>
      <w:bookmarkStart w:id="0" w:name="_Hlk177298937"/>
      <w:bookmarkStart w:id="1048" w:name="_GoBack"/>
    </w:p>
    <w:p w14:paraId="2CA54096">
      <w:pPr>
        <w:adjustRightInd w:val="0"/>
        <w:snapToGrid w:val="0"/>
        <w:spacing w:line="360" w:lineRule="auto"/>
        <w:jc w:val="center"/>
        <w:rPr>
          <w:rFonts w:hint="eastAsia" w:ascii="黑体" w:hAnsi="黑体" w:eastAsia="黑体" w:cs="宋体"/>
          <w:b/>
          <w:snapToGrid w:val="0"/>
          <w:color w:val="auto"/>
          <w:kern w:val="0"/>
          <w:sz w:val="36"/>
          <w:szCs w:val="36"/>
        </w:rPr>
      </w:pPr>
      <w:bookmarkStart w:id="1" w:name="_Hlk147580299"/>
    </w:p>
    <w:p w14:paraId="5AAB8C2A">
      <w:pPr>
        <w:adjustRightInd w:val="0"/>
        <w:snapToGrid w:val="0"/>
        <w:spacing w:line="360" w:lineRule="auto"/>
        <w:jc w:val="center"/>
        <w:rPr>
          <w:rFonts w:hint="eastAsia" w:ascii="黑体" w:hAnsi="黑体" w:eastAsia="黑体" w:cs="宋体"/>
          <w:b/>
          <w:snapToGrid w:val="0"/>
          <w:color w:val="auto"/>
          <w:kern w:val="0"/>
          <w:sz w:val="36"/>
          <w:szCs w:val="36"/>
        </w:rPr>
      </w:pPr>
      <w:bookmarkStart w:id="2" w:name="OLE_LINK55"/>
      <w:r>
        <w:rPr>
          <w:rFonts w:ascii="黑体" w:hAnsi="黑体" w:eastAsia="黑体" w:cs="宋体"/>
          <w:b/>
          <w:snapToGrid w:val="0"/>
          <w:color w:val="auto"/>
          <w:kern w:val="0"/>
          <w:sz w:val="36"/>
          <w:szCs w:val="36"/>
        </w:rPr>
        <w:t>莫17</w:t>
      </w:r>
      <w:r>
        <w:rPr>
          <w:rFonts w:hint="eastAsia" w:ascii="黑体" w:hAnsi="黑体" w:eastAsia="黑体" w:cs="宋体"/>
          <w:b/>
          <w:snapToGrid w:val="0"/>
          <w:color w:val="auto"/>
          <w:kern w:val="0"/>
          <w:sz w:val="36"/>
          <w:szCs w:val="36"/>
        </w:rPr>
        <w:t>井区</w:t>
      </w:r>
      <w:r>
        <w:rPr>
          <w:rFonts w:ascii="黑体" w:hAnsi="黑体" w:eastAsia="黑体" w:cs="宋体"/>
          <w:b/>
          <w:snapToGrid w:val="0"/>
          <w:color w:val="auto"/>
          <w:kern w:val="0"/>
          <w:sz w:val="36"/>
          <w:szCs w:val="36"/>
        </w:rPr>
        <w:t>天然气回收</w:t>
      </w:r>
      <w:r>
        <w:rPr>
          <w:rFonts w:hint="eastAsia" w:ascii="黑体" w:hAnsi="黑体" w:eastAsia="黑体" w:cs="宋体"/>
          <w:b/>
          <w:snapToGrid w:val="0"/>
          <w:color w:val="auto"/>
          <w:kern w:val="0"/>
          <w:sz w:val="36"/>
          <w:szCs w:val="36"/>
        </w:rPr>
        <w:t>建设项目</w:t>
      </w:r>
    </w:p>
    <w:bookmarkEnd w:id="2"/>
    <w:p w14:paraId="022D00A7">
      <w:pPr>
        <w:adjustRightInd w:val="0"/>
        <w:snapToGrid w:val="0"/>
        <w:spacing w:line="360" w:lineRule="auto"/>
        <w:jc w:val="center"/>
        <w:rPr>
          <w:rFonts w:hint="eastAsia" w:ascii="黑体" w:hAnsi="黑体" w:eastAsia="黑体" w:cs="宋体"/>
          <w:b/>
          <w:color w:val="auto"/>
          <w:sz w:val="84"/>
          <w:szCs w:val="84"/>
        </w:rPr>
      </w:pPr>
      <w:r>
        <w:rPr>
          <w:rFonts w:hint="eastAsia" w:ascii="黑体" w:hAnsi="黑体" w:eastAsia="黑体" w:cs="宋体"/>
          <w:b/>
          <w:color w:val="auto"/>
          <w:sz w:val="84"/>
          <w:szCs w:val="84"/>
        </w:rPr>
        <w:t>环 境 影 响 报 告 书</w:t>
      </w:r>
    </w:p>
    <w:p w14:paraId="137EAE88">
      <w:pPr>
        <w:jc w:val="center"/>
        <w:rPr>
          <w:rFonts w:hint="eastAsia" w:ascii="黑体" w:hAnsi="黑体" w:eastAsia="黑体"/>
          <w:bCs/>
          <w:color w:val="auto"/>
          <w:sz w:val="32"/>
          <w:szCs w:val="32"/>
        </w:rPr>
      </w:pPr>
      <w:bookmarkStart w:id="3" w:name="_Toc31221"/>
      <w:bookmarkStart w:id="4" w:name="_Toc445996549"/>
      <w:bookmarkStart w:id="5" w:name="_Toc445996317"/>
      <w:bookmarkStart w:id="6" w:name="_Toc11157"/>
      <w:bookmarkStart w:id="7" w:name="_Toc456813558"/>
      <w:bookmarkStart w:id="8" w:name="_Toc450909029"/>
      <w:bookmarkStart w:id="9" w:name="_Toc375844778"/>
      <w:bookmarkStart w:id="10" w:name="_Toc12438"/>
      <w:r>
        <w:rPr>
          <w:rFonts w:hint="eastAsia" w:ascii="黑体" w:hAnsi="黑体" w:eastAsia="黑体"/>
          <w:bCs/>
          <w:color w:val="auto"/>
          <w:sz w:val="32"/>
          <w:szCs w:val="32"/>
        </w:rPr>
        <w:t>（报批版）</w:t>
      </w:r>
      <w:bookmarkEnd w:id="3"/>
      <w:bookmarkEnd w:id="4"/>
      <w:bookmarkEnd w:id="5"/>
      <w:bookmarkEnd w:id="6"/>
      <w:bookmarkEnd w:id="7"/>
      <w:bookmarkEnd w:id="8"/>
      <w:bookmarkEnd w:id="9"/>
      <w:bookmarkEnd w:id="10"/>
    </w:p>
    <w:p w14:paraId="7DFA6328">
      <w:pPr>
        <w:spacing w:line="520" w:lineRule="exact"/>
        <w:jc w:val="center"/>
        <w:rPr>
          <w:rFonts w:hint="eastAsia" w:ascii="黑体" w:hAnsi="黑体" w:eastAsia="黑体" w:cs="Chiller"/>
          <w:b/>
          <w:color w:val="auto"/>
          <w:sz w:val="24"/>
        </w:rPr>
      </w:pPr>
    </w:p>
    <w:p w14:paraId="09BAFEE1">
      <w:pPr>
        <w:spacing w:line="520" w:lineRule="exact"/>
        <w:jc w:val="center"/>
        <w:rPr>
          <w:rFonts w:hint="eastAsia" w:ascii="黑体" w:hAnsi="黑体" w:eastAsia="黑体" w:cs="Chiller"/>
          <w:b/>
          <w:color w:val="auto"/>
          <w:sz w:val="24"/>
        </w:rPr>
      </w:pPr>
    </w:p>
    <w:p w14:paraId="65D0AF44">
      <w:pPr>
        <w:spacing w:line="520" w:lineRule="exact"/>
        <w:jc w:val="center"/>
        <w:rPr>
          <w:rFonts w:hint="eastAsia" w:ascii="黑体" w:hAnsi="黑体" w:eastAsia="黑体" w:cs="Chiller"/>
          <w:b/>
          <w:color w:val="auto"/>
          <w:sz w:val="24"/>
        </w:rPr>
      </w:pPr>
    </w:p>
    <w:p w14:paraId="11E0A005">
      <w:pPr>
        <w:spacing w:line="520" w:lineRule="exact"/>
        <w:jc w:val="center"/>
        <w:rPr>
          <w:rFonts w:hint="eastAsia" w:ascii="黑体" w:hAnsi="黑体" w:eastAsia="黑体" w:cs="Chiller"/>
          <w:b/>
          <w:color w:val="auto"/>
          <w:sz w:val="24"/>
        </w:rPr>
      </w:pPr>
    </w:p>
    <w:p w14:paraId="71678AE6">
      <w:pPr>
        <w:spacing w:line="520" w:lineRule="exact"/>
        <w:jc w:val="center"/>
        <w:rPr>
          <w:rFonts w:hint="eastAsia" w:ascii="黑体" w:hAnsi="黑体" w:eastAsia="黑体" w:cs="Chiller"/>
          <w:b/>
          <w:color w:val="auto"/>
          <w:sz w:val="24"/>
        </w:rPr>
      </w:pPr>
    </w:p>
    <w:p w14:paraId="2C488467">
      <w:pPr>
        <w:spacing w:line="520" w:lineRule="exact"/>
        <w:jc w:val="center"/>
        <w:rPr>
          <w:rFonts w:hint="eastAsia" w:ascii="黑体" w:hAnsi="黑体" w:eastAsia="黑体" w:cs="Chiller"/>
          <w:b/>
          <w:color w:val="auto"/>
          <w:sz w:val="24"/>
        </w:rPr>
      </w:pPr>
    </w:p>
    <w:p w14:paraId="750C3E27">
      <w:pPr>
        <w:spacing w:line="520" w:lineRule="exact"/>
        <w:jc w:val="center"/>
        <w:rPr>
          <w:rFonts w:hint="eastAsia" w:ascii="黑体" w:hAnsi="黑体" w:eastAsia="黑体" w:cs="Chiller"/>
          <w:b/>
          <w:color w:val="auto"/>
          <w:sz w:val="24"/>
        </w:rPr>
      </w:pPr>
    </w:p>
    <w:p w14:paraId="71B95D18">
      <w:pPr>
        <w:spacing w:line="520" w:lineRule="exact"/>
        <w:jc w:val="center"/>
        <w:rPr>
          <w:rFonts w:hint="eastAsia" w:ascii="黑体" w:hAnsi="黑体" w:eastAsia="黑体" w:cs="Chiller"/>
          <w:b/>
          <w:color w:val="auto"/>
          <w:sz w:val="24"/>
        </w:rPr>
      </w:pPr>
    </w:p>
    <w:p w14:paraId="6F355688">
      <w:pPr>
        <w:spacing w:line="520" w:lineRule="exact"/>
        <w:jc w:val="center"/>
        <w:rPr>
          <w:rFonts w:hint="eastAsia" w:ascii="黑体" w:hAnsi="黑体" w:eastAsia="黑体" w:cs="Chiller"/>
          <w:b/>
          <w:color w:val="auto"/>
          <w:sz w:val="24"/>
        </w:rPr>
      </w:pPr>
    </w:p>
    <w:p w14:paraId="6C458023">
      <w:pPr>
        <w:spacing w:line="520" w:lineRule="exact"/>
        <w:jc w:val="center"/>
        <w:rPr>
          <w:rFonts w:hint="eastAsia" w:ascii="黑体" w:hAnsi="黑体" w:eastAsia="黑体" w:cs="Chiller"/>
          <w:b/>
          <w:color w:val="auto"/>
          <w:sz w:val="24"/>
        </w:rPr>
      </w:pPr>
    </w:p>
    <w:p w14:paraId="4151ABBC">
      <w:pPr>
        <w:spacing w:line="520" w:lineRule="exact"/>
        <w:jc w:val="center"/>
        <w:rPr>
          <w:rFonts w:hint="eastAsia" w:ascii="黑体" w:hAnsi="黑体" w:eastAsia="黑体" w:cs="Chiller"/>
          <w:b/>
          <w:color w:val="auto"/>
          <w:sz w:val="24"/>
        </w:rPr>
      </w:pPr>
    </w:p>
    <w:p w14:paraId="75363039">
      <w:pPr>
        <w:spacing w:line="520" w:lineRule="exact"/>
        <w:jc w:val="center"/>
        <w:rPr>
          <w:rFonts w:hint="eastAsia" w:ascii="黑体" w:hAnsi="黑体" w:eastAsia="黑体" w:cs="Chiller"/>
          <w:b/>
          <w:color w:val="auto"/>
          <w:sz w:val="24"/>
        </w:rPr>
      </w:pPr>
    </w:p>
    <w:p w14:paraId="3AE4EE3F">
      <w:pPr>
        <w:spacing w:line="520" w:lineRule="exact"/>
        <w:rPr>
          <w:rFonts w:hint="eastAsia" w:ascii="黑体" w:hAnsi="黑体" w:eastAsia="黑体" w:cs="Chiller"/>
          <w:b/>
          <w:color w:val="auto"/>
          <w:sz w:val="24"/>
        </w:rPr>
      </w:pPr>
    </w:p>
    <w:p w14:paraId="7B94C452">
      <w:pPr>
        <w:ind w:firstLine="1273" w:firstLineChars="398"/>
        <w:rPr>
          <w:rFonts w:hint="eastAsia" w:ascii="黑体" w:hAnsi="黑体" w:eastAsia="黑体"/>
          <w:bCs/>
          <w:color w:val="auto"/>
          <w:sz w:val="32"/>
          <w:szCs w:val="32"/>
        </w:rPr>
      </w:pPr>
      <w:r>
        <w:rPr>
          <w:rFonts w:hint="eastAsia" w:ascii="黑体" w:hAnsi="黑体" w:eastAsia="黑体"/>
          <w:bCs/>
          <w:color w:val="auto"/>
          <w:sz w:val="32"/>
          <w:szCs w:val="32"/>
        </w:rPr>
        <w:t>建设单位：中国石油新疆油田分公司石西油田作业区</w:t>
      </w:r>
    </w:p>
    <w:p w14:paraId="153C6B0A">
      <w:pPr>
        <w:ind w:firstLine="1273" w:firstLineChars="398"/>
        <w:rPr>
          <w:rFonts w:hint="eastAsia" w:ascii="黑体" w:hAnsi="黑体" w:eastAsia="黑体"/>
          <w:bCs/>
          <w:color w:val="auto"/>
          <w:sz w:val="32"/>
          <w:szCs w:val="32"/>
        </w:rPr>
      </w:pPr>
      <w:r>
        <w:rPr>
          <w:rFonts w:hint="eastAsia" w:ascii="黑体" w:hAnsi="黑体" w:eastAsia="黑体"/>
          <w:bCs/>
          <w:color w:val="auto"/>
          <w:sz w:val="32"/>
          <w:szCs w:val="32"/>
        </w:rPr>
        <w:t>编制单位：中勘冶金勘察设计研究院有限责任公司</w:t>
      </w:r>
    </w:p>
    <w:p w14:paraId="49E30BD0">
      <w:pPr>
        <w:ind w:firstLine="1273" w:firstLineChars="398"/>
        <w:rPr>
          <w:rFonts w:hint="eastAsia" w:ascii="黑体" w:hAnsi="黑体" w:eastAsia="黑体" w:cs="Chiller"/>
          <w:b/>
          <w:color w:val="auto"/>
          <w:sz w:val="24"/>
        </w:rPr>
      </w:pPr>
      <w:r>
        <w:rPr>
          <w:rFonts w:hint="eastAsia" w:ascii="黑体" w:hAnsi="黑体" w:eastAsia="黑体"/>
          <w:color w:val="auto"/>
          <w:sz w:val="32"/>
          <w:szCs w:val="32"/>
        </w:rPr>
        <w:t>编制时间：二</w:t>
      </w:r>
      <w:r>
        <w:rPr>
          <w:rFonts w:hint="eastAsia" w:ascii="黑体" w:hAnsi="黑体" w:eastAsia="黑体" w:cs="宋体"/>
          <w:color w:val="auto"/>
          <w:sz w:val="32"/>
          <w:szCs w:val="32"/>
        </w:rPr>
        <w:t>〇</w:t>
      </w:r>
      <w:r>
        <w:rPr>
          <w:rFonts w:hint="eastAsia" w:ascii="黑体" w:hAnsi="黑体" w:eastAsia="黑体"/>
          <w:color w:val="auto"/>
          <w:sz w:val="32"/>
          <w:szCs w:val="32"/>
        </w:rPr>
        <w:t>二</w:t>
      </w:r>
      <w:r>
        <w:rPr>
          <w:rFonts w:hint="eastAsia" w:ascii="黑体" w:hAnsi="黑体" w:eastAsia="黑体" w:cs="宋体"/>
          <w:color w:val="auto"/>
          <w:sz w:val="32"/>
          <w:szCs w:val="32"/>
        </w:rPr>
        <w:t>六年二月</w:t>
      </w:r>
      <w:bookmarkEnd w:id="1"/>
    </w:p>
    <w:bookmarkEnd w:id="0"/>
    <w:p w14:paraId="264918B5">
      <w:pPr>
        <w:rPr>
          <w:color w:val="auto"/>
        </w:rPr>
      </w:pPr>
    </w:p>
    <w:p w14:paraId="5D45B20B">
      <w:pPr>
        <w:rPr>
          <w:color w:val="auto"/>
        </w:rPr>
      </w:pPr>
    </w:p>
    <w:p w14:paraId="55CC251D">
      <w:pPr>
        <w:rPr>
          <w:color w:val="auto"/>
        </w:rPr>
      </w:pPr>
    </w:p>
    <w:p w14:paraId="13B8B091">
      <w:pPr>
        <w:rPr>
          <w:color w:val="auto"/>
        </w:rPr>
      </w:pPr>
      <w:r>
        <w:rPr>
          <w:color w:val="auto"/>
          <w14:ligatures w14:val="none"/>
        </w:rPr>
        <w:drawing>
          <wp:inline distT="0" distB="0" distL="0" distR="0">
            <wp:extent cx="5543550" cy="7839075"/>
            <wp:effectExtent l="0" t="0" r="0" b="9525"/>
            <wp:docPr id="1793249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249269" name="图片 1"/>
                    <pic:cNvPicPr>
                      <a:picLocks noChangeAspect="1"/>
                    </pic:cNvPicPr>
                  </pic:nvPicPr>
                  <pic:blipFill>
                    <a:blip r:embed="rId36"/>
                    <a:stretch>
                      <a:fillRect/>
                    </a:stretch>
                  </pic:blipFill>
                  <pic:spPr>
                    <a:xfrm>
                      <a:off x="0" y="0"/>
                      <a:ext cx="5543550" cy="7839075"/>
                    </a:xfrm>
                    <a:prstGeom prst="rect">
                      <a:avLst/>
                    </a:prstGeom>
                  </pic:spPr>
                </pic:pic>
              </a:graphicData>
            </a:graphic>
          </wp:inline>
        </w:drawing>
      </w:r>
    </w:p>
    <w:p w14:paraId="2F5A54C9">
      <w:pPr>
        <w:rPr>
          <w:color w:val="auto"/>
        </w:rPr>
      </w:pPr>
    </w:p>
    <w:p w14:paraId="37738002">
      <w:pPr>
        <w:rPr>
          <w:color w:val="auto"/>
        </w:rPr>
        <w:sectPr>
          <w:pgSz w:w="11906" w:h="16838"/>
          <w:pgMar w:top="1418" w:right="1588" w:bottom="1418" w:left="1588" w:header="851" w:footer="992" w:gutter="0"/>
          <w:cols w:space="425" w:num="1"/>
          <w:docGrid w:type="lines" w:linePitch="312" w:charSpace="0"/>
        </w:sectPr>
      </w:pPr>
    </w:p>
    <w:tbl>
      <w:tblPr>
        <w:tblStyle w:val="5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0"/>
        <w:gridCol w:w="4360"/>
      </w:tblGrid>
      <w:tr w14:paraId="68D3B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0" w:type="dxa"/>
            <w:vAlign w:val="center"/>
          </w:tcPr>
          <w:p w14:paraId="65029029">
            <w:pPr>
              <w:spacing w:line="240" w:lineRule="auto"/>
              <w:rPr>
                <w:rFonts w:cs="宋体"/>
                <w:color w:val="auto"/>
              </w:rPr>
            </w:pPr>
            <w:r>
              <w:rPr>
                <w:rFonts w:cs="宋体"/>
                <w:color w:val="auto"/>
              </w:rPr>
              <w:drawing>
                <wp:inline distT="0" distB="0" distL="0" distR="0">
                  <wp:extent cx="2559050" cy="3412490"/>
                  <wp:effectExtent l="0" t="0" r="0" b="0"/>
                  <wp:docPr id="76152597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525972" name="图片 20"/>
                          <pic:cNvPicPr>
                            <a:picLocks noChangeAspect="1" noChangeArrowheads="1"/>
                          </pic:cNvPicPr>
                        </pic:nvPicPr>
                        <pic:blipFill>
                          <a:blip r:embed="rId37" cstate="print">
                            <a:extLst>
                              <a:ext uri="{BEBA8EAE-BF5A-486C-A8C5-ECC9F3942E4B}">
                                <a14:imgProps xmlns:a14="http://schemas.microsoft.com/office/drawing/2010/main">
                                  <a14:imgLayer r:embed="rId38">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a:xfrm>
                            <a:off x="0" y="0"/>
                            <a:ext cx="2567579" cy="3424027"/>
                          </a:xfrm>
                          <a:prstGeom prst="rect">
                            <a:avLst/>
                          </a:prstGeom>
                          <a:noFill/>
                          <a:ln>
                            <a:noFill/>
                          </a:ln>
                        </pic:spPr>
                      </pic:pic>
                    </a:graphicData>
                  </a:graphic>
                </wp:inline>
              </w:drawing>
            </w:r>
          </w:p>
        </w:tc>
        <w:tc>
          <w:tcPr>
            <w:tcW w:w="4360" w:type="dxa"/>
            <w:vAlign w:val="center"/>
          </w:tcPr>
          <w:p w14:paraId="2E616104">
            <w:pPr>
              <w:spacing w:line="240" w:lineRule="auto"/>
              <w:rPr>
                <w:rFonts w:cs="宋体"/>
                <w:color w:val="auto"/>
              </w:rPr>
            </w:pPr>
            <w:r>
              <w:rPr>
                <w:rFonts w:cs="宋体"/>
                <w:color w:val="auto"/>
              </w:rPr>
              <w:drawing>
                <wp:inline distT="0" distB="0" distL="0" distR="0">
                  <wp:extent cx="2586355" cy="3432175"/>
                  <wp:effectExtent l="0" t="0" r="4445" b="0"/>
                  <wp:docPr id="18161017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101735" name="图片 21"/>
                          <pic:cNvPicPr>
                            <a:picLocks noChangeAspect="1" noChangeArrowheads="1"/>
                          </pic:cNvPicPr>
                        </pic:nvPicPr>
                        <pic:blipFill>
                          <a:blip r:embed="rId39" cstate="print">
                            <a:extLst>
                              <a:ext uri="{BEBA8EAE-BF5A-486C-A8C5-ECC9F3942E4B}">
                                <a14:imgProps xmlns:a14="http://schemas.microsoft.com/office/drawing/2010/main">
                                  <a14:imgLayer r:embed="rId40">
                                    <a14:imgEffect>
                                      <a14:colorTemperature colorTemp="4700"/>
                                    </a14:imgEffect>
                                  </a14:imgLayer>
                                </a14:imgProps>
                              </a:ext>
                              <a:ext uri="{28A0092B-C50C-407E-A947-70E740481C1C}">
                                <a14:useLocalDpi xmlns:a14="http://schemas.microsoft.com/office/drawing/2010/main" val="0"/>
                              </a:ext>
                            </a:extLst>
                          </a:blip>
                          <a:srcRect r="6509"/>
                          <a:stretch>
                            <a:fillRect/>
                          </a:stretch>
                        </pic:blipFill>
                        <pic:spPr>
                          <a:xfrm>
                            <a:off x="0" y="0"/>
                            <a:ext cx="2593403" cy="3440949"/>
                          </a:xfrm>
                          <a:prstGeom prst="rect">
                            <a:avLst/>
                          </a:prstGeom>
                          <a:noFill/>
                          <a:ln>
                            <a:noFill/>
                          </a:ln>
                        </pic:spPr>
                      </pic:pic>
                    </a:graphicData>
                  </a:graphic>
                </wp:inline>
              </w:drawing>
            </w:r>
          </w:p>
        </w:tc>
      </w:tr>
      <w:tr w14:paraId="4B408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0" w:type="dxa"/>
            <w:vAlign w:val="center"/>
          </w:tcPr>
          <w:p w14:paraId="1CBD17CF">
            <w:pPr>
              <w:spacing w:line="320" w:lineRule="exact"/>
              <w:jc w:val="center"/>
              <w:rPr>
                <w:rFonts w:hint="eastAsia" w:ascii="宋体" w:hAnsi="宋体" w:cs="宋体"/>
                <w:color w:val="auto"/>
              </w:rPr>
            </w:pPr>
            <w:r>
              <w:rPr>
                <w:rFonts w:hint="eastAsia" w:ascii="宋体" w:hAnsi="宋体" w:cs="宋体"/>
                <w:color w:val="auto"/>
              </w:rPr>
              <w:t>莫172H井</w:t>
            </w:r>
          </w:p>
        </w:tc>
        <w:tc>
          <w:tcPr>
            <w:tcW w:w="4360" w:type="dxa"/>
            <w:vAlign w:val="center"/>
          </w:tcPr>
          <w:p w14:paraId="1D4716C0">
            <w:pPr>
              <w:spacing w:line="320" w:lineRule="exact"/>
              <w:jc w:val="center"/>
              <w:rPr>
                <w:rFonts w:hint="eastAsia" w:ascii="宋体" w:hAnsi="宋体" w:cs="宋体"/>
                <w:color w:val="auto"/>
              </w:rPr>
            </w:pPr>
            <w:r>
              <w:rPr>
                <w:rFonts w:hint="eastAsia" w:ascii="宋体" w:hAnsi="宋体" w:cs="宋体"/>
                <w:color w:val="auto"/>
              </w:rPr>
              <w:t>井场周边情况</w:t>
            </w:r>
          </w:p>
        </w:tc>
      </w:tr>
      <w:tr w14:paraId="34287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0" w:type="dxa"/>
            <w:vAlign w:val="center"/>
          </w:tcPr>
          <w:p w14:paraId="0483AE3A">
            <w:pPr>
              <w:spacing w:line="240" w:lineRule="auto"/>
              <w:rPr>
                <w:rFonts w:cs="宋体"/>
                <w:color w:val="auto"/>
              </w:rPr>
            </w:pPr>
            <w:r>
              <w:rPr>
                <w:rFonts w:cs="宋体"/>
                <w:color w:val="auto"/>
                <w14:ligatures w14:val="none"/>
              </w:rPr>
              <w:drawing>
                <wp:inline distT="0" distB="0" distL="0" distR="0">
                  <wp:extent cx="2543810" cy="1907540"/>
                  <wp:effectExtent l="0" t="0" r="8890" b="0"/>
                  <wp:docPr id="15503960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396068" name="图片 1"/>
                          <pic:cNvPicPr>
                            <a:picLocks noChangeAspect="1"/>
                          </pic:cNvPicPr>
                        </pic:nvPicPr>
                        <pic:blipFill>
                          <a:blip r:embed="rId41">
                            <a:extLst>
                              <a:ext uri="{BEBA8EAE-BF5A-486C-A8C5-ECC9F3942E4B}">
                                <a14:imgProps xmlns:a14="http://schemas.microsoft.com/office/drawing/2010/main">
                                  <a14:imgLayer r:embed="rId42">
                                    <a14:imgEffect>
                                      <a14:colorTemperature colorTemp="4700"/>
                                    </a14:imgEffect>
                                  </a14:imgLayer>
                                </a14:imgProps>
                              </a:ext>
                            </a:extLst>
                          </a:blip>
                          <a:stretch>
                            <a:fillRect/>
                          </a:stretch>
                        </pic:blipFill>
                        <pic:spPr>
                          <a:xfrm>
                            <a:off x="0" y="0"/>
                            <a:ext cx="2554977" cy="1916087"/>
                          </a:xfrm>
                          <a:prstGeom prst="rect">
                            <a:avLst/>
                          </a:prstGeom>
                        </pic:spPr>
                      </pic:pic>
                    </a:graphicData>
                  </a:graphic>
                </wp:inline>
              </w:drawing>
            </w:r>
          </w:p>
        </w:tc>
        <w:tc>
          <w:tcPr>
            <w:tcW w:w="4360" w:type="dxa"/>
            <w:vAlign w:val="center"/>
          </w:tcPr>
          <w:p w14:paraId="4ABF9E4B">
            <w:pPr>
              <w:spacing w:line="240" w:lineRule="auto"/>
              <w:jc w:val="center"/>
              <w:rPr>
                <w:rFonts w:cs="宋体"/>
                <w:color w:val="auto"/>
              </w:rPr>
            </w:pPr>
            <w:r>
              <w:rPr>
                <w:rFonts w:cs="宋体"/>
                <w:color w:val="auto"/>
              </w:rPr>
              <w:drawing>
                <wp:inline distT="0" distB="0" distL="0" distR="0">
                  <wp:extent cx="2586355" cy="1907540"/>
                  <wp:effectExtent l="0" t="0" r="4445" b="0"/>
                  <wp:docPr id="5043671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367116" name="图片 22"/>
                          <pic:cNvPicPr>
                            <a:picLocks noChangeAspect="1" noChangeArrowheads="1"/>
                          </pic:cNvPicPr>
                        </pic:nvPicPr>
                        <pic:blipFill>
                          <a:blip r:embed="rId43" cstate="print">
                            <a:extLst>
                              <a:ext uri="{BEBA8EAE-BF5A-486C-A8C5-ECC9F3942E4B}">
                                <a14:imgProps xmlns:a14="http://schemas.microsoft.com/office/drawing/2010/main">
                                  <a14:imgLayer r:embed="rId44">
                                    <a14:imgEffect>
                                      <a14:colorTemperature colorTemp="5300"/>
                                    </a14:imgEffect>
                                  </a14:imgLayer>
                                </a14:imgProps>
                              </a:ext>
                              <a:ext uri="{28A0092B-C50C-407E-A947-70E740481C1C}">
                                <a14:useLocalDpi xmlns:a14="http://schemas.microsoft.com/office/drawing/2010/main" val="0"/>
                              </a:ext>
                            </a:extLst>
                          </a:blip>
                          <a:srcRect l="4870" b="9276"/>
                          <a:stretch>
                            <a:fillRect/>
                          </a:stretch>
                        </pic:blipFill>
                        <pic:spPr>
                          <a:xfrm>
                            <a:off x="0" y="0"/>
                            <a:ext cx="2586979" cy="1908000"/>
                          </a:xfrm>
                          <a:prstGeom prst="rect">
                            <a:avLst/>
                          </a:prstGeom>
                          <a:noFill/>
                          <a:ln>
                            <a:noFill/>
                          </a:ln>
                        </pic:spPr>
                      </pic:pic>
                    </a:graphicData>
                  </a:graphic>
                </wp:inline>
              </w:drawing>
            </w:r>
          </w:p>
        </w:tc>
      </w:tr>
      <w:tr w14:paraId="40D9D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0" w:type="dxa"/>
            <w:vAlign w:val="center"/>
          </w:tcPr>
          <w:p w14:paraId="0F92EF55">
            <w:pPr>
              <w:spacing w:line="320" w:lineRule="exact"/>
              <w:jc w:val="center"/>
              <w:rPr>
                <w:rFonts w:cs="宋体"/>
                <w:color w:val="auto"/>
              </w:rPr>
            </w:pPr>
            <w:r>
              <w:rPr>
                <w:rFonts w:hint="eastAsia" w:ascii="宋体" w:hAnsi="宋体" w:cs="宋体"/>
                <w:color w:val="auto"/>
              </w:rPr>
              <w:t>项目区周边情况</w:t>
            </w:r>
          </w:p>
        </w:tc>
        <w:tc>
          <w:tcPr>
            <w:tcW w:w="4360" w:type="dxa"/>
            <w:vAlign w:val="center"/>
          </w:tcPr>
          <w:p w14:paraId="12F44A7A">
            <w:pPr>
              <w:spacing w:line="320" w:lineRule="exact"/>
              <w:jc w:val="center"/>
              <w:rPr>
                <w:rFonts w:cs="宋体"/>
                <w:color w:val="auto"/>
              </w:rPr>
            </w:pPr>
            <w:r>
              <w:rPr>
                <w:rFonts w:hint="eastAsia" w:ascii="宋体" w:hAnsi="宋体" w:cs="宋体"/>
                <w:color w:val="auto"/>
              </w:rPr>
              <w:t>项目区周边情况</w:t>
            </w:r>
          </w:p>
        </w:tc>
      </w:tr>
      <w:tr w14:paraId="7768D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0" w:type="dxa"/>
            <w:vAlign w:val="center"/>
          </w:tcPr>
          <w:p w14:paraId="015DE9F1">
            <w:pPr>
              <w:spacing w:line="240" w:lineRule="auto"/>
              <w:rPr>
                <w:rFonts w:cs="宋体"/>
                <w:color w:val="auto"/>
              </w:rPr>
            </w:pPr>
            <w:r>
              <w:rPr>
                <w:rFonts w:cs="宋体"/>
                <w:color w:val="auto"/>
              </w:rPr>
              <w:drawing>
                <wp:inline distT="0" distB="0" distL="0" distR="0">
                  <wp:extent cx="2543175" cy="1907540"/>
                  <wp:effectExtent l="0" t="0" r="9525" b="0"/>
                  <wp:docPr id="50021549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215499" name="图片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543807" cy="1908000"/>
                          </a:xfrm>
                          <a:prstGeom prst="rect">
                            <a:avLst/>
                          </a:prstGeom>
                          <a:noFill/>
                          <a:ln>
                            <a:noFill/>
                          </a:ln>
                        </pic:spPr>
                      </pic:pic>
                    </a:graphicData>
                  </a:graphic>
                </wp:inline>
              </w:drawing>
            </w:r>
          </w:p>
        </w:tc>
        <w:tc>
          <w:tcPr>
            <w:tcW w:w="4360" w:type="dxa"/>
            <w:vAlign w:val="center"/>
          </w:tcPr>
          <w:p w14:paraId="0AE467A5">
            <w:pPr>
              <w:spacing w:line="240" w:lineRule="auto"/>
              <w:rPr>
                <w:rFonts w:cs="宋体"/>
                <w:color w:val="auto"/>
              </w:rPr>
            </w:pPr>
            <w:r>
              <w:rPr>
                <w:rFonts w:cs="宋体"/>
                <w:color w:val="auto"/>
              </w:rPr>
              <w:drawing>
                <wp:inline distT="0" distB="0" distL="0" distR="0">
                  <wp:extent cx="2543810" cy="1907540"/>
                  <wp:effectExtent l="0" t="0" r="8890" b="0"/>
                  <wp:docPr id="4826930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9305" name="图片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544186" cy="1908000"/>
                          </a:xfrm>
                          <a:prstGeom prst="rect">
                            <a:avLst/>
                          </a:prstGeom>
                          <a:noFill/>
                          <a:ln>
                            <a:noFill/>
                          </a:ln>
                        </pic:spPr>
                      </pic:pic>
                    </a:graphicData>
                  </a:graphic>
                </wp:inline>
              </w:drawing>
            </w:r>
          </w:p>
        </w:tc>
      </w:tr>
      <w:tr w14:paraId="0350C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0" w:type="dxa"/>
            <w:vAlign w:val="center"/>
          </w:tcPr>
          <w:p w14:paraId="0BC203DE">
            <w:pPr>
              <w:spacing w:line="320" w:lineRule="exact"/>
              <w:jc w:val="center"/>
              <w:rPr>
                <w:rFonts w:hint="eastAsia" w:ascii="宋体" w:hAnsi="宋体" w:cs="宋体"/>
                <w:color w:val="auto"/>
              </w:rPr>
            </w:pPr>
            <w:r>
              <w:rPr>
                <w:rFonts w:hint="eastAsia" w:ascii="宋体" w:hAnsi="宋体" w:cs="宋体"/>
                <w:color w:val="auto"/>
              </w:rPr>
              <w:t>莫北转油站</w:t>
            </w:r>
          </w:p>
        </w:tc>
        <w:tc>
          <w:tcPr>
            <w:tcW w:w="4360" w:type="dxa"/>
            <w:vAlign w:val="center"/>
          </w:tcPr>
          <w:p w14:paraId="2D1B1711">
            <w:pPr>
              <w:spacing w:line="320" w:lineRule="exact"/>
              <w:jc w:val="center"/>
              <w:rPr>
                <w:rFonts w:hint="eastAsia" w:ascii="宋体" w:hAnsi="宋体" w:cs="宋体"/>
                <w:color w:val="auto"/>
              </w:rPr>
            </w:pPr>
            <w:r>
              <w:rPr>
                <w:rFonts w:hint="eastAsia" w:ascii="宋体" w:hAnsi="宋体" w:cs="宋体"/>
                <w:color w:val="auto"/>
              </w:rPr>
              <w:t>莫北转油站</w:t>
            </w:r>
          </w:p>
        </w:tc>
      </w:tr>
    </w:tbl>
    <w:p w14:paraId="4C45E569">
      <w:pPr>
        <w:rPr>
          <w:color w:val="auto"/>
        </w:rPr>
      </w:pPr>
    </w:p>
    <w:p w14:paraId="307EBCB9">
      <w:pPr>
        <w:jc w:val="center"/>
        <w:rPr>
          <w:b/>
          <w:bCs/>
          <w:color w:val="auto"/>
          <w:sz w:val="32"/>
          <w:szCs w:val="36"/>
        </w:rPr>
      </w:pPr>
      <w:r>
        <w:rPr>
          <w:rFonts w:hint="eastAsia"/>
          <w:b/>
          <w:bCs/>
          <w:color w:val="auto"/>
          <w:sz w:val="32"/>
          <w:szCs w:val="36"/>
        </w:rPr>
        <w:t>现场照片</w:t>
      </w:r>
    </w:p>
    <w:p w14:paraId="091ACBF1">
      <w:pPr>
        <w:rPr>
          <w:color w:val="auto"/>
        </w:rPr>
      </w:pPr>
    </w:p>
    <w:p w14:paraId="640EA202">
      <w:pPr>
        <w:rPr>
          <w:color w:val="auto"/>
        </w:rPr>
        <w:sectPr>
          <w:pgSz w:w="11906" w:h="16838"/>
          <w:pgMar w:top="1418" w:right="1588" w:bottom="1418" w:left="1588" w:header="851" w:footer="992" w:gutter="0"/>
          <w:cols w:space="425" w:num="1"/>
          <w:docGrid w:type="lines" w:linePitch="312" w:charSpace="0"/>
        </w:sectPr>
      </w:pPr>
    </w:p>
    <w:p w14:paraId="206A0F2E">
      <w:pPr>
        <w:pStyle w:val="86"/>
        <w:ind w:firstLine="562"/>
        <w:jc w:val="center"/>
        <w:rPr>
          <w:rFonts w:hint="eastAsia" w:ascii="黑体" w:hAnsi="黑体" w:eastAsia="黑体"/>
          <w:b/>
          <w:color w:val="auto"/>
          <w:sz w:val="28"/>
        </w:rPr>
      </w:pPr>
      <w:bookmarkStart w:id="11" w:name="OLE_LINK53"/>
      <w:r>
        <w:rPr>
          <w:rFonts w:hint="eastAsia" w:ascii="黑体" w:hAnsi="黑体" w:eastAsia="黑体"/>
          <w:b/>
          <w:color w:val="auto"/>
          <w:sz w:val="28"/>
        </w:rPr>
        <w:t xml:space="preserve">目 </w:t>
      </w:r>
      <w:r>
        <w:rPr>
          <w:rFonts w:ascii="黑体" w:hAnsi="黑体" w:eastAsia="黑体"/>
          <w:b/>
          <w:color w:val="auto"/>
          <w:sz w:val="28"/>
        </w:rPr>
        <w:t xml:space="preserve"> </w:t>
      </w:r>
      <w:r>
        <w:rPr>
          <w:rFonts w:hint="eastAsia" w:ascii="黑体" w:hAnsi="黑体" w:eastAsia="黑体"/>
          <w:b/>
          <w:color w:val="auto"/>
          <w:sz w:val="28"/>
        </w:rPr>
        <w:t>录</w:t>
      </w:r>
    </w:p>
    <w:bookmarkEnd w:id="11"/>
    <w:p w14:paraId="1FD51322">
      <w:pPr>
        <w:pStyle w:val="31"/>
        <w:tabs>
          <w:tab w:val="left" w:pos="420"/>
          <w:tab w:val="right" w:leader="dot" w:pos="8720"/>
        </w:tabs>
        <w:rPr>
          <w:rFonts w:hint="eastAsia" w:asciiTheme="minorHAnsi" w:hAnsiTheme="minorHAnsi" w:eastAsiaTheme="minorEastAsia" w:cstheme="minorBidi"/>
          <w:b w:val="0"/>
          <w:bCs w:val="0"/>
          <w:caps w:val="0"/>
          <w:color w:val="auto"/>
          <w:sz w:val="22"/>
          <w:szCs w:val="24"/>
        </w:rPr>
      </w:pPr>
      <w:r>
        <w:rPr>
          <w:rFonts w:hint="eastAsia" w:cs="宋体"/>
          <w:b w:val="0"/>
          <w:color w:val="auto"/>
          <w:szCs w:val="24"/>
        </w:rPr>
        <w:fldChar w:fldCharType="begin"/>
      </w:r>
      <w:r>
        <w:rPr>
          <w:rFonts w:hint="eastAsia" w:cs="宋体"/>
          <w:b w:val="0"/>
          <w:color w:val="auto"/>
          <w:szCs w:val="24"/>
        </w:rPr>
        <w:instrText xml:space="preserve"> TOC \o "1-2" \h \z \u </w:instrText>
      </w:r>
      <w:r>
        <w:rPr>
          <w:rFonts w:hint="eastAsia" w:cs="宋体"/>
          <w:b w:val="0"/>
          <w:color w:val="auto"/>
          <w:szCs w:val="24"/>
        </w:rPr>
        <w:fldChar w:fldCharType="separate"/>
      </w:r>
      <w:r>
        <w:rPr>
          <w:color w:val="auto"/>
        </w:rPr>
        <w:fldChar w:fldCharType="begin"/>
      </w:r>
      <w:r>
        <w:rPr>
          <w:color w:val="auto"/>
        </w:rPr>
        <w:instrText xml:space="preserve"> HYPERLINK \l "_Toc224405907" </w:instrText>
      </w:r>
      <w:r>
        <w:rPr>
          <w:color w:val="auto"/>
        </w:rPr>
        <w:fldChar w:fldCharType="separate"/>
      </w:r>
      <w:r>
        <w:rPr>
          <w:rStyle w:val="59"/>
          <w:rFonts w:hint="eastAsia" w:ascii="黑体" w:hAnsi="黑体" w:eastAsia="黑体"/>
          <w:color w:val="auto"/>
          <w14:ligatures w14:val="none"/>
        </w:rPr>
        <w:t>1</w:t>
      </w:r>
      <w:r>
        <w:rPr>
          <w:rFonts w:hint="eastAsia" w:asciiTheme="minorHAnsi" w:hAnsiTheme="minorHAnsi" w:eastAsiaTheme="minorEastAsia" w:cstheme="minorBidi"/>
          <w:b w:val="0"/>
          <w:bCs w:val="0"/>
          <w:caps w:val="0"/>
          <w:color w:val="auto"/>
          <w:sz w:val="22"/>
          <w:szCs w:val="24"/>
        </w:rPr>
        <w:tab/>
      </w:r>
      <w:r>
        <w:rPr>
          <w:rStyle w:val="59"/>
          <w:rFonts w:hint="eastAsia" w:ascii="黑体" w:hAnsi="黑体" w:eastAsia="黑体"/>
          <w:color w:val="auto"/>
          <w14:ligatures w14:val="none"/>
        </w:rPr>
        <w:t>概述</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_Toc224405907 \h</w:instrText>
      </w:r>
      <w:r>
        <w:rPr>
          <w:rFonts w:hint="eastAsia"/>
          <w:color w:val="auto"/>
        </w:rPr>
        <w:instrText xml:space="preserve"> </w:instrText>
      </w:r>
      <w:r>
        <w:rPr>
          <w:rFonts w:hint="eastAsia"/>
          <w:color w:val="auto"/>
        </w:rPr>
        <w:fldChar w:fldCharType="separate"/>
      </w:r>
      <w:r>
        <w:rPr>
          <w:color w:val="auto"/>
        </w:rPr>
        <w:t>1</w:t>
      </w:r>
      <w:r>
        <w:rPr>
          <w:rFonts w:hint="eastAsia"/>
          <w:color w:val="auto"/>
        </w:rPr>
        <w:fldChar w:fldCharType="end"/>
      </w:r>
      <w:r>
        <w:rPr>
          <w:rFonts w:hint="eastAsia"/>
          <w:color w:val="auto"/>
        </w:rPr>
        <w:fldChar w:fldCharType="end"/>
      </w:r>
    </w:p>
    <w:p w14:paraId="4C4BB466">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"_Toc224405908" </w:instrText>
      </w:r>
      <w:r>
        <w:rPr>
          <w:color w:val="auto"/>
        </w:rPr>
        <w:fldChar w:fldCharType="separate"/>
      </w:r>
      <w:r>
        <w:rPr>
          <w:rStyle w:val="59"/>
          <w:rFonts w:hint="eastAsia" w:ascii="黑体" w:hAnsi="黑体" w:eastAsia="黑体" w:cs="Times New Roman"/>
          <w:bCs/>
          <w:color w:val="auto"/>
          <w14:ligatures w14:val="none"/>
        </w:rPr>
        <w:t>1.1</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项目背景</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_Toc224405908 \h</w:instrText>
      </w:r>
      <w:r>
        <w:rPr>
          <w:rFonts w:hint="eastAsia"/>
          <w:color w:val="auto"/>
        </w:rPr>
        <w:instrText xml:space="preserve"> </w:instrText>
      </w:r>
      <w:r>
        <w:rPr>
          <w:rFonts w:hint="eastAsia"/>
          <w:color w:val="auto"/>
        </w:rPr>
        <w:fldChar w:fldCharType="separate"/>
      </w:r>
      <w:r>
        <w:rPr>
          <w:color w:val="auto"/>
        </w:rPr>
        <w:t>1</w:t>
      </w:r>
      <w:r>
        <w:rPr>
          <w:rFonts w:hint="eastAsia"/>
          <w:color w:val="auto"/>
        </w:rPr>
        <w:fldChar w:fldCharType="end"/>
      </w:r>
      <w:r>
        <w:rPr>
          <w:rFonts w:hint="eastAsia"/>
          <w:color w:val="auto"/>
        </w:rPr>
        <w:fldChar w:fldCharType="end"/>
      </w:r>
    </w:p>
    <w:p w14:paraId="0F549DFA">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"_Toc224405909" </w:instrText>
      </w:r>
      <w:r>
        <w:rPr>
          <w:color w:val="auto"/>
        </w:rPr>
        <w:fldChar w:fldCharType="separate"/>
      </w:r>
      <w:r>
        <w:rPr>
          <w:rStyle w:val="59"/>
          <w:rFonts w:hint="eastAsia" w:ascii="黑体" w:hAnsi="黑体" w:eastAsia="黑体" w:cs="Times New Roman"/>
          <w:bCs/>
          <w:color w:val="auto"/>
          <w14:ligatures w14:val="none"/>
        </w:rPr>
        <w:t>1.2</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建设项目主要特点</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_Toc224405909 \h</w:instrText>
      </w:r>
      <w:r>
        <w:rPr>
          <w:rFonts w:hint="eastAsia"/>
          <w:color w:val="auto"/>
        </w:rPr>
        <w:instrText xml:space="preserve"> </w:instrText>
      </w:r>
      <w:r>
        <w:rPr>
          <w:rFonts w:hint="eastAsia"/>
          <w:color w:val="auto"/>
        </w:rPr>
        <w:fldChar w:fldCharType="separate"/>
      </w:r>
      <w:r>
        <w:rPr>
          <w:color w:val="auto"/>
        </w:rPr>
        <w:t>2</w:t>
      </w:r>
      <w:r>
        <w:rPr>
          <w:rFonts w:hint="eastAsia"/>
          <w:color w:val="auto"/>
        </w:rPr>
        <w:fldChar w:fldCharType="end"/>
      </w:r>
      <w:r>
        <w:rPr>
          <w:rFonts w:hint="eastAsia"/>
          <w:color w:val="auto"/>
        </w:rPr>
        <w:fldChar w:fldCharType="end"/>
      </w:r>
    </w:p>
    <w:p w14:paraId="3C3D2908">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"_Toc224405910" </w:instrText>
      </w:r>
      <w:r>
        <w:rPr>
          <w:color w:val="auto"/>
        </w:rPr>
        <w:fldChar w:fldCharType="separate"/>
      </w:r>
      <w:r>
        <w:rPr>
          <w:rStyle w:val="59"/>
          <w:rFonts w:hint="eastAsia" w:ascii="黑体" w:hAnsi="黑体" w:eastAsia="黑体" w:cs="Times New Roman"/>
          <w:bCs/>
          <w:color w:val="auto"/>
          <w14:ligatures w14:val="none"/>
        </w:rPr>
        <w:t>1.3</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环境影响评价的工作过程</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_Toc224405910 \h</w:instrText>
      </w:r>
      <w:r>
        <w:rPr>
          <w:rFonts w:hint="eastAsia"/>
          <w:color w:val="auto"/>
        </w:rPr>
        <w:instrText xml:space="preserve"> </w:instrText>
      </w:r>
      <w:r>
        <w:rPr>
          <w:rFonts w:hint="eastAsia"/>
          <w:color w:val="auto"/>
        </w:rPr>
        <w:fldChar w:fldCharType="separate"/>
      </w:r>
      <w:r>
        <w:rPr>
          <w:color w:val="auto"/>
        </w:rPr>
        <w:t>2</w:t>
      </w:r>
      <w:r>
        <w:rPr>
          <w:rFonts w:hint="eastAsia"/>
          <w:color w:val="auto"/>
        </w:rPr>
        <w:fldChar w:fldCharType="end"/>
      </w:r>
      <w:r>
        <w:rPr>
          <w:rFonts w:hint="eastAsia"/>
          <w:color w:val="auto"/>
        </w:rPr>
        <w:fldChar w:fldCharType="end"/>
      </w:r>
    </w:p>
    <w:p w14:paraId="115BEE01">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"_Toc224405911" </w:instrText>
      </w:r>
      <w:r>
        <w:rPr>
          <w:color w:val="auto"/>
        </w:rPr>
        <w:fldChar w:fldCharType="separate"/>
      </w:r>
      <w:r>
        <w:rPr>
          <w:rStyle w:val="59"/>
          <w:rFonts w:hint="eastAsia" w:ascii="黑体" w:hAnsi="黑体" w:eastAsia="黑体" w:cs="Times New Roman"/>
          <w:bCs/>
          <w:color w:val="auto"/>
          <w14:ligatures w14:val="none"/>
        </w:rPr>
        <w:t>1.4</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关注的主要环境问题及环境影响</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_Toc224405911 \h</w:instrText>
      </w:r>
      <w:r>
        <w:rPr>
          <w:rFonts w:hint="eastAsia"/>
          <w:color w:val="auto"/>
        </w:rPr>
        <w:instrText xml:space="preserve"> </w:instrText>
      </w:r>
      <w:r>
        <w:rPr>
          <w:rFonts w:hint="eastAsia"/>
          <w:color w:val="auto"/>
        </w:rPr>
        <w:fldChar w:fldCharType="separate"/>
      </w:r>
      <w:r>
        <w:rPr>
          <w:color w:val="auto"/>
        </w:rPr>
        <w:t>2</w:t>
      </w:r>
      <w:r>
        <w:rPr>
          <w:rFonts w:hint="eastAsia"/>
          <w:color w:val="auto"/>
        </w:rPr>
        <w:fldChar w:fldCharType="end"/>
      </w:r>
      <w:r>
        <w:rPr>
          <w:rFonts w:hint="eastAsia"/>
          <w:color w:val="auto"/>
        </w:rPr>
        <w:fldChar w:fldCharType="end"/>
      </w:r>
    </w:p>
    <w:p w14:paraId="0EC64487">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"_Toc224405912" </w:instrText>
      </w:r>
      <w:r>
        <w:rPr>
          <w:color w:val="auto"/>
        </w:rPr>
        <w:fldChar w:fldCharType="separate"/>
      </w:r>
      <w:r>
        <w:rPr>
          <w:rStyle w:val="59"/>
          <w:rFonts w:hint="eastAsia" w:ascii="黑体" w:hAnsi="黑体" w:eastAsia="黑体" w:cs="Times New Roman"/>
          <w:bCs/>
          <w:color w:val="auto"/>
          <w14:ligatures w14:val="none"/>
        </w:rPr>
        <w:t>1.5</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分析判定相关情况</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_Toc224405912 \h</w:instrText>
      </w:r>
      <w:r>
        <w:rPr>
          <w:rFonts w:hint="eastAsia"/>
          <w:color w:val="auto"/>
        </w:rPr>
        <w:instrText xml:space="preserve"> </w:instrText>
      </w:r>
      <w:r>
        <w:rPr>
          <w:rFonts w:hint="eastAsia"/>
          <w:color w:val="auto"/>
        </w:rPr>
        <w:fldChar w:fldCharType="separate"/>
      </w:r>
      <w:r>
        <w:rPr>
          <w:color w:val="auto"/>
        </w:rPr>
        <w:t>3</w:t>
      </w:r>
      <w:r>
        <w:rPr>
          <w:rFonts w:hint="eastAsia"/>
          <w:color w:val="auto"/>
        </w:rPr>
        <w:fldChar w:fldCharType="end"/>
      </w:r>
      <w:r>
        <w:rPr>
          <w:rFonts w:hint="eastAsia"/>
          <w:color w:val="auto"/>
        </w:rPr>
        <w:fldChar w:fldCharType="end"/>
      </w:r>
    </w:p>
    <w:p w14:paraId="673FB04E">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"_Toc224405913" </w:instrText>
      </w:r>
      <w:r>
        <w:rPr>
          <w:color w:val="auto"/>
        </w:rPr>
        <w:fldChar w:fldCharType="separate"/>
      </w:r>
      <w:r>
        <w:rPr>
          <w:rStyle w:val="59"/>
          <w:rFonts w:hint="eastAsia" w:ascii="黑体" w:hAnsi="黑体" w:eastAsia="黑体" w:cs="Times New Roman"/>
          <w:bCs/>
          <w:color w:val="auto"/>
          <w14:ligatures w14:val="none"/>
        </w:rPr>
        <w:t>1.6</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环境影响评价的主要结论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_Toc224405913 \h</w:instrText>
      </w:r>
      <w:r>
        <w:rPr>
          <w:rFonts w:hint="eastAsia"/>
          <w:color w:val="auto"/>
        </w:rPr>
        <w:instrText xml:space="preserve"> </w:instrText>
      </w:r>
      <w:r>
        <w:rPr>
          <w:rFonts w:hint="eastAsia"/>
          <w:color w:val="auto"/>
        </w:rPr>
        <w:fldChar w:fldCharType="separate"/>
      </w:r>
      <w:r>
        <w:rPr>
          <w:color w:val="auto"/>
        </w:rPr>
        <w:t>4</w:t>
      </w:r>
      <w:r>
        <w:rPr>
          <w:rFonts w:hint="eastAsia"/>
          <w:color w:val="auto"/>
        </w:rPr>
        <w:fldChar w:fldCharType="end"/>
      </w:r>
      <w:r>
        <w:rPr>
          <w:rFonts w:hint="eastAsia"/>
          <w:color w:val="auto"/>
        </w:rPr>
        <w:fldChar w:fldCharType="end"/>
      </w:r>
    </w:p>
    <w:p w14:paraId="115B8232">
      <w:pPr>
        <w:pStyle w:val="31"/>
        <w:tabs>
          <w:tab w:val="left" w:pos="420"/>
          <w:tab w:val="right" w:leader="dot" w:pos="8720"/>
        </w:tabs>
        <w:rPr>
          <w:rFonts w:hint="eastAsia" w:asciiTheme="minorHAnsi" w:hAnsiTheme="minorHAnsi" w:eastAsiaTheme="minorEastAsia" w:cstheme="minorBidi"/>
          <w:b w:val="0"/>
          <w:bCs w:val="0"/>
          <w:caps w:val="0"/>
          <w:color w:val="auto"/>
          <w:sz w:val="22"/>
          <w:szCs w:val="24"/>
        </w:rPr>
      </w:pPr>
      <w:r>
        <w:rPr>
          <w:color w:val="auto"/>
        </w:rPr>
        <w:fldChar w:fldCharType="begin"/>
      </w:r>
      <w:r>
        <w:rPr>
          <w:color w:val="auto"/>
        </w:rPr>
        <w:instrText xml:space="preserve"> HYPERLINK \l "_Toc224405914" </w:instrText>
      </w:r>
      <w:r>
        <w:rPr>
          <w:color w:val="auto"/>
        </w:rPr>
        <w:fldChar w:fldCharType="separate"/>
      </w:r>
      <w:r>
        <w:rPr>
          <w:rStyle w:val="59"/>
          <w:rFonts w:hint="eastAsia" w:ascii="黑体" w:hAnsi="黑体" w:eastAsia="黑体"/>
          <w:color w:val="auto"/>
        </w:rPr>
        <w:t>2</w:t>
      </w:r>
      <w:r>
        <w:rPr>
          <w:rFonts w:hint="eastAsia" w:asciiTheme="minorHAnsi" w:hAnsiTheme="minorHAnsi" w:eastAsiaTheme="minorEastAsia" w:cstheme="minorBidi"/>
          <w:b w:val="0"/>
          <w:bCs w:val="0"/>
          <w:caps w:val="0"/>
          <w:color w:val="auto"/>
          <w:sz w:val="22"/>
          <w:szCs w:val="24"/>
        </w:rPr>
        <w:tab/>
      </w:r>
      <w:r>
        <w:rPr>
          <w:rStyle w:val="59"/>
          <w:rFonts w:hint="eastAsia" w:ascii="黑体" w:hAnsi="黑体" w:eastAsia="黑体"/>
          <w:color w:val="auto"/>
          <w14:ligatures w14:val="none"/>
        </w:rPr>
        <w:t>总则</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_Toc224405914 \h</w:instrText>
      </w:r>
      <w:r>
        <w:rPr>
          <w:rFonts w:hint="eastAsia"/>
          <w:color w:val="auto"/>
        </w:rPr>
        <w:instrText xml:space="preserve"> </w:instrText>
      </w:r>
      <w:r>
        <w:rPr>
          <w:rFonts w:hint="eastAsia"/>
          <w:color w:val="auto"/>
        </w:rPr>
        <w:fldChar w:fldCharType="separate"/>
      </w:r>
      <w:r>
        <w:rPr>
          <w:color w:val="auto"/>
        </w:rPr>
        <w:t>6</w:t>
      </w:r>
      <w:r>
        <w:rPr>
          <w:rFonts w:hint="eastAsia"/>
          <w:color w:val="auto"/>
        </w:rPr>
        <w:fldChar w:fldCharType="end"/>
      </w:r>
      <w:r>
        <w:rPr>
          <w:rFonts w:hint="eastAsia"/>
          <w:color w:val="auto"/>
        </w:rPr>
        <w:fldChar w:fldCharType="end"/>
      </w:r>
    </w:p>
    <w:p w14:paraId="7E9E742E">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"_Toc224405915" </w:instrText>
      </w:r>
      <w:r>
        <w:rPr>
          <w:color w:val="auto"/>
        </w:rPr>
        <w:fldChar w:fldCharType="separate"/>
      </w:r>
      <w:r>
        <w:rPr>
          <w:rStyle w:val="59"/>
          <w:rFonts w:hint="eastAsia" w:ascii="黑体" w:hAnsi="黑体" w:eastAsia="黑体" w:cs="Times New Roman"/>
          <w:bCs/>
          <w:color w:val="auto"/>
          <w14:ligatures w14:val="none"/>
        </w:rPr>
        <w:t>2.1</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编制依据</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_Toc224405915 \h</w:instrText>
      </w:r>
      <w:r>
        <w:rPr>
          <w:rFonts w:hint="eastAsia"/>
          <w:color w:val="auto"/>
        </w:rPr>
        <w:instrText xml:space="preserve"> </w:instrText>
      </w:r>
      <w:r>
        <w:rPr>
          <w:rFonts w:hint="eastAsia"/>
          <w:color w:val="auto"/>
        </w:rPr>
        <w:fldChar w:fldCharType="separate"/>
      </w:r>
      <w:r>
        <w:rPr>
          <w:color w:val="auto"/>
        </w:rPr>
        <w:t>6</w:t>
      </w:r>
      <w:r>
        <w:rPr>
          <w:rFonts w:hint="eastAsia"/>
          <w:color w:val="auto"/>
        </w:rPr>
        <w:fldChar w:fldCharType="end"/>
      </w:r>
      <w:r>
        <w:rPr>
          <w:rFonts w:hint="eastAsia"/>
          <w:color w:val="auto"/>
        </w:rPr>
        <w:fldChar w:fldCharType="end"/>
      </w:r>
    </w:p>
    <w:p w14:paraId="1FDBF582">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"_Toc224405916" </w:instrText>
      </w:r>
      <w:r>
        <w:rPr>
          <w:color w:val="auto"/>
        </w:rPr>
        <w:fldChar w:fldCharType="separate"/>
      </w:r>
      <w:r>
        <w:rPr>
          <w:rStyle w:val="59"/>
          <w:rFonts w:hint="eastAsia" w:ascii="黑体" w:hAnsi="黑体" w:eastAsia="黑体" w:cs="Times New Roman"/>
          <w:bCs/>
          <w:color w:val="auto"/>
          <w14:ligatures w14:val="none"/>
        </w:rPr>
        <w:t>2.2</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评价目的与原则</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_Toc224405916 \h</w:instrText>
      </w:r>
      <w:r>
        <w:rPr>
          <w:rFonts w:hint="eastAsia"/>
          <w:color w:val="auto"/>
        </w:rPr>
        <w:instrText xml:space="preserve"> </w:instrText>
      </w:r>
      <w:r>
        <w:rPr>
          <w:rFonts w:hint="eastAsia"/>
          <w:color w:val="auto"/>
        </w:rPr>
        <w:fldChar w:fldCharType="separate"/>
      </w:r>
      <w:r>
        <w:rPr>
          <w:color w:val="auto"/>
        </w:rPr>
        <w:t>11</w:t>
      </w:r>
      <w:r>
        <w:rPr>
          <w:rFonts w:hint="eastAsia"/>
          <w:color w:val="auto"/>
        </w:rPr>
        <w:fldChar w:fldCharType="end"/>
      </w:r>
      <w:r>
        <w:rPr>
          <w:rFonts w:hint="eastAsia"/>
          <w:color w:val="auto"/>
        </w:rPr>
        <w:fldChar w:fldCharType="end"/>
      </w:r>
    </w:p>
    <w:p w14:paraId="54664C2D">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"_Toc224405917" </w:instrText>
      </w:r>
      <w:r>
        <w:rPr>
          <w:color w:val="auto"/>
        </w:rPr>
        <w:fldChar w:fldCharType="separate"/>
      </w:r>
      <w:r>
        <w:rPr>
          <w:rStyle w:val="59"/>
          <w:rFonts w:hint="eastAsia" w:ascii="黑体" w:hAnsi="黑体" w:eastAsia="黑体" w:cs="Times New Roman"/>
          <w:bCs/>
          <w:color w:val="auto"/>
          <w14:ligatures w14:val="none"/>
        </w:rPr>
        <w:t>2.3</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评价时段</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_Toc224405917 \h</w:instrText>
      </w:r>
      <w:r>
        <w:rPr>
          <w:rFonts w:hint="eastAsia"/>
          <w:color w:val="auto"/>
        </w:rPr>
        <w:instrText xml:space="preserve"> </w:instrText>
      </w:r>
      <w:r>
        <w:rPr>
          <w:rFonts w:hint="eastAsia"/>
          <w:color w:val="auto"/>
        </w:rPr>
        <w:fldChar w:fldCharType="separate"/>
      </w:r>
      <w:r>
        <w:rPr>
          <w:color w:val="auto"/>
        </w:rPr>
        <w:t>12</w:t>
      </w:r>
      <w:r>
        <w:rPr>
          <w:rFonts w:hint="eastAsia"/>
          <w:color w:val="auto"/>
        </w:rPr>
        <w:fldChar w:fldCharType="end"/>
      </w:r>
      <w:r>
        <w:rPr>
          <w:rFonts w:hint="eastAsia"/>
          <w:color w:val="auto"/>
        </w:rPr>
        <w:fldChar w:fldCharType="end"/>
      </w:r>
    </w:p>
    <w:p w14:paraId="73852CEA">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"_Toc224405918" </w:instrText>
      </w:r>
      <w:r>
        <w:rPr>
          <w:color w:val="auto"/>
        </w:rPr>
        <w:fldChar w:fldCharType="separate"/>
      </w:r>
      <w:r>
        <w:rPr>
          <w:rStyle w:val="59"/>
          <w:rFonts w:hint="eastAsia" w:ascii="黑体" w:hAnsi="黑体" w:eastAsia="黑体" w:cs="Times New Roman"/>
          <w:bCs/>
          <w:color w:val="auto"/>
          <w14:ligatures w14:val="none"/>
        </w:rPr>
        <w:t>2.4</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环境影响因素识别与评价因子确定</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_Toc224405918 \h</w:instrText>
      </w:r>
      <w:r>
        <w:rPr>
          <w:rFonts w:hint="eastAsia"/>
          <w:color w:val="auto"/>
        </w:rPr>
        <w:instrText xml:space="preserve"> </w:instrText>
      </w:r>
      <w:r>
        <w:rPr>
          <w:rFonts w:hint="eastAsia"/>
          <w:color w:val="auto"/>
        </w:rPr>
        <w:fldChar w:fldCharType="separate"/>
      </w:r>
      <w:r>
        <w:rPr>
          <w:color w:val="auto"/>
        </w:rPr>
        <w:t>12</w:t>
      </w:r>
      <w:r>
        <w:rPr>
          <w:rFonts w:hint="eastAsia"/>
          <w:color w:val="auto"/>
        </w:rPr>
        <w:fldChar w:fldCharType="end"/>
      </w:r>
      <w:r>
        <w:rPr>
          <w:rFonts w:hint="eastAsia"/>
          <w:color w:val="auto"/>
        </w:rPr>
        <w:fldChar w:fldCharType="end"/>
      </w:r>
    </w:p>
    <w:p w14:paraId="571913A7">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"_Toc224405919" </w:instrText>
      </w:r>
      <w:r>
        <w:rPr>
          <w:color w:val="auto"/>
        </w:rPr>
        <w:fldChar w:fldCharType="separate"/>
      </w:r>
      <w:r>
        <w:rPr>
          <w:rStyle w:val="59"/>
          <w:rFonts w:hint="eastAsia" w:ascii="黑体" w:hAnsi="黑体" w:eastAsia="黑体" w:cs="Times New Roman"/>
          <w:bCs/>
          <w:color w:val="auto"/>
          <w14:ligatures w14:val="none"/>
        </w:rPr>
        <w:t>2.5</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环境功能区划与评价标准</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_Toc224405919 \h</w:instrText>
      </w:r>
      <w:r>
        <w:rPr>
          <w:rFonts w:hint="eastAsia"/>
          <w:color w:val="auto"/>
        </w:rPr>
        <w:instrText xml:space="preserve"> </w:instrText>
      </w:r>
      <w:r>
        <w:rPr>
          <w:rFonts w:hint="eastAsia"/>
          <w:color w:val="auto"/>
        </w:rPr>
        <w:fldChar w:fldCharType="separate"/>
      </w:r>
      <w:r>
        <w:rPr>
          <w:color w:val="auto"/>
        </w:rPr>
        <w:t>14</w:t>
      </w:r>
      <w:r>
        <w:rPr>
          <w:rFonts w:hint="eastAsia"/>
          <w:color w:val="auto"/>
        </w:rPr>
        <w:fldChar w:fldCharType="end"/>
      </w:r>
      <w:r>
        <w:rPr>
          <w:rFonts w:hint="eastAsia"/>
          <w:color w:val="auto"/>
        </w:rPr>
        <w:fldChar w:fldCharType="end"/>
      </w:r>
    </w:p>
    <w:p w14:paraId="7813D73D">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"_Toc224405920" </w:instrText>
      </w:r>
      <w:r>
        <w:rPr>
          <w:color w:val="auto"/>
        </w:rPr>
        <w:fldChar w:fldCharType="separate"/>
      </w:r>
      <w:r>
        <w:rPr>
          <w:rStyle w:val="59"/>
          <w:rFonts w:hint="eastAsia" w:ascii="黑体" w:hAnsi="黑体" w:eastAsia="黑体" w:cs="Times New Roman"/>
          <w:bCs/>
          <w:color w:val="auto"/>
          <w14:ligatures w14:val="none"/>
        </w:rPr>
        <w:t>2.6</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评价等级与评价范围</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_Toc224405920 \h</w:instrText>
      </w:r>
      <w:r>
        <w:rPr>
          <w:rFonts w:hint="eastAsia"/>
          <w:color w:val="auto"/>
        </w:rPr>
        <w:instrText xml:space="preserve"> </w:instrText>
      </w:r>
      <w:r>
        <w:rPr>
          <w:rFonts w:hint="eastAsia"/>
          <w:color w:val="auto"/>
        </w:rPr>
        <w:fldChar w:fldCharType="separate"/>
      </w:r>
      <w:r>
        <w:rPr>
          <w:color w:val="auto"/>
        </w:rPr>
        <w:t>18</w:t>
      </w:r>
      <w:r>
        <w:rPr>
          <w:rFonts w:hint="eastAsia"/>
          <w:color w:val="auto"/>
        </w:rPr>
        <w:fldChar w:fldCharType="end"/>
      </w:r>
      <w:r>
        <w:rPr>
          <w:rFonts w:hint="eastAsia"/>
          <w:color w:val="auto"/>
        </w:rPr>
        <w:fldChar w:fldCharType="end"/>
      </w:r>
    </w:p>
    <w:p w14:paraId="2C353CBE">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"_Toc224405921" </w:instrText>
      </w:r>
      <w:r>
        <w:rPr>
          <w:color w:val="auto"/>
        </w:rPr>
        <w:fldChar w:fldCharType="separate"/>
      </w:r>
      <w:r>
        <w:rPr>
          <w:rStyle w:val="59"/>
          <w:rFonts w:hint="eastAsia" w:ascii="黑体" w:hAnsi="黑体" w:eastAsia="黑体" w:cs="Times New Roman"/>
          <w:bCs/>
          <w:color w:val="auto"/>
          <w14:ligatures w14:val="none"/>
        </w:rPr>
        <w:t>2.7</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环境保护目标</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_Toc224405921 \h</w:instrText>
      </w:r>
      <w:r>
        <w:rPr>
          <w:rFonts w:hint="eastAsia"/>
          <w:color w:val="auto"/>
        </w:rPr>
        <w:instrText xml:space="preserve"> </w:instrText>
      </w:r>
      <w:r>
        <w:rPr>
          <w:rFonts w:hint="eastAsia"/>
          <w:color w:val="auto"/>
        </w:rPr>
        <w:fldChar w:fldCharType="separate"/>
      </w:r>
      <w:r>
        <w:rPr>
          <w:color w:val="auto"/>
        </w:rPr>
        <w:t>24</w:t>
      </w:r>
      <w:r>
        <w:rPr>
          <w:rFonts w:hint="eastAsia"/>
          <w:color w:val="auto"/>
        </w:rPr>
        <w:fldChar w:fldCharType="end"/>
      </w:r>
      <w:r>
        <w:rPr>
          <w:rFonts w:hint="eastAsia"/>
          <w:color w:val="auto"/>
        </w:rPr>
        <w:fldChar w:fldCharType="end"/>
      </w:r>
    </w:p>
    <w:p w14:paraId="116808FD">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"_Toc224405922" </w:instrText>
      </w:r>
      <w:r>
        <w:rPr>
          <w:color w:val="auto"/>
        </w:rPr>
        <w:fldChar w:fldCharType="separate"/>
      </w:r>
      <w:r>
        <w:rPr>
          <w:rStyle w:val="59"/>
          <w:rFonts w:hint="eastAsia" w:ascii="黑体" w:hAnsi="黑体" w:eastAsia="黑体" w:cs="Times New Roman"/>
          <w:bCs/>
          <w:color w:val="auto"/>
          <w14:ligatures w14:val="none"/>
        </w:rPr>
        <w:t>2.8</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评价内容和评价重点</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_Toc224405922 \h</w:instrText>
      </w:r>
      <w:r>
        <w:rPr>
          <w:rFonts w:hint="eastAsia"/>
          <w:color w:val="auto"/>
        </w:rPr>
        <w:instrText xml:space="preserve"> </w:instrText>
      </w:r>
      <w:r>
        <w:rPr>
          <w:rFonts w:hint="eastAsia"/>
          <w:color w:val="auto"/>
        </w:rPr>
        <w:fldChar w:fldCharType="separate"/>
      </w:r>
      <w:r>
        <w:rPr>
          <w:color w:val="auto"/>
        </w:rPr>
        <w:t>26</w:t>
      </w:r>
      <w:r>
        <w:rPr>
          <w:rFonts w:hint="eastAsia"/>
          <w:color w:val="auto"/>
        </w:rPr>
        <w:fldChar w:fldCharType="end"/>
      </w:r>
      <w:r>
        <w:rPr>
          <w:rFonts w:hint="eastAsia"/>
          <w:color w:val="auto"/>
        </w:rPr>
        <w:fldChar w:fldCharType="end"/>
      </w:r>
    </w:p>
    <w:p w14:paraId="5F2D7BB8">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"_Toc224405923" </w:instrText>
      </w:r>
      <w:r>
        <w:rPr>
          <w:color w:val="auto"/>
        </w:rPr>
        <w:fldChar w:fldCharType="separate"/>
      </w:r>
      <w:r>
        <w:rPr>
          <w:rStyle w:val="59"/>
          <w:rFonts w:hint="eastAsia" w:ascii="黑体" w:hAnsi="黑体" w:eastAsia="黑体" w:cs="Times New Roman"/>
          <w:bCs/>
          <w:color w:val="auto"/>
          <w14:ligatures w14:val="none"/>
        </w:rPr>
        <w:t>2.9</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相关规划及政策符合性分析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_Toc224405923 \h</w:instrText>
      </w:r>
      <w:r>
        <w:rPr>
          <w:rFonts w:hint="eastAsia"/>
          <w:color w:val="auto"/>
        </w:rPr>
        <w:instrText xml:space="preserve"> </w:instrText>
      </w:r>
      <w:r>
        <w:rPr>
          <w:rFonts w:hint="eastAsia"/>
          <w:color w:val="auto"/>
        </w:rPr>
        <w:fldChar w:fldCharType="separate"/>
      </w:r>
      <w:r>
        <w:rPr>
          <w:color w:val="auto"/>
        </w:rPr>
        <w:t>26</w:t>
      </w:r>
      <w:r>
        <w:rPr>
          <w:rFonts w:hint="eastAsia"/>
          <w:color w:val="auto"/>
        </w:rPr>
        <w:fldChar w:fldCharType="end"/>
      </w:r>
      <w:r>
        <w:rPr>
          <w:rFonts w:hint="eastAsia"/>
          <w:color w:val="auto"/>
        </w:rPr>
        <w:fldChar w:fldCharType="end"/>
      </w:r>
    </w:p>
    <w:p w14:paraId="6EF02951">
      <w:pPr>
        <w:pStyle w:val="31"/>
        <w:tabs>
          <w:tab w:val="left" w:pos="420"/>
          <w:tab w:val="right" w:leader="dot" w:pos="8720"/>
        </w:tabs>
        <w:rPr>
          <w:rFonts w:hint="eastAsia" w:asciiTheme="minorHAnsi" w:hAnsiTheme="minorHAnsi" w:eastAsiaTheme="minorEastAsia" w:cstheme="minorBidi"/>
          <w:b w:val="0"/>
          <w:bCs w:val="0"/>
          <w:caps w:val="0"/>
          <w:color w:val="auto"/>
          <w:sz w:val="22"/>
          <w:szCs w:val="24"/>
        </w:rPr>
      </w:pPr>
      <w:r>
        <w:rPr>
          <w:color w:val="auto"/>
        </w:rPr>
        <w:fldChar w:fldCharType="begin"/>
      </w:r>
      <w:r>
        <w:rPr>
          <w:color w:val="auto"/>
        </w:rPr>
        <w:instrText xml:space="preserve"> HYPERLINK \l "_Toc224405924" </w:instrText>
      </w:r>
      <w:r>
        <w:rPr>
          <w:color w:val="auto"/>
        </w:rPr>
        <w:fldChar w:fldCharType="separate"/>
      </w:r>
      <w:r>
        <w:rPr>
          <w:rStyle w:val="59"/>
          <w:rFonts w:hint="eastAsia" w:ascii="黑体" w:hAnsi="黑体" w:eastAsia="黑体"/>
          <w:color w:val="auto"/>
          <w14:ligatures w14:val="none"/>
        </w:rPr>
        <w:t>3</w:t>
      </w:r>
      <w:r>
        <w:rPr>
          <w:rFonts w:hint="eastAsia" w:asciiTheme="minorHAnsi" w:hAnsiTheme="minorHAnsi" w:eastAsiaTheme="minorEastAsia" w:cstheme="minorBidi"/>
          <w:b w:val="0"/>
          <w:bCs w:val="0"/>
          <w:caps w:val="0"/>
          <w:color w:val="auto"/>
          <w:sz w:val="22"/>
          <w:szCs w:val="24"/>
        </w:rPr>
        <w:tab/>
      </w:r>
      <w:r>
        <w:rPr>
          <w:rStyle w:val="59"/>
          <w:rFonts w:hint="eastAsia" w:ascii="黑体" w:hAnsi="黑体" w:eastAsia="黑体"/>
          <w:color w:val="auto"/>
          <w14:ligatures w14:val="none"/>
        </w:rPr>
        <w:t>建设项目工程分析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_Toc224405924 \h</w:instrText>
      </w:r>
      <w:r>
        <w:rPr>
          <w:rFonts w:hint="eastAsia"/>
          <w:color w:val="auto"/>
        </w:rPr>
        <w:instrText xml:space="preserve"> </w:instrText>
      </w:r>
      <w:r>
        <w:rPr>
          <w:rFonts w:hint="eastAsia"/>
          <w:color w:val="auto"/>
        </w:rPr>
        <w:fldChar w:fldCharType="separate"/>
      </w:r>
      <w:r>
        <w:rPr>
          <w:color w:val="auto"/>
        </w:rPr>
        <w:t>53</w:t>
      </w:r>
      <w:r>
        <w:rPr>
          <w:rFonts w:hint="eastAsia"/>
          <w:color w:val="auto"/>
        </w:rPr>
        <w:fldChar w:fldCharType="end"/>
      </w:r>
      <w:r>
        <w:rPr>
          <w:rFonts w:hint="eastAsia"/>
          <w:color w:val="auto"/>
        </w:rPr>
        <w:fldChar w:fldCharType="end"/>
      </w:r>
    </w:p>
    <w:p w14:paraId="0E6E02B6">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"_Toc224405925" </w:instrText>
      </w:r>
      <w:r>
        <w:rPr>
          <w:color w:val="auto"/>
        </w:rPr>
        <w:fldChar w:fldCharType="separate"/>
      </w:r>
      <w:r>
        <w:rPr>
          <w:rStyle w:val="59"/>
          <w:rFonts w:hint="eastAsia" w:ascii="黑体" w:hAnsi="黑体" w:eastAsia="黑体" w:cs="Times New Roman"/>
          <w:bCs/>
          <w:color w:val="auto"/>
          <w14:ligatures w14:val="none"/>
        </w:rPr>
        <w:t>3.1</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现有工程概况及环境影响回顾</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_Toc224405925 \h</w:instrText>
      </w:r>
      <w:r>
        <w:rPr>
          <w:rFonts w:hint="eastAsia"/>
          <w:color w:val="auto"/>
        </w:rPr>
        <w:instrText xml:space="preserve"> </w:instrText>
      </w:r>
      <w:r>
        <w:rPr>
          <w:rFonts w:hint="eastAsia"/>
          <w:color w:val="auto"/>
        </w:rPr>
        <w:fldChar w:fldCharType="separate"/>
      </w:r>
      <w:r>
        <w:rPr>
          <w:color w:val="auto"/>
        </w:rPr>
        <w:t>53</w:t>
      </w:r>
      <w:r>
        <w:rPr>
          <w:rFonts w:hint="eastAsia"/>
          <w:color w:val="auto"/>
        </w:rPr>
        <w:fldChar w:fldCharType="end"/>
      </w:r>
      <w:r>
        <w:rPr>
          <w:rFonts w:hint="eastAsia"/>
          <w:color w:val="auto"/>
        </w:rPr>
        <w:fldChar w:fldCharType="end"/>
      </w:r>
    </w:p>
    <w:p w14:paraId="2D6AC461">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"_Toc224405926" </w:instrText>
      </w:r>
      <w:r>
        <w:rPr>
          <w:color w:val="auto"/>
        </w:rPr>
        <w:fldChar w:fldCharType="separate"/>
      </w:r>
      <w:r>
        <w:rPr>
          <w:rStyle w:val="59"/>
          <w:rFonts w:hint="eastAsia" w:ascii="黑体" w:hAnsi="黑体" w:eastAsia="黑体" w:cs="Times New Roman"/>
          <w:bCs/>
          <w:color w:val="auto"/>
          <w14:ligatures w14:val="none"/>
        </w:rPr>
        <w:t>3.2</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项目工程概况</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_Toc224405926 \h</w:instrText>
      </w:r>
      <w:r>
        <w:rPr>
          <w:rFonts w:hint="eastAsia"/>
          <w:color w:val="auto"/>
        </w:rPr>
        <w:instrText xml:space="preserve"> </w:instrText>
      </w:r>
      <w:r>
        <w:rPr>
          <w:rFonts w:hint="eastAsia"/>
          <w:color w:val="auto"/>
        </w:rPr>
        <w:fldChar w:fldCharType="separate"/>
      </w:r>
      <w:r>
        <w:rPr>
          <w:color w:val="auto"/>
        </w:rPr>
        <w:t>58</w:t>
      </w:r>
      <w:r>
        <w:rPr>
          <w:rFonts w:hint="eastAsia"/>
          <w:color w:val="auto"/>
        </w:rPr>
        <w:fldChar w:fldCharType="end"/>
      </w:r>
      <w:r>
        <w:rPr>
          <w:rFonts w:hint="eastAsia"/>
          <w:color w:val="auto"/>
        </w:rPr>
        <w:fldChar w:fldCharType="end"/>
      </w:r>
    </w:p>
    <w:p w14:paraId="73FC82EB">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"_Toc224405927" </w:instrText>
      </w:r>
      <w:r>
        <w:rPr>
          <w:color w:val="auto"/>
        </w:rPr>
        <w:fldChar w:fldCharType="separate"/>
      </w:r>
      <w:r>
        <w:rPr>
          <w:rStyle w:val="59"/>
          <w:rFonts w:hint="eastAsia" w:ascii="黑体" w:hAnsi="黑体" w:eastAsia="黑体" w:cs="Times New Roman"/>
          <w:bCs/>
          <w:color w:val="auto"/>
          <w14:ligatures w14:val="none"/>
        </w:rPr>
        <w:t>3.3</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污染源源强核算</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_Toc224405927 \h</w:instrText>
      </w:r>
      <w:r>
        <w:rPr>
          <w:rFonts w:hint="eastAsia"/>
          <w:color w:val="auto"/>
        </w:rPr>
        <w:instrText xml:space="preserve"> </w:instrText>
      </w:r>
      <w:r>
        <w:rPr>
          <w:rFonts w:hint="eastAsia"/>
          <w:color w:val="auto"/>
        </w:rPr>
        <w:fldChar w:fldCharType="separate"/>
      </w:r>
      <w:r>
        <w:rPr>
          <w:color w:val="auto"/>
        </w:rPr>
        <w:t>79</w:t>
      </w:r>
      <w:r>
        <w:rPr>
          <w:rFonts w:hint="eastAsia"/>
          <w:color w:val="auto"/>
        </w:rPr>
        <w:fldChar w:fldCharType="end"/>
      </w:r>
      <w:r>
        <w:rPr>
          <w:rFonts w:hint="eastAsia"/>
          <w:color w:val="auto"/>
        </w:rPr>
        <w:fldChar w:fldCharType="end"/>
      </w:r>
    </w:p>
    <w:p w14:paraId="39376EBA">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"_Toc224405928" </w:instrText>
      </w:r>
      <w:r>
        <w:rPr>
          <w:color w:val="auto"/>
        </w:rPr>
        <w:fldChar w:fldCharType="separate"/>
      </w:r>
      <w:r>
        <w:rPr>
          <w:rStyle w:val="59"/>
          <w:rFonts w:hint="eastAsia" w:ascii="黑体" w:hAnsi="黑体" w:eastAsia="黑体" w:cs="Times New Roman"/>
          <w:bCs/>
          <w:color w:val="auto"/>
          <w14:ligatures w14:val="none"/>
        </w:rPr>
        <w:t>3.4</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总量控制指标</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_Toc224405928 \h</w:instrText>
      </w:r>
      <w:r>
        <w:rPr>
          <w:rFonts w:hint="eastAsia"/>
          <w:color w:val="auto"/>
        </w:rPr>
        <w:instrText xml:space="preserve"> </w:instrText>
      </w:r>
      <w:r>
        <w:rPr>
          <w:rFonts w:hint="eastAsia"/>
          <w:color w:val="auto"/>
        </w:rPr>
        <w:fldChar w:fldCharType="separate"/>
      </w:r>
      <w:r>
        <w:rPr>
          <w:color w:val="auto"/>
        </w:rPr>
        <w:t>97</w:t>
      </w:r>
      <w:r>
        <w:rPr>
          <w:rFonts w:hint="eastAsia"/>
          <w:color w:val="auto"/>
        </w:rPr>
        <w:fldChar w:fldCharType="end"/>
      </w:r>
      <w:r>
        <w:rPr>
          <w:rFonts w:hint="eastAsia"/>
          <w:color w:val="auto"/>
        </w:rPr>
        <w:fldChar w:fldCharType="end"/>
      </w:r>
    </w:p>
    <w:p w14:paraId="1E9FAB11">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"_Toc224405929" </w:instrText>
      </w:r>
      <w:r>
        <w:rPr>
          <w:color w:val="auto"/>
        </w:rPr>
        <w:fldChar w:fldCharType="separate"/>
      </w:r>
      <w:r>
        <w:rPr>
          <w:rStyle w:val="59"/>
          <w:rFonts w:hint="eastAsia" w:ascii="黑体" w:hAnsi="黑体" w:eastAsia="黑体" w:cs="Times New Roman"/>
          <w:bCs/>
          <w:color w:val="auto"/>
          <w14:ligatures w14:val="none"/>
        </w:rPr>
        <w:t>3.5</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清洁生产分析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_Toc224405929 \h</w:instrText>
      </w:r>
      <w:r>
        <w:rPr>
          <w:rFonts w:hint="eastAsia"/>
          <w:color w:val="auto"/>
        </w:rPr>
        <w:instrText xml:space="preserve"> </w:instrText>
      </w:r>
      <w:r>
        <w:rPr>
          <w:rFonts w:hint="eastAsia"/>
          <w:color w:val="auto"/>
        </w:rPr>
        <w:fldChar w:fldCharType="separate"/>
      </w:r>
      <w:r>
        <w:rPr>
          <w:color w:val="auto"/>
        </w:rPr>
        <w:t>97</w:t>
      </w:r>
      <w:r>
        <w:rPr>
          <w:rFonts w:hint="eastAsia"/>
          <w:color w:val="auto"/>
        </w:rPr>
        <w:fldChar w:fldCharType="end"/>
      </w:r>
      <w:r>
        <w:rPr>
          <w:rFonts w:hint="eastAsia"/>
          <w:color w:val="auto"/>
        </w:rPr>
        <w:fldChar w:fldCharType="end"/>
      </w:r>
    </w:p>
    <w:p w14:paraId="6E726851">
      <w:pPr>
        <w:pStyle w:val="31"/>
        <w:tabs>
          <w:tab w:val="left" w:pos="420"/>
          <w:tab w:val="right" w:leader="dot" w:pos="8720"/>
        </w:tabs>
        <w:rPr>
          <w:rFonts w:hint="eastAsia" w:asciiTheme="minorHAnsi" w:hAnsiTheme="minorHAnsi" w:eastAsiaTheme="minorEastAsia" w:cstheme="minorBidi"/>
          <w:b w:val="0"/>
          <w:bCs w:val="0"/>
          <w:caps w:val="0"/>
          <w:color w:val="auto"/>
          <w:sz w:val="22"/>
          <w:szCs w:val="24"/>
        </w:rPr>
      </w:pPr>
      <w:r>
        <w:rPr>
          <w:color w:val="auto"/>
        </w:rPr>
        <w:fldChar w:fldCharType="begin"/>
      </w:r>
      <w:r>
        <w:rPr>
          <w:color w:val="auto"/>
        </w:rPr>
        <w:instrText xml:space="preserve"> HYPERLINK \l "_Toc224405930" </w:instrText>
      </w:r>
      <w:r>
        <w:rPr>
          <w:color w:val="auto"/>
        </w:rPr>
        <w:fldChar w:fldCharType="separate"/>
      </w:r>
      <w:r>
        <w:rPr>
          <w:rStyle w:val="59"/>
          <w:rFonts w:hint="eastAsia" w:ascii="黑体" w:hAnsi="黑体" w:eastAsia="黑体"/>
          <w:color w:val="auto"/>
          <w14:ligatures w14:val="none"/>
        </w:rPr>
        <w:t>4</w:t>
      </w:r>
      <w:r>
        <w:rPr>
          <w:rFonts w:hint="eastAsia" w:asciiTheme="minorHAnsi" w:hAnsiTheme="minorHAnsi" w:eastAsiaTheme="minorEastAsia" w:cstheme="minorBidi"/>
          <w:b w:val="0"/>
          <w:bCs w:val="0"/>
          <w:caps w:val="0"/>
          <w:color w:val="auto"/>
          <w:sz w:val="22"/>
          <w:szCs w:val="24"/>
        </w:rPr>
        <w:tab/>
      </w:r>
      <w:r>
        <w:rPr>
          <w:rStyle w:val="59"/>
          <w:rFonts w:hint="eastAsia" w:ascii="黑体" w:hAnsi="黑体" w:eastAsia="黑体"/>
          <w:color w:val="auto"/>
          <w14:ligatures w14:val="none"/>
        </w:rPr>
        <w:t>环境质量现状调查与评价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_Toc224405930 \h</w:instrText>
      </w:r>
      <w:r>
        <w:rPr>
          <w:rFonts w:hint="eastAsia"/>
          <w:color w:val="auto"/>
        </w:rPr>
        <w:instrText xml:space="preserve"> </w:instrText>
      </w:r>
      <w:r>
        <w:rPr>
          <w:rFonts w:hint="eastAsia"/>
          <w:color w:val="auto"/>
        </w:rPr>
        <w:fldChar w:fldCharType="separate"/>
      </w:r>
      <w:r>
        <w:rPr>
          <w:color w:val="auto"/>
        </w:rPr>
        <w:t>102</w:t>
      </w:r>
      <w:r>
        <w:rPr>
          <w:rFonts w:hint="eastAsia"/>
          <w:color w:val="auto"/>
        </w:rPr>
        <w:fldChar w:fldCharType="end"/>
      </w:r>
      <w:r>
        <w:rPr>
          <w:rFonts w:hint="eastAsia"/>
          <w:color w:val="auto"/>
        </w:rPr>
        <w:fldChar w:fldCharType="end"/>
      </w:r>
    </w:p>
    <w:p w14:paraId="3618CDA8">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"_Toc224405931" </w:instrText>
      </w:r>
      <w:r>
        <w:rPr>
          <w:color w:val="auto"/>
        </w:rPr>
        <w:fldChar w:fldCharType="separate"/>
      </w:r>
      <w:r>
        <w:rPr>
          <w:rStyle w:val="59"/>
          <w:rFonts w:hint="eastAsia" w:ascii="黑体" w:hAnsi="黑体" w:eastAsia="黑体" w:cs="Times New Roman"/>
          <w:bCs/>
          <w:color w:val="auto"/>
          <w14:ligatures w14:val="none"/>
        </w:rPr>
        <w:t>4.1</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自然环境现状调查与评价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_Toc224405931 \h</w:instrText>
      </w:r>
      <w:r>
        <w:rPr>
          <w:rFonts w:hint="eastAsia"/>
          <w:color w:val="auto"/>
        </w:rPr>
        <w:instrText xml:space="preserve"> </w:instrText>
      </w:r>
      <w:r>
        <w:rPr>
          <w:rFonts w:hint="eastAsia"/>
          <w:color w:val="auto"/>
        </w:rPr>
        <w:fldChar w:fldCharType="separate"/>
      </w:r>
      <w:r>
        <w:rPr>
          <w:color w:val="auto"/>
        </w:rPr>
        <w:t>102</w:t>
      </w:r>
      <w:r>
        <w:rPr>
          <w:rFonts w:hint="eastAsia"/>
          <w:color w:val="auto"/>
        </w:rPr>
        <w:fldChar w:fldCharType="end"/>
      </w:r>
      <w:r>
        <w:rPr>
          <w:rFonts w:hint="eastAsia"/>
          <w:color w:val="auto"/>
        </w:rPr>
        <w:fldChar w:fldCharType="end"/>
      </w:r>
    </w:p>
    <w:p w14:paraId="709684F6">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"_Toc224405932" </w:instrText>
      </w:r>
      <w:r>
        <w:rPr>
          <w:color w:val="auto"/>
        </w:rPr>
        <w:fldChar w:fldCharType="separate"/>
      </w:r>
      <w:r>
        <w:rPr>
          <w:rStyle w:val="59"/>
          <w:rFonts w:hint="eastAsia" w:ascii="黑体" w:hAnsi="黑体" w:eastAsia="黑体" w:cs="Times New Roman"/>
          <w:bCs/>
          <w:color w:val="auto"/>
          <w14:ligatures w14:val="none"/>
        </w:rPr>
        <w:t>4.2</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环境保护目标调查</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_Toc224405932 \h</w:instrText>
      </w:r>
      <w:r>
        <w:rPr>
          <w:rFonts w:hint="eastAsia"/>
          <w:color w:val="auto"/>
        </w:rPr>
        <w:instrText xml:space="preserve"> </w:instrText>
      </w:r>
      <w:r>
        <w:rPr>
          <w:rFonts w:hint="eastAsia"/>
          <w:color w:val="auto"/>
        </w:rPr>
        <w:fldChar w:fldCharType="separate"/>
      </w:r>
      <w:r>
        <w:rPr>
          <w:color w:val="auto"/>
        </w:rPr>
        <w:t>104</w:t>
      </w:r>
      <w:r>
        <w:rPr>
          <w:rFonts w:hint="eastAsia"/>
          <w:color w:val="auto"/>
        </w:rPr>
        <w:fldChar w:fldCharType="end"/>
      </w:r>
      <w:r>
        <w:rPr>
          <w:rFonts w:hint="eastAsia"/>
          <w:color w:val="auto"/>
        </w:rPr>
        <w:fldChar w:fldCharType="end"/>
      </w:r>
    </w:p>
    <w:p w14:paraId="5977D6E3">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"_Toc224405933" </w:instrText>
      </w:r>
      <w:r>
        <w:rPr>
          <w:color w:val="auto"/>
        </w:rPr>
        <w:fldChar w:fldCharType="separate"/>
      </w:r>
      <w:r>
        <w:rPr>
          <w:rStyle w:val="59"/>
          <w:rFonts w:hint="eastAsia" w:ascii="黑体" w:hAnsi="黑体" w:eastAsia="黑体" w:cs="Times New Roman"/>
          <w:bCs/>
          <w:color w:val="auto"/>
          <w14:ligatures w14:val="none"/>
        </w:rPr>
        <w:t>4.3</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环境质量现状调查与评价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_Toc224405933 \h</w:instrText>
      </w:r>
      <w:r>
        <w:rPr>
          <w:rFonts w:hint="eastAsia"/>
          <w:color w:val="auto"/>
        </w:rPr>
        <w:instrText xml:space="preserve"> </w:instrText>
      </w:r>
      <w:r>
        <w:rPr>
          <w:rFonts w:hint="eastAsia"/>
          <w:color w:val="auto"/>
        </w:rPr>
        <w:fldChar w:fldCharType="separate"/>
      </w:r>
      <w:r>
        <w:rPr>
          <w:color w:val="auto"/>
        </w:rPr>
        <w:t>104</w:t>
      </w:r>
      <w:r>
        <w:rPr>
          <w:rFonts w:hint="eastAsia"/>
          <w:color w:val="auto"/>
        </w:rPr>
        <w:fldChar w:fldCharType="end"/>
      </w:r>
      <w:r>
        <w:rPr>
          <w:rFonts w:hint="eastAsia"/>
          <w:color w:val="auto"/>
        </w:rPr>
        <w:fldChar w:fldCharType="end"/>
      </w:r>
    </w:p>
    <w:p w14:paraId="657BB6AD">
      <w:pPr>
        <w:pStyle w:val="31"/>
        <w:tabs>
          <w:tab w:val="left" w:pos="420"/>
          <w:tab w:val="right" w:leader="dot" w:pos="8720"/>
        </w:tabs>
        <w:rPr>
          <w:rFonts w:hint="eastAsia" w:asciiTheme="minorHAnsi" w:hAnsiTheme="minorHAnsi" w:eastAsiaTheme="minorEastAsia" w:cstheme="minorBidi"/>
          <w:b w:val="0"/>
          <w:bCs w:val="0"/>
          <w:caps w:val="0"/>
          <w:color w:val="auto"/>
          <w:sz w:val="22"/>
          <w:szCs w:val="24"/>
        </w:rPr>
      </w:pPr>
      <w:r>
        <w:rPr>
          <w:color w:val="auto"/>
        </w:rPr>
        <w:fldChar w:fldCharType="begin"/>
      </w:r>
      <w:r>
        <w:rPr>
          <w:color w:val="auto"/>
        </w:rPr>
        <w:instrText xml:space="preserve"> HYPERLINK \l "_Toc224406016" </w:instrText>
      </w:r>
      <w:r>
        <w:rPr>
          <w:color w:val="auto"/>
        </w:rPr>
        <w:fldChar w:fldCharType="separate"/>
      </w:r>
      <w:r>
        <w:rPr>
          <w:rStyle w:val="59"/>
          <w:rFonts w:hint="eastAsia" w:ascii="黑体" w:hAnsi="黑体" w:eastAsia="黑体"/>
          <w:color w:val="auto"/>
          <w14:ligatures w14:val="none"/>
        </w:rPr>
        <w:t>5</w:t>
      </w:r>
      <w:r>
        <w:rPr>
          <w:rFonts w:hint="eastAsia" w:asciiTheme="minorHAnsi" w:hAnsiTheme="minorHAnsi" w:eastAsiaTheme="minorEastAsia" w:cstheme="minorBidi"/>
          <w:b w:val="0"/>
          <w:bCs w:val="0"/>
          <w:caps w:val="0"/>
          <w:color w:val="auto"/>
          <w:sz w:val="22"/>
          <w:szCs w:val="24"/>
        </w:rPr>
        <w:tab/>
      </w:r>
      <w:r>
        <w:rPr>
          <w:rStyle w:val="59"/>
          <w:rFonts w:hint="eastAsia" w:ascii="黑体" w:hAnsi="黑体" w:eastAsia="黑体"/>
          <w:color w:val="auto"/>
          <w14:ligatures w14:val="none"/>
        </w:rPr>
        <w:t>环境影响预测与评价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_Toc224406016 \h</w:instrText>
      </w:r>
      <w:r>
        <w:rPr>
          <w:rFonts w:hint="eastAsia"/>
          <w:color w:val="auto"/>
        </w:rPr>
        <w:instrText xml:space="preserve"> </w:instrText>
      </w:r>
      <w:r>
        <w:rPr>
          <w:rFonts w:hint="eastAsia"/>
          <w:color w:val="auto"/>
        </w:rPr>
        <w:fldChar w:fldCharType="separate"/>
      </w:r>
      <w:r>
        <w:rPr>
          <w:color w:val="auto"/>
        </w:rPr>
        <w:t>136</w:t>
      </w:r>
      <w:r>
        <w:rPr>
          <w:rFonts w:hint="eastAsia"/>
          <w:color w:val="auto"/>
        </w:rPr>
        <w:fldChar w:fldCharType="end"/>
      </w:r>
      <w:r>
        <w:rPr>
          <w:rFonts w:hint="eastAsia"/>
          <w:color w:val="auto"/>
        </w:rPr>
        <w:fldChar w:fldCharType="end"/>
      </w:r>
    </w:p>
    <w:p w14:paraId="561C007C">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"_Toc224406017" </w:instrText>
      </w:r>
      <w:r>
        <w:rPr>
          <w:color w:val="auto"/>
        </w:rPr>
        <w:fldChar w:fldCharType="separate"/>
      </w:r>
      <w:r>
        <w:rPr>
          <w:rStyle w:val="59"/>
          <w:rFonts w:hint="eastAsia" w:ascii="黑体" w:hAnsi="黑体" w:eastAsia="黑体" w:cs="Times New Roman"/>
          <w:bCs/>
          <w:color w:val="auto"/>
          <w14:ligatures w14:val="none"/>
        </w:rPr>
        <w:t>5.1</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施工期环境影响预测与评价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_Toc224406017 \h</w:instrText>
      </w:r>
      <w:r>
        <w:rPr>
          <w:rFonts w:hint="eastAsia"/>
          <w:color w:val="auto"/>
        </w:rPr>
        <w:instrText xml:space="preserve"> </w:instrText>
      </w:r>
      <w:r>
        <w:rPr>
          <w:rFonts w:hint="eastAsia"/>
          <w:color w:val="auto"/>
        </w:rPr>
        <w:fldChar w:fldCharType="separate"/>
      </w:r>
      <w:r>
        <w:rPr>
          <w:color w:val="auto"/>
        </w:rPr>
        <w:t>136</w:t>
      </w:r>
      <w:r>
        <w:rPr>
          <w:rFonts w:hint="eastAsia"/>
          <w:color w:val="auto"/>
        </w:rPr>
        <w:fldChar w:fldCharType="end"/>
      </w:r>
      <w:r>
        <w:rPr>
          <w:rFonts w:hint="eastAsia"/>
          <w:color w:val="auto"/>
        </w:rPr>
        <w:fldChar w:fldCharType="end"/>
      </w:r>
    </w:p>
    <w:p w14:paraId="0B4B75A2">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"_Toc224406018" </w:instrText>
      </w:r>
      <w:r>
        <w:rPr>
          <w:color w:val="auto"/>
        </w:rPr>
        <w:fldChar w:fldCharType="separate"/>
      </w:r>
      <w:r>
        <w:rPr>
          <w:rStyle w:val="59"/>
          <w:rFonts w:hint="eastAsia" w:ascii="黑体" w:hAnsi="黑体" w:eastAsia="黑体" w:cs="Times New Roman"/>
          <w:bCs/>
          <w:color w:val="auto"/>
          <w14:ligatures w14:val="none"/>
        </w:rPr>
        <w:t>5.2</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运营期环境影响预测与评价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_Toc224406018 \h</w:instrText>
      </w:r>
      <w:r>
        <w:rPr>
          <w:rFonts w:hint="eastAsia"/>
          <w:color w:val="auto"/>
        </w:rPr>
        <w:instrText xml:space="preserve"> </w:instrText>
      </w:r>
      <w:r>
        <w:rPr>
          <w:rFonts w:hint="eastAsia"/>
          <w:color w:val="auto"/>
        </w:rPr>
        <w:fldChar w:fldCharType="separate"/>
      </w:r>
      <w:r>
        <w:rPr>
          <w:color w:val="auto"/>
        </w:rPr>
        <w:t>141</w:t>
      </w:r>
      <w:r>
        <w:rPr>
          <w:rFonts w:hint="eastAsia"/>
          <w:color w:val="auto"/>
        </w:rPr>
        <w:fldChar w:fldCharType="end"/>
      </w:r>
      <w:r>
        <w:rPr>
          <w:rFonts w:hint="eastAsia"/>
          <w:color w:val="auto"/>
        </w:rPr>
        <w:fldChar w:fldCharType="end"/>
      </w:r>
    </w:p>
    <w:p w14:paraId="68EC807F">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"_Toc224406019" </w:instrText>
      </w:r>
      <w:r>
        <w:rPr>
          <w:color w:val="auto"/>
        </w:rPr>
        <w:fldChar w:fldCharType="separate"/>
      </w:r>
      <w:r>
        <w:rPr>
          <w:rStyle w:val="59"/>
          <w:rFonts w:hint="eastAsia" w:ascii="黑体" w:hAnsi="黑体" w:eastAsia="黑体" w:cs="Times New Roman"/>
          <w:bCs/>
          <w:color w:val="auto"/>
          <w14:ligatures w14:val="none"/>
        </w:rPr>
        <w:t>5.3</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退役期影响分析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_Toc224406019 \h</w:instrText>
      </w:r>
      <w:r>
        <w:rPr>
          <w:rFonts w:hint="eastAsia"/>
          <w:color w:val="auto"/>
        </w:rPr>
        <w:instrText xml:space="preserve"> </w:instrText>
      </w:r>
      <w:r>
        <w:rPr>
          <w:rFonts w:hint="eastAsia"/>
          <w:color w:val="auto"/>
        </w:rPr>
        <w:fldChar w:fldCharType="separate"/>
      </w:r>
      <w:r>
        <w:rPr>
          <w:color w:val="auto"/>
        </w:rPr>
        <w:t>156</w:t>
      </w:r>
      <w:r>
        <w:rPr>
          <w:rFonts w:hint="eastAsia"/>
          <w:color w:val="auto"/>
        </w:rPr>
        <w:fldChar w:fldCharType="end"/>
      </w:r>
      <w:r>
        <w:rPr>
          <w:rFonts w:hint="eastAsia"/>
          <w:color w:val="auto"/>
        </w:rPr>
        <w:fldChar w:fldCharType="end"/>
      </w:r>
    </w:p>
    <w:p w14:paraId="540A6E43">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"_Toc224406020" </w:instrText>
      </w:r>
      <w:r>
        <w:rPr>
          <w:color w:val="auto"/>
        </w:rPr>
        <w:fldChar w:fldCharType="separate"/>
      </w:r>
      <w:r>
        <w:rPr>
          <w:rStyle w:val="59"/>
          <w:rFonts w:hint="eastAsia" w:ascii="黑体" w:hAnsi="黑体" w:eastAsia="黑体" w:cs="Times New Roman"/>
          <w:bCs/>
          <w:color w:val="auto"/>
          <w14:ligatures w14:val="none"/>
        </w:rPr>
        <w:t>5.4</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环境风险分析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_Toc224406020 \h</w:instrText>
      </w:r>
      <w:r>
        <w:rPr>
          <w:rFonts w:hint="eastAsia"/>
          <w:color w:val="auto"/>
        </w:rPr>
        <w:instrText xml:space="preserve"> </w:instrText>
      </w:r>
      <w:r>
        <w:rPr>
          <w:rFonts w:hint="eastAsia"/>
          <w:color w:val="auto"/>
        </w:rPr>
        <w:fldChar w:fldCharType="separate"/>
      </w:r>
      <w:r>
        <w:rPr>
          <w:color w:val="auto"/>
        </w:rPr>
        <w:t>157</w:t>
      </w:r>
      <w:r>
        <w:rPr>
          <w:rFonts w:hint="eastAsia"/>
          <w:color w:val="auto"/>
        </w:rPr>
        <w:fldChar w:fldCharType="end"/>
      </w:r>
      <w:r>
        <w:rPr>
          <w:rFonts w:hint="eastAsia"/>
          <w:color w:val="auto"/>
        </w:rPr>
        <w:fldChar w:fldCharType="end"/>
      </w:r>
    </w:p>
    <w:p w14:paraId="2F34F049">
      <w:pPr>
        <w:pStyle w:val="31"/>
        <w:tabs>
          <w:tab w:val="left" w:pos="420"/>
          <w:tab w:val="right" w:leader="dot" w:pos="8720"/>
        </w:tabs>
        <w:rPr>
          <w:rFonts w:hint="eastAsia" w:asciiTheme="minorHAnsi" w:hAnsiTheme="minorHAnsi" w:eastAsiaTheme="minorEastAsia" w:cstheme="minorBidi"/>
          <w:b w:val="0"/>
          <w:bCs w:val="0"/>
          <w:caps w:val="0"/>
          <w:color w:val="auto"/>
          <w:sz w:val="22"/>
          <w:szCs w:val="24"/>
        </w:rPr>
      </w:pPr>
      <w:r>
        <w:rPr>
          <w:color w:val="auto"/>
        </w:rPr>
        <w:fldChar w:fldCharType="begin"/>
      </w:r>
      <w:r>
        <w:rPr>
          <w:color w:val="auto"/>
        </w:rPr>
        <w:instrText xml:space="preserve"> HYPERLINK \l "_Toc224406021" </w:instrText>
      </w:r>
      <w:r>
        <w:rPr>
          <w:color w:val="auto"/>
        </w:rPr>
        <w:fldChar w:fldCharType="separate"/>
      </w:r>
      <w:r>
        <w:rPr>
          <w:rStyle w:val="59"/>
          <w:rFonts w:hint="eastAsia" w:ascii="黑体" w:hAnsi="黑体" w:eastAsia="黑体"/>
          <w:color w:val="auto"/>
          <w:lang w:val="zh-CN"/>
        </w:rPr>
        <w:t>6</w:t>
      </w:r>
      <w:r>
        <w:rPr>
          <w:rFonts w:hint="eastAsia" w:asciiTheme="minorHAnsi" w:hAnsiTheme="minorHAnsi" w:eastAsiaTheme="minorEastAsia" w:cstheme="minorBidi"/>
          <w:b w:val="0"/>
          <w:bCs w:val="0"/>
          <w:caps w:val="0"/>
          <w:color w:val="auto"/>
          <w:sz w:val="22"/>
          <w:szCs w:val="24"/>
        </w:rPr>
        <w:tab/>
      </w:r>
      <w:r>
        <w:rPr>
          <w:rStyle w:val="59"/>
          <w:rFonts w:hint="eastAsia" w:ascii="黑体" w:hAnsi="黑体" w:eastAsia="黑体"/>
          <w:color w:val="auto"/>
          <w14:ligatures w14:val="none"/>
        </w:rPr>
        <w:t>环境保护措施及其可行性论证</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_Toc224406021 \h</w:instrText>
      </w:r>
      <w:r>
        <w:rPr>
          <w:rFonts w:hint="eastAsia"/>
          <w:color w:val="auto"/>
        </w:rPr>
        <w:instrText xml:space="preserve"> </w:instrText>
      </w:r>
      <w:r>
        <w:rPr>
          <w:rFonts w:hint="eastAsia"/>
          <w:color w:val="auto"/>
        </w:rPr>
        <w:fldChar w:fldCharType="separate"/>
      </w:r>
      <w:r>
        <w:rPr>
          <w:color w:val="auto"/>
        </w:rPr>
        <w:t>164</w:t>
      </w:r>
      <w:r>
        <w:rPr>
          <w:rFonts w:hint="eastAsia"/>
          <w:color w:val="auto"/>
        </w:rPr>
        <w:fldChar w:fldCharType="end"/>
      </w:r>
      <w:r>
        <w:rPr>
          <w:rFonts w:hint="eastAsia"/>
          <w:color w:val="auto"/>
        </w:rPr>
        <w:fldChar w:fldCharType="end"/>
      </w:r>
    </w:p>
    <w:p w14:paraId="1CF2E23C">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"_Toc224406022" </w:instrText>
      </w:r>
      <w:r>
        <w:rPr>
          <w:color w:val="auto"/>
        </w:rPr>
        <w:fldChar w:fldCharType="separate"/>
      </w:r>
      <w:r>
        <w:rPr>
          <w:rStyle w:val="59"/>
          <w:rFonts w:hint="eastAsia" w:ascii="黑体" w:hAnsi="黑体" w:eastAsia="黑体" w:cs="Times New Roman"/>
          <w:bCs/>
          <w:color w:val="auto"/>
          <w14:ligatures w14:val="none"/>
        </w:rPr>
        <w:t>6.1</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施工期环境保护措施及其可行性论证</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_Toc224406022 \h</w:instrText>
      </w:r>
      <w:r>
        <w:rPr>
          <w:rFonts w:hint="eastAsia"/>
          <w:color w:val="auto"/>
        </w:rPr>
        <w:instrText xml:space="preserve"> </w:instrText>
      </w:r>
      <w:r>
        <w:rPr>
          <w:rFonts w:hint="eastAsia"/>
          <w:color w:val="auto"/>
        </w:rPr>
        <w:fldChar w:fldCharType="separate"/>
      </w:r>
      <w:r>
        <w:rPr>
          <w:color w:val="auto"/>
        </w:rPr>
        <w:t>164</w:t>
      </w:r>
      <w:r>
        <w:rPr>
          <w:rFonts w:hint="eastAsia"/>
          <w:color w:val="auto"/>
        </w:rPr>
        <w:fldChar w:fldCharType="end"/>
      </w:r>
      <w:r>
        <w:rPr>
          <w:rFonts w:hint="eastAsia"/>
          <w:color w:val="auto"/>
        </w:rPr>
        <w:fldChar w:fldCharType="end"/>
      </w:r>
    </w:p>
    <w:p w14:paraId="2CDDD6BD">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"_Toc224406023" </w:instrText>
      </w:r>
      <w:r>
        <w:rPr>
          <w:color w:val="auto"/>
        </w:rPr>
        <w:fldChar w:fldCharType="separate"/>
      </w:r>
      <w:r>
        <w:rPr>
          <w:rStyle w:val="59"/>
          <w:rFonts w:hint="eastAsia" w:ascii="黑体" w:hAnsi="黑体" w:eastAsia="黑体" w:cs="Times New Roman"/>
          <w:bCs/>
          <w:color w:val="auto"/>
          <w14:ligatures w14:val="none"/>
        </w:rPr>
        <w:t>6.2</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运营期环境保护措施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_Toc224406023 \h</w:instrText>
      </w:r>
      <w:r>
        <w:rPr>
          <w:rFonts w:hint="eastAsia"/>
          <w:color w:val="auto"/>
        </w:rPr>
        <w:instrText xml:space="preserve"> </w:instrText>
      </w:r>
      <w:r>
        <w:rPr>
          <w:rFonts w:hint="eastAsia"/>
          <w:color w:val="auto"/>
        </w:rPr>
        <w:fldChar w:fldCharType="separate"/>
      </w:r>
      <w:r>
        <w:rPr>
          <w:color w:val="auto"/>
        </w:rPr>
        <w:t>169</w:t>
      </w:r>
      <w:r>
        <w:rPr>
          <w:rFonts w:hint="eastAsia"/>
          <w:color w:val="auto"/>
        </w:rPr>
        <w:fldChar w:fldCharType="end"/>
      </w:r>
      <w:r>
        <w:rPr>
          <w:rFonts w:hint="eastAsia"/>
          <w:color w:val="auto"/>
        </w:rPr>
        <w:fldChar w:fldCharType="end"/>
      </w:r>
    </w:p>
    <w:p w14:paraId="5583DA50">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"_Toc224406024" </w:instrText>
      </w:r>
      <w:r>
        <w:rPr>
          <w:color w:val="auto"/>
        </w:rPr>
        <w:fldChar w:fldCharType="separate"/>
      </w:r>
      <w:r>
        <w:rPr>
          <w:rStyle w:val="59"/>
          <w:rFonts w:hint="eastAsia" w:ascii="黑体" w:hAnsi="黑体" w:eastAsia="黑体" w:cs="Times New Roman"/>
          <w:bCs/>
          <w:color w:val="auto"/>
          <w14:ligatures w14:val="none"/>
        </w:rPr>
        <w:t>6.3</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温室气体管控措施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_Toc224406024 \h</w:instrText>
      </w:r>
      <w:r>
        <w:rPr>
          <w:rFonts w:hint="eastAsia"/>
          <w:color w:val="auto"/>
        </w:rPr>
        <w:instrText xml:space="preserve"> </w:instrText>
      </w:r>
      <w:r>
        <w:rPr>
          <w:rFonts w:hint="eastAsia"/>
          <w:color w:val="auto"/>
        </w:rPr>
        <w:fldChar w:fldCharType="separate"/>
      </w:r>
      <w:r>
        <w:rPr>
          <w:color w:val="auto"/>
        </w:rPr>
        <w:t>178</w:t>
      </w:r>
      <w:r>
        <w:rPr>
          <w:rFonts w:hint="eastAsia"/>
          <w:color w:val="auto"/>
        </w:rPr>
        <w:fldChar w:fldCharType="end"/>
      </w:r>
      <w:r>
        <w:rPr>
          <w:rFonts w:hint="eastAsia"/>
          <w:color w:val="auto"/>
        </w:rPr>
        <w:fldChar w:fldCharType="end"/>
      </w:r>
    </w:p>
    <w:p w14:paraId="3E5B1E1B">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"_Toc224406025" </w:instrText>
      </w:r>
      <w:r>
        <w:rPr>
          <w:color w:val="auto"/>
        </w:rPr>
        <w:fldChar w:fldCharType="separate"/>
      </w:r>
      <w:r>
        <w:rPr>
          <w:rStyle w:val="59"/>
          <w:rFonts w:hint="eastAsia" w:ascii="黑体" w:hAnsi="黑体" w:eastAsia="黑体" w:cs="Times New Roman"/>
          <w:bCs/>
          <w:color w:val="auto"/>
          <w14:ligatures w14:val="none"/>
        </w:rPr>
        <w:t>6.4</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环境风险事故防范措施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_Toc224406025 \h</w:instrText>
      </w:r>
      <w:r>
        <w:rPr>
          <w:rFonts w:hint="eastAsia"/>
          <w:color w:val="auto"/>
        </w:rPr>
        <w:instrText xml:space="preserve"> </w:instrText>
      </w:r>
      <w:r>
        <w:rPr>
          <w:rFonts w:hint="eastAsia"/>
          <w:color w:val="auto"/>
        </w:rPr>
        <w:fldChar w:fldCharType="separate"/>
      </w:r>
      <w:r>
        <w:rPr>
          <w:color w:val="auto"/>
        </w:rPr>
        <w:t>178</w:t>
      </w:r>
      <w:r>
        <w:rPr>
          <w:rFonts w:hint="eastAsia"/>
          <w:color w:val="auto"/>
        </w:rPr>
        <w:fldChar w:fldCharType="end"/>
      </w:r>
      <w:r>
        <w:rPr>
          <w:rFonts w:hint="eastAsia"/>
          <w:color w:val="auto"/>
        </w:rPr>
        <w:fldChar w:fldCharType="end"/>
      </w:r>
    </w:p>
    <w:p w14:paraId="489ED2FE">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"_Toc224406026" </w:instrText>
      </w:r>
      <w:r>
        <w:rPr>
          <w:color w:val="auto"/>
        </w:rPr>
        <w:fldChar w:fldCharType="separate"/>
      </w:r>
      <w:r>
        <w:rPr>
          <w:rStyle w:val="59"/>
          <w:rFonts w:hint="eastAsia" w:ascii="黑体" w:hAnsi="黑体" w:eastAsia="黑体" w:cs="Times New Roman"/>
          <w:bCs/>
          <w:color w:val="auto"/>
          <w14:ligatures w14:val="none"/>
        </w:rPr>
        <w:t>6.5</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退役期环境保护措施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_Toc224406026 \h</w:instrText>
      </w:r>
      <w:r>
        <w:rPr>
          <w:rFonts w:hint="eastAsia"/>
          <w:color w:val="auto"/>
        </w:rPr>
        <w:instrText xml:space="preserve"> </w:instrText>
      </w:r>
      <w:r>
        <w:rPr>
          <w:rFonts w:hint="eastAsia"/>
          <w:color w:val="auto"/>
        </w:rPr>
        <w:fldChar w:fldCharType="separate"/>
      </w:r>
      <w:r>
        <w:rPr>
          <w:color w:val="auto"/>
        </w:rPr>
        <w:t>183</w:t>
      </w:r>
      <w:r>
        <w:rPr>
          <w:rFonts w:hint="eastAsia"/>
          <w:color w:val="auto"/>
        </w:rPr>
        <w:fldChar w:fldCharType="end"/>
      </w:r>
      <w:r>
        <w:rPr>
          <w:rFonts w:hint="eastAsia"/>
          <w:color w:val="auto"/>
        </w:rPr>
        <w:fldChar w:fldCharType="end"/>
      </w:r>
    </w:p>
    <w:p w14:paraId="1011244E">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"_Toc224406027" </w:instrText>
      </w:r>
      <w:r>
        <w:rPr>
          <w:color w:val="auto"/>
        </w:rPr>
        <w:fldChar w:fldCharType="separate"/>
      </w:r>
      <w:r>
        <w:rPr>
          <w:rStyle w:val="59"/>
          <w:rFonts w:hint="eastAsia" w:ascii="黑体" w:hAnsi="黑体" w:eastAsia="黑体" w:cs="Times New Roman"/>
          <w:bCs/>
          <w:color w:val="auto"/>
          <w14:ligatures w14:val="none"/>
        </w:rPr>
        <w:t>6.6</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环境保护措施可行性分析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_Toc224406027 \h</w:instrText>
      </w:r>
      <w:r>
        <w:rPr>
          <w:rFonts w:hint="eastAsia"/>
          <w:color w:val="auto"/>
        </w:rPr>
        <w:instrText xml:space="preserve"> </w:instrText>
      </w:r>
      <w:r>
        <w:rPr>
          <w:rFonts w:hint="eastAsia"/>
          <w:color w:val="auto"/>
        </w:rPr>
        <w:fldChar w:fldCharType="separate"/>
      </w:r>
      <w:r>
        <w:rPr>
          <w:color w:val="auto"/>
        </w:rPr>
        <w:t>186</w:t>
      </w:r>
      <w:r>
        <w:rPr>
          <w:rFonts w:hint="eastAsia"/>
          <w:color w:val="auto"/>
        </w:rPr>
        <w:fldChar w:fldCharType="end"/>
      </w:r>
      <w:r>
        <w:rPr>
          <w:rFonts w:hint="eastAsia"/>
          <w:color w:val="auto"/>
        </w:rPr>
        <w:fldChar w:fldCharType="end"/>
      </w:r>
    </w:p>
    <w:p w14:paraId="7CAA897E">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"_Toc224406028" </w:instrText>
      </w:r>
      <w:r>
        <w:rPr>
          <w:color w:val="auto"/>
        </w:rPr>
        <w:fldChar w:fldCharType="separate"/>
      </w:r>
      <w:r>
        <w:rPr>
          <w:rStyle w:val="59"/>
          <w:rFonts w:hint="eastAsia" w:ascii="黑体" w:hAnsi="黑体" w:eastAsia="黑体" w:cs="Times New Roman"/>
          <w:bCs/>
          <w:color w:val="auto"/>
          <w14:ligatures w14:val="none"/>
        </w:rPr>
        <w:t>6.7</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环保投资分析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_Toc224406028 \h</w:instrText>
      </w:r>
      <w:r>
        <w:rPr>
          <w:rFonts w:hint="eastAsia"/>
          <w:color w:val="auto"/>
        </w:rPr>
        <w:instrText xml:space="preserve"> </w:instrText>
      </w:r>
      <w:r>
        <w:rPr>
          <w:rFonts w:hint="eastAsia"/>
          <w:color w:val="auto"/>
        </w:rPr>
        <w:fldChar w:fldCharType="separate"/>
      </w:r>
      <w:r>
        <w:rPr>
          <w:color w:val="auto"/>
        </w:rPr>
        <w:t>186</w:t>
      </w:r>
      <w:r>
        <w:rPr>
          <w:rFonts w:hint="eastAsia"/>
          <w:color w:val="auto"/>
        </w:rPr>
        <w:fldChar w:fldCharType="end"/>
      </w:r>
      <w:r>
        <w:rPr>
          <w:rFonts w:hint="eastAsia"/>
          <w:color w:val="auto"/>
        </w:rPr>
        <w:fldChar w:fldCharType="end"/>
      </w:r>
    </w:p>
    <w:p w14:paraId="356999B7">
      <w:pPr>
        <w:pStyle w:val="31"/>
        <w:tabs>
          <w:tab w:val="left" w:pos="420"/>
          <w:tab w:val="right" w:leader="dot" w:pos="8720"/>
        </w:tabs>
        <w:rPr>
          <w:rFonts w:hint="eastAsia" w:asciiTheme="minorHAnsi" w:hAnsiTheme="minorHAnsi" w:eastAsiaTheme="minorEastAsia" w:cstheme="minorBidi"/>
          <w:b w:val="0"/>
          <w:bCs w:val="0"/>
          <w:caps w:val="0"/>
          <w:color w:val="auto"/>
          <w:sz w:val="22"/>
          <w:szCs w:val="24"/>
        </w:rPr>
      </w:pPr>
      <w:r>
        <w:rPr>
          <w:color w:val="auto"/>
        </w:rPr>
        <w:fldChar w:fldCharType="begin"/>
      </w:r>
      <w:r>
        <w:rPr>
          <w:color w:val="auto"/>
        </w:rPr>
        <w:instrText xml:space="preserve"> HYPERLINK \l "_Toc224406029" </w:instrText>
      </w:r>
      <w:r>
        <w:rPr>
          <w:color w:val="auto"/>
        </w:rPr>
        <w:fldChar w:fldCharType="separate"/>
      </w:r>
      <w:r>
        <w:rPr>
          <w:rStyle w:val="59"/>
          <w:rFonts w:hint="eastAsia" w:ascii="黑体" w:hAnsi="黑体" w:eastAsia="黑体"/>
          <w:color w:val="auto"/>
        </w:rPr>
        <w:t>7</w:t>
      </w:r>
      <w:r>
        <w:rPr>
          <w:rFonts w:hint="eastAsia" w:asciiTheme="minorHAnsi" w:hAnsiTheme="minorHAnsi" w:eastAsiaTheme="minorEastAsia" w:cstheme="minorBidi"/>
          <w:b w:val="0"/>
          <w:bCs w:val="0"/>
          <w:caps w:val="0"/>
          <w:color w:val="auto"/>
          <w:sz w:val="22"/>
          <w:szCs w:val="24"/>
        </w:rPr>
        <w:tab/>
      </w:r>
      <w:r>
        <w:rPr>
          <w:rStyle w:val="59"/>
          <w:rFonts w:hint="eastAsia" w:ascii="黑体" w:hAnsi="黑体" w:eastAsia="黑体"/>
          <w:color w:val="auto"/>
          <w14:ligatures w14:val="none"/>
        </w:rPr>
        <w:t>环境管理与监测计划</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_Toc224406029 \h</w:instrText>
      </w:r>
      <w:r>
        <w:rPr>
          <w:rFonts w:hint="eastAsia"/>
          <w:color w:val="auto"/>
        </w:rPr>
        <w:instrText xml:space="preserve"> </w:instrText>
      </w:r>
      <w:r>
        <w:rPr>
          <w:rFonts w:hint="eastAsia"/>
          <w:color w:val="auto"/>
        </w:rPr>
        <w:fldChar w:fldCharType="separate"/>
      </w:r>
      <w:r>
        <w:rPr>
          <w:color w:val="auto"/>
        </w:rPr>
        <w:t>188</w:t>
      </w:r>
      <w:r>
        <w:rPr>
          <w:rFonts w:hint="eastAsia"/>
          <w:color w:val="auto"/>
        </w:rPr>
        <w:fldChar w:fldCharType="end"/>
      </w:r>
      <w:r>
        <w:rPr>
          <w:rFonts w:hint="eastAsia"/>
          <w:color w:val="auto"/>
        </w:rPr>
        <w:fldChar w:fldCharType="end"/>
      </w:r>
    </w:p>
    <w:p w14:paraId="2F3ACD89">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"_Toc224406030" </w:instrText>
      </w:r>
      <w:r>
        <w:rPr>
          <w:color w:val="auto"/>
        </w:rPr>
        <w:fldChar w:fldCharType="separate"/>
      </w:r>
      <w:r>
        <w:rPr>
          <w:rStyle w:val="59"/>
          <w:rFonts w:hint="eastAsia" w:ascii="黑体" w:hAnsi="黑体" w:eastAsia="黑体" w:cs="Times New Roman"/>
          <w:bCs/>
          <w:color w:val="auto"/>
          <w14:ligatures w14:val="none"/>
        </w:rPr>
        <w:t>7.1</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环境管理机构</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_Toc224406030 \h</w:instrText>
      </w:r>
      <w:r>
        <w:rPr>
          <w:rFonts w:hint="eastAsia"/>
          <w:color w:val="auto"/>
        </w:rPr>
        <w:instrText xml:space="preserve"> </w:instrText>
      </w:r>
      <w:r>
        <w:rPr>
          <w:rFonts w:hint="eastAsia"/>
          <w:color w:val="auto"/>
        </w:rPr>
        <w:fldChar w:fldCharType="separate"/>
      </w:r>
      <w:r>
        <w:rPr>
          <w:color w:val="auto"/>
        </w:rPr>
        <w:t>188</w:t>
      </w:r>
      <w:r>
        <w:rPr>
          <w:rFonts w:hint="eastAsia"/>
          <w:color w:val="auto"/>
        </w:rPr>
        <w:fldChar w:fldCharType="end"/>
      </w:r>
      <w:r>
        <w:rPr>
          <w:rFonts w:hint="eastAsia"/>
          <w:color w:val="auto"/>
        </w:rPr>
        <w:fldChar w:fldCharType="end"/>
      </w:r>
    </w:p>
    <w:p w14:paraId="7DEBC241">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"_Toc224406031" </w:instrText>
      </w:r>
      <w:r>
        <w:rPr>
          <w:color w:val="auto"/>
        </w:rPr>
        <w:fldChar w:fldCharType="separate"/>
      </w:r>
      <w:r>
        <w:rPr>
          <w:rStyle w:val="59"/>
          <w:rFonts w:hint="eastAsia" w:ascii="黑体" w:hAnsi="黑体" w:eastAsia="黑体" w:cs="Times New Roman"/>
          <w:bCs/>
          <w:color w:val="auto"/>
          <w14:ligatures w14:val="none"/>
        </w:rPr>
        <w:t>7.2</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生产区环境管理</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_Toc224406031 \h</w:instrText>
      </w:r>
      <w:r>
        <w:rPr>
          <w:rFonts w:hint="eastAsia"/>
          <w:color w:val="auto"/>
        </w:rPr>
        <w:instrText xml:space="preserve"> </w:instrText>
      </w:r>
      <w:r>
        <w:rPr>
          <w:rFonts w:hint="eastAsia"/>
          <w:color w:val="auto"/>
        </w:rPr>
        <w:fldChar w:fldCharType="separate"/>
      </w:r>
      <w:r>
        <w:rPr>
          <w:color w:val="auto"/>
        </w:rPr>
        <w:t>188</w:t>
      </w:r>
      <w:r>
        <w:rPr>
          <w:rFonts w:hint="eastAsia"/>
          <w:color w:val="auto"/>
        </w:rPr>
        <w:fldChar w:fldCharType="end"/>
      </w:r>
      <w:r>
        <w:rPr>
          <w:rFonts w:hint="eastAsia"/>
          <w:color w:val="auto"/>
        </w:rPr>
        <w:fldChar w:fldCharType="end"/>
      </w:r>
    </w:p>
    <w:p w14:paraId="58882E60">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"_Toc224406032" </w:instrText>
      </w:r>
      <w:r>
        <w:rPr>
          <w:color w:val="auto"/>
        </w:rPr>
        <w:fldChar w:fldCharType="separate"/>
      </w:r>
      <w:r>
        <w:rPr>
          <w:rStyle w:val="59"/>
          <w:rFonts w:hint="eastAsia" w:ascii="黑体" w:hAnsi="黑体" w:eastAsia="黑体" w:cs="Times New Roman"/>
          <w:bCs/>
          <w:color w:val="auto"/>
          <w14:ligatures w14:val="none"/>
        </w:rPr>
        <w:t>7.3</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污染物排放的管理要求</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_Toc224406032 \h</w:instrText>
      </w:r>
      <w:r>
        <w:rPr>
          <w:rFonts w:hint="eastAsia"/>
          <w:color w:val="auto"/>
        </w:rPr>
        <w:instrText xml:space="preserve"> </w:instrText>
      </w:r>
      <w:r>
        <w:rPr>
          <w:rFonts w:hint="eastAsia"/>
          <w:color w:val="auto"/>
        </w:rPr>
        <w:fldChar w:fldCharType="separate"/>
      </w:r>
      <w:r>
        <w:rPr>
          <w:color w:val="auto"/>
        </w:rPr>
        <w:t>191</w:t>
      </w:r>
      <w:r>
        <w:rPr>
          <w:rFonts w:hint="eastAsia"/>
          <w:color w:val="auto"/>
        </w:rPr>
        <w:fldChar w:fldCharType="end"/>
      </w:r>
      <w:r>
        <w:rPr>
          <w:rFonts w:hint="eastAsia"/>
          <w:color w:val="auto"/>
        </w:rPr>
        <w:fldChar w:fldCharType="end"/>
      </w:r>
    </w:p>
    <w:p w14:paraId="7B67EEF7">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"_Toc224406033" </w:instrText>
      </w:r>
      <w:r>
        <w:rPr>
          <w:color w:val="auto"/>
        </w:rPr>
        <w:fldChar w:fldCharType="separate"/>
      </w:r>
      <w:r>
        <w:rPr>
          <w:rStyle w:val="59"/>
          <w:rFonts w:hint="eastAsia" w:ascii="黑体" w:hAnsi="黑体" w:eastAsia="黑体" w:cs="Times New Roman"/>
          <w:bCs/>
          <w:color w:val="auto"/>
          <w14:ligatures w14:val="none"/>
        </w:rPr>
        <w:t>7.4</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企业环境信息公开</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_Toc224406033 \h</w:instrText>
      </w:r>
      <w:r>
        <w:rPr>
          <w:rFonts w:hint="eastAsia"/>
          <w:color w:val="auto"/>
        </w:rPr>
        <w:instrText xml:space="preserve"> </w:instrText>
      </w:r>
      <w:r>
        <w:rPr>
          <w:rFonts w:hint="eastAsia"/>
          <w:color w:val="auto"/>
        </w:rPr>
        <w:fldChar w:fldCharType="separate"/>
      </w:r>
      <w:r>
        <w:rPr>
          <w:color w:val="auto"/>
        </w:rPr>
        <w:t>191</w:t>
      </w:r>
      <w:r>
        <w:rPr>
          <w:rFonts w:hint="eastAsia"/>
          <w:color w:val="auto"/>
        </w:rPr>
        <w:fldChar w:fldCharType="end"/>
      </w:r>
      <w:r>
        <w:rPr>
          <w:rFonts w:hint="eastAsia"/>
          <w:color w:val="auto"/>
        </w:rPr>
        <w:fldChar w:fldCharType="end"/>
      </w:r>
    </w:p>
    <w:p w14:paraId="5D476E9E">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"_Toc224406034" </w:instrText>
      </w:r>
      <w:r>
        <w:rPr>
          <w:color w:val="auto"/>
        </w:rPr>
        <w:fldChar w:fldCharType="separate"/>
      </w:r>
      <w:r>
        <w:rPr>
          <w:rStyle w:val="59"/>
          <w:rFonts w:hint="eastAsia" w:ascii="黑体" w:hAnsi="黑体" w:eastAsia="黑体" w:cs="Times New Roman"/>
          <w:bCs/>
          <w:color w:val="auto"/>
          <w14:ligatures w14:val="none"/>
        </w:rPr>
        <w:t>7.5</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环境监测与监控</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_Toc224406034 \h</w:instrText>
      </w:r>
      <w:r>
        <w:rPr>
          <w:rFonts w:hint="eastAsia"/>
          <w:color w:val="auto"/>
        </w:rPr>
        <w:instrText xml:space="preserve"> </w:instrText>
      </w:r>
      <w:r>
        <w:rPr>
          <w:rFonts w:hint="eastAsia"/>
          <w:color w:val="auto"/>
        </w:rPr>
        <w:fldChar w:fldCharType="separate"/>
      </w:r>
      <w:r>
        <w:rPr>
          <w:color w:val="auto"/>
        </w:rPr>
        <w:t>194</w:t>
      </w:r>
      <w:r>
        <w:rPr>
          <w:rFonts w:hint="eastAsia"/>
          <w:color w:val="auto"/>
        </w:rPr>
        <w:fldChar w:fldCharType="end"/>
      </w:r>
      <w:r>
        <w:rPr>
          <w:rFonts w:hint="eastAsia"/>
          <w:color w:val="auto"/>
        </w:rPr>
        <w:fldChar w:fldCharType="end"/>
      </w:r>
    </w:p>
    <w:p w14:paraId="186B8B07">
      <w:pPr>
        <w:pStyle w:val="31"/>
        <w:tabs>
          <w:tab w:val="left" w:pos="420"/>
          <w:tab w:val="right" w:leader="dot" w:pos="8720"/>
        </w:tabs>
        <w:rPr>
          <w:rFonts w:hint="eastAsia" w:asciiTheme="minorHAnsi" w:hAnsiTheme="minorHAnsi" w:eastAsiaTheme="minorEastAsia" w:cstheme="minorBidi"/>
          <w:b w:val="0"/>
          <w:bCs w:val="0"/>
          <w:caps w:val="0"/>
          <w:color w:val="auto"/>
          <w:sz w:val="22"/>
          <w:szCs w:val="24"/>
        </w:rPr>
      </w:pPr>
      <w:r>
        <w:rPr>
          <w:color w:val="auto"/>
        </w:rPr>
        <w:fldChar w:fldCharType="begin"/>
      </w:r>
      <w:r>
        <w:rPr>
          <w:color w:val="auto"/>
        </w:rPr>
        <w:instrText xml:space="preserve"> HYPERLINK \l "_Toc224406035" </w:instrText>
      </w:r>
      <w:r>
        <w:rPr>
          <w:color w:val="auto"/>
        </w:rPr>
        <w:fldChar w:fldCharType="separate"/>
      </w:r>
      <w:r>
        <w:rPr>
          <w:rStyle w:val="59"/>
          <w:rFonts w:hint="eastAsia" w:ascii="黑体" w:hAnsi="黑体" w:eastAsia="黑体"/>
          <w:color w:val="auto"/>
          <w14:ligatures w14:val="none"/>
        </w:rPr>
        <w:t>8</w:t>
      </w:r>
      <w:r>
        <w:rPr>
          <w:rFonts w:hint="eastAsia" w:asciiTheme="minorHAnsi" w:hAnsiTheme="minorHAnsi" w:eastAsiaTheme="minorEastAsia" w:cstheme="minorBidi"/>
          <w:b w:val="0"/>
          <w:bCs w:val="0"/>
          <w:caps w:val="0"/>
          <w:color w:val="auto"/>
          <w:sz w:val="22"/>
          <w:szCs w:val="24"/>
        </w:rPr>
        <w:tab/>
      </w:r>
      <w:r>
        <w:rPr>
          <w:rStyle w:val="59"/>
          <w:rFonts w:hint="eastAsia" w:ascii="黑体" w:hAnsi="黑体" w:eastAsia="黑体"/>
          <w:color w:val="auto"/>
          <w14:ligatures w14:val="none"/>
        </w:rPr>
        <w:t>环境影响经济损益分析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_Toc224406035 \h</w:instrText>
      </w:r>
      <w:r>
        <w:rPr>
          <w:rFonts w:hint="eastAsia"/>
          <w:color w:val="auto"/>
        </w:rPr>
        <w:instrText xml:space="preserve"> </w:instrText>
      </w:r>
      <w:r>
        <w:rPr>
          <w:rFonts w:hint="eastAsia"/>
          <w:color w:val="auto"/>
        </w:rPr>
        <w:fldChar w:fldCharType="separate"/>
      </w:r>
      <w:r>
        <w:rPr>
          <w:color w:val="auto"/>
        </w:rPr>
        <w:t>199</w:t>
      </w:r>
      <w:r>
        <w:rPr>
          <w:rFonts w:hint="eastAsia"/>
          <w:color w:val="auto"/>
        </w:rPr>
        <w:fldChar w:fldCharType="end"/>
      </w:r>
      <w:r>
        <w:rPr>
          <w:rFonts w:hint="eastAsia"/>
          <w:color w:val="auto"/>
        </w:rPr>
        <w:fldChar w:fldCharType="end"/>
      </w:r>
    </w:p>
    <w:p w14:paraId="70C14709">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"_Toc224406036" </w:instrText>
      </w:r>
      <w:r>
        <w:rPr>
          <w:color w:val="auto"/>
        </w:rPr>
        <w:fldChar w:fldCharType="separate"/>
      </w:r>
      <w:r>
        <w:rPr>
          <w:rStyle w:val="59"/>
          <w:rFonts w:hint="eastAsia" w:ascii="黑体" w:hAnsi="黑体" w:eastAsia="黑体" w:cs="Times New Roman"/>
          <w:bCs/>
          <w:color w:val="auto"/>
          <w14:ligatures w14:val="none"/>
        </w:rPr>
        <w:t>8.1</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环境社会效益分析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_Toc224406036 \h</w:instrText>
      </w:r>
      <w:r>
        <w:rPr>
          <w:rFonts w:hint="eastAsia"/>
          <w:color w:val="auto"/>
        </w:rPr>
        <w:instrText xml:space="preserve"> </w:instrText>
      </w:r>
      <w:r>
        <w:rPr>
          <w:rFonts w:hint="eastAsia"/>
          <w:color w:val="auto"/>
        </w:rPr>
        <w:fldChar w:fldCharType="separate"/>
      </w:r>
      <w:r>
        <w:rPr>
          <w:color w:val="auto"/>
        </w:rPr>
        <w:t>199</w:t>
      </w:r>
      <w:r>
        <w:rPr>
          <w:rFonts w:hint="eastAsia"/>
          <w:color w:val="auto"/>
        </w:rPr>
        <w:fldChar w:fldCharType="end"/>
      </w:r>
      <w:r>
        <w:rPr>
          <w:rFonts w:hint="eastAsia"/>
          <w:color w:val="auto"/>
        </w:rPr>
        <w:fldChar w:fldCharType="end"/>
      </w:r>
    </w:p>
    <w:p w14:paraId="41CF06A7">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"_Toc224406037" </w:instrText>
      </w:r>
      <w:r>
        <w:rPr>
          <w:color w:val="auto"/>
        </w:rPr>
        <w:fldChar w:fldCharType="separate"/>
      </w:r>
      <w:r>
        <w:rPr>
          <w:rStyle w:val="59"/>
          <w:rFonts w:hint="eastAsia" w:ascii="黑体" w:hAnsi="黑体" w:eastAsia="黑体" w:cs="Times New Roman"/>
          <w:bCs/>
          <w:color w:val="auto"/>
          <w14:ligatures w14:val="none"/>
        </w:rPr>
        <w:t>8.2</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环境经济损益分析结论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_Toc224406037 \h</w:instrText>
      </w:r>
      <w:r>
        <w:rPr>
          <w:rFonts w:hint="eastAsia"/>
          <w:color w:val="auto"/>
        </w:rPr>
        <w:instrText xml:space="preserve"> </w:instrText>
      </w:r>
      <w:r>
        <w:rPr>
          <w:rFonts w:hint="eastAsia"/>
          <w:color w:val="auto"/>
        </w:rPr>
        <w:fldChar w:fldCharType="separate"/>
      </w:r>
      <w:r>
        <w:rPr>
          <w:color w:val="auto"/>
        </w:rPr>
        <w:t>200</w:t>
      </w:r>
      <w:r>
        <w:rPr>
          <w:rFonts w:hint="eastAsia"/>
          <w:color w:val="auto"/>
        </w:rPr>
        <w:fldChar w:fldCharType="end"/>
      </w:r>
      <w:r>
        <w:rPr>
          <w:rFonts w:hint="eastAsia"/>
          <w:color w:val="auto"/>
        </w:rPr>
        <w:fldChar w:fldCharType="end"/>
      </w:r>
    </w:p>
    <w:p w14:paraId="3E3EFB2D">
      <w:pPr>
        <w:pStyle w:val="31"/>
        <w:tabs>
          <w:tab w:val="left" w:pos="420"/>
          <w:tab w:val="right" w:leader="dot" w:pos="8720"/>
        </w:tabs>
        <w:rPr>
          <w:rFonts w:hint="eastAsia" w:asciiTheme="minorHAnsi" w:hAnsiTheme="minorHAnsi" w:eastAsiaTheme="minorEastAsia" w:cstheme="minorBidi"/>
          <w:b w:val="0"/>
          <w:bCs w:val="0"/>
          <w:caps w:val="0"/>
          <w:color w:val="auto"/>
          <w:sz w:val="22"/>
          <w:szCs w:val="24"/>
        </w:rPr>
      </w:pPr>
      <w:r>
        <w:rPr>
          <w:color w:val="auto"/>
        </w:rPr>
        <w:fldChar w:fldCharType="begin"/>
      </w:r>
      <w:r>
        <w:rPr>
          <w:color w:val="auto"/>
        </w:rPr>
        <w:instrText xml:space="preserve"> HYPERLINK \l "_Toc224406038" </w:instrText>
      </w:r>
      <w:r>
        <w:rPr>
          <w:color w:val="auto"/>
        </w:rPr>
        <w:fldChar w:fldCharType="separate"/>
      </w:r>
      <w:r>
        <w:rPr>
          <w:rStyle w:val="59"/>
          <w:rFonts w:hint="eastAsia" w:ascii="黑体" w:hAnsi="黑体" w:eastAsia="黑体"/>
          <w:color w:val="auto"/>
        </w:rPr>
        <w:t>9</w:t>
      </w:r>
      <w:r>
        <w:rPr>
          <w:rFonts w:hint="eastAsia" w:asciiTheme="minorHAnsi" w:hAnsiTheme="minorHAnsi" w:eastAsiaTheme="minorEastAsia" w:cstheme="minorBidi"/>
          <w:b w:val="0"/>
          <w:bCs w:val="0"/>
          <w:caps w:val="0"/>
          <w:color w:val="auto"/>
          <w:sz w:val="22"/>
          <w:szCs w:val="24"/>
        </w:rPr>
        <w:tab/>
      </w:r>
      <w:r>
        <w:rPr>
          <w:rStyle w:val="59"/>
          <w:rFonts w:hint="eastAsia" w:ascii="黑体" w:hAnsi="黑体" w:eastAsia="黑体"/>
          <w:color w:val="auto"/>
          <w14:ligatures w14:val="none"/>
        </w:rPr>
        <w:t>环境影响评价结论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_Toc224406038 \h</w:instrText>
      </w:r>
      <w:r>
        <w:rPr>
          <w:rFonts w:hint="eastAsia"/>
          <w:color w:val="auto"/>
        </w:rPr>
        <w:instrText xml:space="preserve"> </w:instrText>
      </w:r>
      <w:r>
        <w:rPr>
          <w:rFonts w:hint="eastAsia"/>
          <w:color w:val="auto"/>
        </w:rPr>
        <w:fldChar w:fldCharType="separate"/>
      </w:r>
      <w:r>
        <w:rPr>
          <w:color w:val="auto"/>
        </w:rPr>
        <w:t>201</w:t>
      </w:r>
      <w:r>
        <w:rPr>
          <w:rFonts w:hint="eastAsia"/>
          <w:color w:val="auto"/>
        </w:rPr>
        <w:fldChar w:fldCharType="end"/>
      </w:r>
      <w:r>
        <w:rPr>
          <w:rFonts w:hint="eastAsia"/>
          <w:color w:val="auto"/>
        </w:rPr>
        <w:fldChar w:fldCharType="end"/>
      </w:r>
    </w:p>
    <w:p w14:paraId="1136C445">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"_Toc224406039" </w:instrText>
      </w:r>
      <w:r>
        <w:rPr>
          <w:color w:val="auto"/>
        </w:rPr>
        <w:fldChar w:fldCharType="separate"/>
      </w:r>
      <w:r>
        <w:rPr>
          <w:rStyle w:val="59"/>
          <w:rFonts w:hint="eastAsia" w:ascii="黑体" w:hAnsi="黑体" w:eastAsia="黑体" w:cs="Times New Roman"/>
          <w:bCs/>
          <w:color w:val="auto"/>
          <w14:ligatures w14:val="none"/>
        </w:rPr>
        <w:t>9.1</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建设项目概况</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_Toc224406039 \h</w:instrText>
      </w:r>
      <w:r>
        <w:rPr>
          <w:rFonts w:hint="eastAsia"/>
          <w:color w:val="auto"/>
        </w:rPr>
        <w:instrText xml:space="preserve"> </w:instrText>
      </w:r>
      <w:r>
        <w:rPr>
          <w:rFonts w:hint="eastAsia"/>
          <w:color w:val="auto"/>
        </w:rPr>
        <w:fldChar w:fldCharType="separate"/>
      </w:r>
      <w:r>
        <w:rPr>
          <w:color w:val="auto"/>
        </w:rPr>
        <w:t>201</w:t>
      </w:r>
      <w:r>
        <w:rPr>
          <w:rFonts w:hint="eastAsia"/>
          <w:color w:val="auto"/>
        </w:rPr>
        <w:fldChar w:fldCharType="end"/>
      </w:r>
      <w:r>
        <w:rPr>
          <w:rFonts w:hint="eastAsia"/>
          <w:color w:val="auto"/>
        </w:rPr>
        <w:fldChar w:fldCharType="end"/>
      </w:r>
    </w:p>
    <w:p w14:paraId="7D143326">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"_Toc224406040" </w:instrText>
      </w:r>
      <w:r>
        <w:rPr>
          <w:color w:val="auto"/>
        </w:rPr>
        <w:fldChar w:fldCharType="separate"/>
      </w:r>
      <w:r>
        <w:rPr>
          <w:rStyle w:val="59"/>
          <w:rFonts w:hint="eastAsia" w:ascii="黑体" w:hAnsi="黑体" w:eastAsia="黑体" w:cs="Times New Roman"/>
          <w:bCs/>
          <w:color w:val="auto"/>
          <w14:ligatures w14:val="none"/>
        </w:rPr>
        <w:t>9.2</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环境质量现状</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_Toc224406040 \h</w:instrText>
      </w:r>
      <w:r>
        <w:rPr>
          <w:rFonts w:hint="eastAsia"/>
          <w:color w:val="auto"/>
        </w:rPr>
        <w:instrText xml:space="preserve"> </w:instrText>
      </w:r>
      <w:r>
        <w:rPr>
          <w:rFonts w:hint="eastAsia"/>
          <w:color w:val="auto"/>
        </w:rPr>
        <w:fldChar w:fldCharType="separate"/>
      </w:r>
      <w:r>
        <w:rPr>
          <w:color w:val="auto"/>
        </w:rPr>
        <w:t>201</w:t>
      </w:r>
      <w:r>
        <w:rPr>
          <w:rFonts w:hint="eastAsia"/>
          <w:color w:val="auto"/>
        </w:rPr>
        <w:fldChar w:fldCharType="end"/>
      </w:r>
      <w:r>
        <w:rPr>
          <w:rFonts w:hint="eastAsia"/>
          <w:color w:val="auto"/>
        </w:rPr>
        <w:fldChar w:fldCharType="end"/>
      </w:r>
    </w:p>
    <w:p w14:paraId="0AFB3FD4">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"_Toc224406041" </w:instrText>
      </w:r>
      <w:r>
        <w:rPr>
          <w:color w:val="auto"/>
        </w:rPr>
        <w:fldChar w:fldCharType="separate"/>
      </w:r>
      <w:r>
        <w:rPr>
          <w:rStyle w:val="59"/>
          <w:rFonts w:hint="eastAsia" w:ascii="黑体" w:hAnsi="黑体" w:eastAsia="黑体" w:cs="Times New Roman"/>
          <w:bCs/>
          <w:color w:val="auto"/>
          <w14:ligatures w14:val="none"/>
        </w:rPr>
        <w:t>9.3</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主要环境影响及环保措施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_Toc224406041 \h</w:instrText>
      </w:r>
      <w:r>
        <w:rPr>
          <w:rFonts w:hint="eastAsia"/>
          <w:color w:val="auto"/>
        </w:rPr>
        <w:instrText xml:space="preserve"> </w:instrText>
      </w:r>
      <w:r>
        <w:rPr>
          <w:rFonts w:hint="eastAsia"/>
          <w:color w:val="auto"/>
        </w:rPr>
        <w:fldChar w:fldCharType="separate"/>
      </w:r>
      <w:r>
        <w:rPr>
          <w:color w:val="auto"/>
        </w:rPr>
        <w:t>202</w:t>
      </w:r>
      <w:r>
        <w:rPr>
          <w:rFonts w:hint="eastAsia"/>
          <w:color w:val="auto"/>
        </w:rPr>
        <w:fldChar w:fldCharType="end"/>
      </w:r>
      <w:r>
        <w:rPr>
          <w:rFonts w:hint="eastAsia"/>
          <w:color w:val="auto"/>
        </w:rPr>
        <w:fldChar w:fldCharType="end"/>
      </w:r>
    </w:p>
    <w:p w14:paraId="63CC67C7">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"_Toc224406042" </w:instrText>
      </w:r>
      <w:r>
        <w:rPr>
          <w:color w:val="auto"/>
        </w:rPr>
        <w:fldChar w:fldCharType="separate"/>
      </w:r>
      <w:r>
        <w:rPr>
          <w:rStyle w:val="59"/>
          <w:rFonts w:hint="eastAsia" w:ascii="黑体" w:hAnsi="黑体" w:eastAsia="黑体" w:cs="Times New Roman"/>
          <w:bCs/>
          <w:color w:val="auto"/>
          <w14:ligatures w14:val="none"/>
        </w:rPr>
        <w:t>9.4</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经济损益性分析结论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_Toc224406042 \h</w:instrText>
      </w:r>
      <w:r>
        <w:rPr>
          <w:rFonts w:hint="eastAsia"/>
          <w:color w:val="auto"/>
        </w:rPr>
        <w:instrText xml:space="preserve"> </w:instrText>
      </w:r>
      <w:r>
        <w:rPr>
          <w:rFonts w:hint="eastAsia"/>
          <w:color w:val="auto"/>
        </w:rPr>
        <w:fldChar w:fldCharType="separate"/>
      </w:r>
      <w:r>
        <w:rPr>
          <w:color w:val="auto"/>
        </w:rPr>
        <w:t>207</w:t>
      </w:r>
      <w:r>
        <w:rPr>
          <w:rFonts w:hint="eastAsia"/>
          <w:color w:val="auto"/>
        </w:rPr>
        <w:fldChar w:fldCharType="end"/>
      </w:r>
      <w:r>
        <w:rPr>
          <w:rFonts w:hint="eastAsia"/>
          <w:color w:val="auto"/>
        </w:rPr>
        <w:fldChar w:fldCharType="end"/>
      </w:r>
    </w:p>
    <w:p w14:paraId="33B62D3D">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"_Toc224406043" </w:instrText>
      </w:r>
      <w:r>
        <w:rPr>
          <w:color w:val="auto"/>
        </w:rPr>
        <w:fldChar w:fldCharType="separate"/>
      </w:r>
      <w:r>
        <w:rPr>
          <w:rStyle w:val="59"/>
          <w:rFonts w:hint="eastAsia" w:ascii="黑体" w:hAnsi="黑体" w:eastAsia="黑体" w:cs="Times New Roman"/>
          <w:bCs/>
          <w:color w:val="auto"/>
          <w14:ligatures w14:val="none"/>
        </w:rPr>
        <w:t>9.5</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环境管理与监测计划结论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_Toc224406043 \h</w:instrText>
      </w:r>
      <w:r>
        <w:rPr>
          <w:rFonts w:hint="eastAsia"/>
          <w:color w:val="auto"/>
        </w:rPr>
        <w:instrText xml:space="preserve"> </w:instrText>
      </w:r>
      <w:r>
        <w:rPr>
          <w:rFonts w:hint="eastAsia"/>
          <w:color w:val="auto"/>
        </w:rPr>
        <w:fldChar w:fldCharType="separate"/>
      </w:r>
      <w:r>
        <w:rPr>
          <w:color w:val="auto"/>
        </w:rPr>
        <w:t>207</w:t>
      </w:r>
      <w:r>
        <w:rPr>
          <w:rFonts w:hint="eastAsia"/>
          <w:color w:val="auto"/>
        </w:rPr>
        <w:fldChar w:fldCharType="end"/>
      </w:r>
      <w:r>
        <w:rPr>
          <w:rFonts w:hint="eastAsia"/>
          <w:color w:val="auto"/>
        </w:rPr>
        <w:fldChar w:fldCharType="end"/>
      </w:r>
    </w:p>
    <w:p w14:paraId="6EF23EDF">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"_Toc224406044" </w:instrText>
      </w:r>
      <w:r>
        <w:rPr>
          <w:color w:val="auto"/>
        </w:rPr>
        <w:fldChar w:fldCharType="separate"/>
      </w:r>
      <w:r>
        <w:rPr>
          <w:rStyle w:val="59"/>
          <w:rFonts w:hint="eastAsia" w:ascii="黑体" w:hAnsi="黑体" w:eastAsia="黑体" w:cs="Times New Roman"/>
          <w:bCs/>
          <w:color w:val="auto"/>
          <w14:ligatures w14:val="none"/>
        </w:rPr>
        <w:t>9.6</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公众参与</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_Toc224406044 \h</w:instrText>
      </w:r>
      <w:r>
        <w:rPr>
          <w:rFonts w:hint="eastAsia"/>
          <w:color w:val="auto"/>
        </w:rPr>
        <w:instrText xml:space="preserve"> </w:instrText>
      </w:r>
      <w:r>
        <w:rPr>
          <w:rFonts w:hint="eastAsia"/>
          <w:color w:val="auto"/>
        </w:rPr>
        <w:fldChar w:fldCharType="separate"/>
      </w:r>
      <w:r>
        <w:rPr>
          <w:color w:val="auto"/>
        </w:rPr>
        <w:t>207</w:t>
      </w:r>
      <w:r>
        <w:rPr>
          <w:rFonts w:hint="eastAsia"/>
          <w:color w:val="auto"/>
        </w:rPr>
        <w:fldChar w:fldCharType="end"/>
      </w:r>
      <w:r>
        <w:rPr>
          <w:rFonts w:hint="eastAsia"/>
          <w:color w:val="auto"/>
        </w:rPr>
        <w:fldChar w:fldCharType="end"/>
      </w:r>
    </w:p>
    <w:p w14:paraId="5E62D650">
      <w:pPr>
        <w:pStyle w:val="41"/>
        <w:tabs>
          <w:tab w:val="left" w:pos="1050"/>
          <w:tab w:val="right" w:leader="dot" w:pos="8720"/>
        </w:tabs>
        <w:rPr>
          <w:rFonts w:hint="eastAsia" w:asciiTheme="minorHAnsi" w:hAnsiTheme="minorHAnsi" w:eastAsiaTheme="minorEastAsia" w:cstheme="minorBidi"/>
          <w:smallCaps w:val="0"/>
          <w:color w:val="auto"/>
          <w:sz w:val="22"/>
          <w:szCs w:val="24"/>
        </w:rPr>
      </w:pPr>
      <w:r>
        <w:rPr>
          <w:color w:val="auto"/>
        </w:rPr>
        <w:fldChar w:fldCharType="begin"/>
      </w:r>
      <w:r>
        <w:rPr>
          <w:color w:val="auto"/>
        </w:rPr>
        <w:instrText xml:space="preserve"> HYPERLINK \l "_Toc224406045" </w:instrText>
      </w:r>
      <w:r>
        <w:rPr>
          <w:color w:val="auto"/>
        </w:rPr>
        <w:fldChar w:fldCharType="separate"/>
      </w:r>
      <w:r>
        <w:rPr>
          <w:rStyle w:val="59"/>
          <w:rFonts w:hint="eastAsia" w:ascii="黑体" w:hAnsi="黑体" w:eastAsia="黑体" w:cs="Times New Roman"/>
          <w:bCs/>
          <w:color w:val="auto"/>
          <w14:ligatures w14:val="none"/>
        </w:rPr>
        <w:t>9.7</w:t>
      </w:r>
      <w:r>
        <w:rPr>
          <w:rFonts w:hint="eastAsia" w:asciiTheme="minorHAnsi" w:hAnsiTheme="minorHAnsi" w:eastAsiaTheme="minorEastAsia" w:cstheme="minorBidi"/>
          <w:smallCaps w:val="0"/>
          <w:color w:val="auto"/>
          <w:sz w:val="22"/>
          <w:szCs w:val="24"/>
        </w:rPr>
        <w:tab/>
      </w:r>
      <w:r>
        <w:rPr>
          <w:rStyle w:val="59"/>
          <w:rFonts w:hint="eastAsia" w:ascii="黑体" w:hAnsi="黑体" w:eastAsia="黑体" w:cs="Times New Roman"/>
          <w:bCs/>
          <w:color w:val="auto"/>
          <w14:ligatures w14:val="none"/>
        </w:rPr>
        <w:t>总结论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_Toc224406045 \h</w:instrText>
      </w:r>
      <w:r>
        <w:rPr>
          <w:rFonts w:hint="eastAsia"/>
          <w:color w:val="auto"/>
        </w:rPr>
        <w:instrText xml:space="preserve"> </w:instrText>
      </w:r>
      <w:r>
        <w:rPr>
          <w:rFonts w:hint="eastAsia"/>
          <w:color w:val="auto"/>
        </w:rPr>
        <w:fldChar w:fldCharType="separate"/>
      </w:r>
      <w:r>
        <w:rPr>
          <w:color w:val="auto"/>
        </w:rPr>
        <w:t>207</w:t>
      </w:r>
      <w:r>
        <w:rPr>
          <w:rFonts w:hint="eastAsia"/>
          <w:color w:val="auto"/>
        </w:rPr>
        <w:fldChar w:fldCharType="end"/>
      </w:r>
      <w:r>
        <w:rPr>
          <w:rFonts w:hint="eastAsia"/>
          <w:color w:val="auto"/>
        </w:rPr>
        <w:fldChar w:fldCharType="end"/>
      </w:r>
    </w:p>
    <w:p w14:paraId="10C4AB15">
      <w:pPr>
        <w:pStyle w:val="31"/>
        <w:tabs>
          <w:tab w:val="right" w:leader="dot" w:pos="8720"/>
        </w:tabs>
        <w:rPr>
          <w:rFonts w:hint="eastAsia" w:asciiTheme="minorHAnsi" w:hAnsiTheme="minorHAnsi" w:eastAsiaTheme="minorEastAsia" w:cstheme="minorBidi"/>
          <w:b w:val="0"/>
          <w:bCs w:val="0"/>
          <w:caps w:val="0"/>
          <w:color w:val="auto"/>
          <w:sz w:val="22"/>
          <w:szCs w:val="24"/>
        </w:rPr>
      </w:pPr>
      <w:r>
        <w:rPr>
          <w:color w:val="auto"/>
        </w:rPr>
        <w:fldChar w:fldCharType="begin"/>
      </w:r>
      <w:r>
        <w:rPr>
          <w:color w:val="auto"/>
        </w:rPr>
        <w:instrText xml:space="preserve"> HYPERLINK \l "_Toc224406046" </w:instrText>
      </w:r>
      <w:r>
        <w:rPr>
          <w:color w:val="auto"/>
        </w:rPr>
        <w:fldChar w:fldCharType="separate"/>
      </w:r>
      <w:r>
        <w:rPr>
          <w:rStyle w:val="59"/>
          <w:rFonts w:hint="eastAsia"/>
          <w:color w:val="auto"/>
        </w:rPr>
        <w:t>附件1  委托书</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_Toc224406046 \h</w:instrText>
      </w:r>
      <w:r>
        <w:rPr>
          <w:rFonts w:hint="eastAsia"/>
          <w:color w:val="auto"/>
        </w:rPr>
        <w:instrText xml:space="preserve"> </w:instrText>
      </w:r>
      <w:r>
        <w:rPr>
          <w:rFonts w:hint="eastAsia"/>
          <w:color w:val="auto"/>
        </w:rPr>
        <w:fldChar w:fldCharType="separate"/>
      </w:r>
      <w:r>
        <w:rPr>
          <w:color w:val="auto"/>
        </w:rPr>
        <w:t>208</w:t>
      </w:r>
      <w:r>
        <w:rPr>
          <w:rFonts w:hint="eastAsia"/>
          <w:color w:val="auto"/>
        </w:rPr>
        <w:fldChar w:fldCharType="end"/>
      </w:r>
      <w:r>
        <w:rPr>
          <w:rFonts w:hint="eastAsia"/>
          <w:color w:val="auto"/>
        </w:rPr>
        <w:fldChar w:fldCharType="end"/>
      </w:r>
    </w:p>
    <w:p w14:paraId="63E40D4F">
      <w:pPr>
        <w:pStyle w:val="31"/>
        <w:tabs>
          <w:tab w:val="right" w:leader="dot" w:pos="8720"/>
        </w:tabs>
        <w:rPr>
          <w:rFonts w:hint="eastAsia" w:asciiTheme="minorHAnsi" w:hAnsiTheme="minorHAnsi" w:eastAsiaTheme="minorEastAsia" w:cstheme="minorBidi"/>
          <w:b w:val="0"/>
          <w:bCs w:val="0"/>
          <w:caps w:val="0"/>
          <w:color w:val="auto"/>
          <w:sz w:val="22"/>
          <w:szCs w:val="24"/>
        </w:rPr>
      </w:pPr>
      <w:r>
        <w:rPr>
          <w:color w:val="auto"/>
        </w:rPr>
        <w:fldChar w:fldCharType="begin"/>
      </w:r>
      <w:r>
        <w:rPr>
          <w:color w:val="auto"/>
        </w:rPr>
        <w:instrText xml:space="preserve"> HYPERLINK \l "_Toc224406047" </w:instrText>
      </w:r>
      <w:r>
        <w:rPr>
          <w:color w:val="auto"/>
        </w:rPr>
        <w:fldChar w:fldCharType="separate"/>
      </w:r>
      <w:r>
        <w:rPr>
          <w:rStyle w:val="59"/>
          <w:rFonts w:hint="eastAsia"/>
          <w:color w:val="auto"/>
        </w:rPr>
        <w:t>附件2  现有工程环保手续</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_Toc224406047 \h</w:instrText>
      </w:r>
      <w:r>
        <w:rPr>
          <w:rFonts w:hint="eastAsia"/>
          <w:color w:val="auto"/>
        </w:rPr>
        <w:instrText xml:space="preserve"> </w:instrText>
      </w:r>
      <w:r>
        <w:rPr>
          <w:rFonts w:hint="eastAsia"/>
          <w:color w:val="auto"/>
        </w:rPr>
        <w:fldChar w:fldCharType="separate"/>
      </w:r>
      <w:r>
        <w:rPr>
          <w:color w:val="auto"/>
        </w:rPr>
        <w:t>209</w:t>
      </w:r>
      <w:r>
        <w:rPr>
          <w:rFonts w:hint="eastAsia"/>
          <w:color w:val="auto"/>
        </w:rPr>
        <w:fldChar w:fldCharType="end"/>
      </w:r>
      <w:r>
        <w:rPr>
          <w:rFonts w:hint="eastAsia"/>
          <w:color w:val="auto"/>
        </w:rPr>
        <w:fldChar w:fldCharType="end"/>
      </w:r>
    </w:p>
    <w:p w14:paraId="3EDF70E2">
      <w:pPr>
        <w:pStyle w:val="31"/>
        <w:tabs>
          <w:tab w:val="right" w:leader="dot" w:pos="8720"/>
        </w:tabs>
        <w:rPr>
          <w:rFonts w:hint="eastAsia" w:asciiTheme="minorHAnsi" w:hAnsiTheme="minorHAnsi" w:eastAsiaTheme="minorEastAsia" w:cstheme="minorBidi"/>
          <w:b w:val="0"/>
          <w:bCs w:val="0"/>
          <w:caps w:val="0"/>
          <w:color w:val="auto"/>
          <w:sz w:val="22"/>
          <w:szCs w:val="24"/>
        </w:rPr>
      </w:pPr>
      <w:r>
        <w:rPr>
          <w:color w:val="auto"/>
        </w:rPr>
        <w:fldChar w:fldCharType="begin"/>
      </w:r>
      <w:r>
        <w:rPr>
          <w:color w:val="auto"/>
        </w:rPr>
        <w:instrText xml:space="preserve"> HYPERLINK \l "_Toc224406048" </w:instrText>
      </w:r>
      <w:r>
        <w:rPr>
          <w:color w:val="auto"/>
        </w:rPr>
        <w:fldChar w:fldCharType="separate"/>
      </w:r>
      <w:r>
        <w:rPr>
          <w:rStyle w:val="59"/>
          <w:rFonts w:hint="eastAsia"/>
          <w:color w:val="auto"/>
        </w:rPr>
        <w:t>附件3  环境质量现状监测报告</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_Toc224406048 \h</w:instrText>
      </w:r>
      <w:r>
        <w:rPr>
          <w:rFonts w:hint="eastAsia"/>
          <w:color w:val="auto"/>
        </w:rPr>
        <w:instrText xml:space="preserve"> </w:instrText>
      </w:r>
      <w:r>
        <w:rPr>
          <w:rFonts w:hint="eastAsia"/>
          <w:color w:val="auto"/>
        </w:rPr>
        <w:fldChar w:fldCharType="separate"/>
      </w:r>
      <w:r>
        <w:rPr>
          <w:color w:val="auto"/>
        </w:rPr>
        <w:t>231</w:t>
      </w:r>
      <w:r>
        <w:rPr>
          <w:rFonts w:hint="eastAsia"/>
          <w:color w:val="auto"/>
        </w:rPr>
        <w:fldChar w:fldCharType="end"/>
      </w:r>
      <w:r>
        <w:rPr>
          <w:rFonts w:hint="eastAsia"/>
          <w:color w:val="auto"/>
        </w:rPr>
        <w:fldChar w:fldCharType="end"/>
      </w:r>
    </w:p>
    <w:p w14:paraId="1CFA5822">
      <w:pPr>
        <w:pStyle w:val="31"/>
        <w:tabs>
          <w:tab w:val="right" w:leader="dot" w:pos="8720"/>
        </w:tabs>
        <w:rPr>
          <w:rFonts w:hint="eastAsia" w:asciiTheme="minorHAnsi" w:hAnsiTheme="minorHAnsi" w:eastAsiaTheme="minorEastAsia" w:cstheme="minorBidi"/>
          <w:b w:val="0"/>
          <w:bCs w:val="0"/>
          <w:caps w:val="0"/>
          <w:color w:val="auto"/>
          <w:sz w:val="22"/>
          <w:szCs w:val="24"/>
        </w:rPr>
      </w:pPr>
      <w:r>
        <w:rPr>
          <w:color w:val="auto"/>
        </w:rPr>
        <w:fldChar w:fldCharType="begin"/>
      </w:r>
      <w:r>
        <w:rPr>
          <w:color w:val="auto"/>
        </w:rPr>
        <w:instrText xml:space="preserve"> HYPERLINK \l "_Toc224406049" </w:instrText>
      </w:r>
      <w:r>
        <w:rPr>
          <w:color w:val="auto"/>
        </w:rPr>
        <w:fldChar w:fldCharType="separate"/>
      </w:r>
      <w:r>
        <w:rPr>
          <w:rStyle w:val="59"/>
          <w:rFonts w:hint="eastAsia"/>
          <w:color w:val="auto"/>
        </w:rPr>
        <w:t>附件4  大气环境影响自查表</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_Toc224406049 \h</w:instrText>
      </w:r>
      <w:r>
        <w:rPr>
          <w:rFonts w:hint="eastAsia"/>
          <w:color w:val="auto"/>
        </w:rPr>
        <w:instrText xml:space="preserve"> </w:instrText>
      </w:r>
      <w:r>
        <w:rPr>
          <w:rFonts w:hint="eastAsia"/>
          <w:color w:val="auto"/>
        </w:rPr>
        <w:fldChar w:fldCharType="separate"/>
      </w:r>
      <w:r>
        <w:rPr>
          <w:color w:val="auto"/>
        </w:rPr>
        <w:t>266</w:t>
      </w:r>
      <w:r>
        <w:rPr>
          <w:rFonts w:hint="eastAsia"/>
          <w:color w:val="auto"/>
        </w:rPr>
        <w:fldChar w:fldCharType="end"/>
      </w:r>
      <w:r>
        <w:rPr>
          <w:rFonts w:hint="eastAsia"/>
          <w:color w:val="auto"/>
        </w:rPr>
        <w:fldChar w:fldCharType="end"/>
      </w:r>
    </w:p>
    <w:p w14:paraId="4B13D583">
      <w:pPr>
        <w:pStyle w:val="31"/>
        <w:tabs>
          <w:tab w:val="right" w:leader="dot" w:pos="8720"/>
        </w:tabs>
        <w:rPr>
          <w:rFonts w:hint="eastAsia" w:asciiTheme="minorHAnsi" w:hAnsiTheme="minorHAnsi" w:eastAsiaTheme="minorEastAsia" w:cstheme="minorBidi"/>
          <w:b w:val="0"/>
          <w:bCs w:val="0"/>
          <w:caps w:val="0"/>
          <w:color w:val="auto"/>
          <w:sz w:val="22"/>
          <w:szCs w:val="24"/>
        </w:rPr>
      </w:pPr>
      <w:r>
        <w:rPr>
          <w:color w:val="auto"/>
        </w:rPr>
        <w:fldChar w:fldCharType="begin"/>
      </w:r>
      <w:r>
        <w:rPr>
          <w:color w:val="auto"/>
        </w:rPr>
        <w:instrText xml:space="preserve"> HYPERLINK \l "_Toc224406050" </w:instrText>
      </w:r>
      <w:r>
        <w:rPr>
          <w:color w:val="auto"/>
        </w:rPr>
        <w:fldChar w:fldCharType="separate"/>
      </w:r>
      <w:r>
        <w:rPr>
          <w:rStyle w:val="59"/>
          <w:rFonts w:hint="eastAsia"/>
          <w:color w:val="auto"/>
        </w:rPr>
        <w:t>附件5  声环境影响自查表</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_Toc224406050 \h</w:instrText>
      </w:r>
      <w:r>
        <w:rPr>
          <w:rFonts w:hint="eastAsia"/>
          <w:color w:val="auto"/>
        </w:rPr>
        <w:instrText xml:space="preserve"> </w:instrText>
      </w:r>
      <w:r>
        <w:rPr>
          <w:rFonts w:hint="eastAsia"/>
          <w:color w:val="auto"/>
        </w:rPr>
        <w:fldChar w:fldCharType="separate"/>
      </w:r>
      <w:r>
        <w:rPr>
          <w:color w:val="auto"/>
        </w:rPr>
        <w:t>267</w:t>
      </w:r>
      <w:r>
        <w:rPr>
          <w:rFonts w:hint="eastAsia"/>
          <w:color w:val="auto"/>
        </w:rPr>
        <w:fldChar w:fldCharType="end"/>
      </w:r>
      <w:r>
        <w:rPr>
          <w:rFonts w:hint="eastAsia"/>
          <w:color w:val="auto"/>
        </w:rPr>
        <w:fldChar w:fldCharType="end"/>
      </w:r>
    </w:p>
    <w:p w14:paraId="52F2CF2A">
      <w:pPr>
        <w:pStyle w:val="31"/>
        <w:tabs>
          <w:tab w:val="right" w:leader="dot" w:pos="8720"/>
        </w:tabs>
        <w:rPr>
          <w:rFonts w:hint="eastAsia" w:asciiTheme="minorHAnsi" w:hAnsiTheme="minorHAnsi" w:eastAsiaTheme="minorEastAsia" w:cstheme="minorBidi"/>
          <w:b w:val="0"/>
          <w:bCs w:val="0"/>
          <w:caps w:val="0"/>
          <w:color w:val="auto"/>
          <w:sz w:val="22"/>
          <w:szCs w:val="24"/>
        </w:rPr>
      </w:pPr>
      <w:r>
        <w:rPr>
          <w:color w:val="auto"/>
        </w:rPr>
        <w:fldChar w:fldCharType="begin"/>
      </w:r>
      <w:r>
        <w:rPr>
          <w:color w:val="auto"/>
        </w:rPr>
        <w:instrText xml:space="preserve"> HYPERLINK \l "_Toc224406051" </w:instrText>
      </w:r>
      <w:r>
        <w:rPr>
          <w:color w:val="auto"/>
        </w:rPr>
        <w:fldChar w:fldCharType="separate"/>
      </w:r>
      <w:r>
        <w:rPr>
          <w:rStyle w:val="59"/>
          <w:rFonts w:hint="eastAsia"/>
          <w:color w:val="auto"/>
        </w:rPr>
        <w:t>附件6  土壤环境影响自查表</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_Toc224406051 \h</w:instrText>
      </w:r>
      <w:r>
        <w:rPr>
          <w:rFonts w:hint="eastAsia"/>
          <w:color w:val="auto"/>
        </w:rPr>
        <w:instrText xml:space="preserve"> </w:instrText>
      </w:r>
      <w:r>
        <w:rPr>
          <w:rFonts w:hint="eastAsia"/>
          <w:color w:val="auto"/>
        </w:rPr>
        <w:fldChar w:fldCharType="separate"/>
      </w:r>
      <w:r>
        <w:rPr>
          <w:color w:val="auto"/>
        </w:rPr>
        <w:t>268</w:t>
      </w:r>
      <w:r>
        <w:rPr>
          <w:rFonts w:hint="eastAsia"/>
          <w:color w:val="auto"/>
        </w:rPr>
        <w:fldChar w:fldCharType="end"/>
      </w:r>
      <w:r>
        <w:rPr>
          <w:rFonts w:hint="eastAsia"/>
          <w:color w:val="auto"/>
        </w:rPr>
        <w:fldChar w:fldCharType="end"/>
      </w:r>
    </w:p>
    <w:p w14:paraId="48027086">
      <w:pPr>
        <w:pStyle w:val="31"/>
        <w:tabs>
          <w:tab w:val="right" w:leader="dot" w:pos="8720"/>
        </w:tabs>
        <w:rPr>
          <w:rFonts w:hint="eastAsia" w:asciiTheme="minorHAnsi" w:hAnsiTheme="minorHAnsi" w:eastAsiaTheme="minorEastAsia" w:cstheme="minorBidi"/>
          <w:b w:val="0"/>
          <w:bCs w:val="0"/>
          <w:caps w:val="0"/>
          <w:color w:val="auto"/>
          <w:sz w:val="22"/>
          <w:szCs w:val="24"/>
        </w:rPr>
      </w:pPr>
      <w:r>
        <w:rPr>
          <w:color w:val="auto"/>
        </w:rPr>
        <w:fldChar w:fldCharType="begin"/>
      </w:r>
      <w:r>
        <w:rPr>
          <w:color w:val="auto"/>
        </w:rPr>
        <w:instrText xml:space="preserve"> HYPERLINK \l "_Toc224406052" </w:instrText>
      </w:r>
      <w:r>
        <w:rPr>
          <w:color w:val="auto"/>
        </w:rPr>
        <w:fldChar w:fldCharType="separate"/>
      </w:r>
      <w:r>
        <w:rPr>
          <w:rStyle w:val="59"/>
          <w:rFonts w:hint="eastAsia"/>
          <w:color w:val="auto"/>
        </w:rPr>
        <w:t>附件7  生态环境影响自查表</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_Toc224406052 \h</w:instrText>
      </w:r>
      <w:r>
        <w:rPr>
          <w:rFonts w:hint="eastAsia"/>
          <w:color w:val="auto"/>
        </w:rPr>
        <w:instrText xml:space="preserve"> </w:instrText>
      </w:r>
      <w:r>
        <w:rPr>
          <w:rFonts w:hint="eastAsia"/>
          <w:color w:val="auto"/>
        </w:rPr>
        <w:fldChar w:fldCharType="separate"/>
      </w:r>
      <w:r>
        <w:rPr>
          <w:color w:val="auto"/>
        </w:rPr>
        <w:t>269</w:t>
      </w:r>
      <w:r>
        <w:rPr>
          <w:rFonts w:hint="eastAsia"/>
          <w:color w:val="auto"/>
        </w:rPr>
        <w:fldChar w:fldCharType="end"/>
      </w:r>
      <w:r>
        <w:rPr>
          <w:rFonts w:hint="eastAsia"/>
          <w:color w:val="auto"/>
        </w:rPr>
        <w:fldChar w:fldCharType="end"/>
      </w:r>
    </w:p>
    <w:p w14:paraId="20A39E99">
      <w:pPr>
        <w:pStyle w:val="31"/>
        <w:tabs>
          <w:tab w:val="right" w:leader="dot" w:pos="8720"/>
        </w:tabs>
        <w:rPr>
          <w:rFonts w:hint="eastAsia" w:asciiTheme="minorHAnsi" w:hAnsiTheme="minorHAnsi" w:eastAsiaTheme="minorEastAsia" w:cstheme="minorBidi"/>
          <w:b w:val="0"/>
          <w:bCs w:val="0"/>
          <w:caps w:val="0"/>
          <w:color w:val="auto"/>
          <w:sz w:val="22"/>
          <w:szCs w:val="24"/>
        </w:rPr>
      </w:pPr>
      <w:r>
        <w:rPr>
          <w:color w:val="auto"/>
        </w:rPr>
        <w:fldChar w:fldCharType="begin"/>
      </w:r>
      <w:r>
        <w:rPr>
          <w:color w:val="auto"/>
        </w:rPr>
        <w:instrText xml:space="preserve"> HYPERLINK \l "_Toc224406053" </w:instrText>
      </w:r>
      <w:r>
        <w:rPr>
          <w:color w:val="auto"/>
        </w:rPr>
        <w:fldChar w:fldCharType="separate"/>
      </w:r>
      <w:r>
        <w:rPr>
          <w:rStyle w:val="59"/>
          <w:rFonts w:hint="eastAsia"/>
          <w:color w:val="auto"/>
        </w:rPr>
        <w:t>附件8    环境风险影响自查表</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_Toc224406053 \h</w:instrText>
      </w:r>
      <w:r>
        <w:rPr>
          <w:rFonts w:hint="eastAsia"/>
          <w:color w:val="auto"/>
        </w:rPr>
        <w:instrText xml:space="preserve"> </w:instrText>
      </w:r>
      <w:r>
        <w:rPr>
          <w:rFonts w:hint="eastAsia"/>
          <w:color w:val="auto"/>
        </w:rPr>
        <w:fldChar w:fldCharType="separate"/>
      </w:r>
      <w:r>
        <w:rPr>
          <w:color w:val="auto"/>
        </w:rPr>
        <w:t>270</w:t>
      </w:r>
      <w:r>
        <w:rPr>
          <w:rFonts w:hint="eastAsia"/>
          <w:color w:val="auto"/>
        </w:rPr>
        <w:fldChar w:fldCharType="end"/>
      </w:r>
      <w:r>
        <w:rPr>
          <w:rFonts w:hint="eastAsia"/>
          <w:color w:val="auto"/>
        </w:rPr>
        <w:fldChar w:fldCharType="end"/>
      </w:r>
    </w:p>
    <w:p w14:paraId="400805DC">
      <w:pPr>
        <w:pStyle w:val="86"/>
        <w:ind w:firstLine="480"/>
        <w:jc w:val="center"/>
        <w:rPr>
          <w:rFonts w:hint="eastAsia"/>
          <w:b/>
          <w:color w:val="auto"/>
          <w:sz w:val="28"/>
        </w:rPr>
      </w:pPr>
      <w:r>
        <w:rPr>
          <w:rFonts w:hint="eastAsia" w:cs="宋体"/>
          <w:color w:val="auto"/>
        </w:rPr>
        <w:fldChar w:fldCharType="end"/>
      </w:r>
    </w:p>
    <w:p w14:paraId="0ED59E32">
      <w:pPr>
        <w:rPr>
          <w:color w:val="auto"/>
        </w:rPr>
        <w:sectPr>
          <w:headerReference r:id="rId3" w:type="default"/>
          <w:footerReference r:id="rId4" w:type="default"/>
          <w:pgSz w:w="11906" w:h="16838"/>
          <w:pgMar w:top="1418" w:right="1588" w:bottom="1418" w:left="1588" w:header="1020" w:footer="1020" w:gutter="0"/>
          <w:pgNumType w:fmt="upperRoman" w:start="1"/>
          <w:cols w:space="720" w:num="1"/>
          <w:docGrid w:type="lines" w:linePitch="312" w:charSpace="0"/>
        </w:sectPr>
      </w:pPr>
    </w:p>
    <w:p w14:paraId="34228C67">
      <w:pPr>
        <w:pStyle w:val="2"/>
        <w:keepLines w:val="0"/>
        <w:widowControl/>
        <w:numPr>
          <w:ilvl w:val="0"/>
          <w:numId w:val="2"/>
        </w:numPr>
        <w:spacing w:before="200" w:after="200" w:line="360" w:lineRule="auto"/>
        <w:jc w:val="left"/>
        <w:rPr>
          <w:rFonts w:hint="eastAsia" w:ascii="黑体" w:hAnsi="黑体" w:eastAsia="黑体"/>
          <w:b w:val="0"/>
          <w:bCs w:val="0"/>
          <w:color w:val="auto"/>
          <w:kern w:val="2"/>
          <w:sz w:val="32"/>
          <w:szCs w:val="20"/>
          <w14:ligatures w14:val="none"/>
        </w:rPr>
      </w:pPr>
      <w:bookmarkStart w:id="12" w:name="_Toc224405907"/>
      <w:r>
        <w:rPr>
          <w:rFonts w:hint="eastAsia" w:ascii="黑体" w:hAnsi="黑体" w:eastAsia="黑体"/>
          <w:b w:val="0"/>
          <w:bCs w:val="0"/>
          <w:color w:val="auto"/>
          <w:kern w:val="2"/>
          <w:sz w:val="32"/>
          <w:szCs w:val="20"/>
          <w14:ligatures w14:val="none"/>
        </w:rPr>
        <w:t>概述</w:t>
      </w:r>
      <w:bookmarkEnd w:id="12"/>
    </w:p>
    <w:p w14:paraId="2C7113A6">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13" w:name="_Toc224405908"/>
      <w:r>
        <w:rPr>
          <w:rFonts w:hint="eastAsia" w:ascii="黑体" w:hAnsi="黑体" w:eastAsia="黑体" w:cs="Times New Roman"/>
          <w:bCs/>
          <w:color w:val="auto"/>
          <w:sz w:val="28"/>
          <w:szCs w:val="32"/>
          <w14:ligatures w14:val="none"/>
        </w:rPr>
        <w:t>项目</w:t>
      </w:r>
      <w:r>
        <w:rPr>
          <w:rFonts w:ascii="黑体" w:hAnsi="黑体" w:eastAsia="黑体" w:cs="Times New Roman"/>
          <w:bCs/>
          <w:color w:val="auto"/>
          <w:sz w:val="28"/>
          <w:szCs w:val="32"/>
          <w14:ligatures w14:val="none"/>
        </w:rPr>
        <w:t>背景</w:t>
      </w:r>
      <w:bookmarkEnd w:id="13"/>
    </w:p>
    <w:p w14:paraId="090BA50B">
      <w:pPr>
        <w:pStyle w:val="86"/>
        <w:ind w:firstLine="480"/>
        <w:rPr>
          <w:rFonts w:hint="eastAsia"/>
          <w:color w:val="auto"/>
        </w:rPr>
      </w:pPr>
      <w:bookmarkStart w:id="14" w:name="_Hlk78995800"/>
      <w:r>
        <w:rPr>
          <w:rFonts w:hint="eastAsia"/>
          <w:color w:val="auto"/>
        </w:rPr>
        <w:t>莫17井区行政隶属于新疆维吾尔自治区昌吉回族自治州玛纳斯县，该区地表为固定、半固定沙丘覆盖，地势起伏较大，地面海拔约</w:t>
      </w:r>
      <w:r>
        <w:rPr>
          <w:color w:val="auto"/>
        </w:rPr>
        <w:t>360m</w:t>
      </w:r>
      <w:r>
        <w:rPr>
          <w:rFonts w:hint="eastAsia"/>
          <w:color w:val="auto"/>
        </w:rPr>
        <w:t>～</w:t>
      </w:r>
      <w:r>
        <w:rPr>
          <w:color w:val="auto"/>
        </w:rPr>
        <w:t>440m</w:t>
      </w:r>
      <w:r>
        <w:rPr>
          <w:rFonts w:hint="eastAsia"/>
          <w:color w:val="auto"/>
        </w:rPr>
        <w:t>，平均</w:t>
      </w:r>
      <w:r>
        <w:rPr>
          <w:color w:val="auto"/>
        </w:rPr>
        <w:t>400m</w:t>
      </w:r>
      <w:r>
        <w:rPr>
          <w:rFonts w:hint="eastAsia"/>
          <w:color w:val="auto"/>
        </w:rPr>
        <w:t>。该区年温差为</w:t>
      </w:r>
      <w:r>
        <w:rPr>
          <w:color w:val="auto"/>
        </w:rPr>
        <w:t>-40</w:t>
      </w:r>
      <w:r>
        <w:rPr>
          <w:rFonts w:hint="eastAsia"/>
          <w:color w:val="auto"/>
        </w:rPr>
        <w:t>℃～</w:t>
      </w:r>
      <w:r>
        <w:rPr>
          <w:color w:val="auto"/>
        </w:rPr>
        <w:t>40</w:t>
      </w:r>
      <w:r>
        <w:rPr>
          <w:rFonts w:hint="eastAsia"/>
          <w:color w:val="auto"/>
        </w:rPr>
        <w:t>℃，降雨量小，蒸发量大，属大陆性干旱气候。工区靠近莫北气田，交通、水、电便利，具备较好的地面开发条件。</w:t>
      </w:r>
    </w:p>
    <w:p w14:paraId="1EC75364">
      <w:pPr>
        <w:pStyle w:val="86"/>
        <w:ind w:firstLine="480"/>
        <w:rPr>
          <w:rFonts w:hint="eastAsia"/>
          <w:color w:val="auto"/>
        </w:rPr>
      </w:pPr>
      <w:r>
        <w:rPr>
          <w:rFonts w:hint="eastAsia"/>
          <w:color w:val="auto"/>
        </w:rPr>
        <w:t>为进一步探索莫17井区的油气产能，中国石油新疆油田分公司石西油田作业区部署了</w:t>
      </w:r>
      <w:bookmarkStart w:id="15" w:name="OLE_LINK4"/>
      <w:r>
        <w:rPr>
          <w:rFonts w:hint="eastAsia"/>
          <w:color w:val="auto"/>
        </w:rPr>
        <w:t>莫27井、莫172H井和莫174H井</w:t>
      </w:r>
      <w:bookmarkEnd w:id="15"/>
      <w:r>
        <w:rPr>
          <w:rFonts w:hint="eastAsia"/>
          <w:color w:val="auto"/>
        </w:rPr>
        <w:t>，</w:t>
      </w:r>
      <w:bookmarkStart w:id="16" w:name="_Hlk177506629"/>
      <w:r>
        <w:rPr>
          <w:rFonts w:hint="eastAsia"/>
          <w:color w:val="auto"/>
        </w:rPr>
        <w:t>莫27井于2020年12月1日取得了昌吉回族自治州生态环境局玛纳斯县分局出具的《关于莫26、莫27井勘探钻探项目环境影响报告表的批复》（玛环审〔</w:t>
      </w:r>
      <w:r>
        <w:rPr>
          <w:color w:val="auto"/>
        </w:rPr>
        <w:t>20</w:t>
      </w:r>
      <w:r>
        <w:rPr>
          <w:rFonts w:hint="eastAsia"/>
          <w:color w:val="auto"/>
        </w:rPr>
        <w:t>20〕45</w:t>
      </w:r>
      <w:r>
        <w:rPr>
          <w:color w:val="auto"/>
        </w:rPr>
        <w:t>号</w:t>
      </w:r>
      <w:r>
        <w:rPr>
          <w:rFonts w:hint="eastAsia"/>
          <w:color w:val="auto"/>
        </w:rPr>
        <w:t>），2022年11月30日通过了企业自主竣工环境保护验收。莫172H井于2024年3月5日取得了</w:t>
      </w:r>
      <w:bookmarkStart w:id="17" w:name="OLE_LINK5"/>
      <w:r>
        <w:rPr>
          <w:rFonts w:hint="eastAsia"/>
          <w:color w:val="auto"/>
        </w:rPr>
        <w:t>昌吉回族自治州生态环境局出具的《关于</w:t>
      </w:r>
      <w:r>
        <w:rPr>
          <w:color w:val="auto"/>
        </w:rPr>
        <w:t>盆1井西凹陷莫17区块侏罗系三工河组油气藏评价井工程</w:t>
      </w:r>
      <w:r>
        <w:rPr>
          <w:rFonts w:hint="eastAsia"/>
          <w:color w:val="auto"/>
        </w:rPr>
        <w:t>环境影响报告表的批复》（昌州环评〔</w:t>
      </w:r>
      <w:r>
        <w:rPr>
          <w:color w:val="auto"/>
        </w:rPr>
        <w:t>20</w:t>
      </w:r>
      <w:r>
        <w:rPr>
          <w:rFonts w:hint="eastAsia"/>
          <w:color w:val="auto"/>
        </w:rPr>
        <w:t>24〕46</w:t>
      </w:r>
      <w:r>
        <w:rPr>
          <w:color w:val="auto"/>
        </w:rPr>
        <w:t>号</w:t>
      </w:r>
      <w:r>
        <w:rPr>
          <w:rFonts w:hint="eastAsia"/>
          <w:color w:val="auto"/>
        </w:rPr>
        <w:t>），</w:t>
      </w:r>
      <w:bookmarkEnd w:id="17"/>
      <w:r>
        <w:rPr>
          <w:rFonts w:hint="eastAsia"/>
          <w:color w:val="auto"/>
        </w:rPr>
        <w:t>并于2025年11月16日通过了企业自主竣工环境保护验收。</w:t>
      </w:r>
      <w:bookmarkEnd w:id="16"/>
      <w:r>
        <w:rPr>
          <w:rFonts w:hint="eastAsia"/>
          <w:color w:val="auto"/>
        </w:rPr>
        <w:t>根据莫172H井试油结果显示，该区域具有良好的油气流。莫174H井于2025年12月5日取得了昌吉回族自治州生态环境局出具的《关于</w:t>
      </w:r>
      <w:r>
        <w:rPr>
          <w:color w:val="auto"/>
        </w:rPr>
        <w:t>盆</w:t>
      </w:r>
      <w:r>
        <w:rPr>
          <w:rFonts w:hint="eastAsia"/>
          <w:color w:val="auto"/>
        </w:rPr>
        <w:t>10</w:t>
      </w:r>
      <w:r>
        <w:rPr>
          <w:color w:val="auto"/>
        </w:rPr>
        <w:t>区块评价井工程</w:t>
      </w:r>
      <w:r>
        <w:rPr>
          <w:rFonts w:hint="eastAsia"/>
          <w:color w:val="auto"/>
        </w:rPr>
        <w:t>环境影响报告表的批复》（昌州环评〔</w:t>
      </w:r>
      <w:r>
        <w:rPr>
          <w:color w:val="auto"/>
        </w:rPr>
        <w:t>20</w:t>
      </w:r>
      <w:r>
        <w:rPr>
          <w:rFonts w:hint="eastAsia"/>
          <w:color w:val="auto"/>
        </w:rPr>
        <w:t>25〕262</w:t>
      </w:r>
      <w:r>
        <w:rPr>
          <w:color w:val="auto"/>
        </w:rPr>
        <w:t>号</w:t>
      </w:r>
      <w:r>
        <w:rPr>
          <w:rFonts w:hint="eastAsia"/>
          <w:color w:val="auto"/>
        </w:rPr>
        <w:t>），目前还未开钻。</w:t>
      </w:r>
    </w:p>
    <w:p w14:paraId="5FD6E63D">
      <w:pPr>
        <w:pStyle w:val="86"/>
        <w:ind w:firstLine="480"/>
        <w:rPr>
          <w:rFonts w:hint="eastAsia"/>
          <w:color w:val="auto"/>
        </w:rPr>
      </w:pPr>
      <w:r>
        <w:rPr>
          <w:rFonts w:hint="eastAsia"/>
          <w:color w:val="auto"/>
        </w:rPr>
        <w:t>为进一步加大莫17井区开发力度，保障国家能源安全，中国石油新疆油田分公司石西油田作业区拟将莫27井、莫172H井和莫174H井由评价井转为生产井，新建3座采油井场，莫27井、莫172H井和莫174H井距离莫北转油站直线距离约26km，距离较远，为回收莫172H井、莫27井和莫174H井中的天然气，本次在莫172H井内新建1座8</w:t>
      </w:r>
      <w:r>
        <w:rPr>
          <w:rFonts w:hint="eastAsia" w:cs="宋体"/>
          <w:color w:val="auto"/>
        </w:rPr>
        <w:t>×10</w:t>
      </w:r>
      <w:r>
        <w:rPr>
          <w:rFonts w:hint="eastAsia" w:cs="宋体"/>
          <w:color w:val="auto"/>
          <w:vertAlign w:val="superscript"/>
        </w:rPr>
        <w:t>4</w:t>
      </w:r>
      <w:r>
        <w:rPr>
          <w:rFonts w:hint="eastAsia" w:cs="宋体"/>
          <w:color w:val="auto"/>
        </w:rPr>
        <w:t>m</w:t>
      </w:r>
      <w:r>
        <w:rPr>
          <w:rFonts w:hint="eastAsia" w:cs="宋体"/>
          <w:color w:val="auto"/>
          <w:vertAlign w:val="superscript"/>
        </w:rPr>
        <w:t>3</w:t>
      </w:r>
      <w:r>
        <w:rPr>
          <w:rFonts w:hint="eastAsia" w:cs="宋体"/>
          <w:color w:val="auto"/>
        </w:rPr>
        <w:t>/d的</w:t>
      </w:r>
      <w:r>
        <w:rPr>
          <w:rFonts w:hint="eastAsia"/>
          <w:color w:val="auto"/>
        </w:rPr>
        <w:t>天然气浅冷处理装置（利旧）和</w:t>
      </w:r>
      <w:r>
        <w:rPr>
          <w:color w:val="auto"/>
        </w:rPr>
        <w:t>充装区</w:t>
      </w:r>
      <w:r>
        <w:rPr>
          <w:rFonts w:hint="eastAsia"/>
          <w:color w:val="auto"/>
        </w:rPr>
        <w:t>，处理莫172H井和莫27井采出物；在莫174H井内新建1座3</w:t>
      </w:r>
      <w:r>
        <w:rPr>
          <w:rFonts w:hint="eastAsia" w:cs="宋体"/>
          <w:color w:val="auto"/>
        </w:rPr>
        <w:t>×10</w:t>
      </w:r>
      <w:r>
        <w:rPr>
          <w:rFonts w:hint="eastAsia" w:cs="宋体"/>
          <w:color w:val="auto"/>
          <w:vertAlign w:val="superscript"/>
        </w:rPr>
        <w:t>4</w:t>
      </w:r>
      <w:r>
        <w:rPr>
          <w:rFonts w:hint="eastAsia" w:cs="宋体"/>
          <w:color w:val="auto"/>
        </w:rPr>
        <w:t>m</w:t>
      </w:r>
      <w:r>
        <w:rPr>
          <w:rFonts w:hint="eastAsia" w:cs="宋体"/>
          <w:color w:val="auto"/>
          <w:vertAlign w:val="superscript"/>
        </w:rPr>
        <w:t>3</w:t>
      </w:r>
      <w:r>
        <w:rPr>
          <w:rFonts w:hint="eastAsia" w:cs="宋体"/>
          <w:color w:val="auto"/>
        </w:rPr>
        <w:t>/d的</w:t>
      </w:r>
      <w:r>
        <w:rPr>
          <w:rFonts w:hint="eastAsia"/>
          <w:color w:val="auto"/>
        </w:rPr>
        <w:t>天然气浅冷处理装置，配套建设供配电、仪表自动化、防腐、给排水等公用工程。项目实施后莫17井区设计天然气产能为9×1</w:t>
      </w:r>
      <w:r>
        <w:rPr>
          <w:color w:val="auto"/>
        </w:rPr>
        <w:t>0</w:t>
      </w:r>
      <w:r>
        <w:rPr>
          <w:color w:val="auto"/>
          <w:vertAlign w:val="superscript"/>
        </w:rPr>
        <w:t>4</w:t>
      </w:r>
      <w:r>
        <w:rPr>
          <w:color w:val="auto"/>
        </w:rPr>
        <w:t>m</w:t>
      </w:r>
      <w:r>
        <w:rPr>
          <w:color w:val="auto"/>
          <w:vertAlign w:val="superscript"/>
        </w:rPr>
        <w:t>3</w:t>
      </w:r>
      <w:r>
        <w:rPr>
          <w:color w:val="auto"/>
        </w:rPr>
        <w:t>/d</w:t>
      </w:r>
      <w:r>
        <w:rPr>
          <w:rFonts w:hint="eastAsia"/>
          <w:color w:val="auto"/>
        </w:rPr>
        <w:t>、原油产能为69t/d、混烃产量为5.7t/d。</w:t>
      </w:r>
    </w:p>
    <w:bookmarkEnd w:id="14"/>
    <w:p w14:paraId="524B93DE">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18" w:name="_Toc224405909"/>
      <w:r>
        <w:rPr>
          <w:rFonts w:hint="eastAsia" w:ascii="黑体" w:hAnsi="黑体" w:eastAsia="黑体" w:cs="Times New Roman"/>
          <w:bCs/>
          <w:color w:val="auto"/>
          <w:sz w:val="28"/>
          <w:szCs w:val="32"/>
          <w14:ligatures w14:val="none"/>
        </w:rPr>
        <w:t>建设项目主要特点</w:t>
      </w:r>
      <w:bookmarkEnd w:id="18"/>
    </w:p>
    <w:p w14:paraId="38748018">
      <w:pPr>
        <w:pStyle w:val="86"/>
        <w:ind w:firstLine="480"/>
        <w:rPr>
          <w:rFonts w:hint="eastAsia"/>
          <w:color w:val="auto"/>
        </w:rPr>
      </w:pPr>
      <w:bookmarkStart w:id="19" w:name="OLE_LINK54"/>
      <w:bookmarkStart w:id="20" w:name="_Toc469048934"/>
      <w:bookmarkStart w:id="21" w:name="_Toc469749398"/>
      <w:bookmarkStart w:id="22" w:name="_Toc475624453"/>
      <w:bookmarkStart w:id="23" w:name="_Hlk73979272"/>
      <w:r>
        <w:rPr>
          <w:rFonts w:hint="eastAsia"/>
          <w:color w:val="auto"/>
        </w:rPr>
        <w:t>莫27井、莫172H井</w:t>
      </w:r>
      <w:bookmarkEnd w:id="19"/>
      <w:r>
        <w:rPr>
          <w:rFonts w:hint="eastAsia"/>
          <w:color w:val="auto"/>
        </w:rPr>
        <w:t>和莫174H井由评价井转为生产井。由于项目区距离莫北转油站较远，在莫172H井和莫174H井场内各新建1座天然气浅冷处理装置，在莫</w:t>
      </w:r>
      <w:r>
        <w:rPr>
          <w:color w:val="auto"/>
        </w:rPr>
        <w:t>172H井场附近建设充装区</w:t>
      </w:r>
      <w:r>
        <w:rPr>
          <w:rFonts w:hint="eastAsia"/>
          <w:color w:val="auto"/>
        </w:rPr>
        <w:t>。天然气浅冷处理装置主要处理莫27井、莫172H井和莫174H井的采出物，处理后的</w:t>
      </w:r>
      <w:r>
        <w:rPr>
          <w:color w:val="auto"/>
        </w:rPr>
        <w:t>产品气通过CNG压缩机增压</w:t>
      </w:r>
      <w:r>
        <w:rPr>
          <w:rFonts w:hint="eastAsia"/>
          <w:color w:val="auto"/>
        </w:rPr>
        <w:t>后，</w:t>
      </w:r>
      <w:r>
        <w:rPr>
          <w:color w:val="auto"/>
        </w:rPr>
        <w:t>在充装区装车拉运</w:t>
      </w:r>
      <w:r>
        <w:rPr>
          <w:rFonts w:hint="eastAsia"/>
          <w:color w:val="auto"/>
        </w:rPr>
        <w:t>外售；</w:t>
      </w:r>
      <w:r>
        <w:rPr>
          <w:color w:val="auto"/>
        </w:rPr>
        <w:t>生产的混烃在充装区装车拉运</w:t>
      </w:r>
      <w:r>
        <w:rPr>
          <w:rFonts w:hint="eastAsia"/>
          <w:color w:val="auto"/>
        </w:rPr>
        <w:t>外售；原油和</w:t>
      </w:r>
      <w:r>
        <w:rPr>
          <w:color w:val="auto"/>
        </w:rPr>
        <w:t>污水</w:t>
      </w:r>
      <w:bookmarkStart w:id="24" w:name="OLE_LINK3"/>
      <w:r>
        <w:rPr>
          <w:color w:val="auto"/>
        </w:rPr>
        <w:t>装车拉运</w:t>
      </w:r>
      <w:r>
        <w:rPr>
          <w:rFonts w:hint="eastAsia"/>
          <w:color w:val="auto"/>
        </w:rPr>
        <w:t>至</w:t>
      </w:r>
      <w:bookmarkEnd w:id="24"/>
      <w:r>
        <w:rPr>
          <w:rFonts w:hint="eastAsia"/>
          <w:color w:val="auto"/>
        </w:rPr>
        <w:t>莫北转油站。</w:t>
      </w:r>
    </w:p>
    <w:p w14:paraId="6862E764">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25" w:name="_Toc224405910"/>
      <w:r>
        <w:rPr>
          <w:rFonts w:ascii="黑体" w:hAnsi="黑体" w:eastAsia="黑体" w:cs="Times New Roman"/>
          <w:bCs/>
          <w:color w:val="auto"/>
          <w:sz w:val="28"/>
          <w:szCs w:val="32"/>
          <w14:ligatures w14:val="none"/>
        </w:rPr>
        <w:t>环境影响评价</w:t>
      </w:r>
      <w:r>
        <w:rPr>
          <w:rFonts w:hint="eastAsia" w:ascii="黑体" w:hAnsi="黑体" w:eastAsia="黑体" w:cs="Times New Roman"/>
          <w:bCs/>
          <w:color w:val="auto"/>
          <w:sz w:val="28"/>
          <w:szCs w:val="32"/>
          <w14:ligatures w14:val="none"/>
        </w:rPr>
        <w:t>的工作</w:t>
      </w:r>
      <w:r>
        <w:rPr>
          <w:rFonts w:ascii="黑体" w:hAnsi="黑体" w:eastAsia="黑体" w:cs="Times New Roman"/>
          <w:bCs/>
          <w:color w:val="auto"/>
          <w:sz w:val="28"/>
          <w:szCs w:val="32"/>
          <w14:ligatures w14:val="none"/>
        </w:rPr>
        <w:t>过程</w:t>
      </w:r>
      <w:bookmarkEnd w:id="20"/>
      <w:bookmarkEnd w:id="21"/>
      <w:bookmarkEnd w:id="22"/>
      <w:bookmarkEnd w:id="25"/>
    </w:p>
    <w:bookmarkEnd w:id="23"/>
    <w:p w14:paraId="3553DCE4">
      <w:pPr>
        <w:pStyle w:val="86"/>
        <w:ind w:firstLine="480"/>
        <w:rPr>
          <w:rFonts w:hint="eastAsia"/>
          <w:color w:val="auto"/>
        </w:rPr>
      </w:pPr>
      <w:bookmarkStart w:id="26" w:name="_Hlk33006390"/>
      <w:r>
        <w:rPr>
          <w:rFonts w:hint="eastAsia"/>
          <w:color w:val="auto"/>
        </w:rPr>
        <w:t>拟部署井由评价井转为生产井，</w:t>
      </w:r>
      <w:bookmarkStart w:id="27" w:name="OLE_LINK2"/>
      <w:r>
        <w:rPr>
          <w:rFonts w:hint="eastAsia"/>
          <w:color w:val="auto"/>
        </w:rPr>
        <w:t>项目区位于新疆油田公司“一张图”外，项目所在区域属于未确定产能规模的新区块内，</w:t>
      </w:r>
      <w:bookmarkEnd w:id="27"/>
      <w:r>
        <w:rPr>
          <w:rFonts w:hint="eastAsia"/>
          <w:color w:val="auto"/>
        </w:rPr>
        <w:t>项目建设属于《建设项目环境影响评价分类管理名录（2021年版）》“五、石油和天然气开采业—</w:t>
      </w:r>
      <w:r>
        <w:rPr>
          <w:color w:val="auto"/>
        </w:rPr>
        <w:t>7</w:t>
      </w:r>
      <w:r>
        <w:rPr>
          <w:rFonts w:hint="eastAsia"/>
          <w:color w:val="auto"/>
        </w:rPr>
        <w:t>、陆地石油开采—石油开采新区块、页岩油开采、涉及环境敏感区的（含内部集输管线建设）”类别</w:t>
      </w:r>
      <w:r>
        <w:rPr>
          <w:color w:val="auto"/>
        </w:rPr>
        <w:t>，</w:t>
      </w:r>
      <w:r>
        <w:rPr>
          <w:rFonts w:hint="eastAsia"/>
          <w:color w:val="auto"/>
        </w:rPr>
        <w:t>应编制环境影响报告书。</w:t>
      </w:r>
    </w:p>
    <w:p w14:paraId="6D4DF071">
      <w:pPr>
        <w:pStyle w:val="86"/>
        <w:spacing w:line="480" w:lineRule="exact"/>
        <w:ind w:firstLine="480"/>
        <w:rPr>
          <w:rFonts w:hint="eastAsia"/>
          <w:color w:val="auto"/>
        </w:rPr>
      </w:pPr>
      <w:r>
        <w:rPr>
          <w:rFonts w:hint="eastAsia"/>
          <w:color w:val="auto"/>
        </w:rPr>
        <w:t>环境影响评价工作分为三个阶段，第一阶段包括资料收集、工程分析和影响识别等工作，第二阶段包括生态环境现状监测、现状调查与评价、环境影响预测与评价等工作，第三阶段包括提出预防或减缓不利影响的环境保护措施、制定环境监测计划、从生态环境影响的角度给出工程建设项目是否可行的结论等工作，具体流程见图</w:t>
      </w:r>
      <w:r>
        <w:rPr>
          <w:color w:val="auto"/>
        </w:rPr>
        <w:t>1.3</w:t>
      </w:r>
      <w:r>
        <w:rPr>
          <w:rFonts w:hint="eastAsia"/>
          <w:color w:val="auto"/>
        </w:rPr>
        <w:t>-</w:t>
      </w:r>
      <w:r>
        <w:rPr>
          <w:color w:val="auto"/>
        </w:rPr>
        <w:t>1</w:t>
      </w:r>
      <w:r>
        <w:rPr>
          <w:rFonts w:hint="eastAsia"/>
          <w:color w:val="auto"/>
        </w:rPr>
        <w:t>。中国石油新疆油田分公司石西油田作业区于</w:t>
      </w:r>
      <w:r>
        <w:rPr>
          <w:color w:val="auto"/>
        </w:rPr>
        <w:t>202</w:t>
      </w:r>
      <w:r>
        <w:rPr>
          <w:rFonts w:hint="eastAsia"/>
          <w:color w:val="auto"/>
        </w:rPr>
        <w:t>6</w:t>
      </w:r>
      <w:r>
        <w:rPr>
          <w:color w:val="auto"/>
        </w:rPr>
        <w:t>年</w:t>
      </w:r>
      <w:r>
        <w:rPr>
          <w:rFonts w:hint="eastAsia"/>
          <w:color w:val="auto"/>
        </w:rPr>
        <w:t>1</w:t>
      </w:r>
      <w:r>
        <w:rPr>
          <w:color w:val="auto"/>
        </w:rPr>
        <w:t>月委托中勘冶金勘察设计研究院有限责任公司承担本项目的环境影响评价工作</w:t>
      </w:r>
      <w:r>
        <w:rPr>
          <w:rFonts w:hint="eastAsia"/>
          <w:color w:val="auto"/>
        </w:rPr>
        <w:t>（附件1）</w:t>
      </w:r>
      <w:r>
        <w:rPr>
          <w:color w:val="auto"/>
        </w:rPr>
        <w:t>。</w:t>
      </w:r>
      <w:r>
        <w:rPr>
          <w:rFonts w:hint="eastAsia"/>
          <w:color w:val="auto"/>
        </w:rPr>
        <w:t>环评单位接受委托后进行了现场踏勘并收集了有关资料，在此基础上严格按照环境影响评价相关技术导则、规范要求编制完成了《</w:t>
      </w:r>
      <w:r>
        <w:rPr>
          <w:color w:val="auto"/>
        </w:rPr>
        <w:t>莫17</w:t>
      </w:r>
      <w:r>
        <w:rPr>
          <w:rFonts w:hint="eastAsia"/>
          <w:color w:val="auto"/>
        </w:rPr>
        <w:t>井区</w:t>
      </w:r>
      <w:r>
        <w:rPr>
          <w:color w:val="auto"/>
        </w:rPr>
        <w:t>天然气回收</w:t>
      </w:r>
      <w:r>
        <w:rPr>
          <w:rFonts w:hint="eastAsia"/>
          <w:color w:val="auto"/>
        </w:rPr>
        <w:t>建设项目环境影响报告书》。</w:t>
      </w:r>
    </w:p>
    <w:p w14:paraId="620E022E">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28" w:name="_Toc475624454"/>
      <w:bookmarkStart w:id="29" w:name="_Toc469749399"/>
      <w:bookmarkStart w:id="30" w:name="_Toc469048935"/>
      <w:bookmarkStart w:id="31" w:name="_Toc224405911"/>
      <w:r>
        <w:rPr>
          <w:rFonts w:hint="eastAsia" w:ascii="黑体" w:hAnsi="黑体" w:eastAsia="黑体" w:cs="Times New Roman"/>
          <w:bCs/>
          <w:color w:val="auto"/>
          <w:sz w:val="28"/>
          <w:szCs w:val="32"/>
          <w14:ligatures w14:val="none"/>
        </w:rPr>
        <w:t>关注的主要环境问题</w:t>
      </w:r>
      <w:bookmarkEnd w:id="28"/>
      <w:bookmarkEnd w:id="29"/>
      <w:bookmarkEnd w:id="30"/>
      <w:r>
        <w:rPr>
          <w:rFonts w:hint="eastAsia" w:ascii="黑体" w:hAnsi="黑体" w:eastAsia="黑体" w:cs="Times New Roman"/>
          <w:bCs/>
          <w:color w:val="auto"/>
          <w:sz w:val="28"/>
          <w:szCs w:val="32"/>
          <w14:ligatures w14:val="none"/>
        </w:rPr>
        <w:t>及环境影响</w:t>
      </w:r>
      <w:bookmarkEnd w:id="31"/>
    </w:p>
    <w:p w14:paraId="4E76848A">
      <w:pPr>
        <w:pStyle w:val="86"/>
        <w:spacing w:line="480" w:lineRule="exact"/>
        <w:ind w:firstLine="480"/>
        <w:rPr>
          <w:rFonts w:hint="eastAsia"/>
          <w:color w:val="auto"/>
        </w:rPr>
      </w:pPr>
      <w:r>
        <w:rPr>
          <w:rFonts w:hint="eastAsia"/>
          <w:color w:val="auto"/>
        </w:rPr>
        <w:t>本次</w:t>
      </w:r>
      <w:r>
        <w:rPr>
          <w:color w:val="auto"/>
        </w:rPr>
        <w:t>评价针对</w:t>
      </w:r>
      <w:r>
        <w:rPr>
          <w:rFonts w:hint="eastAsia"/>
          <w:color w:val="auto"/>
        </w:rPr>
        <w:t>施工期和运营期产生的废气、废水、噪声的达标排放情况，固体废物的妥善处置情况，以及提出的生态减缓措施是否将生态影响降至最低进行分析和论述，并针对以上环境影响所采取的污染防治措施、环境保护措施及风险防范措施的可行性进行分析。</w:t>
      </w:r>
    </w:p>
    <w:p w14:paraId="33C77634">
      <w:pPr>
        <w:pStyle w:val="86"/>
        <w:spacing w:line="480" w:lineRule="exact"/>
        <w:ind w:firstLine="480"/>
        <w:rPr>
          <w:rFonts w:hint="eastAsia" w:ascii="黑体" w:hAnsi="黑体" w:eastAsia="黑体"/>
          <w:color w:val="auto"/>
          <w:sz w:val="21"/>
          <w:szCs w:val="21"/>
        </w:rPr>
      </w:pPr>
      <w:r>
        <w:rPr>
          <w:color w:val="auto"/>
        </w:rPr>
        <w:t>关注的主要环境问题有：施工期产生</w:t>
      </w:r>
      <w:r>
        <w:rPr>
          <w:rFonts w:hint="eastAsia"/>
          <w:color w:val="auto"/>
        </w:rPr>
        <w:t>的</w:t>
      </w:r>
      <w:r>
        <w:rPr>
          <w:color w:val="auto"/>
        </w:rPr>
        <w:t>废气、</w:t>
      </w:r>
      <w:r>
        <w:rPr>
          <w:rFonts w:hint="eastAsia"/>
          <w:color w:val="auto"/>
        </w:rPr>
        <w:t>废水、噪声、固体废物以及工程</w:t>
      </w:r>
      <w:r>
        <w:rPr>
          <w:color w:val="auto"/>
        </w:rPr>
        <w:t>占地带来的生态影响</w:t>
      </w:r>
      <w:r>
        <w:rPr>
          <w:rFonts w:hint="eastAsia"/>
          <w:color w:val="auto"/>
        </w:rPr>
        <w:t>；运营期</w:t>
      </w:r>
      <w:bookmarkStart w:id="32" w:name="_Hlk35961104"/>
      <w:r>
        <w:rPr>
          <w:rFonts w:hint="eastAsia"/>
          <w:color w:val="auto"/>
        </w:rPr>
        <w:t>产生的无组织挥发性有机物、</w:t>
      </w:r>
      <w:bookmarkEnd w:id="32"/>
      <w:r>
        <w:rPr>
          <w:rFonts w:hint="eastAsia"/>
          <w:color w:val="auto"/>
        </w:rPr>
        <w:t>燃气发电机燃烧烟气、噪声、废水、清罐底泥、废分子筛、废滤料、废润滑油、废润滑油桶、沾油废防渗材料</w:t>
      </w:r>
      <w:r>
        <w:rPr>
          <w:rFonts w:hint="eastAsia" w:cs="宋体"/>
          <w:color w:val="auto"/>
        </w:rPr>
        <w:t>、</w:t>
      </w:r>
      <w:r>
        <w:rPr>
          <w:rFonts w:hint="eastAsia" w:cs="宋体"/>
          <w:color w:val="auto"/>
          <w:lang w:val="zh-CN"/>
        </w:rPr>
        <w:t>废含油抹布及劳保用品</w:t>
      </w:r>
      <w:r>
        <w:rPr>
          <w:rFonts w:hint="eastAsia"/>
          <w:color w:val="auto"/>
        </w:rPr>
        <w:t>和生活垃圾等对环境的影响，以及事故状态对环境的影响分析</w:t>
      </w:r>
      <w:r>
        <w:rPr>
          <w:color w:val="auto"/>
        </w:rPr>
        <w:t>。</w:t>
      </w:r>
    </w:p>
    <w:p w14:paraId="060E7B17">
      <w:pPr>
        <w:pStyle w:val="86"/>
        <w:spacing w:line="240" w:lineRule="auto"/>
        <w:ind w:firstLine="0" w:firstLineChars="0"/>
        <w:jc w:val="center"/>
        <w:rPr>
          <w:rFonts w:hint="eastAsia"/>
          <w:color w:val="auto"/>
        </w:rPr>
      </w:pPr>
      <w:r>
        <w:rPr>
          <w:color w:val="auto"/>
        </w:rPr>
        <w:drawing>
          <wp:inline distT="0" distB="0" distL="0" distR="0">
            <wp:extent cx="4305935" cy="5295900"/>
            <wp:effectExtent l="0" t="0" r="0" b="0"/>
            <wp:docPr id="1724271145" name="图片 172427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71145" name="图片 1724271145"/>
                    <pic:cNvPicPr>
                      <a:picLocks noChangeAspect="1"/>
                    </pic:cNvPicPr>
                  </pic:nvPicPr>
                  <pic:blipFill>
                    <a:blip r:embed="rId47"/>
                    <a:stretch>
                      <a:fillRect/>
                    </a:stretch>
                  </pic:blipFill>
                  <pic:spPr>
                    <a:xfrm>
                      <a:off x="0" y="0"/>
                      <a:ext cx="4313362" cy="5305032"/>
                    </a:xfrm>
                    <a:prstGeom prst="rect">
                      <a:avLst/>
                    </a:prstGeom>
                  </pic:spPr>
                </pic:pic>
              </a:graphicData>
            </a:graphic>
          </wp:inline>
        </w:drawing>
      </w:r>
    </w:p>
    <w:p w14:paraId="7494DECB">
      <w:pPr>
        <w:pStyle w:val="86"/>
        <w:ind w:firstLine="0" w:firstLineChars="0"/>
        <w:jc w:val="center"/>
        <w:rPr>
          <w:rFonts w:hint="eastAsia" w:ascii="黑体" w:hAnsi="黑体" w:eastAsia="黑体"/>
          <w:color w:val="auto"/>
          <w:sz w:val="21"/>
          <w:szCs w:val="21"/>
        </w:rPr>
      </w:pPr>
      <w:r>
        <w:rPr>
          <w:rFonts w:hint="eastAsia" w:ascii="黑体" w:hAnsi="黑体" w:eastAsia="黑体"/>
          <w:color w:val="auto"/>
          <w:sz w:val="21"/>
          <w:szCs w:val="21"/>
        </w:rPr>
        <w:t>图</w:t>
      </w:r>
      <w:r>
        <w:rPr>
          <w:rFonts w:ascii="黑体" w:hAnsi="黑体" w:eastAsia="黑体"/>
          <w:color w:val="auto"/>
          <w:sz w:val="21"/>
          <w:szCs w:val="21"/>
        </w:rPr>
        <w:t>1.3</w:t>
      </w:r>
      <w:r>
        <w:rPr>
          <w:rFonts w:hint="eastAsia" w:ascii="黑体" w:hAnsi="黑体" w:eastAsia="黑体"/>
          <w:color w:val="auto"/>
          <w:sz w:val="21"/>
          <w:szCs w:val="21"/>
        </w:rPr>
        <w:t>-</w:t>
      </w:r>
      <w:r>
        <w:rPr>
          <w:rFonts w:ascii="黑体" w:hAnsi="黑体" w:eastAsia="黑体"/>
          <w:color w:val="auto"/>
          <w:sz w:val="21"/>
          <w:szCs w:val="21"/>
        </w:rPr>
        <w:t>1  环境影响评价工作程序图</w:t>
      </w:r>
    </w:p>
    <w:bookmarkEnd w:id="26"/>
    <w:p w14:paraId="0E340FDB">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33" w:name="_Toc224405912"/>
      <w:r>
        <w:rPr>
          <w:rFonts w:hint="eastAsia" w:ascii="黑体" w:hAnsi="黑体" w:eastAsia="黑体" w:cs="Times New Roman"/>
          <w:bCs/>
          <w:color w:val="auto"/>
          <w:sz w:val="28"/>
          <w:szCs w:val="32"/>
          <w14:ligatures w14:val="none"/>
        </w:rPr>
        <w:t>分析判定相关情况</w:t>
      </w:r>
      <w:bookmarkEnd w:id="33"/>
    </w:p>
    <w:p w14:paraId="7E50ECA4">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产业政策相符性分析</w:t>
      </w:r>
    </w:p>
    <w:p w14:paraId="0193569A">
      <w:pPr>
        <w:pStyle w:val="86"/>
        <w:ind w:firstLine="480"/>
        <w:rPr>
          <w:rFonts w:hint="eastAsia"/>
          <w:color w:val="auto"/>
        </w:rPr>
      </w:pPr>
      <w:r>
        <w:rPr>
          <w:rFonts w:hint="eastAsia"/>
          <w:color w:val="auto"/>
        </w:rPr>
        <w:t>本项目属于</w:t>
      </w:r>
      <w:r>
        <w:rPr>
          <w:color w:val="auto"/>
        </w:rPr>
        <w:t>《产业结构调整指导目录（2024</w:t>
      </w:r>
      <w:r>
        <w:rPr>
          <w:rFonts w:hint="eastAsia"/>
          <w:color w:val="auto"/>
        </w:rPr>
        <w:t>年</w:t>
      </w:r>
      <w:r>
        <w:rPr>
          <w:color w:val="auto"/>
        </w:rPr>
        <w:t>）》</w:t>
      </w:r>
      <w:r>
        <w:rPr>
          <w:rFonts w:hint="eastAsia"/>
          <w:color w:val="auto"/>
        </w:rPr>
        <w:t>鼓励类中的</w:t>
      </w:r>
      <w:r>
        <w:rPr>
          <w:color w:val="auto"/>
        </w:rPr>
        <w:t>“</w:t>
      </w:r>
      <w:r>
        <w:rPr>
          <w:rFonts w:hint="eastAsia"/>
          <w:color w:val="auto"/>
        </w:rPr>
        <w:t>七、石油、天然气——</w:t>
      </w:r>
      <w:r>
        <w:rPr>
          <w:color w:val="auto"/>
        </w:rPr>
        <w:t>1</w:t>
      </w:r>
      <w:r>
        <w:rPr>
          <w:rFonts w:hint="eastAsia"/>
          <w:color w:val="auto"/>
        </w:rPr>
        <w:t>.石油天然气开采：常规石油、天然气勘探与开采，页岩气、页岩油、致密油（气）、油砂、天然气水合物等非常规资源勘探开发</w:t>
      </w:r>
      <w:r>
        <w:rPr>
          <w:color w:val="auto"/>
        </w:rPr>
        <w:t>”</w:t>
      </w:r>
      <w:r>
        <w:rPr>
          <w:rFonts w:hint="eastAsia"/>
          <w:color w:val="auto"/>
        </w:rPr>
        <w:t>，</w:t>
      </w:r>
      <w:r>
        <w:rPr>
          <w:color w:val="auto"/>
        </w:rPr>
        <w:t>符合国家产业政策。</w:t>
      </w:r>
    </w:p>
    <w:p w14:paraId="0C6E11B6">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34" w:name="_Hlk165553562"/>
      <w:r>
        <w:rPr>
          <w:rFonts w:hint="eastAsia" w:ascii="黑体" w:hAnsi="黑体" w:eastAsia="黑体" w:cs="Times New Roman"/>
          <w:color w:val="auto"/>
          <w:sz w:val="24"/>
          <w:szCs w:val="21"/>
          <w:lang w:val="zh-CN"/>
          <w14:ligatures w14:val="none"/>
        </w:rPr>
        <w:t>选址选线合理性分析</w:t>
      </w:r>
    </w:p>
    <w:p w14:paraId="75AA3CB2">
      <w:pPr>
        <w:pStyle w:val="86"/>
        <w:ind w:firstLine="480"/>
        <w:rPr>
          <w:rFonts w:hint="eastAsia"/>
          <w:color w:val="auto"/>
        </w:rPr>
      </w:pPr>
      <w:bookmarkStart w:id="35" w:name="_Hlk165562489"/>
      <w:bookmarkStart w:id="36" w:name="OLE_LINK79"/>
      <w:bookmarkStart w:id="37" w:name="_Hlk80207063"/>
      <w:r>
        <w:rPr>
          <w:color w:val="auto"/>
        </w:rPr>
        <w:t>莫27井</w:t>
      </w:r>
      <w:r>
        <w:rPr>
          <w:rFonts w:hint="eastAsia"/>
          <w:color w:val="auto"/>
        </w:rPr>
        <w:t>、莫172H井和莫174H井由评价井转为生产井，采油井场选址已在钻试工程相应的环境影响报告表中进行了论证，即选址合理。</w:t>
      </w:r>
      <w:bookmarkStart w:id="38" w:name="_Hlk177300634"/>
      <w:r>
        <w:rPr>
          <w:rFonts w:hint="eastAsia"/>
          <w:color w:val="auto"/>
        </w:rPr>
        <w:t>本工程新建单井采油管线采用两点之间取直的布线方式接入最近的站场，减少占地面积的同时，减少了管线开挖长度，减少对地表土壤、植被的扰动范围。本工程单井采油管线已</w:t>
      </w:r>
      <w:r>
        <w:rPr>
          <w:rFonts w:hint="eastAsia" w:cs="宋体"/>
          <w:color w:val="auto"/>
        </w:rPr>
        <w:t>尽量避开梭梭、白梭梭等固沙植物</w:t>
      </w:r>
      <w:r>
        <w:rPr>
          <w:rFonts w:hint="eastAsia"/>
          <w:color w:val="auto"/>
        </w:rPr>
        <w:t>；</w:t>
      </w:r>
      <w:r>
        <w:rPr>
          <w:rFonts w:hint="eastAsia" w:cs="宋体"/>
          <w:color w:val="auto"/>
        </w:rPr>
        <w:t>根据管径大小确定施工作业带宽度，严格控制占地；</w:t>
      </w:r>
      <w:r>
        <w:rPr>
          <w:rFonts w:hint="eastAsia"/>
          <w:color w:val="auto"/>
        </w:rPr>
        <w:t>在开挖过程中须采取分层开挖、分层堆放、分层回填的方式，减少对地表土壤、植被的扰动范围。严格按照有关规定办理建设用地审批手续，经批准后占用。</w:t>
      </w:r>
      <w:r>
        <w:rPr>
          <w:rFonts w:hint="eastAsia" w:cs="宋体"/>
          <w:color w:val="auto"/>
        </w:rPr>
        <w:t>评价范围内野生动物较少，</w:t>
      </w:r>
      <w:r>
        <w:rPr>
          <w:rFonts w:hint="eastAsia"/>
          <w:color w:val="auto"/>
        </w:rPr>
        <w:t>对周围生态环境影响较小；</w:t>
      </w:r>
      <w:bookmarkEnd w:id="38"/>
      <w:r>
        <w:rPr>
          <w:rFonts w:hint="eastAsia"/>
          <w:color w:val="auto"/>
        </w:rPr>
        <w:t>无组织废气和噪声均可实现达标排放，废水和固体废物均可得到妥善处置；项目区周围</w:t>
      </w:r>
      <w:r>
        <w:rPr>
          <w:rFonts w:hint="eastAsia"/>
          <w:color w:val="auto"/>
          <w:kern w:val="0"/>
        </w:rPr>
        <w:t>无自然保护区、风景名胜区、居民区、医院、学校等环境保护目标，</w:t>
      </w:r>
      <w:r>
        <w:rPr>
          <w:rFonts w:hint="eastAsia"/>
          <w:color w:val="auto"/>
        </w:rPr>
        <w:t>不涉及生态保护红线</w:t>
      </w:r>
      <w:r>
        <w:rPr>
          <w:rFonts w:hint="eastAsia"/>
          <w:color w:val="auto"/>
          <w:kern w:val="0"/>
        </w:rPr>
        <w:t>。</w:t>
      </w:r>
      <w:r>
        <w:rPr>
          <w:rFonts w:hint="eastAsia"/>
          <w:color w:val="auto"/>
          <w:lang w:val="zh-CN"/>
        </w:rPr>
        <w:t>综上所述，</w:t>
      </w:r>
      <w:r>
        <w:rPr>
          <w:rFonts w:hint="eastAsia"/>
          <w:color w:val="auto"/>
        </w:rPr>
        <w:t>项目选址选线合理</w:t>
      </w:r>
      <w:r>
        <w:rPr>
          <w:rFonts w:hint="eastAsia"/>
          <w:color w:val="auto"/>
          <w:kern w:val="0"/>
        </w:rPr>
        <w:t>。</w:t>
      </w:r>
      <w:bookmarkEnd w:id="35"/>
    </w:p>
    <w:bookmarkEnd w:id="34"/>
    <w:bookmarkEnd w:id="36"/>
    <w:p w14:paraId="1EE76C3E">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相关规划及政策符合性分析</w:t>
      </w:r>
    </w:p>
    <w:p w14:paraId="2F30543A">
      <w:pPr>
        <w:pStyle w:val="86"/>
        <w:ind w:firstLine="480"/>
        <w:rPr>
          <w:rFonts w:hint="eastAsia"/>
          <w:color w:val="auto"/>
        </w:rPr>
      </w:pPr>
      <w:r>
        <w:rPr>
          <w:rFonts w:hint="eastAsia"/>
          <w:color w:val="auto"/>
        </w:rPr>
        <w:t>项目建设符合</w:t>
      </w:r>
      <w:bookmarkStart w:id="39" w:name="_Hlk129099377"/>
      <w:bookmarkStart w:id="40" w:name="_Hlk148005706"/>
      <w:r>
        <w:rPr>
          <w:rFonts w:hint="eastAsia"/>
          <w:color w:val="auto"/>
        </w:rPr>
        <w:t>《新疆维吾尔自治区国民经济和社会发展第十四个五年规划和</w:t>
      </w:r>
      <w:r>
        <w:rPr>
          <w:color w:val="auto"/>
        </w:rPr>
        <w:t>2035</w:t>
      </w:r>
      <w:r>
        <w:rPr>
          <w:rFonts w:hint="eastAsia"/>
          <w:color w:val="auto"/>
        </w:rPr>
        <w:t>年远景目标纲要》《昌吉回族自治州国民经济和社会发展第十四个五年规划和</w:t>
      </w:r>
      <w:r>
        <w:rPr>
          <w:color w:val="auto"/>
        </w:rPr>
        <w:t>2035</w:t>
      </w:r>
      <w:r>
        <w:rPr>
          <w:rFonts w:hint="eastAsia"/>
          <w:color w:val="auto"/>
        </w:rPr>
        <w:t>年远景目标纲要》《新疆维吾尔自治区主体功能区规划》《</w:t>
      </w:r>
      <w:r>
        <w:rPr>
          <w:color w:val="auto"/>
        </w:rPr>
        <w:t>新疆维吾尔自治区矿产资源</w:t>
      </w:r>
      <w:r>
        <w:rPr>
          <w:rFonts w:hint="eastAsia"/>
          <w:color w:val="auto"/>
        </w:rPr>
        <w:t>总体</w:t>
      </w:r>
      <w:r>
        <w:rPr>
          <w:color w:val="auto"/>
        </w:rPr>
        <w:t>规划（2021</w:t>
      </w:r>
      <w:r>
        <w:rPr>
          <w:rFonts w:hint="eastAsia"/>
          <w:color w:val="auto"/>
        </w:rPr>
        <w:t>—</w:t>
      </w:r>
      <w:r>
        <w:rPr>
          <w:color w:val="auto"/>
        </w:rPr>
        <w:t>2025年）</w:t>
      </w:r>
      <w:r>
        <w:rPr>
          <w:rFonts w:hint="eastAsia"/>
          <w:color w:val="auto"/>
        </w:rPr>
        <w:t>》《新疆油田公司</w:t>
      </w:r>
      <w:r>
        <w:rPr>
          <w:color w:val="auto"/>
        </w:rPr>
        <w:t>“</w:t>
      </w:r>
      <w:r>
        <w:rPr>
          <w:rFonts w:hint="eastAsia"/>
          <w:color w:val="auto"/>
        </w:rPr>
        <w:t>十四五</w:t>
      </w:r>
      <w:r>
        <w:rPr>
          <w:color w:val="auto"/>
        </w:rPr>
        <w:t>”</w:t>
      </w:r>
      <w:r>
        <w:rPr>
          <w:rFonts w:hint="eastAsia"/>
          <w:color w:val="auto"/>
        </w:rPr>
        <w:t>发展规划》《新疆生态环境保护</w:t>
      </w:r>
      <w:r>
        <w:rPr>
          <w:color w:val="auto"/>
        </w:rPr>
        <w:t>“</w:t>
      </w:r>
      <w:r>
        <w:rPr>
          <w:rFonts w:hint="eastAsia"/>
          <w:color w:val="auto"/>
        </w:rPr>
        <w:t>十四五</w:t>
      </w:r>
      <w:r>
        <w:rPr>
          <w:color w:val="auto"/>
        </w:rPr>
        <w:t>”</w:t>
      </w:r>
      <w:r>
        <w:rPr>
          <w:rFonts w:hint="eastAsia"/>
          <w:color w:val="auto"/>
        </w:rPr>
        <w:t>规划》《昌吉回族自治州生态环境保护</w:t>
      </w:r>
      <w:r>
        <w:rPr>
          <w:color w:val="auto"/>
        </w:rPr>
        <w:t>“</w:t>
      </w:r>
      <w:r>
        <w:rPr>
          <w:rFonts w:hint="eastAsia"/>
          <w:color w:val="auto"/>
        </w:rPr>
        <w:t>十四五</w:t>
      </w:r>
      <w:r>
        <w:rPr>
          <w:color w:val="auto"/>
        </w:rPr>
        <w:t>”</w:t>
      </w:r>
      <w:r>
        <w:rPr>
          <w:rFonts w:hint="eastAsia"/>
          <w:color w:val="auto"/>
        </w:rPr>
        <w:t>规划》《石油天然气开采业污染防治技术政策》《陆上石油天然气开采业绿色矿山建设规范》《关于进一步加强石油天然气行业环境影响评价管理的通知》《</w:t>
      </w:r>
      <w:r>
        <w:rPr>
          <w:color w:val="auto"/>
        </w:rPr>
        <w:t>昌吉回族自治州生态环境分区管控动态更新成果</w:t>
      </w:r>
      <w:r>
        <w:rPr>
          <w:rFonts w:hint="eastAsia"/>
          <w:color w:val="auto"/>
        </w:rPr>
        <w:t>（2024年）》《新疆维吾尔自治区重点行业生态环境准入条件（2024年）》中的相关要求。</w:t>
      </w:r>
    </w:p>
    <w:bookmarkEnd w:id="37"/>
    <w:bookmarkEnd w:id="39"/>
    <w:bookmarkEnd w:id="40"/>
    <w:p w14:paraId="6C1BF668">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41" w:name="_Toc224405913"/>
      <w:r>
        <w:rPr>
          <w:rFonts w:hint="eastAsia" w:ascii="黑体" w:hAnsi="黑体" w:eastAsia="黑体" w:cs="Times New Roman"/>
          <w:bCs/>
          <w:color w:val="auto"/>
          <w:sz w:val="28"/>
          <w:szCs w:val="32"/>
          <w14:ligatures w14:val="none"/>
        </w:rPr>
        <w:t>环境影响评价的</w:t>
      </w:r>
      <w:r>
        <w:rPr>
          <w:rFonts w:ascii="黑体" w:hAnsi="黑体" w:eastAsia="黑体" w:cs="Times New Roman"/>
          <w:bCs/>
          <w:color w:val="auto"/>
          <w:sz w:val="28"/>
          <w:szCs w:val="32"/>
          <w14:ligatures w14:val="none"/>
        </w:rPr>
        <w:t>主要结论</w:t>
      </w:r>
      <w:bookmarkEnd w:id="41"/>
    </w:p>
    <w:p w14:paraId="07C8DC9C">
      <w:pPr>
        <w:pStyle w:val="86"/>
        <w:ind w:firstLine="480"/>
        <w:rPr>
          <w:rFonts w:hint="eastAsia"/>
          <w:color w:val="auto"/>
        </w:rPr>
      </w:pPr>
      <w:bookmarkStart w:id="42" w:name="_Hlk17801527"/>
      <w:r>
        <w:rPr>
          <w:rFonts w:hint="eastAsia"/>
          <w:color w:val="auto"/>
        </w:rPr>
        <w:t>项目符合国家相关规划、环保政策及“三线一单”的要求，项目选址选线合理。运营期废气、噪声可实现达标排放，废水和固体废物均可实现妥善处置，建成后区域环境质量仍能满足相应功能区要求；开发活动对生态环境的影响较小，不会对区域生态系统或生物多样性产生较大影响；运行过程中存在一定的环境风险，但采取相应的环境风险防范措施后，其影响是可防可控的；项目进行了三次网上公示、一次张贴公告、两次报纸公示，公示期间均未收到公众反馈意见。从生态环境保护角度论证，建设可行。</w:t>
      </w:r>
    </w:p>
    <w:bookmarkEnd w:id="42"/>
    <w:p w14:paraId="3FC404A5">
      <w:pPr>
        <w:pStyle w:val="2"/>
        <w:keepLines w:val="0"/>
        <w:widowControl/>
        <w:numPr>
          <w:ilvl w:val="0"/>
          <w:numId w:val="2"/>
        </w:numPr>
        <w:spacing w:before="200" w:after="200" w:line="360" w:lineRule="auto"/>
        <w:ind w:hanging="567"/>
        <w:jc w:val="left"/>
        <w:rPr>
          <w:color w:val="auto"/>
        </w:rPr>
      </w:pPr>
      <w:r>
        <w:rPr>
          <w:color w:val="auto"/>
        </w:rPr>
        <w:br w:type="page"/>
      </w:r>
      <w:bookmarkStart w:id="43" w:name="_Toc224405914"/>
      <w:r>
        <w:rPr>
          <w:rFonts w:hint="eastAsia" w:ascii="黑体" w:hAnsi="黑体" w:eastAsia="黑体"/>
          <w:b w:val="0"/>
          <w:bCs w:val="0"/>
          <w:color w:val="auto"/>
          <w:kern w:val="2"/>
          <w:sz w:val="32"/>
          <w:szCs w:val="20"/>
          <w14:ligatures w14:val="none"/>
        </w:rPr>
        <w:t>总则</w:t>
      </w:r>
      <w:bookmarkEnd w:id="43"/>
    </w:p>
    <w:p w14:paraId="5DF2FBB7">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44" w:name="_Toc445996320"/>
      <w:bookmarkStart w:id="45" w:name="_Toc475624459"/>
      <w:bookmarkStart w:id="46" w:name="_Toc459026553"/>
      <w:bookmarkStart w:id="47" w:name="_Toc445840369"/>
      <w:bookmarkStart w:id="48" w:name="_Toc445841957"/>
      <w:bookmarkStart w:id="49" w:name="_Toc17814"/>
      <w:bookmarkStart w:id="50" w:name="_Toc224405915"/>
      <w:r>
        <w:rPr>
          <w:rFonts w:hint="eastAsia" w:ascii="黑体" w:hAnsi="黑体" w:eastAsia="黑体" w:cs="Times New Roman"/>
          <w:bCs/>
          <w:color w:val="auto"/>
          <w:sz w:val="28"/>
          <w:szCs w:val="32"/>
          <w14:ligatures w14:val="none"/>
        </w:rPr>
        <w:t>编制</w:t>
      </w:r>
      <w:r>
        <w:rPr>
          <w:rFonts w:ascii="黑体" w:hAnsi="黑体" w:eastAsia="黑体" w:cs="Times New Roman"/>
          <w:bCs/>
          <w:color w:val="auto"/>
          <w:sz w:val="28"/>
          <w:szCs w:val="32"/>
          <w14:ligatures w14:val="none"/>
        </w:rPr>
        <w:t>依据</w:t>
      </w:r>
      <w:bookmarkEnd w:id="44"/>
      <w:bookmarkEnd w:id="45"/>
      <w:bookmarkEnd w:id="46"/>
      <w:bookmarkEnd w:id="47"/>
      <w:bookmarkEnd w:id="48"/>
      <w:bookmarkEnd w:id="49"/>
      <w:bookmarkEnd w:id="50"/>
    </w:p>
    <w:p w14:paraId="4DAF8A26">
      <w:pPr>
        <w:pStyle w:val="4"/>
        <w:keepNext w:val="0"/>
        <w:keepLines w:val="0"/>
        <w:numPr>
          <w:ilvl w:val="2"/>
          <w:numId w:val="2"/>
        </w:numPr>
        <w:spacing w:after="160" w:line="360" w:lineRule="auto"/>
        <w:ind w:left="0" w:firstLine="141" w:firstLineChars="59"/>
        <w:jc w:val="left"/>
        <w:rPr>
          <w:rFonts w:hint="eastAsia" w:ascii="黑体" w:hAnsi="黑体" w:eastAsia="黑体" w:cs="Times New Roman"/>
          <w:color w:val="auto"/>
          <w:sz w:val="24"/>
          <w:szCs w:val="21"/>
          <w:lang w:val="zh-CN"/>
          <w14:ligatures w14:val="none"/>
        </w:rPr>
      </w:pPr>
      <w:bookmarkStart w:id="51" w:name="_Hlk33041053"/>
      <w:r>
        <w:rPr>
          <w:rFonts w:hint="eastAsia" w:ascii="黑体" w:hAnsi="黑体" w:eastAsia="黑体" w:cs="Times New Roman"/>
          <w:color w:val="auto"/>
          <w:sz w:val="24"/>
          <w:szCs w:val="21"/>
          <w:lang w:val="zh-CN"/>
          <w14:ligatures w14:val="none"/>
        </w:rPr>
        <w:t>国家环保法律</w:t>
      </w:r>
    </w:p>
    <w:p w14:paraId="6253B882">
      <w:pPr>
        <w:pStyle w:val="86"/>
        <w:ind w:firstLine="480"/>
        <w:rPr>
          <w:rFonts w:hint="eastAsia"/>
          <w:color w:val="auto"/>
          <w:lang w:val="zh-CN"/>
        </w:rPr>
      </w:pPr>
      <w:r>
        <w:rPr>
          <w:rFonts w:hint="eastAsia"/>
          <w:color w:val="auto"/>
          <w:lang w:val="zh-CN"/>
        </w:rPr>
        <w:t>（1）《中华人民共和国环境保护法》，2015年1月1日；</w:t>
      </w:r>
    </w:p>
    <w:p w14:paraId="40DA31DC">
      <w:pPr>
        <w:pStyle w:val="86"/>
        <w:ind w:firstLine="480"/>
        <w:rPr>
          <w:rFonts w:hint="eastAsia"/>
          <w:color w:val="auto"/>
          <w:lang w:val="zh-CN"/>
        </w:rPr>
      </w:pPr>
      <w:r>
        <w:rPr>
          <w:rFonts w:hint="eastAsia"/>
          <w:color w:val="auto"/>
          <w:lang w:val="zh-CN"/>
        </w:rPr>
        <w:t>（2）《中华人民共和国环境影响评价法》，2018年12月29日；</w:t>
      </w:r>
    </w:p>
    <w:p w14:paraId="0DB7AE93">
      <w:pPr>
        <w:pStyle w:val="86"/>
        <w:ind w:firstLine="480"/>
        <w:rPr>
          <w:rFonts w:hint="eastAsia"/>
          <w:color w:val="auto"/>
          <w:lang w:val="zh-CN"/>
        </w:rPr>
      </w:pPr>
      <w:r>
        <w:rPr>
          <w:rFonts w:hint="eastAsia"/>
          <w:color w:val="auto"/>
          <w:lang w:val="zh-CN"/>
        </w:rPr>
        <w:t>（3）《中华人民共和国大气污染防治法》，2018年10月26日；</w:t>
      </w:r>
    </w:p>
    <w:p w14:paraId="5AB0F539">
      <w:pPr>
        <w:pStyle w:val="86"/>
        <w:ind w:firstLine="480"/>
        <w:rPr>
          <w:rFonts w:hint="eastAsia"/>
          <w:color w:val="auto"/>
          <w:lang w:val="zh-CN"/>
        </w:rPr>
      </w:pPr>
      <w:r>
        <w:rPr>
          <w:rFonts w:hint="eastAsia"/>
          <w:color w:val="auto"/>
          <w:lang w:val="zh-CN"/>
        </w:rPr>
        <w:t>（4）《中华人民共和国水污染防治法》，2018年1月1日；</w:t>
      </w:r>
    </w:p>
    <w:p w14:paraId="51BC71E9">
      <w:pPr>
        <w:pStyle w:val="86"/>
        <w:ind w:firstLine="480"/>
        <w:rPr>
          <w:rFonts w:hint="eastAsia"/>
          <w:color w:val="auto"/>
          <w:lang w:val="zh-CN"/>
        </w:rPr>
      </w:pPr>
      <w:r>
        <w:rPr>
          <w:rFonts w:hint="eastAsia"/>
          <w:color w:val="auto"/>
          <w:lang w:val="zh-CN"/>
        </w:rPr>
        <w:t>（5）《中华人民共和国土壤污染防治法》，2019年1月1日；</w:t>
      </w:r>
    </w:p>
    <w:p w14:paraId="456AC831">
      <w:pPr>
        <w:pStyle w:val="86"/>
        <w:ind w:firstLine="480"/>
        <w:rPr>
          <w:rFonts w:hint="eastAsia"/>
          <w:color w:val="auto"/>
          <w:lang w:val="zh-CN"/>
        </w:rPr>
      </w:pPr>
      <w:r>
        <w:rPr>
          <w:rFonts w:hint="eastAsia"/>
          <w:color w:val="auto"/>
          <w:lang w:val="zh-CN"/>
        </w:rPr>
        <w:t>（6）《中华人民共和国噪声污染防治法》，2022年6月5日；</w:t>
      </w:r>
    </w:p>
    <w:p w14:paraId="2C8EE3C2">
      <w:pPr>
        <w:pStyle w:val="86"/>
        <w:ind w:firstLine="480"/>
        <w:rPr>
          <w:rFonts w:hint="eastAsia"/>
          <w:color w:val="auto"/>
          <w:lang w:val="zh-CN"/>
        </w:rPr>
      </w:pPr>
      <w:r>
        <w:rPr>
          <w:rFonts w:hint="eastAsia"/>
          <w:color w:val="auto"/>
          <w:lang w:val="zh-CN"/>
        </w:rPr>
        <w:t>（7）《中华人民共和国固体废物污染环境防治法》（2</w:t>
      </w:r>
      <w:r>
        <w:rPr>
          <w:color w:val="auto"/>
          <w:lang w:val="zh-CN"/>
        </w:rPr>
        <w:t>020</w:t>
      </w:r>
      <w:r>
        <w:rPr>
          <w:rFonts w:hint="eastAsia"/>
          <w:color w:val="auto"/>
          <w:lang w:val="zh-CN"/>
        </w:rPr>
        <w:t>年修订），2020年9月1日；</w:t>
      </w:r>
    </w:p>
    <w:p w14:paraId="00C448CC">
      <w:pPr>
        <w:pStyle w:val="86"/>
        <w:ind w:firstLine="480"/>
        <w:rPr>
          <w:rFonts w:hint="eastAsia"/>
          <w:color w:val="auto"/>
          <w:lang w:val="zh-CN"/>
        </w:rPr>
      </w:pPr>
      <w:r>
        <w:rPr>
          <w:rFonts w:hint="eastAsia"/>
          <w:color w:val="auto"/>
          <w:lang w:val="zh-CN"/>
        </w:rPr>
        <w:t>（8）《中华人民共和国环境保护税法》，2018年1月1日；</w:t>
      </w:r>
    </w:p>
    <w:p w14:paraId="052959E2">
      <w:pPr>
        <w:pStyle w:val="86"/>
        <w:ind w:firstLine="480"/>
        <w:rPr>
          <w:rFonts w:hint="eastAsia"/>
          <w:color w:val="auto"/>
          <w:lang w:val="zh-CN"/>
        </w:rPr>
      </w:pPr>
      <w:r>
        <w:rPr>
          <w:rFonts w:hint="eastAsia"/>
          <w:color w:val="auto"/>
          <w:lang w:val="zh-CN"/>
        </w:rPr>
        <w:t>（9）《中华人民共和国野生动物保护法》（2</w:t>
      </w:r>
      <w:r>
        <w:rPr>
          <w:color w:val="auto"/>
          <w:lang w:val="zh-CN"/>
        </w:rPr>
        <w:t>022</w:t>
      </w:r>
      <w:r>
        <w:rPr>
          <w:rFonts w:hint="eastAsia"/>
          <w:color w:val="auto"/>
          <w:lang w:val="zh-CN"/>
        </w:rPr>
        <w:t>年修订），2023年5月1日；</w:t>
      </w:r>
    </w:p>
    <w:p w14:paraId="1E69E72E">
      <w:pPr>
        <w:pStyle w:val="86"/>
        <w:ind w:firstLine="480"/>
        <w:rPr>
          <w:rFonts w:hint="eastAsia"/>
          <w:color w:val="auto"/>
          <w:lang w:val="zh-CN"/>
        </w:rPr>
      </w:pPr>
      <w:r>
        <w:rPr>
          <w:rFonts w:hint="eastAsia"/>
          <w:color w:val="auto"/>
          <w:lang w:val="zh-CN"/>
        </w:rPr>
        <w:t>（10）《中华人民共和国防沙治沙法》，2018年10月26日；</w:t>
      </w:r>
    </w:p>
    <w:p w14:paraId="5FD697E6">
      <w:pPr>
        <w:pStyle w:val="86"/>
        <w:ind w:firstLine="480"/>
        <w:rPr>
          <w:rFonts w:hint="eastAsia"/>
          <w:color w:val="auto"/>
          <w:lang w:val="zh-CN"/>
        </w:rPr>
      </w:pPr>
      <w:r>
        <w:rPr>
          <w:rFonts w:hint="eastAsia"/>
          <w:color w:val="auto"/>
          <w:lang w:val="zh-CN"/>
        </w:rPr>
        <w:t>（11）《中华人民共和国水土保持法》</w:t>
      </w:r>
      <w:r>
        <w:rPr>
          <w:color w:val="auto"/>
          <w:lang w:val="zh-CN"/>
        </w:rPr>
        <w:t>（2010年修订）</w:t>
      </w:r>
      <w:r>
        <w:rPr>
          <w:rFonts w:hint="eastAsia"/>
          <w:color w:val="auto"/>
          <w:lang w:val="zh-CN"/>
        </w:rPr>
        <w:t>，2011年3月1日；</w:t>
      </w:r>
    </w:p>
    <w:p w14:paraId="468E3858">
      <w:pPr>
        <w:pStyle w:val="86"/>
        <w:ind w:firstLine="480"/>
        <w:rPr>
          <w:rFonts w:hint="eastAsia"/>
          <w:color w:val="auto"/>
          <w:lang w:val="zh-CN"/>
        </w:rPr>
      </w:pPr>
      <w:r>
        <w:rPr>
          <w:rFonts w:hint="eastAsia"/>
          <w:color w:val="auto"/>
          <w:lang w:val="zh-CN"/>
        </w:rPr>
        <w:t>（12）《</w:t>
      </w:r>
      <w:r>
        <w:rPr>
          <w:color w:val="auto"/>
          <w:lang w:val="zh-CN"/>
        </w:rPr>
        <w:t>中华人民共和国清洁生产促进法</w:t>
      </w:r>
      <w:r>
        <w:rPr>
          <w:rFonts w:hint="eastAsia"/>
          <w:color w:val="auto"/>
          <w:lang w:val="zh-CN"/>
        </w:rPr>
        <w:t>》（</w:t>
      </w:r>
      <w:r>
        <w:rPr>
          <w:color w:val="auto"/>
          <w:lang w:val="zh-CN"/>
        </w:rPr>
        <w:t>2012年修订</w:t>
      </w:r>
      <w:r>
        <w:rPr>
          <w:rFonts w:hint="eastAsia"/>
          <w:color w:val="auto"/>
          <w:lang w:val="zh-CN"/>
        </w:rPr>
        <w:t>），2012年7月1日；</w:t>
      </w:r>
    </w:p>
    <w:p w14:paraId="59146BC6">
      <w:pPr>
        <w:pStyle w:val="86"/>
        <w:ind w:firstLine="480"/>
        <w:rPr>
          <w:rFonts w:hint="eastAsia"/>
          <w:color w:val="auto"/>
          <w:lang w:val="zh-CN"/>
        </w:rPr>
      </w:pPr>
      <w:r>
        <w:rPr>
          <w:rFonts w:hint="eastAsia"/>
          <w:color w:val="auto"/>
          <w:lang w:val="zh-CN"/>
        </w:rPr>
        <w:t>（13）《中华人民共和国石油天然气管道保护法》，2010年10月1日。</w:t>
      </w:r>
    </w:p>
    <w:p w14:paraId="7F7762AB">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环境保护规章</w:t>
      </w:r>
    </w:p>
    <w:p w14:paraId="22112EDD">
      <w:pPr>
        <w:pStyle w:val="86"/>
        <w:ind w:firstLine="480"/>
        <w:rPr>
          <w:rFonts w:hint="eastAsia"/>
          <w:color w:val="auto"/>
          <w:lang w:val="zh-CN"/>
        </w:rPr>
      </w:pPr>
      <w:bookmarkStart w:id="52" w:name="_Hlk92217233"/>
      <w:bookmarkStart w:id="53" w:name="_Hlk177303046"/>
      <w:r>
        <w:rPr>
          <w:rFonts w:hint="eastAsia"/>
          <w:color w:val="auto"/>
          <w:lang w:val="zh-CN"/>
        </w:rPr>
        <w:t>（</w:t>
      </w:r>
      <w:r>
        <w:rPr>
          <w:color w:val="auto"/>
          <w:lang w:val="zh-CN"/>
        </w:rPr>
        <w:t>1</w:t>
      </w:r>
      <w:r>
        <w:rPr>
          <w:rFonts w:hint="eastAsia"/>
          <w:color w:val="auto"/>
          <w:lang w:val="zh-CN"/>
        </w:rPr>
        <w:t>）《建设项目环境保护管理条例》，国务院令第682号，2017年10月1日；</w:t>
      </w:r>
    </w:p>
    <w:p w14:paraId="083F87C4">
      <w:pPr>
        <w:pStyle w:val="86"/>
        <w:ind w:firstLine="480"/>
        <w:rPr>
          <w:rFonts w:hint="eastAsia"/>
          <w:color w:val="auto"/>
          <w:lang w:val="zh-CN"/>
        </w:rPr>
      </w:pPr>
      <w:bookmarkStart w:id="54" w:name="_Hlk175259508"/>
      <w:r>
        <w:rPr>
          <w:rFonts w:hint="eastAsia"/>
          <w:color w:val="auto"/>
          <w:lang w:val="zh-CN"/>
        </w:rPr>
        <w:t>（</w:t>
      </w:r>
      <w:r>
        <w:rPr>
          <w:color w:val="auto"/>
          <w:lang w:val="zh-CN"/>
        </w:rPr>
        <w:t>2</w:t>
      </w:r>
      <w:r>
        <w:rPr>
          <w:rFonts w:hint="eastAsia"/>
          <w:color w:val="auto"/>
          <w:lang w:val="zh-CN"/>
        </w:rPr>
        <w:t>）《排污许可管理办法》，生态环境部</w:t>
      </w:r>
      <w:r>
        <w:rPr>
          <w:rFonts w:hint="eastAsia"/>
          <w:color w:val="auto"/>
        </w:rPr>
        <w:t xml:space="preserve"> </w:t>
      </w:r>
      <w:r>
        <w:rPr>
          <w:rFonts w:hint="eastAsia"/>
          <w:color w:val="auto"/>
          <w:lang w:val="zh-CN"/>
        </w:rPr>
        <w:t>部令第32号，2024年4月1日；</w:t>
      </w:r>
    </w:p>
    <w:bookmarkEnd w:id="54"/>
    <w:p w14:paraId="08481584">
      <w:pPr>
        <w:pStyle w:val="86"/>
        <w:ind w:firstLine="480"/>
        <w:rPr>
          <w:rFonts w:hint="eastAsia"/>
          <w:color w:val="auto"/>
          <w:lang w:val="zh-CN"/>
        </w:rPr>
      </w:pPr>
      <w:r>
        <w:rPr>
          <w:rFonts w:hint="eastAsia"/>
          <w:color w:val="auto"/>
          <w:lang w:val="zh-CN"/>
        </w:rPr>
        <w:t>（</w:t>
      </w:r>
      <w:r>
        <w:rPr>
          <w:color w:val="auto"/>
          <w:lang w:val="zh-CN"/>
        </w:rPr>
        <w:t>3</w:t>
      </w:r>
      <w:r>
        <w:rPr>
          <w:rFonts w:hint="eastAsia"/>
          <w:color w:val="auto"/>
          <w:lang w:val="zh-CN"/>
        </w:rPr>
        <w:t>）《</w:t>
      </w:r>
      <w:bookmarkStart w:id="55" w:name="_Hlk33005871"/>
      <w:r>
        <w:rPr>
          <w:rFonts w:hint="eastAsia"/>
          <w:color w:val="auto"/>
          <w:lang w:val="zh-CN"/>
        </w:rPr>
        <w:t>建设项目环境影响评价分类管理名录</w:t>
      </w:r>
      <w:bookmarkEnd w:id="55"/>
      <w:r>
        <w:rPr>
          <w:rFonts w:hint="eastAsia"/>
          <w:color w:val="auto"/>
          <w:lang w:val="zh-CN"/>
        </w:rPr>
        <w:t>（2021年版）》，生态环境部令第16号，2021年1月1日；</w:t>
      </w:r>
    </w:p>
    <w:p w14:paraId="506E1BFB">
      <w:pPr>
        <w:pStyle w:val="86"/>
        <w:ind w:firstLine="480"/>
        <w:rPr>
          <w:rFonts w:hint="eastAsia"/>
          <w:color w:val="auto"/>
          <w:lang w:val="zh-CN"/>
        </w:rPr>
      </w:pPr>
      <w:r>
        <w:rPr>
          <w:rFonts w:hint="eastAsia"/>
          <w:color w:val="auto"/>
          <w:lang w:val="zh-CN"/>
        </w:rPr>
        <w:t>（</w:t>
      </w:r>
      <w:r>
        <w:rPr>
          <w:color w:val="auto"/>
          <w:lang w:val="zh-CN"/>
        </w:rPr>
        <w:t>4</w:t>
      </w:r>
      <w:r>
        <w:rPr>
          <w:rFonts w:hint="eastAsia"/>
          <w:color w:val="auto"/>
          <w:lang w:val="zh-CN"/>
        </w:rPr>
        <w:t>）《环境影响评价公众参与办法》，生态环境部令第4号，2019年1月1日；</w:t>
      </w:r>
    </w:p>
    <w:p w14:paraId="2B343A69">
      <w:pPr>
        <w:pStyle w:val="86"/>
        <w:ind w:firstLine="480"/>
        <w:rPr>
          <w:rFonts w:hint="eastAsia"/>
          <w:color w:val="auto"/>
          <w:lang w:val="zh-CN"/>
        </w:rPr>
      </w:pPr>
      <w:r>
        <w:rPr>
          <w:rFonts w:hint="eastAsia"/>
          <w:color w:val="auto"/>
          <w:lang w:val="zh-CN"/>
        </w:rPr>
        <w:t>（</w:t>
      </w:r>
      <w:r>
        <w:rPr>
          <w:color w:val="auto"/>
          <w:lang w:val="zh-CN"/>
        </w:rPr>
        <w:t>5</w:t>
      </w:r>
      <w:r>
        <w:rPr>
          <w:rFonts w:hint="eastAsia"/>
          <w:color w:val="auto"/>
          <w:lang w:val="zh-CN"/>
        </w:rPr>
        <w:t>）《国家危险废物名录</w:t>
      </w:r>
      <w:bookmarkStart w:id="56" w:name="_Hlk40358188"/>
      <w:r>
        <w:rPr>
          <w:rFonts w:hint="eastAsia"/>
          <w:color w:val="auto"/>
          <w:lang w:val="zh-CN"/>
        </w:rPr>
        <w:t>（2025年版）</w:t>
      </w:r>
      <w:bookmarkEnd w:id="56"/>
      <w:r>
        <w:rPr>
          <w:rFonts w:hint="eastAsia"/>
          <w:color w:val="auto"/>
          <w:lang w:val="zh-CN"/>
        </w:rPr>
        <w:t>》，生态环境部令第36号，2025年1月1日；</w:t>
      </w:r>
    </w:p>
    <w:p w14:paraId="0DB199E7">
      <w:pPr>
        <w:pStyle w:val="86"/>
        <w:ind w:firstLine="480"/>
        <w:rPr>
          <w:rFonts w:hint="eastAsia"/>
          <w:color w:val="auto"/>
          <w:lang w:val="zh-CN"/>
        </w:rPr>
      </w:pPr>
      <w:r>
        <w:rPr>
          <w:rFonts w:hint="eastAsia"/>
          <w:color w:val="auto"/>
          <w:lang w:val="zh-CN"/>
        </w:rPr>
        <w:t>（</w:t>
      </w:r>
      <w:r>
        <w:rPr>
          <w:color w:val="auto"/>
          <w:lang w:val="zh-CN"/>
        </w:rPr>
        <w:t>6</w:t>
      </w:r>
      <w:r>
        <w:rPr>
          <w:rFonts w:hint="eastAsia"/>
          <w:color w:val="auto"/>
          <w:lang w:val="zh-CN"/>
        </w:rPr>
        <w:t>）《产业结构调整指导目录（2024年本）》，国家发展和改革委员会令第7号，2024年2月1日；</w:t>
      </w:r>
    </w:p>
    <w:p w14:paraId="7169D887">
      <w:pPr>
        <w:pStyle w:val="86"/>
        <w:ind w:firstLine="480"/>
        <w:rPr>
          <w:rFonts w:hint="eastAsia"/>
          <w:color w:val="auto"/>
          <w:lang w:val="zh-CN"/>
        </w:rPr>
      </w:pPr>
      <w:r>
        <w:rPr>
          <w:rFonts w:hint="eastAsia"/>
          <w:color w:val="auto"/>
          <w:lang w:val="zh-CN"/>
        </w:rPr>
        <w:t>（</w:t>
      </w:r>
      <w:r>
        <w:rPr>
          <w:color w:val="auto"/>
          <w:lang w:val="zh-CN"/>
        </w:rPr>
        <w:t>7</w:t>
      </w:r>
      <w:r>
        <w:rPr>
          <w:rFonts w:hint="eastAsia"/>
          <w:color w:val="auto"/>
          <w:lang w:val="zh-CN"/>
        </w:rPr>
        <w:t>）《石油天然气开采业污染防治技术政策》，环保部公告2012年第18号，2012年3月7日；</w:t>
      </w:r>
    </w:p>
    <w:p w14:paraId="04A4BA4B">
      <w:pPr>
        <w:pStyle w:val="86"/>
        <w:ind w:firstLine="480"/>
        <w:rPr>
          <w:rFonts w:hint="eastAsia"/>
          <w:color w:val="auto"/>
          <w:lang w:val="zh-CN"/>
        </w:rPr>
      </w:pPr>
      <w:r>
        <w:rPr>
          <w:rFonts w:hint="eastAsia"/>
          <w:color w:val="auto"/>
          <w:lang w:val="zh-CN"/>
        </w:rPr>
        <w:t>（</w:t>
      </w:r>
      <w:r>
        <w:rPr>
          <w:color w:val="auto"/>
          <w:lang w:val="zh-CN"/>
        </w:rPr>
        <w:t>8</w:t>
      </w:r>
      <w:r>
        <w:rPr>
          <w:rFonts w:hint="eastAsia"/>
          <w:color w:val="auto"/>
          <w:lang w:val="zh-CN"/>
        </w:rPr>
        <w:t>）《陆上石油天然气开采业绿色矿山建设规范》，2018年10月1日；</w:t>
      </w:r>
    </w:p>
    <w:p w14:paraId="3E8B7D7A">
      <w:pPr>
        <w:pStyle w:val="86"/>
        <w:ind w:firstLine="480"/>
        <w:rPr>
          <w:rFonts w:hint="eastAsia"/>
          <w:color w:val="auto"/>
          <w:lang w:val="zh-CN"/>
        </w:rPr>
      </w:pPr>
      <w:r>
        <w:rPr>
          <w:rFonts w:hint="eastAsia"/>
          <w:color w:val="auto"/>
          <w:lang w:val="zh-CN"/>
        </w:rPr>
        <w:t>（</w:t>
      </w:r>
      <w:r>
        <w:rPr>
          <w:color w:val="auto"/>
          <w:lang w:val="zh-CN"/>
        </w:rPr>
        <w:t>9</w:t>
      </w:r>
      <w:r>
        <w:rPr>
          <w:rFonts w:hint="eastAsia"/>
          <w:color w:val="auto"/>
          <w:lang w:val="zh-CN"/>
        </w:rPr>
        <w:t>）《关于进一步加强石油天然气行业环境影响评价管理的通知》，环办环评函〔2019〕910号，2019年12月13日；</w:t>
      </w:r>
    </w:p>
    <w:p w14:paraId="08598DEF">
      <w:pPr>
        <w:pStyle w:val="86"/>
        <w:ind w:firstLine="480"/>
        <w:rPr>
          <w:rFonts w:hint="eastAsia"/>
          <w:color w:val="auto"/>
          <w:lang w:val="zh-CN"/>
        </w:rPr>
      </w:pPr>
      <w:r>
        <w:rPr>
          <w:rFonts w:hint="eastAsia"/>
          <w:color w:val="auto"/>
          <w:lang w:val="zh-CN"/>
        </w:rPr>
        <w:t>（1</w:t>
      </w:r>
      <w:r>
        <w:rPr>
          <w:color w:val="auto"/>
          <w:lang w:val="zh-CN"/>
        </w:rPr>
        <w:t>0</w:t>
      </w:r>
      <w:r>
        <w:rPr>
          <w:rFonts w:hint="eastAsia"/>
          <w:color w:val="auto"/>
          <w:lang w:val="zh-CN"/>
        </w:rPr>
        <w:t>）《国家重点保护野生植物名录》，国家林业和草原局、农业农村部公告2021年第15号，2021年9月7日；</w:t>
      </w:r>
    </w:p>
    <w:p w14:paraId="6EA6D0C7">
      <w:pPr>
        <w:pStyle w:val="86"/>
        <w:ind w:firstLine="480"/>
        <w:rPr>
          <w:rFonts w:hint="eastAsia"/>
          <w:color w:val="auto"/>
          <w:lang w:val="zh-CN"/>
        </w:rPr>
      </w:pPr>
      <w:r>
        <w:rPr>
          <w:rFonts w:hint="eastAsia"/>
          <w:color w:val="auto"/>
          <w:lang w:val="zh-CN"/>
        </w:rPr>
        <w:t>（1</w:t>
      </w:r>
      <w:r>
        <w:rPr>
          <w:color w:val="auto"/>
          <w:lang w:val="zh-CN"/>
        </w:rPr>
        <w:t>1</w:t>
      </w:r>
      <w:r>
        <w:rPr>
          <w:rFonts w:hint="eastAsia"/>
          <w:color w:val="auto"/>
          <w:lang w:val="zh-CN"/>
        </w:rPr>
        <w:t>）《国家重点保护野生动物名录》，国家林业和草原局、农业农村部公告2021年第3号，2021年2月1日；</w:t>
      </w:r>
    </w:p>
    <w:p w14:paraId="10A46306">
      <w:pPr>
        <w:pStyle w:val="86"/>
        <w:ind w:firstLine="480"/>
        <w:rPr>
          <w:rFonts w:hint="eastAsia"/>
          <w:color w:val="auto"/>
          <w:lang w:val="zh-CN"/>
        </w:rPr>
      </w:pPr>
      <w:r>
        <w:rPr>
          <w:rFonts w:hint="eastAsia"/>
          <w:color w:val="auto"/>
          <w:lang w:val="zh-CN"/>
        </w:rPr>
        <w:t>（1</w:t>
      </w:r>
      <w:r>
        <w:rPr>
          <w:color w:val="auto"/>
          <w:lang w:val="zh-CN"/>
        </w:rPr>
        <w:t>2</w:t>
      </w:r>
      <w:r>
        <w:rPr>
          <w:rFonts w:hint="eastAsia"/>
          <w:color w:val="auto"/>
          <w:lang w:val="zh-CN"/>
        </w:rPr>
        <w:t>）《中华人民共和国野生植物保护条例》，国务院令第204号，2017年10月7日；</w:t>
      </w:r>
    </w:p>
    <w:p w14:paraId="0D77930E">
      <w:pPr>
        <w:pStyle w:val="86"/>
        <w:ind w:firstLine="480"/>
        <w:rPr>
          <w:rFonts w:hint="eastAsia"/>
          <w:color w:val="auto"/>
          <w:lang w:val="zh-CN"/>
        </w:rPr>
      </w:pPr>
      <w:r>
        <w:rPr>
          <w:rFonts w:hint="eastAsia"/>
          <w:color w:val="auto"/>
          <w:lang w:val="zh-CN"/>
        </w:rPr>
        <w:t>（1</w:t>
      </w:r>
      <w:r>
        <w:rPr>
          <w:color w:val="auto"/>
          <w:lang w:val="zh-CN"/>
        </w:rPr>
        <w:t>3</w:t>
      </w:r>
      <w:r>
        <w:rPr>
          <w:rFonts w:hint="eastAsia"/>
          <w:color w:val="auto"/>
          <w:lang w:val="zh-CN"/>
        </w:rPr>
        <w:t>）《排污许可管理条例》，国务院令第7</w:t>
      </w:r>
      <w:r>
        <w:rPr>
          <w:color w:val="auto"/>
          <w:lang w:val="zh-CN"/>
        </w:rPr>
        <w:t>36</w:t>
      </w:r>
      <w:r>
        <w:rPr>
          <w:rFonts w:hint="eastAsia"/>
          <w:color w:val="auto"/>
          <w:lang w:val="zh-CN"/>
        </w:rPr>
        <w:t>号，2021年3月1日；</w:t>
      </w:r>
    </w:p>
    <w:p w14:paraId="3F514A91">
      <w:pPr>
        <w:pStyle w:val="86"/>
        <w:ind w:firstLine="480"/>
        <w:rPr>
          <w:rFonts w:hint="eastAsia"/>
          <w:color w:val="auto"/>
          <w:lang w:val="zh-CN"/>
        </w:rPr>
      </w:pPr>
      <w:r>
        <w:rPr>
          <w:rFonts w:hint="eastAsia"/>
          <w:color w:val="auto"/>
          <w:lang w:val="zh-CN"/>
        </w:rPr>
        <w:t>（1</w:t>
      </w:r>
      <w:r>
        <w:rPr>
          <w:color w:val="auto"/>
          <w:lang w:val="zh-CN"/>
        </w:rPr>
        <w:t>4</w:t>
      </w:r>
      <w:r>
        <w:rPr>
          <w:rFonts w:hint="eastAsia"/>
          <w:color w:val="auto"/>
          <w:lang w:val="zh-CN"/>
        </w:rPr>
        <w:t>）《关于做好环境影响评价制度与排污许可制衔接相关工作的通知》（环办环评〔2017〕84号），2017年11月14日；</w:t>
      </w:r>
    </w:p>
    <w:p w14:paraId="2CA66548">
      <w:pPr>
        <w:pStyle w:val="86"/>
        <w:ind w:firstLine="480"/>
        <w:rPr>
          <w:rFonts w:hint="eastAsia"/>
          <w:color w:val="auto"/>
          <w:lang w:val="zh-CN"/>
        </w:rPr>
      </w:pPr>
      <w:r>
        <w:rPr>
          <w:rFonts w:hint="eastAsia"/>
          <w:color w:val="auto"/>
          <w:lang w:val="zh-CN"/>
        </w:rPr>
        <w:t>（1</w:t>
      </w:r>
      <w:r>
        <w:rPr>
          <w:color w:val="auto"/>
          <w:lang w:val="zh-CN"/>
        </w:rPr>
        <w:t>5</w:t>
      </w:r>
      <w:r>
        <w:rPr>
          <w:rFonts w:hint="eastAsia"/>
          <w:color w:val="auto"/>
          <w:lang w:val="zh-CN"/>
        </w:rPr>
        <w:t>）《建设项目危险废物环境影响评价指南》（原环境保护部公告2017年第43号），2017年10月1日；</w:t>
      </w:r>
    </w:p>
    <w:p w14:paraId="06885560">
      <w:pPr>
        <w:pStyle w:val="86"/>
        <w:ind w:firstLine="480"/>
        <w:rPr>
          <w:rFonts w:hint="eastAsia"/>
          <w:color w:val="auto"/>
          <w:lang w:val="zh-CN"/>
        </w:rPr>
      </w:pPr>
      <w:r>
        <w:rPr>
          <w:rFonts w:hint="eastAsia"/>
          <w:color w:val="auto"/>
          <w:lang w:val="zh-CN"/>
        </w:rPr>
        <w:t>（1</w:t>
      </w:r>
      <w:r>
        <w:rPr>
          <w:color w:val="auto"/>
          <w:lang w:val="zh-CN"/>
        </w:rPr>
        <w:t>6</w:t>
      </w:r>
      <w:r>
        <w:rPr>
          <w:rFonts w:hint="eastAsia"/>
          <w:color w:val="auto"/>
          <w:lang w:val="zh-CN"/>
        </w:rPr>
        <w:t>）《关于以改善环境质量为核心加强环境影响评价管理的通知》（环环评〔2016〕150号），2016年10月26日；</w:t>
      </w:r>
    </w:p>
    <w:p w14:paraId="373FEBAA">
      <w:pPr>
        <w:pStyle w:val="86"/>
        <w:ind w:firstLine="480"/>
        <w:rPr>
          <w:rFonts w:hint="eastAsia"/>
          <w:color w:val="auto"/>
          <w:lang w:val="zh-CN"/>
        </w:rPr>
      </w:pPr>
      <w:r>
        <w:rPr>
          <w:rFonts w:hint="eastAsia"/>
          <w:color w:val="auto"/>
          <w:lang w:val="zh-CN"/>
        </w:rPr>
        <w:t>（</w:t>
      </w:r>
      <w:r>
        <w:rPr>
          <w:color w:val="auto"/>
          <w:lang w:val="zh-CN"/>
        </w:rPr>
        <w:t>17</w:t>
      </w:r>
      <w:r>
        <w:rPr>
          <w:rFonts w:hint="eastAsia"/>
          <w:color w:val="auto"/>
          <w:lang w:val="zh-CN"/>
        </w:rPr>
        <w:t>）《危险废物转移管理办法》（生态环境部、公安部、交通运输部令第2</w:t>
      </w:r>
      <w:r>
        <w:rPr>
          <w:color w:val="auto"/>
          <w:lang w:val="zh-CN"/>
        </w:rPr>
        <w:t>3</w:t>
      </w:r>
      <w:r>
        <w:rPr>
          <w:rFonts w:hint="eastAsia"/>
          <w:color w:val="auto"/>
          <w:lang w:val="zh-CN"/>
        </w:rPr>
        <w:t>号），2</w:t>
      </w:r>
      <w:r>
        <w:rPr>
          <w:color w:val="auto"/>
          <w:lang w:val="zh-CN"/>
        </w:rPr>
        <w:t>021</w:t>
      </w:r>
      <w:r>
        <w:rPr>
          <w:rFonts w:hint="eastAsia"/>
          <w:color w:val="auto"/>
          <w:lang w:val="zh-CN"/>
        </w:rPr>
        <w:t>年1</w:t>
      </w:r>
      <w:r>
        <w:rPr>
          <w:color w:val="auto"/>
          <w:lang w:val="zh-CN"/>
        </w:rPr>
        <w:t>1</w:t>
      </w:r>
      <w:r>
        <w:rPr>
          <w:rFonts w:hint="eastAsia"/>
          <w:color w:val="auto"/>
          <w:lang w:val="zh-CN"/>
        </w:rPr>
        <w:t>月3</w:t>
      </w:r>
      <w:r>
        <w:rPr>
          <w:color w:val="auto"/>
          <w:lang w:val="zh-CN"/>
        </w:rPr>
        <w:t>0</w:t>
      </w:r>
      <w:r>
        <w:rPr>
          <w:rFonts w:hint="eastAsia"/>
          <w:color w:val="auto"/>
          <w:lang w:val="zh-CN"/>
        </w:rPr>
        <w:t>日；</w:t>
      </w:r>
    </w:p>
    <w:p w14:paraId="2A409D8B">
      <w:pPr>
        <w:pStyle w:val="86"/>
        <w:ind w:firstLine="480"/>
        <w:rPr>
          <w:rFonts w:hint="eastAsia"/>
          <w:color w:val="auto"/>
          <w:lang w:val="zh-CN"/>
        </w:rPr>
      </w:pPr>
      <w:r>
        <w:rPr>
          <w:rFonts w:hint="eastAsia"/>
          <w:color w:val="auto"/>
          <w:lang w:val="zh-CN"/>
        </w:rPr>
        <w:t>（</w:t>
      </w:r>
      <w:r>
        <w:rPr>
          <w:color w:val="auto"/>
          <w:lang w:val="zh-CN"/>
        </w:rPr>
        <w:t>18</w:t>
      </w:r>
      <w:r>
        <w:rPr>
          <w:rFonts w:hint="eastAsia"/>
          <w:color w:val="auto"/>
          <w:lang w:val="zh-CN"/>
        </w:rPr>
        <w:t>）《关于印发〈企业环境信息依法披露格式准则〉的通知》（环办综合〔2021〕32号），2</w:t>
      </w:r>
      <w:r>
        <w:rPr>
          <w:color w:val="auto"/>
          <w:lang w:val="zh-CN"/>
        </w:rPr>
        <w:t>021</w:t>
      </w:r>
      <w:r>
        <w:rPr>
          <w:rFonts w:hint="eastAsia"/>
          <w:color w:val="auto"/>
          <w:lang w:val="zh-CN"/>
        </w:rPr>
        <w:t>年1</w:t>
      </w:r>
      <w:r>
        <w:rPr>
          <w:color w:val="auto"/>
          <w:lang w:val="zh-CN"/>
        </w:rPr>
        <w:t>2</w:t>
      </w:r>
      <w:r>
        <w:rPr>
          <w:rFonts w:hint="eastAsia"/>
          <w:color w:val="auto"/>
          <w:lang w:val="zh-CN"/>
        </w:rPr>
        <w:t>月3</w:t>
      </w:r>
      <w:r>
        <w:rPr>
          <w:color w:val="auto"/>
          <w:lang w:val="zh-CN"/>
        </w:rPr>
        <w:t>1</w:t>
      </w:r>
      <w:r>
        <w:rPr>
          <w:rFonts w:hint="eastAsia"/>
          <w:color w:val="auto"/>
          <w:lang w:val="zh-CN"/>
        </w:rPr>
        <w:t>日；</w:t>
      </w:r>
    </w:p>
    <w:p w14:paraId="0BE8AD99">
      <w:pPr>
        <w:pStyle w:val="86"/>
        <w:ind w:firstLine="480"/>
        <w:rPr>
          <w:rFonts w:hint="eastAsia"/>
          <w:color w:val="auto"/>
          <w:lang w:val="zh-CN"/>
        </w:rPr>
      </w:pPr>
      <w:r>
        <w:rPr>
          <w:rFonts w:hint="eastAsia"/>
          <w:color w:val="auto"/>
          <w:lang w:val="zh-CN"/>
        </w:rPr>
        <w:t>（1</w:t>
      </w:r>
      <w:r>
        <w:rPr>
          <w:color w:val="auto"/>
          <w:lang w:val="zh-CN"/>
        </w:rPr>
        <w:t>9</w:t>
      </w:r>
      <w:r>
        <w:rPr>
          <w:rFonts w:hint="eastAsia"/>
          <w:color w:val="auto"/>
          <w:lang w:val="zh-CN"/>
        </w:rPr>
        <w:t>）《企业环境信息依法披露管理办法》（生态环境部 部令第2</w:t>
      </w:r>
      <w:r>
        <w:rPr>
          <w:color w:val="auto"/>
          <w:lang w:val="zh-CN"/>
        </w:rPr>
        <w:t>4</w:t>
      </w:r>
      <w:r>
        <w:rPr>
          <w:rFonts w:hint="eastAsia"/>
          <w:color w:val="auto"/>
          <w:lang w:val="zh-CN"/>
        </w:rPr>
        <w:t>号），2</w:t>
      </w:r>
      <w:r>
        <w:rPr>
          <w:color w:val="auto"/>
          <w:lang w:val="zh-CN"/>
        </w:rPr>
        <w:t>021</w:t>
      </w:r>
      <w:r>
        <w:rPr>
          <w:rFonts w:hint="eastAsia"/>
          <w:color w:val="auto"/>
          <w:lang w:val="zh-CN"/>
        </w:rPr>
        <w:t>年1</w:t>
      </w:r>
      <w:r>
        <w:rPr>
          <w:color w:val="auto"/>
          <w:lang w:val="zh-CN"/>
        </w:rPr>
        <w:t>2</w:t>
      </w:r>
      <w:r>
        <w:rPr>
          <w:rFonts w:hint="eastAsia"/>
          <w:color w:val="auto"/>
          <w:lang w:val="zh-CN"/>
        </w:rPr>
        <w:t>月2</w:t>
      </w:r>
      <w:r>
        <w:rPr>
          <w:color w:val="auto"/>
          <w:lang w:val="zh-CN"/>
        </w:rPr>
        <w:t>1</w:t>
      </w:r>
      <w:r>
        <w:rPr>
          <w:rFonts w:hint="eastAsia"/>
          <w:color w:val="auto"/>
          <w:lang w:val="zh-CN"/>
        </w:rPr>
        <w:t>日；</w:t>
      </w:r>
    </w:p>
    <w:p w14:paraId="785880B9">
      <w:pPr>
        <w:pStyle w:val="86"/>
        <w:ind w:firstLine="480"/>
        <w:rPr>
          <w:rFonts w:hint="eastAsia"/>
          <w:color w:val="auto"/>
          <w:lang w:val="zh-CN"/>
        </w:rPr>
      </w:pPr>
      <w:r>
        <w:rPr>
          <w:rFonts w:hint="eastAsia"/>
          <w:color w:val="auto"/>
          <w:lang w:val="zh-CN"/>
        </w:rPr>
        <w:t>（</w:t>
      </w:r>
      <w:r>
        <w:rPr>
          <w:color w:val="auto"/>
          <w:lang w:val="zh-CN"/>
        </w:rPr>
        <w:t>20</w:t>
      </w:r>
      <w:r>
        <w:rPr>
          <w:rFonts w:hint="eastAsia"/>
          <w:color w:val="auto"/>
          <w:lang w:val="zh-CN"/>
        </w:rPr>
        <w:t>）《关于印发〈“十四五”噪声污染防治行动计划〉的通知》（环大气〔202</w:t>
      </w:r>
      <w:r>
        <w:rPr>
          <w:color w:val="auto"/>
          <w:lang w:val="zh-CN"/>
        </w:rPr>
        <w:t>3</w:t>
      </w:r>
      <w:r>
        <w:rPr>
          <w:rFonts w:hint="eastAsia"/>
          <w:color w:val="auto"/>
          <w:lang w:val="zh-CN"/>
        </w:rPr>
        <w:t>〕</w:t>
      </w:r>
      <w:r>
        <w:rPr>
          <w:color w:val="auto"/>
          <w:lang w:val="zh-CN"/>
        </w:rPr>
        <w:t>1</w:t>
      </w:r>
      <w:r>
        <w:rPr>
          <w:rFonts w:hint="eastAsia"/>
          <w:color w:val="auto"/>
          <w:lang w:val="zh-CN"/>
        </w:rPr>
        <w:t>号），2023年1月3日；</w:t>
      </w:r>
    </w:p>
    <w:p w14:paraId="764F379C">
      <w:pPr>
        <w:pStyle w:val="86"/>
        <w:ind w:firstLine="480"/>
        <w:rPr>
          <w:rFonts w:hint="eastAsia"/>
          <w:color w:val="auto"/>
          <w:lang w:val="zh-CN"/>
        </w:rPr>
      </w:pPr>
      <w:r>
        <w:rPr>
          <w:rFonts w:hint="eastAsia"/>
          <w:color w:val="auto"/>
          <w:lang w:val="zh-CN"/>
        </w:rPr>
        <w:t>（2</w:t>
      </w:r>
      <w:r>
        <w:rPr>
          <w:color w:val="auto"/>
          <w:lang w:val="zh-CN"/>
        </w:rPr>
        <w:t>1</w:t>
      </w:r>
      <w:r>
        <w:rPr>
          <w:rFonts w:hint="eastAsia"/>
          <w:color w:val="auto"/>
          <w:lang w:val="zh-CN"/>
        </w:rPr>
        <w:t>）《地下水管理条例》（国务院令第7</w:t>
      </w:r>
      <w:r>
        <w:rPr>
          <w:color w:val="auto"/>
          <w:lang w:val="zh-CN"/>
        </w:rPr>
        <w:t>48</w:t>
      </w:r>
      <w:r>
        <w:rPr>
          <w:rFonts w:hint="eastAsia"/>
          <w:color w:val="auto"/>
          <w:lang w:val="zh-CN"/>
        </w:rPr>
        <w:t>号），2</w:t>
      </w:r>
      <w:r>
        <w:rPr>
          <w:color w:val="auto"/>
          <w:lang w:val="zh-CN"/>
        </w:rPr>
        <w:t>021</w:t>
      </w:r>
      <w:r>
        <w:rPr>
          <w:rFonts w:hint="eastAsia"/>
          <w:color w:val="auto"/>
          <w:lang w:val="zh-CN"/>
        </w:rPr>
        <w:t>年1</w:t>
      </w:r>
      <w:r>
        <w:rPr>
          <w:color w:val="auto"/>
          <w:lang w:val="zh-CN"/>
        </w:rPr>
        <w:t>0</w:t>
      </w:r>
      <w:r>
        <w:rPr>
          <w:rFonts w:hint="eastAsia"/>
          <w:color w:val="auto"/>
          <w:lang w:val="zh-CN"/>
        </w:rPr>
        <w:t>月2</w:t>
      </w:r>
      <w:r>
        <w:rPr>
          <w:color w:val="auto"/>
          <w:lang w:val="zh-CN"/>
        </w:rPr>
        <w:t>1</w:t>
      </w:r>
      <w:r>
        <w:rPr>
          <w:rFonts w:hint="eastAsia"/>
          <w:color w:val="auto"/>
          <w:lang w:val="zh-CN"/>
        </w:rPr>
        <w:t>日；</w:t>
      </w:r>
    </w:p>
    <w:p w14:paraId="581545FE">
      <w:pPr>
        <w:pStyle w:val="86"/>
        <w:ind w:firstLine="480"/>
        <w:rPr>
          <w:rFonts w:hint="eastAsia"/>
          <w:color w:val="auto"/>
          <w:lang w:val="zh-CN"/>
        </w:rPr>
      </w:pPr>
      <w:r>
        <w:rPr>
          <w:rFonts w:hint="eastAsia"/>
          <w:color w:val="auto"/>
          <w:lang w:val="zh-CN"/>
        </w:rPr>
        <w:t>（22）《关于发布〈一般工业固体废物管理台账制定指南（试行）</w:t>
      </w:r>
      <w:bookmarkStart w:id="57" w:name="OLE_LINK98"/>
      <w:r>
        <w:rPr>
          <w:rFonts w:hint="eastAsia"/>
          <w:color w:val="auto"/>
          <w:lang w:val="zh-CN"/>
        </w:rPr>
        <w:t>〉</w:t>
      </w:r>
      <w:bookmarkEnd w:id="57"/>
      <w:r>
        <w:rPr>
          <w:rFonts w:hint="eastAsia"/>
          <w:color w:val="auto"/>
          <w:lang w:val="zh-CN"/>
        </w:rPr>
        <w:t>的公告》（生态环境部公告</w:t>
      </w:r>
      <w:r>
        <w:rPr>
          <w:color w:val="auto"/>
          <w:lang w:val="zh-CN"/>
        </w:rPr>
        <w:t>2021</w:t>
      </w:r>
      <w:r>
        <w:rPr>
          <w:rFonts w:hint="eastAsia"/>
          <w:color w:val="auto"/>
          <w:lang w:val="zh-CN"/>
        </w:rPr>
        <w:t>年第8</w:t>
      </w:r>
      <w:r>
        <w:rPr>
          <w:color w:val="auto"/>
          <w:lang w:val="zh-CN"/>
        </w:rPr>
        <w:t>2</w:t>
      </w:r>
      <w:r>
        <w:rPr>
          <w:rFonts w:hint="eastAsia"/>
          <w:color w:val="auto"/>
          <w:lang w:val="zh-CN"/>
        </w:rPr>
        <w:t>号），2</w:t>
      </w:r>
      <w:r>
        <w:rPr>
          <w:color w:val="auto"/>
          <w:lang w:val="zh-CN"/>
        </w:rPr>
        <w:t>021</w:t>
      </w:r>
      <w:r>
        <w:rPr>
          <w:rFonts w:hint="eastAsia"/>
          <w:color w:val="auto"/>
          <w:lang w:val="zh-CN"/>
        </w:rPr>
        <w:t>年1</w:t>
      </w:r>
      <w:r>
        <w:rPr>
          <w:color w:val="auto"/>
          <w:lang w:val="zh-CN"/>
        </w:rPr>
        <w:t>2</w:t>
      </w:r>
      <w:r>
        <w:rPr>
          <w:rFonts w:hint="eastAsia"/>
          <w:color w:val="auto"/>
          <w:lang w:val="zh-CN"/>
        </w:rPr>
        <w:t>月3</w:t>
      </w:r>
      <w:r>
        <w:rPr>
          <w:color w:val="auto"/>
          <w:lang w:val="zh-CN"/>
        </w:rPr>
        <w:t>1</w:t>
      </w:r>
      <w:r>
        <w:rPr>
          <w:rFonts w:hint="eastAsia"/>
          <w:color w:val="auto"/>
          <w:lang w:val="zh-CN"/>
        </w:rPr>
        <w:t>日；</w:t>
      </w:r>
    </w:p>
    <w:p w14:paraId="432B17E3">
      <w:pPr>
        <w:pStyle w:val="86"/>
        <w:ind w:firstLine="480"/>
        <w:rPr>
          <w:rFonts w:hint="eastAsia"/>
          <w:color w:val="auto"/>
          <w:lang w:val="zh-CN"/>
        </w:rPr>
      </w:pPr>
      <w:r>
        <w:rPr>
          <w:rFonts w:hint="eastAsia"/>
          <w:color w:val="auto"/>
          <w:lang w:val="zh-CN"/>
        </w:rPr>
        <w:t>（23）《危险废物环境管理指南 陆上石油天然气开采》，生态环境部公告，2</w:t>
      </w:r>
      <w:r>
        <w:rPr>
          <w:color w:val="auto"/>
          <w:lang w:val="zh-CN"/>
        </w:rPr>
        <w:t>021</w:t>
      </w:r>
      <w:r>
        <w:rPr>
          <w:rFonts w:hint="eastAsia"/>
          <w:color w:val="auto"/>
          <w:lang w:val="zh-CN"/>
        </w:rPr>
        <w:t>年第7</w:t>
      </w:r>
      <w:r>
        <w:rPr>
          <w:color w:val="auto"/>
          <w:lang w:val="zh-CN"/>
        </w:rPr>
        <w:t>4</w:t>
      </w:r>
      <w:r>
        <w:rPr>
          <w:rFonts w:hint="eastAsia"/>
          <w:color w:val="auto"/>
          <w:lang w:val="zh-CN"/>
        </w:rPr>
        <w:t>号，2</w:t>
      </w:r>
      <w:r>
        <w:rPr>
          <w:color w:val="auto"/>
          <w:lang w:val="zh-CN"/>
        </w:rPr>
        <w:t>021</w:t>
      </w:r>
      <w:r>
        <w:rPr>
          <w:rFonts w:hint="eastAsia"/>
          <w:color w:val="auto"/>
          <w:lang w:val="zh-CN"/>
        </w:rPr>
        <w:t>年1</w:t>
      </w:r>
      <w:r>
        <w:rPr>
          <w:color w:val="auto"/>
          <w:lang w:val="zh-CN"/>
        </w:rPr>
        <w:t>2</w:t>
      </w:r>
      <w:r>
        <w:rPr>
          <w:rFonts w:hint="eastAsia"/>
          <w:color w:val="auto"/>
          <w:lang w:val="zh-CN"/>
        </w:rPr>
        <w:t>月2</w:t>
      </w:r>
      <w:r>
        <w:rPr>
          <w:color w:val="auto"/>
          <w:lang w:val="zh-CN"/>
        </w:rPr>
        <w:t>2</w:t>
      </w:r>
      <w:r>
        <w:rPr>
          <w:rFonts w:hint="eastAsia"/>
          <w:color w:val="auto"/>
          <w:lang w:val="zh-CN"/>
        </w:rPr>
        <w:t>日；</w:t>
      </w:r>
    </w:p>
    <w:p w14:paraId="6740278B">
      <w:pPr>
        <w:pStyle w:val="86"/>
        <w:ind w:firstLine="480"/>
        <w:rPr>
          <w:rFonts w:hint="eastAsia"/>
          <w:color w:val="auto"/>
          <w:lang w:val="zh-CN"/>
        </w:rPr>
      </w:pPr>
      <w:r>
        <w:rPr>
          <w:rFonts w:hint="eastAsia"/>
          <w:color w:val="auto"/>
          <w:lang w:val="zh-CN"/>
        </w:rPr>
        <w:t>（24）《中国石油天然气生产企业温室气体排放核算方法与报告指南（试行）》，发改办气候〔2014〕2920号，2014年12月3日；</w:t>
      </w:r>
    </w:p>
    <w:p w14:paraId="2339F5A9">
      <w:pPr>
        <w:pStyle w:val="86"/>
        <w:ind w:firstLine="480"/>
        <w:rPr>
          <w:rFonts w:hint="eastAsia"/>
          <w:color w:val="auto"/>
          <w:lang w:val="zh-CN"/>
        </w:rPr>
      </w:pPr>
      <w:r>
        <w:rPr>
          <w:rFonts w:hint="eastAsia"/>
          <w:color w:val="auto"/>
          <w:lang w:val="zh-CN"/>
        </w:rPr>
        <w:t>（25）《石油天然气开采企业二氧化碳排放计算方法》，2017年5月1日；</w:t>
      </w:r>
    </w:p>
    <w:p w14:paraId="01921908">
      <w:pPr>
        <w:pStyle w:val="86"/>
        <w:ind w:firstLine="480"/>
        <w:rPr>
          <w:rFonts w:hint="eastAsia"/>
          <w:color w:val="auto"/>
          <w:lang w:val="zh-CN"/>
        </w:rPr>
      </w:pPr>
      <w:bookmarkStart w:id="58" w:name="OLE_LINK124"/>
      <w:r>
        <w:rPr>
          <w:rFonts w:hint="eastAsia"/>
          <w:color w:val="auto"/>
          <w:lang w:val="zh-CN"/>
        </w:rPr>
        <w:t>（26）</w:t>
      </w:r>
      <w:bookmarkStart w:id="59" w:name="_Hlk173401710"/>
      <w:r>
        <w:rPr>
          <w:rFonts w:hint="eastAsia"/>
          <w:color w:val="auto"/>
          <w:lang w:val="zh-CN"/>
        </w:rPr>
        <w:t>《关于发布〈固体废物分类与代码目录〉的公告》</w:t>
      </w:r>
      <w:bookmarkEnd w:id="59"/>
      <w:r>
        <w:rPr>
          <w:rFonts w:hint="eastAsia"/>
          <w:color w:val="auto"/>
          <w:lang w:val="zh-CN"/>
        </w:rPr>
        <w:t>，生态环境部公告2024年第4号，2024年1月22日；</w:t>
      </w:r>
    </w:p>
    <w:p w14:paraId="5CD70A11">
      <w:pPr>
        <w:pStyle w:val="86"/>
        <w:ind w:firstLine="480"/>
        <w:rPr>
          <w:rFonts w:hint="eastAsia"/>
          <w:color w:val="auto"/>
          <w:lang w:val="zh-CN"/>
        </w:rPr>
      </w:pPr>
      <w:r>
        <w:rPr>
          <w:rFonts w:hint="eastAsia"/>
          <w:color w:val="auto"/>
          <w:lang w:val="zh-CN"/>
        </w:rPr>
        <w:t>（27）《关于印发〈固体废物污染环境防治信息发布指南〉的通知》（环办固体函〔2024〕37号），2024年2月4日；</w:t>
      </w:r>
    </w:p>
    <w:p w14:paraId="40AA16ED">
      <w:pPr>
        <w:pStyle w:val="86"/>
        <w:ind w:firstLine="480"/>
        <w:rPr>
          <w:rFonts w:hint="eastAsia"/>
          <w:color w:val="auto"/>
          <w:lang w:val="zh-CN"/>
        </w:rPr>
      </w:pPr>
      <w:r>
        <w:rPr>
          <w:rFonts w:hint="eastAsia"/>
          <w:color w:val="auto"/>
          <w:lang w:val="zh-CN"/>
        </w:rPr>
        <w:t>（28）</w:t>
      </w:r>
      <w:bookmarkStart w:id="60" w:name="_Hlk173401873"/>
      <w:r>
        <w:rPr>
          <w:rFonts w:hint="eastAsia"/>
          <w:color w:val="auto"/>
          <w:lang w:val="zh-CN"/>
        </w:rPr>
        <w:t>《空气质量持续改善行动计划》</w:t>
      </w:r>
      <w:bookmarkEnd w:id="60"/>
      <w:r>
        <w:rPr>
          <w:rFonts w:hint="eastAsia"/>
          <w:color w:val="auto"/>
          <w:lang w:val="zh-CN"/>
        </w:rPr>
        <w:t>，国发〔2023〕24号，2023年12月7日；</w:t>
      </w:r>
    </w:p>
    <w:p w14:paraId="583E64DA">
      <w:pPr>
        <w:pStyle w:val="86"/>
        <w:ind w:firstLine="480"/>
        <w:rPr>
          <w:rFonts w:hint="eastAsia"/>
          <w:color w:val="auto"/>
          <w:lang w:val="zh-CN"/>
        </w:rPr>
      </w:pPr>
      <w:r>
        <w:rPr>
          <w:rFonts w:hint="eastAsia"/>
          <w:color w:val="auto"/>
          <w:lang w:val="zh-CN"/>
        </w:rPr>
        <w:t>（29）《关于“十四五”大宗固体废弃物综合利用的指导意见》（发改环资</w:t>
      </w:r>
      <w:bookmarkStart w:id="61" w:name="OLE_LINK100"/>
      <w:r>
        <w:rPr>
          <w:rFonts w:hint="eastAsia"/>
          <w:color w:val="auto"/>
          <w:lang w:val="zh-CN"/>
        </w:rPr>
        <w:t>〔2021〕</w:t>
      </w:r>
      <w:bookmarkEnd w:id="61"/>
      <w:r>
        <w:rPr>
          <w:rFonts w:hint="eastAsia"/>
          <w:color w:val="auto"/>
          <w:lang w:val="zh-CN"/>
        </w:rPr>
        <w:t>381号），2021年3月18日；</w:t>
      </w:r>
    </w:p>
    <w:p w14:paraId="6CAFE878">
      <w:pPr>
        <w:pStyle w:val="86"/>
        <w:ind w:firstLine="480"/>
        <w:rPr>
          <w:rFonts w:hint="eastAsia"/>
          <w:color w:val="auto"/>
        </w:rPr>
      </w:pPr>
      <w:r>
        <w:rPr>
          <w:rFonts w:hint="eastAsia"/>
          <w:color w:val="auto"/>
          <w:lang w:val="zh-CN"/>
        </w:rPr>
        <w:t>（30）</w:t>
      </w:r>
      <w:r>
        <w:rPr>
          <w:rFonts w:hint="eastAsia"/>
          <w:color w:val="auto"/>
        </w:rPr>
        <w:t>《</w:t>
      </w:r>
      <w:bookmarkStart w:id="62" w:name="OLE_LINK85"/>
      <w:r>
        <w:rPr>
          <w:rFonts w:hint="eastAsia"/>
          <w:color w:val="auto"/>
        </w:rPr>
        <w:t>危险废物排除管理清单（2026年版）</w:t>
      </w:r>
      <w:bookmarkEnd w:id="62"/>
      <w:r>
        <w:rPr>
          <w:rFonts w:hint="eastAsia"/>
          <w:color w:val="auto"/>
        </w:rPr>
        <w:t>》，2026年1月7日；</w:t>
      </w:r>
    </w:p>
    <w:p w14:paraId="3376254D">
      <w:pPr>
        <w:pStyle w:val="86"/>
        <w:ind w:firstLine="480"/>
        <w:rPr>
          <w:rFonts w:hint="eastAsia"/>
          <w:color w:val="auto"/>
        </w:rPr>
      </w:pPr>
      <w:r>
        <w:rPr>
          <w:rFonts w:hint="eastAsia"/>
          <w:color w:val="auto"/>
        </w:rPr>
        <w:t>（31）《关于印发</w:t>
      </w:r>
      <w:bookmarkStart w:id="63" w:name="OLE_LINK97"/>
      <w:r>
        <w:rPr>
          <w:rFonts w:hint="eastAsia"/>
          <w:color w:val="auto"/>
          <w:lang w:val="zh-CN"/>
        </w:rPr>
        <w:t>〈</w:t>
      </w:r>
      <w:r>
        <w:rPr>
          <w:rFonts w:hint="eastAsia"/>
          <w:color w:val="auto"/>
        </w:rPr>
        <w:t>固体废物综合治理行动计划</w:t>
      </w:r>
      <w:bookmarkEnd w:id="63"/>
      <w:r>
        <w:rPr>
          <w:rFonts w:hint="eastAsia"/>
          <w:color w:val="auto"/>
        </w:rPr>
        <w:t>〉的通知》（国发</w:t>
      </w:r>
      <w:r>
        <w:rPr>
          <w:rFonts w:hint="eastAsia"/>
          <w:color w:val="auto"/>
          <w:lang w:val="zh-CN"/>
        </w:rPr>
        <w:t>〔2025〕</w:t>
      </w:r>
      <w:r>
        <w:rPr>
          <w:rFonts w:hint="eastAsia"/>
          <w:color w:val="auto"/>
        </w:rPr>
        <w:t>14号），2025年12月27日</w:t>
      </w:r>
      <w:r>
        <w:rPr>
          <w:rFonts w:hint="eastAsia"/>
          <w:color w:val="auto"/>
          <w:lang w:val="zh-CN"/>
        </w:rPr>
        <w:t>。</w:t>
      </w:r>
      <w:bookmarkEnd w:id="58"/>
    </w:p>
    <w:bookmarkEnd w:id="52"/>
    <w:bookmarkEnd w:id="53"/>
    <w:p w14:paraId="5681CF6A">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地方有关</w:t>
      </w:r>
      <w:bookmarkStart w:id="64" w:name="_Hlk40731711"/>
      <w:r>
        <w:rPr>
          <w:rFonts w:hint="eastAsia" w:ascii="黑体" w:hAnsi="黑体" w:eastAsia="黑体" w:cs="Times New Roman"/>
          <w:color w:val="auto"/>
          <w:sz w:val="24"/>
          <w:szCs w:val="21"/>
          <w:lang w:val="zh-CN"/>
          <w14:ligatures w14:val="none"/>
        </w:rPr>
        <w:t>环保法规</w:t>
      </w:r>
    </w:p>
    <w:bookmarkEnd w:id="51"/>
    <w:bookmarkEnd w:id="64"/>
    <w:p w14:paraId="4CFF0A8C">
      <w:pPr>
        <w:pStyle w:val="86"/>
        <w:ind w:firstLine="480"/>
        <w:rPr>
          <w:rFonts w:hint="eastAsia"/>
          <w:color w:val="auto"/>
          <w:lang w:val="zh-CN"/>
        </w:rPr>
      </w:pPr>
      <w:bookmarkStart w:id="65" w:name="_Toc445996322"/>
      <w:bookmarkStart w:id="66" w:name="_Toc445841959"/>
      <w:bookmarkStart w:id="67" w:name="_Hlk177303060"/>
      <w:bookmarkStart w:id="68" w:name="_Toc10413"/>
      <w:r>
        <w:rPr>
          <w:rFonts w:hint="eastAsia"/>
          <w:color w:val="auto"/>
          <w:lang w:val="zh-CN"/>
        </w:rPr>
        <w:t>（1）《新疆维吾尔自治区环境保护条例》（修订），2018年9月21日；</w:t>
      </w:r>
    </w:p>
    <w:p w14:paraId="6F446C0E">
      <w:pPr>
        <w:pStyle w:val="86"/>
        <w:ind w:firstLine="480"/>
        <w:rPr>
          <w:rFonts w:hint="eastAsia"/>
          <w:color w:val="auto"/>
          <w:lang w:val="zh-CN"/>
        </w:rPr>
      </w:pPr>
      <w:r>
        <w:rPr>
          <w:rFonts w:hint="eastAsia"/>
          <w:color w:val="auto"/>
          <w:lang w:val="zh-CN"/>
        </w:rPr>
        <w:t>（2）《新疆维吾尔自治区大气污染防治条例》，2019年1月1日；</w:t>
      </w:r>
    </w:p>
    <w:p w14:paraId="2EF25511">
      <w:pPr>
        <w:pStyle w:val="86"/>
        <w:ind w:firstLine="480"/>
        <w:rPr>
          <w:rFonts w:hint="eastAsia"/>
          <w:color w:val="auto"/>
          <w:lang w:val="zh-CN"/>
        </w:rPr>
      </w:pPr>
      <w:r>
        <w:rPr>
          <w:rFonts w:hint="eastAsia"/>
          <w:color w:val="auto"/>
          <w:lang w:val="zh-CN"/>
        </w:rPr>
        <w:t>（3）《新疆维吾尔自治区水环境功能区划》，2002年12月；</w:t>
      </w:r>
    </w:p>
    <w:p w14:paraId="21B629F2">
      <w:pPr>
        <w:pStyle w:val="86"/>
        <w:ind w:firstLine="480"/>
        <w:rPr>
          <w:rFonts w:hint="eastAsia"/>
          <w:color w:val="auto"/>
          <w:lang w:val="zh-CN"/>
        </w:rPr>
      </w:pPr>
      <w:r>
        <w:rPr>
          <w:rFonts w:hint="eastAsia"/>
          <w:color w:val="auto"/>
          <w:lang w:val="zh-CN"/>
        </w:rPr>
        <w:t>（4）《新疆维吾尔自治区野生植物保护条例（2018年修正）》，2018年9月21日；</w:t>
      </w:r>
    </w:p>
    <w:p w14:paraId="6473E84D">
      <w:pPr>
        <w:pStyle w:val="86"/>
        <w:ind w:firstLine="480"/>
        <w:rPr>
          <w:rFonts w:hint="eastAsia"/>
          <w:color w:val="auto"/>
          <w:lang w:val="zh-CN"/>
        </w:rPr>
      </w:pPr>
      <w:r>
        <w:rPr>
          <w:rFonts w:hint="eastAsia"/>
          <w:color w:val="auto"/>
          <w:lang w:val="zh-CN"/>
        </w:rPr>
        <w:t>（5）</w:t>
      </w:r>
      <w:r>
        <w:rPr>
          <w:color w:val="auto"/>
          <w:lang w:val="zh-CN"/>
        </w:rPr>
        <w:t>《新疆</w:t>
      </w:r>
      <w:r>
        <w:rPr>
          <w:rFonts w:hint="eastAsia"/>
          <w:color w:val="auto"/>
          <w:lang w:val="zh-CN"/>
        </w:rPr>
        <w:t>维吾尔自治区</w:t>
      </w:r>
      <w:r>
        <w:rPr>
          <w:color w:val="auto"/>
          <w:lang w:val="zh-CN"/>
        </w:rPr>
        <w:t>国家重点保护野生动物名录</w:t>
      </w:r>
      <w:r>
        <w:rPr>
          <w:rFonts w:hint="eastAsia"/>
          <w:color w:val="auto"/>
          <w:lang w:val="zh-CN"/>
        </w:rPr>
        <w:t>（修订）</w:t>
      </w:r>
      <w:r>
        <w:rPr>
          <w:color w:val="auto"/>
          <w:lang w:val="zh-CN"/>
        </w:rPr>
        <w:t>》，</w:t>
      </w:r>
      <w:r>
        <w:rPr>
          <w:rFonts w:hint="eastAsia"/>
          <w:color w:val="auto"/>
          <w:lang w:val="zh-CN"/>
        </w:rPr>
        <w:t>2022年9月21日；</w:t>
      </w:r>
    </w:p>
    <w:p w14:paraId="4DA3C570">
      <w:pPr>
        <w:pStyle w:val="86"/>
        <w:ind w:firstLine="480"/>
        <w:rPr>
          <w:rFonts w:hint="eastAsia"/>
          <w:color w:val="auto"/>
          <w:lang w:val="zh-CN"/>
        </w:rPr>
      </w:pPr>
      <w:r>
        <w:rPr>
          <w:rFonts w:hint="eastAsia"/>
          <w:color w:val="auto"/>
          <w:lang w:val="zh-CN"/>
        </w:rPr>
        <w:t>（6）</w:t>
      </w:r>
      <w:r>
        <w:rPr>
          <w:color w:val="auto"/>
          <w:lang w:val="zh-CN"/>
        </w:rPr>
        <w:t>《新疆维吾尔自治区水土保持规划（2018-2030年）》，</w:t>
      </w:r>
      <w:r>
        <w:rPr>
          <w:rFonts w:hint="eastAsia"/>
          <w:color w:val="auto"/>
          <w:lang w:val="zh-CN"/>
        </w:rPr>
        <w:t>2018年8月；</w:t>
      </w:r>
    </w:p>
    <w:p w14:paraId="1EDA3002">
      <w:pPr>
        <w:pStyle w:val="86"/>
        <w:ind w:firstLine="480"/>
        <w:rPr>
          <w:rFonts w:hint="eastAsia"/>
          <w:color w:val="auto"/>
          <w:lang w:val="zh-CN"/>
        </w:rPr>
      </w:pPr>
      <w:r>
        <w:rPr>
          <w:rFonts w:hint="eastAsia"/>
          <w:color w:val="auto"/>
          <w:lang w:val="zh-CN"/>
        </w:rPr>
        <w:t>（</w:t>
      </w:r>
      <w:r>
        <w:rPr>
          <w:color w:val="auto"/>
          <w:lang w:val="zh-CN"/>
        </w:rPr>
        <w:t>7</w:t>
      </w:r>
      <w:r>
        <w:rPr>
          <w:rFonts w:hint="eastAsia"/>
          <w:color w:val="auto"/>
          <w:lang w:val="zh-CN"/>
        </w:rPr>
        <w:t>）</w:t>
      </w:r>
      <w:bookmarkStart w:id="69" w:name="_Hlk92217239"/>
      <w:r>
        <w:rPr>
          <w:rFonts w:hint="eastAsia"/>
          <w:color w:val="auto"/>
          <w:lang w:val="zh-CN"/>
        </w:rPr>
        <w:t>《</w:t>
      </w:r>
      <w:r>
        <w:rPr>
          <w:color w:val="auto"/>
          <w:lang w:val="zh-CN"/>
        </w:rPr>
        <w:t>转发</w:t>
      </w:r>
      <w:r>
        <w:rPr>
          <w:rFonts w:hint="eastAsia"/>
          <w:color w:val="auto"/>
          <w:lang w:val="zh-CN"/>
        </w:rPr>
        <w:t>〈</w:t>
      </w:r>
      <w:r>
        <w:rPr>
          <w:color w:val="auto"/>
          <w:lang w:val="zh-CN"/>
        </w:rPr>
        <w:t>关于进一步加强石油天然气行业环境影响评价的通知</w:t>
      </w:r>
      <w:r>
        <w:rPr>
          <w:rFonts w:hint="eastAsia"/>
          <w:color w:val="auto"/>
          <w:lang w:val="zh-CN"/>
        </w:rPr>
        <w:t>〉</w:t>
      </w:r>
      <w:r>
        <w:rPr>
          <w:color w:val="auto"/>
          <w:lang w:val="zh-CN"/>
        </w:rPr>
        <w:t>的通知</w:t>
      </w:r>
      <w:r>
        <w:rPr>
          <w:rFonts w:hint="eastAsia"/>
          <w:color w:val="auto"/>
          <w:lang w:val="zh-CN"/>
        </w:rPr>
        <w:t>》（</w:t>
      </w:r>
      <w:r>
        <w:rPr>
          <w:color w:val="auto"/>
          <w:lang w:val="zh-CN"/>
        </w:rPr>
        <w:t>新环环评发〔2020〕142号</w:t>
      </w:r>
      <w:r>
        <w:rPr>
          <w:rFonts w:hint="eastAsia"/>
          <w:color w:val="auto"/>
          <w:lang w:val="zh-CN"/>
        </w:rPr>
        <w:t>），2020年7月30日；</w:t>
      </w:r>
    </w:p>
    <w:bookmarkEnd w:id="69"/>
    <w:p w14:paraId="337079CB">
      <w:pPr>
        <w:pStyle w:val="86"/>
        <w:ind w:firstLine="480"/>
        <w:rPr>
          <w:rFonts w:hint="eastAsia"/>
          <w:color w:val="auto"/>
          <w:lang w:val="zh-CN"/>
        </w:rPr>
      </w:pPr>
      <w:r>
        <w:rPr>
          <w:rFonts w:hint="eastAsia"/>
          <w:color w:val="auto"/>
          <w:lang w:val="zh-CN"/>
        </w:rPr>
        <w:t>（</w:t>
      </w:r>
      <w:r>
        <w:rPr>
          <w:color w:val="auto"/>
          <w:lang w:val="zh-CN"/>
        </w:rPr>
        <w:t>8</w:t>
      </w:r>
      <w:r>
        <w:rPr>
          <w:rFonts w:hint="eastAsia"/>
          <w:color w:val="auto"/>
          <w:lang w:val="zh-CN"/>
        </w:rPr>
        <w:t>）《关于加强沙区建设项目环境影响评价工作的通知》（新环环评发〔2</w:t>
      </w:r>
      <w:r>
        <w:rPr>
          <w:color w:val="auto"/>
          <w:lang w:val="zh-CN"/>
        </w:rPr>
        <w:t>020</w:t>
      </w:r>
      <w:r>
        <w:rPr>
          <w:rFonts w:hint="eastAsia"/>
          <w:color w:val="auto"/>
          <w:lang w:val="zh-CN"/>
        </w:rPr>
        <w:t>〕1</w:t>
      </w:r>
      <w:r>
        <w:rPr>
          <w:color w:val="auto"/>
          <w:lang w:val="zh-CN"/>
        </w:rPr>
        <w:t>38</w:t>
      </w:r>
      <w:r>
        <w:rPr>
          <w:rFonts w:hint="eastAsia"/>
          <w:color w:val="auto"/>
          <w:lang w:val="zh-CN"/>
        </w:rPr>
        <w:t>号），2020年9月4日</w:t>
      </w:r>
      <w:r>
        <w:rPr>
          <w:color w:val="auto"/>
          <w:lang w:val="zh-CN"/>
        </w:rPr>
        <w:t>；</w:t>
      </w:r>
    </w:p>
    <w:p w14:paraId="7CFD3C01">
      <w:pPr>
        <w:pStyle w:val="86"/>
        <w:ind w:firstLine="480"/>
        <w:rPr>
          <w:rFonts w:hint="eastAsia"/>
          <w:color w:val="auto"/>
          <w:lang w:val="zh-CN"/>
        </w:rPr>
      </w:pPr>
      <w:r>
        <w:rPr>
          <w:rFonts w:hint="eastAsia"/>
          <w:color w:val="auto"/>
          <w:lang w:val="zh-CN"/>
        </w:rPr>
        <w:t>（9）《新疆维吾尔自治区重点保护野生植物名录》，2024年1月18日；</w:t>
      </w:r>
    </w:p>
    <w:p w14:paraId="19F3FBB6">
      <w:pPr>
        <w:pStyle w:val="86"/>
        <w:ind w:firstLine="480"/>
        <w:rPr>
          <w:rFonts w:hint="eastAsia"/>
          <w:color w:val="auto"/>
          <w:lang w:val="zh-CN"/>
        </w:rPr>
      </w:pPr>
      <w:r>
        <w:rPr>
          <w:rFonts w:hint="eastAsia"/>
          <w:color w:val="auto"/>
          <w:lang w:val="zh-CN"/>
        </w:rPr>
        <w:t>（10）《新疆国家重点保护野生植物名录》，2022年3月8日；</w:t>
      </w:r>
    </w:p>
    <w:p w14:paraId="400C26A5">
      <w:pPr>
        <w:pStyle w:val="86"/>
        <w:ind w:firstLine="480"/>
        <w:rPr>
          <w:rFonts w:hint="eastAsia"/>
          <w:color w:val="auto"/>
          <w:lang w:val="zh-CN"/>
        </w:rPr>
      </w:pPr>
      <w:r>
        <w:rPr>
          <w:rFonts w:hint="eastAsia"/>
          <w:color w:val="auto"/>
          <w:lang w:val="zh-CN"/>
        </w:rPr>
        <w:t>（11）《昌吉州国民经济和社会发展第十四个五年规划和2035年远景目标纲要》，2021年7月；</w:t>
      </w:r>
    </w:p>
    <w:p w14:paraId="2D336441">
      <w:pPr>
        <w:pStyle w:val="86"/>
        <w:ind w:firstLine="480"/>
        <w:rPr>
          <w:rFonts w:hint="eastAsia"/>
          <w:color w:val="auto"/>
          <w:lang w:val="zh-CN"/>
        </w:rPr>
      </w:pPr>
      <w:r>
        <w:rPr>
          <w:rFonts w:hint="eastAsia"/>
          <w:color w:val="auto"/>
          <w:lang w:val="zh-CN"/>
        </w:rPr>
        <w:t>（12）《新疆生态环境保护“十四五”规划》，2021年12月24日；</w:t>
      </w:r>
    </w:p>
    <w:p w14:paraId="2799E310">
      <w:pPr>
        <w:pStyle w:val="86"/>
        <w:ind w:firstLine="480"/>
        <w:rPr>
          <w:rFonts w:hint="eastAsia"/>
          <w:color w:val="auto"/>
          <w:lang w:val="zh-CN"/>
        </w:rPr>
      </w:pPr>
      <w:r>
        <w:rPr>
          <w:rFonts w:hint="eastAsia"/>
          <w:color w:val="auto"/>
          <w:lang w:val="zh-CN"/>
        </w:rPr>
        <w:t>（13）《昌吉回族自治州生态环境保护与建设“十四五”规划》，2021年11月；</w:t>
      </w:r>
    </w:p>
    <w:p w14:paraId="55A8A14C">
      <w:pPr>
        <w:pStyle w:val="86"/>
        <w:ind w:firstLine="480"/>
        <w:rPr>
          <w:rFonts w:hint="eastAsia"/>
          <w:color w:val="auto"/>
          <w:lang w:val="zh-CN"/>
        </w:rPr>
      </w:pPr>
      <w:r>
        <w:rPr>
          <w:rFonts w:hint="eastAsia"/>
          <w:color w:val="auto"/>
          <w:lang w:val="zh-CN"/>
        </w:rPr>
        <w:t>（14）《新疆维吾尔自治区主体功能区规划》，2012年12月27日；</w:t>
      </w:r>
    </w:p>
    <w:p w14:paraId="4140BB33">
      <w:pPr>
        <w:pStyle w:val="86"/>
        <w:ind w:firstLine="480"/>
        <w:rPr>
          <w:rFonts w:hint="eastAsia"/>
          <w:color w:val="auto"/>
          <w:lang w:val="zh-CN"/>
        </w:rPr>
      </w:pPr>
      <w:r>
        <w:rPr>
          <w:rFonts w:hint="eastAsia"/>
          <w:color w:val="auto"/>
          <w:lang w:val="zh-CN"/>
        </w:rPr>
        <w:t>（15）《新疆维吾尔自治区生态环境分区管控动态更新成果》</w:t>
      </w:r>
      <w:bookmarkStart w:id="70" w:name="_Hlk80045814"/>
      <w:r>
        <w:rPr>
          <w:rFonts w:hint="eastAsia"/>
          <w:color w:val="auto"/>
          <w:lang w:val="zh-CN"/>
        </w:rPr>
        <w:t>（</w:t>
      </w:r>
      <w:bookmarkEnd w:id="70"/>
      <w:r>
        <w:rPr>
          <w:rFonts w:hint="eastAsia"/>
          <w:color w:val="auto"/>
          <w:lang w:val="zh-CN"/>
        </w:rPr>
        <w:t>新环环评发〔2024〕157号），2024年11月15日；</w:t>
      </w:r>
    </w:p>
    <w:p w14:paraId="6B5A5E27">
      <w:pPr>
        <w:pStyle w:val="86"/>
        <w:ind w:firstLine="480"/>
        <w:rPr>
          <w:rFonts w:hint="eastAsia"/>
          <w:color w:val="auto"/>
          <w:lang w:val="zh-CN"/>
        </w:rPr>
      </w:pPr>
      <w:r>
        <w:rPr>
          <w:rFonts w:hint="eastAsia"/>
          <w:color w:val="auto"/>
          <w:lang w:val="zh-CN"/>
        </w:rPr>
        <w:t>（16）《</w:t>
      </w:r>
      <w:bookmarkStart w:id="71" w:name="OLE_LINK1"/>
      <w:r>
        <w:rPr>
          <w:color w:val="auto"/>
          <w:lang w:val="zh-CN"/>
        </w:rPr>
        <w:t>昌吉回族自治州生态环境分区管控动态更新成果</w:t>
      </w:r>
      <w:bookmarkEnd w:id="71"/>
      <w:r>
        <w:rPr>
          <w:rFonts w:hint="eastAsia"/>
          <w:color w:val="auto"/>
          <w:lang w:val="zh-CN"/>
        </w:rPr>
        <w:t>（2024年）》，2024年12月25日；</w:t>
      </w:r>
    </w:p>
    <w:p w14:paraId="04DAFB14">
      <w:pPr>
        <w:pStyle w:val="86"/>
        <w:ind w:firstLine="480"/>
        <w:rPr>
          <w:rFonts w:hint="eastAsia"/>
          <w:color w:val="auto"/>
          <w:lang w:val="zh-CN"/>
        </w:rPr>
      </w:pPr>
      <w:r>
        <w:rPr>
          <w:rFonts w:hint="eastAsia"/>
          <w:color w:val="auto"/>
          <w:lang w:val="zh-CN"/>
        </w:rPr>
        <w:t>（17）《关于印发自治区级水土流失重点预防区和重点治理区复核划分成果的通知》，2019年1月21日；</w:t>
      </w:r>
    </w:p>
    <w:p w14:paraId="5FDED9F2">
      <w:pPr>
        <w:pStyle w:val="86"/>
        <w:ind w:firstLine="480"/>
        <w:rPr>
          <w:rFonts w:hint="eastAsia"/>
          <w:color w:val="auto"/>
          <w:lang w:val="zh-CN"/>
        </w:rPr>
      </w:pPr>
      <w:r>
        <w:rPr>
          <w:rFonts w:hint="eastAsia"/>
          <w:color w:val="auto"/>
          <w:lang w:val="zh-CN"/>
        </w:rPr>
        <w:t>（18）《新疆维吾尔自治区七大片区“三线一单”生态环境分区管控要求（2021年版）》（新政发〔2021〕162号），2021年7月26日；</w:t>
      </w:r>
    </w:p>
    <w:p w14:paraId="035C1526">
      <w:pPr>
        <w:pStyle w:val="86"/>
        <w:ind w:firstLine="480"/>
        <w:rPr>
          <w:rFonts w:hint="eastAsia"/>
          <w:color w:val="auto"/>
          <w:lang w:val="zh-CN"/>
        </w:rPr>
      </w:pPr>
      <w:r>
        <w:rPr>
          <w:rFonts w:hint="eastAsia"/>
          <w:color w:val="auto"/>
          <w:lang w:val="zh-CN"/>
        </w:rPr>
        <w:t>（19）《陆上石油天然气开采含油污泥资源化综合利用及污染控制技术要求》（SY/T7301-2016），2017年5月1日；</w:t>
      </w:r>
    </w:p>
    <w:p w14:paraId="7EA40C6C">
      <w:pPr>
        <w:pStyle w:val="86"/>
        <w:ind w:firstLine="480"/>
        <w:rPr>
          <w:rFonts w:hint="eastAsia"/>
          <w:color w:val="auto"/>
          <w:lang w:val="zh-CN"/>
        </w:rPr>
      </w:pPr>
      <w:r>
        <w:rPr>
          <w:rFonts w:hint="eastAsia"/>
          <w:color w:val="auto"/>
          <w:lang w:val="zh-CN"/>
        </w:rPr>
        <w:t>（20）《关于印发〈新疆维吾尔自治区重点行业生态环境准入条件（2024年）〉的通知》（新环环评发</w:t>
      </w:r>
      <w:r>
        <w:rPr>
          <w:color w:val="auto"/>
          <w:lang w:val="zh-CN"/>
        </w:rPr>
        <w:t>〔202</w:t>
      </w:r>
      <w:r>
        <w:rPr>
          <w:rFonts w:hint="eastAsia"/>
          <w:color w:val="auto"/>
          <w:lang w:val="zh-CN"/>
        </w:rPr>
        <w:t>4</w:t>
      </w:r>
      <w:r>
        <w:rPr>
          <w:color w:val="auto"/>
          <w:lang w:val="zh-CN"/>
        </w:rPr>
        <w:t>〕</w:t>
      </w:r>
      <w:r>
        <w:rPr>
          <w:rFonts w:hint="eastAsia"/>
          <w:color w:val="auto"/>
          <w:lang w:val="zh-CN"/>
        </w:rPr>
        <w:t>93</w:t>
      </w:r>
      <w:r>
        <w:rPr>
          <w:color w:val="auto"/>
          <w:lang w:val="zh-CN"/>
        </w:rPr>
        <w:t>号</w:t>
      </w:r>
      <w:r>
        <w:rPr>
          <w:rFonts w:hint="eastAsia"/>
          <w:color w:val="auto"/>
          <w:lang w:val="zh-CN"/>
        </w:rPr>
        <w:t>），2024年6月9日；</w:t>
      </w:r>
    </w:p>
    <w:p w14:paraId="767D7F38">
      <w:pPr>
        <w:pStyle w:val="86"/>
        <w:ind w:firstLine="480"/>
        <w:rPr>
          <w:rFonts w:hint="eastAsia"/>
          <w:color w:val="auto"/>
          <w:lang w:val="zh-CN"/>
        </w:rPr>
      </w:pPr>
      <w:r>
        <w:rPr>
          <w:rFonts w:hint="eastAsia"/>
          <w:color w:val="auto"/>
          <w:lang w:val="zh-CN"/>
        </w:rPr>
        <w:t>（21）《新疆维吾尔自治区矿产资源总体规划（2021-2025年）》，2022年8月；</w:t>
      </w:r>
    </w:p>
    <w:p w14:paraId="47868E70">
      <w:pPr>
        <w:pStyle w:val="86"/>
        <w:ind w:firstLine="480"/>
        <w:rPr>
          <w:rFonts w:hint="eastAsia"/>
          <w:color w:val="auto"/>
          <w:lang w:val="zh-CN"/>
        </w:rPr>
      </w:pPr>
      <w:r>
        <w:rPr>
          <w:rFonts w:hint="eastAsia"/>
          <w:color w:val="auto"/>
          <w:lang w:val="zh-CN"/>
        </w:rPr>
        <w:t>（22）《新疆维吾尔自治区矿产资源总体规划（2021-2025年）环境影响报告书》，2022年5月；</w:t>
      </w:r>
    </w:p>
    <w:p w14:paraId="10134BB6">
      <w:pPr>
        <w:pStyle w:val="86"/>
        <w:ind w:firstLine="480"/>
        <w:rPr>
          <w:rFonts w:hint="eastAsia"/>
          <w:color w:val="auto"/>
          <w:lang w:val="zh-CN"/>
        </w:rPr>
      </w:pPr>
      <w:r>
        <w:rPr>
          <w:rFonts w:hint="eastAsia"/>
          <w:color w:val="auto"/>
          <w:lang w:val="zh-CN"/>
        </w:rPr>
        <w:t>（23）《新疆维吾尔自治区实施〈中华人民共和国防沙治沙法〉办法》，2020年9月19日。</w:t>
      </w:r>
    </w:p>
    <w:bookmarkEnd w:id="65"/>
    <w:bookmarkEnd w:id="66"/>
    <w:bookmarkEnd w:id="67"/>
    <w:bookmarkEnd w:id="68"/>
    <w:p w14:paraId="4F4C439B">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相关导则及指南</w:t>
      </w:r>
    </w:p>
    <w:p w14:paraId="3BCA7DE1">
      <w:pPr>
        <w:pStyle w:val="86"/>
        <w:ind w:firstLine="480"/>
        <w:rPr>
          <w:rFonts w:hint="eastAsia"/>
          <w:color w:val="auto"/>
          <w:lang w:val="zh-CN"/>
        </w:rPr>
      </w:pPr>
      <w:bookmarkStart w:id="72" w:name="_Toc445841960"/>
      <w:bookmarkStart w:id="73" w:name="_Toc445996323"/>
      <w:bookmarkStart w:id="74" w:name="_Toc7963"/>
      <w:r>
        <w:rPr>
          <w:rFonts w:hint="eastAsia"/>
          <w:color w:val="auto"/>
          <w:lang w:val="zh-CN"/>
        </w:rPr>
        <w:t>（</w:t>
      </w:r>
      <w:r>
        <w:rPr>
          <w:rFonts w:hint="eastAsia"/>
          <w:color w:val="auto"/>
        </w:rPr>
        <w:t>1</w:t>
      </w:r>
      <w:r>
        <w:rPr>
          <w:rFonts w:hint="eastAsia"/>
          <w:color w:val="auto"/>
          <w:lang w:val="zh-CN"/>
        </w:rPr>
        <w:t>）《建设项目环境影响评价技术导则 总纲》（HJ2.1-2016），2017年1月1日；</w:t>
      </w:r>
    </w:p>
    <w:p w14:paraId="624C0225">
      <w:pPr>
        <w:pStyle w:val="86"/>
        <w:ind w:firstLine="480"/>
        <w:rPr>
          <w:rFonts w:hint="eastAsia"/>
          <w:color w:val="auto"/>
          <w:lang w:val="zh-CN"/>
        </w:rPr>
      </w:pPr>
      <w:r>
        <w:rPr>
          <w:rFonts w:hint="eastAsia"/>
          <w:color w:val="auto"/>
          <w:lang w:val="zh-CN"/>
        </w:rPr>
        <w:t>（</w:t>
      </w:r>
      <w:r>
        <w:rPr>
          <w:rFonts w:hint="eastAsia"/>
          <w:color w:val="auto"/>
        </w:rPr>
        <w:t>2</w:t>
      </w:r>
      <w:r>
        <w:rPr>
          <w:rFonts w:hint="eastAsia"/>
          <w:color w:val="auto"/>
          <w:lang w:val="zh-CN"/>
        </w:rPr>
        <w:t>）《环境影响评价技术导则 大气环境》（HJ2.2-2018），2018年12月1日；</w:t>
      </w:r>
    </w:p>
    <w:p w14:paraId="18FB2461">
      <w:pPr>
        <w:pStyle w:val="86"/>
        <w:ind w:firstLine="480"/>
        <w:rPr>
          <w:rFonts w:hint="eastAsia"/>
          <w:color w:val="auto"/>
          <w:lang w:val="zh-CN"/>
        </w:rPr>
      </w:pPr>
      <w:r>
        <w:rPr>
          <w:rFonts w:hint="eastAsia"/>
          <w:color w:val="auto"/>
          <w:lang w:val="zh-CN"/>
        </w:rPr>
        <w:t>（</w:t>
      </w:r>
      <w:r>
        <w:rPr>
          <w:rFonts w:hint="eastAsia"/>
          <w:color w:val="auto"/>
        </w:rPr>
        <w:t>3</w:t>
      </w:r>
      <w:r>
        <w:rPr>
          <w:rFonts w:hint="eastAsia"/>
          <w:color w:val="auto"/>
          <w:lang w:val="zh-CN"/>
        </w:rPr>
        <w:t>）《环境影响评价技术导则 声环境》（HJ2.4-20</w:t>
      </w:r>
      <w:r>
        <w:rPr>
          <w:color w:val="auto"/>
          <w:lang w:val="zh-CN"/>
        </w:rPr>
        <w:t>21</w:t>
      </w:r>
      <w:r>
        <w:rPr>
          <w:rFonts w:hint="eastAsia"/>
          <w:color w:val="auto"/>
          <w:lang w:val="zh-CN"/>
        </w:rPr>
        <w:t>），2022年7月1日；</w:t>
      </w:r>
    </w:p>
    <w:p w14:paraId="75AF5608">
      <w:pPr>
        <w:pStyle w:val="86"/>
        <w:ind w:firstLine="480"/>
        <w:rPr>
          <w:rFonts w:hint="eastAsia"/>
          <w:color w:val="auto"/>
          <w:lang w:val="zh-CN"/>
        </w:rPr>
      </w:pPr>
      <w:r>
        <w:rPr>
          <w:rFonts w:hint="eastAsia"/>
          <w:color w:val="auto"/>
          <w:lang w:val="zh-CN"/>
        </w:rPr>
        <w:t>（</w:t>
      </w:r>
      <w:r>
        <w:rPr>
          <w:rFonts w:hint="eastAsia"/>
          <w:color w:val="auto"/>
        </w:rPr>
        <w:t>4</w:t>
      </w:r>
      <w:r>
        <w:rPr>
          <w:rFonts w:hint="eastAsia"/>
          <w:color w:val="auto"/>
          <w:lang w:val="zh-CN"/>
        </w:rPr>
        <w:t>）《环境影响评价技术导则 土壤环境（试行）》（HJ964-2018），2019年7月1日；</w:t>
      </w:r>
    </w:p>
    <w:p w14:paraId="628464F8">
      <w:pPr>
        <w:pStyle w:val="86"/>
        <w:ind w:firstLine="480"/>
        <w:rPr>
          <w:rFonts w:hint="eastAsia"/>
          <w:color w:val="auto"/>
          <w:lang w:val="zh-CN"/>
        </w:rPr>
      </w:pPr>
      <w:r>
        <w:rPr>
          <w:rFonts w:hint="eastAsia"/>
          <w:color w:val="auto"/>
          <w:lang w:val="zh-CN"/>
        </w:rPr>
        <w:t>（</w:t>
      </w:r>
      <w:r>
        <w:rPr>
          <w:rFonts w:hint="eastAsia"/>
          <w:color w:val="auto"/>
        </w:rPr>
        <w:t>5</w:t>
      </w:r>
      <w:r>
        <w:rPr>
          <w:rFonts w:hint="eastAsia"/>
          <w:color w:val="auto"/>
          <w:lang w:val="zh-CN"/>
        </w:rPr>
        <w:t>）《环境影响评价技术导则 生态影响》（HJ19-20</w:t>
      </w:r>
      <w:r>
        <w:rPr>
          <w:color w:val="auto"/>
          <w:lang w:val="zh-CN"/>
        </w:rPr>
        <w:t>22</w:t>
      </w:r>
      <w:r>
        <w:rPr>
          <w:rFonts w:hint="eastAsia"/>
          <w:color w:val="auto"/>
          <w:lang w:val="zh-CN"/>
        </w:rPr>
        <w:t>），2022年7月1日；</w:t>
      </w:r>
    </w:p>
    <w:p w14:paraId="0C2265DF">
      <w:pPr>
        <w:pStyle w:val="86"/>
        <w:ind w:firstLine="480"/>
        <w:rPr>
          <w:rFonts w:hint="eastAsia"/>
          <w:color w:val="auto"/>
          <w:lang w:val="zh-CN"/>
        </w:rPr>
      </w:pPr>
      <w:r>
        <w:rPr>
          <w:rFonts w:hint="eastAsia"/>
          <w:color w:val="auto"/>
          <w:lang w:val="zh-CN"/>
        </w:rPr>
        <w:t>（</w:t>
      </w:r>
      <w:r>
        <w:rPr>
          <w:rFonts w:hint="eastAsia"/>
          <w:color w:val="auto"/>
        </w:rPr>
        <w:t>6</w:t>
      </w:r>
      <w:r>
        <w:rPr>
          <w:rFonts w:hint="eastAsia"/>
          <w:color w:val="auto"/>
          <w:lang w:val="zh-CN"/>
        </w:rPr>
        <w:t>）《环境影响评价技术导则 地表水环境》（HJ2.3-2018），2019年3月1日；</w:t>
      </w:r>
    </w:p>
    <w:p w14:paraId="1EAAE572">
      <w:pPr>
        <w:pStyle w:val="86"/>
        <w:ind w:firstLine="480"/>
        <w:rPr>
          <w:rFonts w:hint="eastAsia"/>
          <w:color w:val="auto"/>
          <w:lang w:val="zh-CN"/>
        </w:rPr>
      </w:pPr>
      <w:r>
        <w:rPr>
          <w:rFonts w:hint="eastAsia"/>
          <w:color w:val="auto"/>
          <w:lang w:val="zh-CN"/>
        </w:rPr>
        <w:t>（</w:t>
      </w:r>
      <w:r>
        <w:rPr>
          <w:rFonts w:hint="eastAsia"/>
          <w:color w:val="auto"/>
        </w:rPr>
        <w:t>7</w:t>
      </w:r>
      <w:r>
        <w:rPr>
          <w:rFonts w:hint="eastAsia"/>
          <w:color w:val="auto"/>
          <w:lang w:val="zh-CN"/>
        </w:rPr>
        <w:t>）《环境影响评价技术导则 地下水环境》（HJ610-2016），2016年1月7日；</w:t>
      </w:r>
    </w:p>
    <w:p w14:paraId="1D30FA31">
      <w:pPr>
        <w:pStyle w:val="86"/>
        <w:ind w:firstLine="480"/>
        <w:rPr>
          <w:rFonts w:hint="eastAsia"/>
          <w:color w:val="auto"/>
          <w:lang w:val="zh-CN"/>
        </w:rPr>
      </w:pPr>
      <w:r>
        <w:rPr>
          <w:rFonts w:hint="eastAsia"/>
          <w:color w:val="auto"/>
          <w:lang w:val="zh-CN"/>
        </w:rPr>
        <w:t>（</w:t>
      </w:r>
      <w:r>
        <w:rPr>
          <w:rFonts w:hint="eastAsia"/>
          <w:color w:val="auto"/>
        </w:rPr>
        <w:t>8</w:t>
      </w:r>
      <w:r>
        <w:rPr>
          <w:rFonts w:hint="eastAsia"/>
          <w:color w:val="auto"/>
          <w:lang w:val="zh-CN"/>
        </w:rPr>
        <w:t>）《建设项目环境风险评价技术导则》（HJ169-2018），2019年3月1日；</w:t>
      </w:r>
    </w:p>
    <w:p w14:paraId="7AFAF0FB">
      <w:pPr>
        <w:pStyle w:val="86"/>
        <w:ind w:firstLine="480"/>
        <w:rPr>
          <w:rFonts w:hint="eastAsia"/>
          <w:color w:val="auto"/>
          <w:lang w:val="zh-CN"/>
        </w:rPr>
      </w:pPr>
      <w:r>
        <w:rPr>
          <w:rFonts w:hint="eastAsia"/>
          <w:color w:val="auto"/>
          <w:lang w:val="zh-CN"/>
        </w:rPr>
        <w:t>（</w:t>
      </w:r>
      <w:r>
        <w:rPr>
          <w:rFonts w:hint="eastAsia"/>
          <w:color w:val="auto"/>
        </w:rPr>
        <w:t>9</w:t>
      </w:r>
      <w:r>
        <w:rPr>
          <w:rFonts w:hint="eastAsia"/>
          <w:color w:val="auto"/>
          <w:lang w:val="zh-CN"/>
        </w:rPr>
        <w:t>）《环境影响评价技术导则 陆地石油天然气开发建设项目》（HJ349-20</w:t>
      </w:r>
      <w:r>
        <w:rPr>
          <w:color w:val="auto"/>
          <w:lang w:val="zh-CN"/>
        </w:rPr>
        <w:t>23</w:t>
      </w:r>
      <w:r>
        <w:rPr>
          <w:rFonts w:hint="eastAsia"/>
          <w:color w:val="auto"/>
          <w:lang w:val="zh-CN"/>
        </w:rPr>
        <w:t>），2024年1月1日；</w:t>
      </w:r>
    </w:p>
    <w:p w14:paraId="07FBBC75">
      <w:pPr>
        <w:pStyle w:val="86"/>
        <w:ind w:firstLine="480"/>
        <w:rPr>
          <w:rFonts w:hint="eastAsia"/>
          <w:color w:val="auto"/>
          <w:lang w:val="zh-CN"/>
        </w:rPr>
      </w:pPr>
      <w:r>
        <w:rPr>
          <w:rFonts w:hint="eastAsia"/>
          <w:color w:val="auto"/>
          <w:lang w:val="zh-CN"/>
        </w:rPr>
        <w:t>（1</w:t>
      </w:r>
      <w:r>
        <w:rPr>
          <w:color w:val="auto"/>
          <w:lang w:val="zh-CN"/>
        </w:rPr>
        <w:t>0</w:t>
      </w:r>
      <w:r>
        <w:rPr>
          <w:rFonts w:hint="eastAsia"/>
          <w:color w:val="auto"/>
          <w:lang w:val="zh-CN"/>
        </w:rPr>
        <w:t>）《危险废物管理计划和管理台账制定技术导则》（H</w:t>
      </w:r>
      <w:r>
        <w:rPr>
          <w:color w:val="auto"/>
          <w:lang w:val="zh-CN"/>
        </w:rPr>
        <w:t>J1259-2022</w:t>
      </w:r>
      <w:r>
        <w:rPr>
          <w:rFonts w:hint="eastAsia"/>
          <w:color w:val="auto"/>
          <w:lang w:val="zh-CN"/>
        </w:rPr>
        <w:t>），2022年10月1日；</w:t>
      </w:r>
    </w:p>
    <w:p w14:paraId="5F797DF0">
      <w:pPr>
        <w:pStyle w:val="86"/>
        <w:ind w:firstLine="480"/>
        <w:rPr>
          <w:rFonts w:hint="eastAsia"/>
          <w:color w:val="auto"/>
          <w:lang w:val="zh-CN"/>
        </w:rPr>
      </w:pPr>
      <w:r>
        <w:rPr>
          <w:rFonts w:hint="eastAsia"/>
          <w:color w:val="auto"/>
          <w:lang w:val="zh-CN"/>
        </w:rPr>
        <w:t>（</w:t>
      </w:r>
      <w:r>
        <w:rPr>
          <w:rFonts w:hint="eastAsia"/>
          <w:color w:val="auto"/>
        </w:rPr>
        <w:t>1</w:t>
      </w:r>
      <w:r>
        <w:rPr>
          <w:color w:val="auto"/>
        </w:rPr>
        <w:t>1</w:t>
      </w:r>
      <w:r>
        <w:rPr>
          <w:rFonts w:hint="eastAsia"/>
          <w:color w:val="auto"/>
          <w:lang w:val="zh-CN"/>
        </w:rPr>
        <w:t>）《排污单位自行监测技术指南 总则》（HJ819-2017），2017年6月1日；</w:t>
      </w:r>
    </w:p>
    <w:p w14:paraId="52E14B2F">
      <w:pPr>
        <w:pStyle w:val="86"/>
        <w:ind w:firstLine="480"/>
        <w:rPr>
          <w:rFonts w:hint="eastAsia"/>
          <w:color w:val="auto"/>
        </w:rPr>
      </w:pPr>
      <w:bookmarkStart w:id="75" w:name="_Hlk78381581"/>
      <w:bookmarkStart w:id="76" w:name="_Hlk33041429"/>
      <w:r>
        <w:rPr>
          <w:rFonts w:hint="eastAsia"/>
          <w:color w:val="auto"/>
        </w:rPr>
        <w:t>（1</w:t>
      </w:r>
      <w:r>
        <w:rPr>
          <w:color w:val="auto"/>
        </w:rPr>
        <w:t>2</w:t>
      </w:r>
      <w:r>
        <w:rPr>
          <w:rFonts w:hint="eastAsia"/>
          <w:color w:val="auto"/>
        </w:rPr>
        <w:t>）《污染源源强核算技术指南</w:t>
      </w:r>
      <w:r>
        <w:rPr>
          <w:color w:val="auto"/>
        </w:rPr>
        <w:t xml:space="preserve"> </w:t>
      </w:r>
      <w:r>
        <w:rPr>
          <w:rFonts w:hint="eastAsia"/>
          <w:color w:val="auto"/>
        </w:rPr>
        <w:t>石油炼制工业》（H</w:t>
      </w:r>
      <w:r>
        <w:rPr>
          <w:color w:val="auto"/>
        </w:rPr>
        <w:t>J982-2018</w:t>
      </w:r>
      <w:r>
        <w:rPr>
          <w:rFonts w:hint="eastAsia"/>
          <w:color w:val="auto"/>
        </w:rPr>
        <w:t>），2019年1月1日；</w:t>
      </w:r>
    </w:p>
    <w:p w14:paraId="280E329A">
      <w:pPr>
        <w:pStyle w:val="86"/>
        <w:ind w:firstLine="480"/>
        <w:rPr>
          <w:rFonts w:hint="eastAsia"/>
          <w:color w:val="auto"/>
        </w:rPr>
      </w:pPr>
      <w:r>
        <w:rPr>
          <w:rFonts w:hint="eastAsia"/>
          <w:color w:val="auto"/>
        </w:rPr>
        <w:t>（1</w:t>
      </w:r>
      <w:r>
        <w:rPr>
          <w:color w:val="auto"/>
        </w:rPr>
        <w:t>3</w:t>
      </w:r>
      <w:r>
        <w:rPr>
          <w:rFonts w:hint="eastAsia"/>
          <w:color w:val="auto"/>
        </w:rPr>
        <w:t>）《石油和天然气开采行业清洁生产评价指标体系（试行）》，2009年2月；</w:t>
      </w:r>
    </w:p>
    <w:p w14:paraId="43B80055">
      <w:pPr>
        <w:pStyle w:val="86"/>
        <w:ind w:firstLine="480"/>
        <w:rPr>
          <w:rFonts w:hint="eastAsia"/>
          <w:color w:val="auto"/>
        </w:rPr>
      </w:pPr>
      <w:bookmarkStart w:id="77" w:name="_Hlk92217251"/>
      <w:r>
        <w:rPr>
          <w:rFonts w:hint="eastAsia"/>
          <w:color w:val="auto"/>
        </w:rPr>
        <w:t>（1</w:t>
      </w:r>
      <w:r>
        <w:rPr>
          <w:color w:val="auto"/>
        </w:rPr>
        <w:t>4</w:t>
      </w:r>
      <w:r>
        <w:rPr>
          <w:rFonts w:hint="eastAsia"/>
          <w:color w:val="auto"/>
        </w:rPr>
        <w:t>）《危险废物环境管理指南</w:t>
      </w:r>
      <w:r>
        <w:rPr>
          <w:color w:val="auto"/>
        </w:rPr>
        <w:t xml:space="preserve"> </w:t>
      </w:r>
      <w:r>
        <w:rPr>
          <w:rFonts w:hint="eastAsia"/>
          <w:color w:val="auto"/>
        </w:rPr>
        <w:t>陆上石油天然气开采》，2</w:t>
      </w:r>
      <w:r>
        <w:rPr>
          <w:color w:val="auto"/>
        </w:rPr>
        <w:t>021</w:t>
      </w:r>
      <w:r>
        <w:rPr>
          <w:rFonts w:hint="eastAsia"/>
          <w:color w:val="auto"/>
        </w:rPr>
        <w:t>年1</w:t>
      </w:r>
      <w:r>
        <w:rPr>
          <w:color w:val="auto"/>
        </w:rPr>
        <w:t>2</w:t>
      </w:r>
      <w:r>
        <w:rPr>
          <w:rFonts w:hint="eastAsia"/>
          <w:color w:val="auto"/>
        </w:rPr>
        <w:t>月2</w:t>
      </w:r>
      <w:r>
        <w:rPr>
          <w:color w:val="auto"/>
        </w:rPr>
        <w:t>1</w:t>
      </w:r>
      <w:r>
        <w:rPr>
          <w:rFonts w:hint="eastAsia"/>
          <w:color w:val="auto"/>
        </w:rPr>
        <w:t>日；</w:t>
      </w:r>
    </w:p>
    <w:p w14:paraId="04F1942D">
      <w:pPr>
        <w:pStyle w:val="86"/>
        <w:ind w:firstLine="480"/>
        <w:rPr>
          <w:rFonts w:hint="eastAsia"/>
          <w:color w:val="auto"/>
        </w:rPr>
      </w:pPr>
      <w:r>
        <w:rPr>
          <w:rFonts w:hint="eastAsia"/>
          <w:color w:val="auto"/>
        </w:rPr>
        <w:t>（1</w:t>
      </w:r>
      <w:r>
        <w:rPr>
          <w:color w:val="auto"/>
        </w:rPr>
        <w:t>5</w:t>
      </w:r>
      <w:r>
        <w:rPr>
          <w:rFonts w:hint="eastAsia"/>
          <w:color w:val="auto"/>
        </w:rPr>
        <w:t>）《排污单位自行监测技术指南</w:t>
      </w:r>
      <w:r>
        <w:rPr>
          <w:color w:val="auto"/>
        </w:rPr>
        <w:t xml:space="preserve"> </w:t>
      </w:r>
      <w:r>
        <w:rPr>
          <w:rFonts w:hint="eastAsia"/>
          <w:color w:val="auto"/>
        </w:rPr>
        <w:t>陆上石油天然气开采业》（H</w:t>
      </w:r>
      <w:r>
        <w:rPr>
          <w:color w:val="auto"/>
        </w:rPr>
        <w:t>J1248-2022</w:t>
      </w:r>
      <w:r>
        <w:rPr>
          <w:rFonts w:hint="eastAsia"/>
          <w:color w:val="auto"/>
        </w:rPr>
        <w:t>），2022年7月1日；</w:t>
      </w:r>
    </w:p>
    <w:p w14:paraId="42CE26EA">
      <w:pPr>
        <w:pStyle w:val="86"/>
        <w:ind w:firstLine="480"/>
        <w:rPr>
          <w:rFonts w:hint="eastAsia" w:cs="宋体"/>
          <w:color w:val="auto"/>
        </w:rPr>
      </w:pPr>
      <w:r>
        <w:rPr>
          <w:rFonts w:hint="eastAsia"/>
          <w:color w:val="auto"/>
        </w:rPr>
        <w:t>（</w:t>
      </w:r>
      <w:r>
        <w:rPr>
          <w:color w:val="auto"/>
        </w:rPr>
        <w:t>16</w:t>
      </w:r>
      <w:r>
        <w:rPr>
          <w:rFonts w:hint="eastAsia"/>
          <w:color w:val="auto"/>
        </w:rPr>
        <w:t>）</w:t>
      </w:r>
      <w:r>
        <w:rPr>
          <w:rFonts w:hint="eastAsia" w:cs="宋体"/>
          <w:color w:val="auto"/>
        </w:rPr>
        <w:t>《危险废物收集 贮存 运输技术规范》（HJ2025-2012），2013年3月1日；</w:t>
      </w:r>
    </w:p>
    <w:p w14:paraId="79B7AB0F">
      <w:pPr>
        <w:pStyle w:val="86"/>
        <w:ind w:firstLine="480"/>
        <w:rPr>
          <w:rFonts w:hint="eastAsia" w:cs="宋体"/>
          <w:color w:val="auto"/>
        </w:rPr>
      </w:pPr>
      <w:bookmarkStart w:id="78" w:name="_Hlk177304445"/>
      <w:r>
        <w:rPr>
          <w:rFonts w:hint="eastAsia" w:cs="宋体"/>
          <w:color w:val="auto"/>
        </w:rPr>
        <w:t>（17）《石油天然气项目土地复垦与生态修复技术规范》（GBT/43936-2024），2024年8月1日；</w:t>
      </w:r>
    </w:p>
    <w:p w14:paraId="162A464D">
      <w:pPr>
        <w:pStyle w:val="86"/>
        <w:ind w:firstLine="480"/>
        <w:rPr>
          <w:rFonts w:hint="eastAsia" w:cs="宋体"/>
          <w:color w:val="auto"/>
        </w:rPr>
      </w:pPr>
      <w:r>
        <w:rPr>
          <w:rFonts w:hint="eastAsia" w:cs="宋体"/>
          <w:color w:val="auto"/>
        </w:rPr>
        <w:t>（18）</w:t>
      </w:r>
      <w:r>
        <w:rPr>
          <w:rFonts w:cs="宋体"/>
          <w:color w:val="auto"/>
        </w:rPr>
        <w:t>《陆上石油天然气开采业绿色矿山建设规范》（DZ/T0317-2018）</w:t>
      </w:r>
      <w:r>
        <w:rPr>
          <w:rFonts w:hint="eastAsia" w:cs="宋体"/>
          <w:color w:val="auto"/>
        </w:rPr>
        <w:t>，2018年10月1日；</w:t>
      </w:r>
    </w:p>
    <w:p w14:paraId="6ED7C885">
      <w:pPr>
        <w:pStyle w:val="86"/>
        <w:ind w:firstLine="480"/>
        <w:rPr>
          <w:rFonts w:hint="eastAsia" w:cs="宋体"/>
          <w:color w:val="auto"/>
        </w:rPr>
      </w:pPr>
      <w:r>
        <w:rPr>
          <w:rFonts w:hint="eastAsia" w:cs="宋体"/>
          <w:color w:val="auto"/>
        </w:rPr>
        <w:t>（19）</w:t>
      </w:r>
      <w:bookmarkStart w:id="79" w:name="OLE_LINK88"/>
      <w:r>
        <w:rPr>
          <w:rFonts w:hint="eastAsia"/>
          <w:color w:val="auto"/>
        </w:rPr>
        <w:t>《石油天然气开采业固体废物污染控制技术规范（试行）》（HJ 1461—2026）</w:t>
      </w:r>
      <w:bookmarkEnd w:id="79"/>
      <w:r>
        <w:rPr>
          <w:rFonts w:hint="eastAsia" w:cs="宋体"/>
          <w:color w:val="auto"/>
        </w:rPr>
        <w:t>。</w:t>
      </w:r>
    </w:p>
    <w:bookmarkEnd w:id="75"/>
    <w:bookmarkEnd w:id="76"/>
    <w:bookmarkEnd w:id="77"/>
    <w:bookmarkEnd w:id="78"/>
    <w:p w14:paraId="67347A45">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相关文件和技术资料</w:t>
      </w:r>
      <w:bookmarkEnd w:id="72"/>
      <w:bookmarkEnd w:id="73"/>
      <w:bookmarkEnd w:id="74"/>
    </w:p>
    <w:p w14:paraId="63438EE4">
      <w:pPr>
        <w:pStyle w:val="86"/>
        <w:ind w:firstLine="480"/>
        <w:rPr>
          <w:rFonts w:hint="eastAsia"/>
          <w:color w:val="auto"/>
          <w:lang w:val="zh-CN"/>
        </w:rPr>
      </w:pPr>
      <w:r>
        <w:rPr>
          <w:rFonts w:hint="eastAsia"/>
          <w:color w:val="auto"/>
          <w:lang w:val="zh-CN"/>
        </w:rPr>
        <w:t>（1）《</w:t>
      </w:r>
      <w:r>
        <w:rPr>
          <w:color w:val="auto"/>
        </w:rPr>
        <w:t>莫172H井天然气回收</w:t>
      </w:r>
      <w:r>
        <w:rPr>
          <w:rFonts w:hint="eastAsia"/>
          <w:color w:val="auto"/>
        </w:rPr>
        <w:t>设计方案</w:t>
      </w:r>
      <w:r>
        <w:rPr>
          <w:rFonts w:hint="eastAsia"/>
          <w:color w:val="auto"/>
          <w:lang w:val="zh-CN"/>
        </w:rPr>
        <w:t>》，2025年</w:t>
      </w:r>
      <w:r>
        <w:rPr>
          <w:rFonts w:hint="eastAsia"/>
          <w:color w:val="auto"/>
        </w:rPr>
        <w:t>10</w:t>
      </w:r>
      <w:r>
        <w:rPr>
          <w:rFonts w:hint="eastAsia"/>
          <w:color w:val="auto"/>
          <w:lang w:val="zh-CN"/>
        </w:rPr>
        <w:t>月；</w:t>
      </w:r>
    </w:p>
    <w:p w14:paraId="31CDBB43">
      <w:pPr>
        <w:pStyle w:val="86"/>
        <w:ind w:firstLine="480"/>
        <w:rPr>
          <w:rFonts w:hint="eastAsia"/>
          <w:color w:val="auto"/>
          <w:lang w:val="zh-CN"/>
        </w:rPr>
      </w:pPr>
      <w:r>
        <w:rPr>
          <w:rFonts w:hint="eastAsia"/>
          <w:color w:val="auto"/>
          <w:lang w:val="zh-CN"/>
        </w:rPr>
        <w:t>（</w:t>
      </w:r>
      <w:r>
        <w:rPr>
          <w:color w:val="auto"/>
          <w:lang w:val="zh-CN"/>
        </w:rPr>
        <w:t>2</w:t>
      </w:r>
      <w:r>
        <w:rPr>
          <w:rFonts w:hint="eastAsia"/>
          <w:color w:val="auto"/>
          <w:lang w:val="zh-CN"/>
        </w:rPr>
        <w:t>）《</w:t>
      </w:r>
      <w:r>
        <w:rPr>
          <w:color w:val="auto"/>
        </w:rPr>
        <w:t>莫172H井天然气回收</w:t>
      </w:r>
      <w:r>
        <w:rPr>
          <w:rFonts w:hint="eastAsia"/>
          <w:color w:val="auto"/>
        </w:rPr>
        <w:t>建设项目环评委托书</w:t>
      </w:r>
      <w:r>
        <w:rPr>
          <w:rFonts w:hint="eastAsia"/>
          <w:color w:val="auto"/>
          <w:lang w:val="zh-CN"/>
        </w:rPr>
        <w:t>》，2026年1月；</w:t>
      </w:r>
    </w:p>
    <w:p w14:paraId="3C95CB89">
      <w:pPr>
        <w:pStyle w:val="86"/>
        <w:ind w:firstLine="480"/>
        <w:rPr>
          <w:rFonts w:hint="eastAsia"/>
          <w:color w:val="auto"/>
          <w:lang w:val="zh-CN"/>
        </w:rPr>
      </w:pPr>
      <w:r>
        <w:rPr>
          <w:rFonts w:hint="eastAsia"/>
          <w:color w:val="auto"/>
          <w:lang w:val="zh-CN"/>
        </w:rPr>
        <w:t>（</w:t>
      </w:r>
      <w:r>
        <w:rPr>
          <w:color w:val="auto"/>
          <w:lang w:val="zh-CN"/>
        </w:rPr>
        <w:t>3</w:t>
      </w:r>
      <w:r>
        <w:rPr>
          <w:rFonts w:hint="eastAsia"/>
          <w:color w:val="auto"/>
          <w:lang w:val="zh-CN"/>
        </w:rPr>
        <w:t>）《</w:t>
      </w:r>
      <w:r>
        <w:rPr>
          <w:color w:val="auto"/>
        </w:rPr>
        <w:t>莫172H井天然气回收</w:t>
      </w:r>
      <w:r>
        <w:rPr>
          <w:rFonts w:hint="eastAsia"/>
          <w:color w:val="auto"/>
        </w:rPr>
        <w:t>建设项目环境质量现状检验检测报告</w:t>
      </w:r>
      <w:r>
        <w:rPr>
          <w:rFonts w:hint="eastAsia"/>
          <w:color w:val="auto"/>
          <w:lang w:val="zh-CN"/>
        </w:rPr>
        <w:t>》，2026年1月。</w:t>
      </w:r>
    </w:p>
    <w:p w14:paraId="59AE2A93">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80" w:name="_Toc475624460"/>
      <w:bookmarkStart w:id="81" w:name="_Toc224405916"/>
      <w:r>
        <w:rPr>
          <w:rFonts w:hint="eastAsia" w:ascii="黑体" w:hAnsi="黑体" w:eastAsia="黑体" w:cs="Times New Roman"/>
          <w:bCs/>
          <w:color w:val="auto"/>
          <w:sz w:val="28"/>
          <w:szCs w:val="32"/>
          <w14:ligatures w14:val="none"/>
        </w:rPr>
        <w:t>评价目的与原则</w:t>
      </w:r>
      <w:bookmarkEnd w:id="80"/>
      <w:bookmarkEnd w:id="81"/>
    </w:p>
    <w:p w14:paraId="09A42126">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82" w:name="_Toc445996325"/>
      <w:bookmarkStart w:id="83" w:name="_Toc445841963"/>
      <w:bookmarkStart w:id="84" w:name="_Toc19120"/>
      <w:r>
        <w:rPr>
          <w:rFonts w:hint="eastAsia" w:ascii="黑体" w:hAnsi="黑体" w:eastAsia="黑体" w:cs="Times New Roman"/>
          <w:color w:val="auto"/>
          <w:sz w:val="24"/>
          <w:szCs w:val="21"/>
          <w:lang w:val="zh-CN"/>
          <w14:ligatures w14:val="none"/>
        </w:rPr>
        <w:t>评价目的</w:t>
      </w:r>
      <w:bookmarkEnd w:id="82"/>
      <w:bookmarkEnd w:id="83"/>
      <w:bookmarkEnd w:id="84"/>
    </w:p>
    <w:p w14:paraId="789856D0">
      <w:pPr>
        <w:pStyle w:val="86"/>
        <w:ind w:firstLine="480"/>
        <w:rPr>
          <w:rFonts w:hint="eastAsia"/>
          <w:color w:val="auto"/>
          <w:lang w:val="zh-CN"/>
        </w:rPr>
      </w:pPr>
      <w:r>
        <w:rPr>
          <w:rFonts w:hint="eastAsia"/>
          <w:color w:val="auto"/>
          <w:lang w:val="zh-CN"/>
        </w:rPr>
        <w:t>（</w:t>
      </w:r>
      <w:r>
        <w:rPr>
          <w:color w:val="auto"/>
          <w:lang w:val="zh-CN"/>
        </w:rPr>
        <w:t>1）通过</w:t>
      </w:r>
      <w:r>
        <w:rPr>
          <w:rFonts w:hint="eastAsia"/>
          <w:color w:val="auto"/>
          <w:lang w:val="zh-CN"/>
        </w:rPr>
        <w:t>现场</w:t>
      </w:r>
      <w:r>
        <w:rPr>
          <w:color w:val="auto"/>
          <w:lang w:val="zh-CN"/>
        </w:rPr>
        <w:t>调查</w:t>
      </w:r>
      <w:r>
        <w:rPr>
          <w:rFonts w:hint="eastAsia"/>
          <w:color w:val="auto"/>
          <w:lang w:val="zh-CN"/>
        </w:rPr>
        <w:t>和环境质量</w:t>
      </w:r>
      <w:r>
        <w:rPr>
          <w:color w:val="auto"/>
          <w:lang w:val="zh-CN"/>
        </w:rPr>
        <w:t>现状监测</w:t>
      </w:r>
      <w:r>
        <w:rPr>
          <w:rFonts w:hint="eastAsia"/>
          <w:color w:val="auto"/>
          <w:lang w:val="zh-CN"/>
        </w:rPr>
        <w:t>，</w:t>
      </w:r>
      <w:r>
        <w:rPr>
          <w:color w:val="auto"/>
          <w:lang w:val="zh-CN"/>
        </w:rPr>
        <w:t>了解</w:t>
      </w:r>
      <w:r>
        <w:rPr>
          <w:rFonts w:hint="eastAsia"/>
          <w:color w:val="auto"/>
          <w:lang w:val="zh-CN"/>
        </w:rPr>
        <w:t>建设项目</w:t>
      </w:r>
      <w:r>
        <w:rPr>
          <w:color w:val="auto"/>
          <w:lang w:val="zh-CN"/>
        </w:rPr>
        <w:t>所在地的自然环境</w:t>
      </w:r>
      <w:r>
        <w:rPr>
          <w:rFonts w:hint="eastAsia"/>
          <w:color w:val="auto"/>
          <w:lang w:val="zh-CN"/>
        </w:rPr>
        <w:t>、大气环境、水环境、声环境、土壤环境及生态环境情况，掌握区域的环境质量现状。</w:t>
      </w:r>
    </w:p>
    <w:p w14:paraId="0747699E">
      <w:pPr>
        <w:pStyle w:val="86"/>
        <w:ind w:firstLine="480"/>
        <w:rPr>
          <w:rFonts w:hint="eastAsia"/>
          <w:color w:val="auto"/>
        </w:rPr>
      </w:pPr>
      <w:r>
        <w:rPr>
          <w:color w:val="auto"/>
        </w:rPr>
        <w:t>（2）通过工程分析，明确施工期、运营期和</w:t>
      </w:r>
      <w:r>
        <w:rPr>
          <w:rFonts w:hint="eastAsia"/>
          <w:color w:val="auto"/>
        </w:rPr>
        <w:t>退役期</w:t>
      </w:r>
      <w:r>
        <w:rPr>
          <w:color w:val="auto"/>
        </w:rPr>
        <w:t>主要污染源、污染物种类、</w:t>
      </w:r>
      <w:r>
        <w:rPr>
          <w:rFonts w:hint="eastAsia"/>
          <w:color w:val="auto"/>
        </w:rPr>
        <w:t>源强、</w:t>
      </w:r>
      <w:r>
        <w:rPr>
          <w:color w:val="auto"/>
        </w:rPr>
        <w:t>排放强度</w:t>
      </w:r>
      <w:r>
        <w:rPr>
          <w:rFonts w:hint="eastAsia"/>
          <w:color w:val="auto"/>
        </w:rPr>
        <w:t>、排放方式及排放去向</w:t>
      </w:r>
      <w:r>
        <w:rPr>
          <w:color w:val="auto"/>
        </w:rPr>
        <w:t>，分析环境污染的影响特征，预测和评价施工期、运营期及</w:t>
      </w:r>
      <w:r>
        <w:rPr>
          <w:rFonts w:hint="eastAsia"/>
          <w:color w:val="auto"/>
        </w:rPr>
        <w:t>退役期</w:t>
      </w:r>
      <w:r>
        <w:rPr>
          <w:color w:val="auto"/>
        </w:rPr>
        <w:t>对环境的影响程度，</w:t>
      </w:r>
      <w:r>
        <w:rPr>
          <w:rFonts w:hint="eastAsia"/>
          <w:color w:val="auto"/>
        </w:rPr>
        <w:t>并对污染物达标排放进行分析</w:t>
      </w:r>
      <w:r>
        <w:rPr>
          <w:color w:val="auto"/>
        </w:rPr>
        <w:t>。</w:t>
      </w:r>
    </w:p>
    <w:p w14:paraId="59AB9635">
      <w:pPr>
        <w:pStyle w:val="86"/>
        <w:ind w:firstLine="480"/>
        <w:rPr>
          <w:rFonts w:hint="eastAsia"/>
          <w:color w:val="auto"/>
        </w:rPr>
      </w:pPr>
      <w:r>
        <w:rPr>
          <w:rFonts w:hint="eastAsia"/>
          <w:color w:val="auto"/>
        </w:rPr>
        <w:t>（3）</w:t>
      </w:r>
      <w:bookmarkStart w:id="85" w:name="_Hlk33042281"/>
      <w:r>
        <w:rPr>
          <w:rFonts w:hint="eastAsia"/>
          <w:color w:val="auto"/>
        </w:rPr>
        <w:t>提出预防或者减轻不良环境影响的对策和措施，并论述拟采取的环境保护措施的可行性和合理性。</w:t>
      </w:r>
    </w:p>
    <w:bookmarkEnd w:id="85"/>
    <w:p w14:paraId="26AE57DB">
      <w:pPr>
        <w:pStyle w:val="86"/>
        <w:ind w:firstLine="480"/>
        <w:rPr>
          <w:rFonts w:hint="eastAsia"/>
          <w:color w:val="auto"/>
        </w:rPr>
      </w:pPr>
      <w:r>
        <w:rPr>
          <w:color w:val="auto"/>
        </w:rPr>
        <w:t>（4）分析可能存在的</w:t>
      </w:r>
      <w:r>
        <w:rPr>
          <w:rFonts w:hint="eastAsia"/>
          <w:color w:val="auto"/>
        </w:rPr>
        <w:t>环境风险</w:t>
      </w:r>
      <w:r>
        <w:rPr>
          <w:color w:val="auto"/>
        </w:rPr>
        <w:t>事故隐患，</w:t>
      </w:r>
      <w:r>
        <w:rPr>
          <w:rFonts w:hint="eastAsia"/>
          <w:color w:val="auto"/>
        </w:rPr>
        <w:t>分析环境</w:t>
      </w:r>
      <w:r>
        <w:rPr>
          <w:color w:val="auto"/>
        </w:rPr>
        <w:t>风险事故可能产生的环境影响程度，提出环境风险防范措施。</w:t>
      </w:r>
    </w:p>
    <w:p w14:paraId="096D35EB">
      <w:pPr>
        <w:pStyle w:val="86"/>
        <w:ind w:firstLine="480"/>
        <w:rPr>
          <w:rFonts w:hint="eastAsia"/>
          <w:color w:val="auto"/>
        </w:rPr>
      </w:pPr>
      <w:bookmarkStart w:id="86" w:name="_Hlk33042290"/>
      <w:r>
        <w:rPr>
          <w:rFonts w:hint="eastAsia"/>
          <w:color w:val="auto"/>
          <w:kern w:val="0"/>
          <w:szCs w:val="20"/>
          <w:lang w:bidi="ar"/>
        </w:rPr>
        <w:t>（5）通过上述评价，论证项目在环境方面的可行性，给出环境影响评价结论，为生态环境主管部门提供决策依据。</w:t>
      </w:r>
    </w:p>
    <w:bookmarkEnd w:id="86"/>
    <w:p w14:paraId="3DBA252E">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87" w:name="_Toc445841964"/>
      <w:bookmarkStart w:id="88" w:name="_Toc445996326"/>
      <w:bookmarkStart w:id="89" w:name="_Toc27929"/>
      <w:r>
        <w:rPr>
          <w:rFonts w:hint="eastAsia" w:ascii="黑体" w:hAnsi="黑体" w:eastAsia="黑体" w:cs="Times New Roman"/>
          <w:color w:val="auto"/>
          <w:sz w:val="24"/>
          <w:szCs w:val="21"/>
          <w:lang w:val="zh-CN"/>
          <w14:ligatures w14:val="none"/>
        </w:rPr>
        <w:t>评价原则</w:t>
      </w:r>
      <w:bookmarkEnd w:id="87"/>
      <w:bookmarkEnd w:id="88"/>
      <w:bookmarkEnd w:id="89"/>
    </w:p>
    <w:p w14:paraId="29312104">
      <w:pPr>
        <w:pStyle w:val="86"/>
        <w:ind w:firstLine="480"/>
        <w:rPr>
          <w:rFonts w:hint="eastAsia"/>
          <w:color w:val="auto"/>
        </w:rPr>
      </w:pPr>
      <w:bookmarkStart w:id="90" w:name="_Hlk33042321"/>
      <w:r>
        <w:rPr>
          <w:rFonts w:hint="eastAsia"/>
          <w:color w:val="auto"/>
        </w:rPr>
        <w:t>突出环境影响评价的源头预防作用，坚持保护和改善环境质量。</w:t>
      </w:r>
    </w:p>
    <w:bookmarkEnd w:id="90"/>
    <w:p w14:paraId="5CCC5EFB">
      <w:pPr>
        <w:pStyle w:val="86"/>
        <w:ind w:firstLine="480"/>
        <w:rPr>
          <w:rFonts w:hint="eastAsia"/>
          <w:color w:val="auto"/>
        </w:rPr>
      </w:pPr>
      <w:r>
        <w:rPr>
          <w:rFonts w:hint="eastAsia"/>
          <w:color w:val="auto"/>
        </w:rPr>
        <w:t>（1）依法评价</w:t>
      </w:r>
    </w:p>
    <w:p w14:paraId="2764BCCB">
      <w:pPr>
        <w:pStyle w:val="86"/>
        <w:spacing w:line="480" w:lineRule="exact"/>
        <w:ind w:firstLine="480"/>
        <w:rPr>
          <w:rFonts w:hint="eastAsia"/>
          <w:color w:val="auto"/>
        </w:rPr>
      </w:pPr>
      <w:r>
        <w:rPr>
          <w:rFonts w:hint="eastAsia"/>
          <w:color w:val="auto"/>
        </w:rPr>
        <w:t>贯彻执行国家和地方环境保护相关法律法规、标准、政策和规划等，优化项目建设、服务环境管理。</w:t>
      </w:r>
    </w:p>
    <w:p w14:paraId="5EAB8A04">
      <w:pPr>
        <w:pStyle w:val="86"/>
        <w:spacing w:line="480" w:lineRule="exact"/>
        <w:ind w:firstLine="480"/>
        <w:rPr>
          <w:rFonts w:hint="eastAsia"/>
          <w:color w:val="auto"/>
        </w:rPr>
      </w:pPr>
      <w:r>
        <w:rPr>
          <w:rFonts w:hint="eastAsia"/>
          <w:color w:val="auto"/>
        </w:rPr>
        <w:t>（2）科学评价</w:t>
      </w:r>
    </w:p>
    <w:p w14:paraId="75DAA639">
      <w:pPr>
        <w:pStyle w:val="86"/>
        <w:adjustRightInd w:val="0"/>
        <w:snapToGrid w:val="0"/>
        <w:ind w:firstLine="480"/>
        <w:rPr>
          <w:rFonts w:hint="eastAsia"/>
          <w:color w:val="auto"/>
        </w:rPr>
      </w:pPr>
      <w:r>
        <w:rPr>
          <w:rFonts w:hint="eastAsia"/>
          <w:color w:val="auto"/>
        </w:rPr>
        <w:t>采用规范的环境影响评价方法，科学分析项目建设对环境质量的影响。</w:t>
      </w:r>
    </w:p>
    <w:p w14:paraId="6027D2B0">
      <w:pPr>
        <w:pStyle w:val="86"/>
        <w:spacing w:line="480" w:lineRule="exact"/>
        <w:ind w:firstLine="480"/>
        <w:rPr>
          <w:rFonts w:hint="eastAsia"/>
          <w:color w:val="auto"/>
        </w:rPr>
      </w:pPr>
      <w:r>
        <w:rPr>
          <w:rFonts w:hint="eastAsia"/>
          <w:color w:val="auto"/>
        </w:rPr>
        <w:t>（3）突出重点</w:t>
      </w:r>
    </w:p>
    <w:p w14:paraId="72CA9F0C">
      <w:pPr>
        <w:pStyle w:val="86"/>
        <w:spacing w:line="480" w:lineRule="exact"/>
        <w:ind w:firstLine="480"/>
        <w:rPr>
          <w:rFonts w:hint="eastAsia"/>
          <w:color w:val="auto"/>
        </w:rPr>
      </w:pPr>
      <w:r>
        <w:rPr>
          <w:rFonts w:hint="eastAsia"/>
          <w:color w:val="auto"/>
        </w:rPr>
        <w:t>根据建设项目的工程内容及其特点，明确与环境要素间的作用效应关系，充分利用符合时效的数据资料及成果，对主要环境影响予以重点分析和评价。</w:t>
      </w:r>
    </w:p>
    <w:p w14:paraId="62448BE3">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91" w:name="_Toc224405917"/>
      <w:r>
        <w:rPr>
          <w:rFonts w:hint="eastAsia" w:ascii="黑体" w:hAnsi="黑体" w:eastAsia="黑体" w:cs="Times New Roman"/>
          <w:bCs/>
          <w:color w:val="auto"/>
          <w:sz w:val="28"/>
          <w:szCs w:val="32"/>
          <w14:ligatures w14:val="none"/>
        </w:rPr>
        <w:t>评价时段</w:t>
      </w:r>
      <w:bookmarkEnd w:id="91"/>
    </w:p>
    <w:p w14:paraId="7AB77F78">
      <w:pPr>
        <w:pStyle w:val="86"/>
        <w:spacing w:line="480" w:lineRule="exact"/>
        <w:ind w:firstLine="480"/>
        <w:rPr>
          <w:rFonts w:hint="eastAsia"/>
          <w:color w:val="auto"/>
        </w:rPr>
      </w:pPr>
      <w:r>
        <w:rPr>
          <w:rFonts w:hint="eastAsia"/>
          <w:color w:val="auto"/>
        </w:rPr>
        <w:t>根据项目特点，确定评价时段为施工期、运营期和退役期，其中以施工期和运营期为主。</w:t>
      </w:r>
    </w:p>
    <w:p w14:paraId="6CA21008">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92" w:name="_Toc224405918"/>
      <w:r>
        <w:rPr>
          <w:rFonts w:hint="eastAsia" w:ascii="黑体" w:hAnsi="黑体" w:eastAsia="黑体" w:cs="Times New Roman"/>
          <w:bCs/>
          <w:color w:val="auto"/>
          <w:sz w:val="28"/>
          <w:szCs w:val="32"/>
          <w14:ligatures w14:val="none"/>
        </w:rPr>
        <w:t>环境影响因素识别与评价因子确定</w:t>
      </w:r>
      <w:bookmarkEnd w:id="92"/>
    </w:p>
    <w:p w14:paraId="204E0369">
      <w:pPr>
        <w:pStyle w:val="86"/>
        <w:ind w:firstLine="480"/>
        <w:rPr>
          <w:rFonts w:hint="eastAsia"/>
          <w:color w:val="auto"/>
        </w:rPr>
      </w:pPr>
      <w:r>
        <w:rPr>
          <w:rFonts w:hint="eastAsia"/>
          <w:color w:val="auto"/>
        </w:rPr>
        <w:t>环境影响因素包括：施工期——对环境的影响主要为施工扬尘、施工机械及车辆尾气、焊接废气、管道试压废水、混凝土养护废水、噪声、建筑垃圾及工程占地对生态环境的影响；</w:t>
      </w:r>
    </w:p>
    <w:p w14:paraId="6BE59A66">
      <w:pPr>
        <w:pStyle w:val="86"/>
        <w:ind w:firstLine="480"/>
        <w:rPr>
          <w:rFonts w:hint="eastAsia"/>
          <w:color w:val="auto"/>
        </w:rPr>
      </w:pPr>
      <w:r>
        <w:rPr>
          <w:rFonts w:hint="eastAsia"/>
          <w:color w:val="auto"/>
        </w:rPr>
        <w:t>运营期——对环境的影响主要为无组织挥发性有机物、燃气发电机燃烧烟气、井下作业废液（压裂返排液及废洗井液）、生活污水、危险废物（清罐底泥、废分子筛、废滤料、废润滑油、废润滑油桶、沾油废防渗材料、废含油抹布和劳保用品）和生活垃圾等，各要素的影响程度见表2.4-1。</w:t>
      </w:r>
    </w:p>
    <w:p w14:paraId="6261314A">
      <w:pPr>
        <w:pStyle w:val="15"/>
        <w:rPr>
          <w:rFonts w:hint="eastAsia"/>
          <w:color w:val="auto"/>
        </w:rPr>
      </w:pPr>
      <w:r>
        <w:rPr>
          <w:rFonts w:hint="eastAsia"/>
          <w:color w:val="auto"/>
        </w:rPr>
        <w:t>表2.4-1  环境</w:t>
      </w:r>
      <w:r>
        <w:rPr>
          <w:color w:val="auto"/>
        </w:rPr>
        <w:t>影响因素识别一览表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1"/>
        <w:gridCol w:w="771"/>
        <w:gridCol w:w="2185"/>
        <w:gridCol w:w="1156"/>
        <w:gridCol w:w="875"/>
        <w:gridCol w:w="870"/>
        <w:gridCol w:w="1163"/>
        <w:gridCol w:w="728"/>
        <w:gridCol w:w="667"/>
      </w:tblGrid>
      <w:tr w14:paraId="5ED5F9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297" w:type="pct"/>
            <w:vMerge w:val="restart"/>
            <w:vAlign w:val="center"/>
          </w:tcPr>
          <w:p w14:paraId="45ACD60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时段</w:t>
            </w:r>
          </w:p>
        </w:tc>
        <w:tc>
          <w:tcPr>
            <w:tcW w:w="1652" w:type="pct"/>
            <w:gridSpan w:val="2"/>
            <w:vMerge w:val="restart"/>
            <w:vAlign w:val="center"/>
          </w:tcPr>
          <w:p w14:paraId="129A89F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影响因素</w:t>
            </w:r>
          </w:p>
        </w:tc>
        <w:tc>
          <w:tcPr>
            <w:tcW w:w="3052" w:type="pct"/>
            <w:gridSpan w:val="6"/>
            <w:vAlign w:val="center"/>
          </w:tcPr>
          <w:p w14:paraId="4DAC1CB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环境要素</w:t>
            </w:r>
          </w:p>
        </w:tc>
      </w:tr>
      <w:tr w14:paraId="20FA46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297" w:type="pct"/>
            <w:vMerge w:val="continue"/>
            <w:vAlign w:val="center"/>
          </w:tcPr>
          <w:p w14:paraId="51E13549">
            <w:pPr>
              <w:widowControl/>
              <w:adjustRightInd w:val="0"/>
              <w:snapToGrid w:val="0"/>
              <w:spacing w:line="300" w:lineRule="exact"/>
              <w:jc w:val="center"/>
              <w:rPr>
                <w:rFonts w:hint="eastAsia" w:ascii="宋体" w:hAnsi="宋体" w:cs="宋体"/>
                <w:color w:val="auto"/>
                <w:kern w:val="0"/>
                <w:szCs w:val="21"/>
              </w:rPr>
            </w:pPr>
          </w:p>
        </w:tc>
        <w:tc>
          <w:tcPr>
            <w:tcW w:w="1652" w:type="pct"/>
            <w:gridSpan w:val="2"/>
            <w:vMerge w:val="continue"/>
            <w:vAlign w:val="center"/>
          </w:tcPr>
          <w:p w14:paraId="47C622F6">
            <w:pPr>
              <w:widowControl/>
              <w:adjustRightInd w:val="0"/>
              <w:snapToGrid w:val="0"/>
              <w:spacing w:line="300" w:lineRule="exact"/>
              <w:jc w:val="center"/>
              <w:rPr>
                <w:rFonts w:hint="eastAsia" w:ascii="宋体" w:hAnsi="宋体" w:cs="宋体"/>
                <w:color w:val="auto"/>
                <w:kern w:val="0"/>
                <w:szCs w:val="21"/>
              </w:rPr>
            </w:pPr>
          </w:p>
        </w:tc>
        <w:tc>
          <w:tcPr>
            <w:tcW w:w="646" w:type="pct"/>
            <w:vAlign w:val="center"/>
          </w:tcPr>
          <w:p w14:paraId="1738115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环境空气</w:t>
            </w:r>
          </w:p>
        </w:tc>
        <w:tc>
          <w:tcPr>
            <w:tcW w:w="489" w:type="pct"/>
            <w:vAlign w:val="center"/>
          </w:tcPr>
          <w:p w14:paraId="5CFEAFA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地下水</w:t>
            </w:r>
          </w:p>
        </w:tc>
        <w:tc>
          <w:tcPr>
            <w:tcW w:w="486" w:type="pct"/>
            <w:vAlign w:val="center"/>
          </w:tcPr>
          <w:p w14:paraId="31A6044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声环境</w:t>
            </w:r>
          </w:p>
        </w:tc>
        <w:tc>
          <w:tcPr>
            <w:tcW w:w="650" w:type="pct"/>
            <w:vAlign w:val="center"/>
          </w:tcPr>
          <w:p w14:paraId="48FE9A0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土壤环境</w:t>
            </w:r>
          </w:p>
        </w:tc>
        <w:tc>
          <w:tcPr>
            <w:tcW w:w="407" w:type="pct"/>
            <w:vAlign w:val="center"/>
          </w:tcPr>
          <w:p w14:paraId="6A685CB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植被</w:t>
            </w:r>
          </w:p>
        </w:tc>
        <w:tc>
          <w:tcPr>
            <w:tcW w:w="373" w:type="pct"/>
            <w:vAlign w:val="center"/>
          </w:tcPr>
          <w:p w14:paraId="40B954E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动物</w:t>
            </w:r>
          </w:p>
        </w:tc>
      </w:tr>
      <w:tr w14:paraId="5525B4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7" w:type="pct"/>
            <w:vMerge w:val="restart"/>
            <w:vAlign w:val="center"/>
          </w:tcPr>
          <w:p w14:paraId="3C784B9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施工期</w:t>
            </w:r>
          </w:p>
        </w:tc>
        <w:tc>
          <w:tcPr>
            <w:tcW w:w="431" w:type="pct"/>
            <w:vAlign w:val="center"/>
          </w:tcPr>
          <w:p w14:paraId="6DF91A5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生态</w:t>
            </w:r>
          </w:p>
        </w:tc>
        <w:tc>
          <w:tcPr>
            <w:tcW w:w="1221" w:type="pct"/>
            <w:vAlign w:val="center"/>
          </w:tcPr>
          <w:p w14:paraId="0874CC8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占地</w:t>
            </w:r>
          </w:p>
        </w:tc>
        <w:tc>
          <w:tcPr>
            <w:tcW w:w="646" w:type="pct"/>
            <w:vAlign w:val="center"/>
          </w:tcPr>
          <w:p w14:paraId="03D65A9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489" w:type="pct"/>
            <w:vAlign w:val="center"/>
          </w:tcPr>
          <w:p w14:paraId="515E11A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486" w:type="pct"/>
            <w:vAlign w:val="center"/>
          </w:tcPr>
          <w:p w14:paraId="20D7C90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650" w:type="pct"/>
            <w:vAlign w:val="center"/>
          </w:tcPr>
          <w:p w14:paraId="1147BC1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407" w:type="pct"/>
            <w:vAlign w:val="center"/>
          </w:tcPr>
          <w:p w14:paraId="080811E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73" w:type="pct"/>
            <w:vAlign w:val="center"/>
          </w:tcPr>
          <w:p w14:paraId="38A2B5D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20E0B0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7" w:type="pct"/>
            <w:vMerge w:val="continue"/>
            <w:vAlign w:val="center"/>
          </w:tcPr>
          <w:p w14:paraId="228D0DDF">
            <w:pPr>
              <w:widowControl/>
              <w:adjustRightInd w:val="0"/>
              <w:snapToGrid w:val="0"/>
              <w:spacing w:line="300" w:lineRule="exact"/>
              <w:jc w:val="center"/>
              <w:rPr>
                <w:rFonts w:hint="eastAsia" w:ascii="宋体" w:hAnsi="宋体" w:cs="宋体"/>
                <w:color w:val="auto"/>
                <w:kern w:val="0"/>
                <w:szCs w:val="21"/>
              </w:rPr>
            </w:pPr>
          </w:p>
        </w:tc>
        <w:tc>
          <w:tcPr>
            <w:tcW w:w="431" w:type="pct"/>
            <w:vAlign w:val="center"/>
          </w:tcPr>
          <w:p w14:paraId="1859ECC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废气</w:t>
            </w:r>
          </w:p>
        </w:tc>
        <w:tc>
          <w:tcPr>
            <w:tcW w:w="1221" w:type="pct"/>
            <w:vAlign w:val="center"/>
          </w:tcPr>
          <w:p w14:paraId="4CDD035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施工扬尘、施工机械及车辆尾气、焊接废气</w:t>
            </w:r>
          </w:p>
        </w:tc>
        <w:tc>
          <w:tcPr>
            <w:tcW w:w="646" w:type="pct"/>
            <w:vAlign w:val="center"/>
          </w:tcPr>
          <w:p w14:paraId="55D67FF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489" w:type="pct"/>
            <w:vAlign w:val="center"/>
          </w:tcPr>
          <w:p w14:paraId="20F812A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486" w:type="pct"/>
            <w:vAlign w:val="center"/>
          </w:tcPr>
          <w:p w14:paraId="67EF738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650" w:type="pct"/>
            <w:vAlign w:val="center"/>
          </w:tcPr>
          <w:p w14:paraId="6830792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407" w:type="pct"/>
            <w:vAlign w:val="center"/>
          </w:tcPr>
          <w:p w14:paraId="26A4CF5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73" w:type="pct"/>
            <w:vAlign w:val="center"/>
          </w:tcPr>
          <w:p w14:paraId="1BB243D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6BF9C1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7" w:type="pct"/>
            <w:vMerge w:val="continue"/>
            <w:vAlign w:val="center"/>
          </w:tcPr>
          <w:p w14:paraId="66E49BBA">
            <w:pPr>
              <w:widowControl/>
              <w:adjustRightInd w:val="0"/>
              <w:snapToGrid w:val="0"/>
              <w:spacing w:line="300" w:lineRule="exact"/>
              <w:jc w:val="center"/>
              <w:rPr>
                <w:rFonts w:hint="eastAsia" w:ascii="宋体" w:hAnsi="宋体" w:cs="宋体"/>
                <w:color w:val="auto"/>
                <w:kern w:val="0"/>
                <w:szCs w:val="21"/>
              </w:rPr>
            </w:pPr>
          </w:p>
        </w:tc>
        <w:tc>
          <w:tcPr>
            <w:tcW w:w="431" w:type="pct"/>
            <w:vAlign w:val="center"/>
          </w:tcPr>
          <w:p w14:paraId="6B3711D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废水</w:t>
            </w:r>
          </w:p>
        </w:tc>
        <w:tc>
          <w:tcPr>
            <w:tcW w:w="1221" w:type="pct"/>
            <w:vAlign w:val="center"/>
          </w:tcPr>
          <w:p w14:paraId="3AB4A58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管道试压废水、混凝土养护废水</w:t>
            </w:r>
          </w:p>
        </w:tc>
        <w:tc>
          <w:tcPr>
            <w:tcW w:w="646" w:type="pct"/>
            <w:vAlign w:val="center"/>
          </w:tcPr>
          <w:p w14:paraId="3F3ECA8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489" w:type="pct"/>
            <w:vAlign w:val="center"/>
          </w:tcPr>
          <w:p w14:paraId="66ECE73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486" w:type="pct"/>
            <w:vAlign w:val="center"/>
          </w:tcPr>
          <w:p w14:paraId="296E6BE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650" w:type="pct"/>
            <w:vAlign w:val="center"/>
          </w:tcPr>
          <w:p w14:paraId="0C2EC86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407" w:type="pct"/>
            <w:vAlign w:val="center"/>
          </w:tcPr>
          <w:p w14:paraId="79CBBDF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373" w:type="pct"/>
            <w:vAlign w:val="center"/>
          </w:tcPr>
          <w:p w14:paraId="1843615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r>
      <w:tr w14:paraId="3E513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7" w:type="pct"/>
            <w:vMerge w:val="continue"/>
            <w:vAlign w:val="center"/>
          </w:tcPr>
          <w:p w14:paraId="67732B96">
            <w:pPr>
              <w:widowControl/>
              <w:adjustRightInd w:val="0"/>
              <w:snapToGrid w:val="0"/>
              <w:spacing w:line="300" w:lineRule="exact"/>
              <w:jc w:val="center"/>
              <w:rPr>
                <w:rFonts w:hint="eastAsia" w:ascii="宋体" w:hAnsi="宋体" w:cs="宋体"/>
                <w:color w:val="auto"/>
                <w:kern w:val="0"/>
                <w:szCs w:val="21"/>
              </w:rPr>
            </w:pPr>
          </w:p>
        </w:tc>
        <w:tc>
          <w:tcPr>
            <w:tcW w:w="431" w:type="pct"/>
            <w:vAlign w:val="center"/>
          </w:tcPr>
          <w:p w14:paraId="485C0B9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固废</w:t>
            </w:r>
          </w:p>
        </w:tc>
        <w:tc>
          <w:tcPr>
            <w:tcW w:w="1221" w:type="pct"/>
            <w:vAlign w:val="center"/>
          </w:tcPr>
          <w:p w14:paraId="0E362BA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建筑垃圾</w:t>
            </w:r>
          </w:p>
        </w:tc>
        <w:tc>
          <w:tcPr>
            <w:tcW w:w="646" w:type="pct"/>
            <w:vAlign w:val="center"/>
          </w:tcPr>
          <w:p w14:paraId="4F35603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489" w:type="pct"/>
            <w:vAlign w:val="center"/>
          </w:tcPr>
          <w:p w14:paraId="4DB7E5F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486" w:type="pct"/>
            <w:vAlign w:val="center"/>
          </w:tcPr>
          <w:p w14:paraId="22FDBDA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650" w:type="pct"/>
            <w:vAlign w:val="center"/>
          </w:tcPr>
          <w:p w14:paraId="7B61546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407" w:type="pct"/>
            <w:vAlign w:val="center"/>
          </w:tcPr>
          <w:p w14:paraId="5FEF0D9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73" w:type="pct"/>
            <w:vAlign w:val="center"/>
          </w:tcPr>
          <w:p w14:paraId="70E9398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3610A8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7" w:type="pct"/>
            <w:vMerge w:val="continue"/>
            <w:vAlign w:val="center"/>
          </w:tcPr>
          <w:p w14:paraId="4D5AD11A">
            <w:pPr>
              <w:widowControl/>
              <w:adjustRightInd w:val="0"/>
              <w:snapToGrid w:val="0"/>
              <w:spacing w:line="300" w:lineRule="exact"/>
              <w:jc w:val="center"/>
              <w:rPr>
                <w:rFonts w:hint="eastAsia" w:ascii="宋体" w:hAnsi="宋体" w:cs="宋体"/>
                <w:color w:val="auto"/>
                <w:kern w:val="0"/>
                <w:szCs w:val="21"/>
              </w:rPr>
            </w:pPr>
          </w:p>
        </w:tc>
        <w:tc>
          <w:tcPr>
            <w:tcW w:w="431" w:type="pct"/>
            <w:vAlign w:val="center"/>
          </w:tcPr>
          <w:p w14:paraId="3014BDE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噪声</w:t>
            </w:r>
          </w:p>
        </w:tc>
        <w:tc>
          <w:tcPr>
            <w:tcW w:w="1221" w:type="pct"/>
            <w:vAlign w:val="center"/>
          </w:tcPr>
          <w:p w14:paraId="26C5BFC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施工车辆、施工设备</w:t>
            </w:r>
          </w:p>
        </w:tc>
        <w:tc>
          <w:tcPr>
            <w:tcW w:w="646" w:type="pct"/>
            <w:vAlign w:val="center"/>
          </w:tcPr>
          <w:p w14:paraId="0B5BEB8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489" w:type="pct"/>
            <w:vAlign w:val="center"/>
          </w:tcPr>
          <w:p w14:paraId="606640A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486" w:type="pct"/>
            <w:vAlign w:val="center"/>
          </w:tcPr>
          <w:p w14:paraId="4DCC090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650" w:type="pct"/>
            <w:vAlign w:val="center"/>
          </w:tcPr>
          <w:p w14:paraId="27827B9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407" w:type="pct"/>
            <w:vAlign w:val="center"/>
          </w:tcPr>
          <w:p w14:paraId="53CC8FA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373" w:type="pct"/>
            <w:vAlign w:val="center"/>
          </w:tcPr>
          <w:p w14:paraId="69B0935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47B681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7" w:type="pct"/>
            <w:vMerge w:val="restart"/>
            <w:vAlign w:val="center"/>
          </w:tcPr>
          <w:p w14:paraId="3829800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运营期</w:t>
            </w:r>
          </w:p>
        </w:tc>
        <w:tc>
          <w:tcPr>
            <w:tcW w:w="431" w:type="pct"/>
            <w:vAlign w:val="center"/>
          </w:tcPr>
          <w:p w14:paraId="2B21F43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废气</w:t>
            </w:r>
          </w:p>
        </w:tc>
        <w:tc>
          <w:tcPr>
            <w:tcW w:w="1221" w:type="pct"/>
            <w:vAlign w:val="center"/>
          </w:tcPr>
          <w:p w14:paraId="50A2FA7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无组织挥发烃类、燃气发电机燃烧烟气</w:t>
            </w:r>
          </w:p>
        </w:tc>
        <w:tc>
          <w:tcPr>
            <w:tcW w:w="646" w:type="pct"/>
            <w:vAlign w:val="center"/>
          </w:tcPr>
          <w:p w14:paraId="176F4CD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489" w:type="pct"/>
            <w:vAlign w:val="center"/>
          </w:tcPr>
          <w:p w14:paraId="23E3DB5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486" w:type="pct"/>
            <w:vAlign w:val="center"/>
          </w:tcPr>
          <w:p w14:paraId="7762E03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650" w:type="pct"/>
            <w:vAlign w:val="center"/>
          </w:tcPr>
          <w:p w14:paraId="274073A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407" w:type="pct"/>
            <w:vAlign w:val="center"/>
          </w:tcPr>
          <w:p w14:paraId="6EA08C4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73" w:type="pct"/>
            <w:vAlign w:val="center"/>
          </w:tcPr>
          <w:p w14:paraId="203260C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61124D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7" w:type="pct"/>
            <w:vMerge w:val="continue"/>
            <w:vAlign w:val="center"/>
          </w:tcPr>
          <w:p w14:paraId="3F8E926D">
            <w:pPr>
              <w:widowControl/>
              <w:adjustRightInd w:val="0"/>
              <w:snapToGrid w:val="0"/>
              <w:spacing w:line="300" w:lineRule="exact"/>
              <w:jc w:val="center"/>
              <w:rPr>
                <w:rFonts w:hint="eastAsia" w:ascii="宋体" w:hAnsi="宋体" w:cs="宋体"/>
                <w:color w:val="auto"/>
                <w:kern w:val="0"/>
                <w:szCs w:val="21"/>
              </w:rPr>
            </w:pPr>
          </w:p>
        </w:tc>
        <w:tc>
          <w:tcPr>
            <w:tcW w:w="431" w:type="pct"/>
            <w:vAlign w:val="center"/>
          </w:tcPr>
          <w:p w14:paraId="5B9422C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废水</w:t>
            </w:r>
          </w:p>
        </w:tc>
        <w:tc>
          <w:tcPr>
            <w:tcW w:w="1221" w:type="pct"/>
            <w:vAlign w:val="center"/>
          </w:tcPr>
          <w:p w14:paraId="5D08366A">
            <w:pPr>
              <w:widowControl/>
              <w:adjustRightInd w:val="0"/>
              <w:snapToGrid w:val="0"/>
              <w:spacing w:line="300" w:lineRule="exact"/>
              <w:jc w:val="center"/>
              <w:rPr>
                <w:rFonts w:hint="eastAsia" w:ascii="宋体" w:hAnsi="宋体" w:cs="宋体"/>
                <w:color w:val="auto"/>
                <w:kern w:val="0"/>
                <w:szCs w:val="21"/>
              </w:rPr>
            </w:pPr>
            <w:r>
              <w:rPr>
                <w:rFonts w:hint="eastAsia"/>
                <w:color w:val="auto"/>
              </w:rPr>
              <w:t>采出水、井下作业废液、装置排污水和生活污水</w:t>
            </w:r>
          </w:p>
        </w:tc>
        <w:tc>
          <w:tcPr>
            <w:tcW w:w="646" w:type="pct"/>
            <w:vAlign w:val="center"/>
          </w:tcPr>
          <w:p w14:paraId="1F1C6AD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489" w:type="pct"/>
            <w:vAlign w:val="center"/>
          </w:tcPr>
          <w:p w14:paraId="203B3D8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486" w:type="pct"/>
            <w:vAlign w:val="center"/>
          </w:tcPr>
          <w:p w14:paraId="1BB531B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650" w:type="pct"/>
            <w:vAlign w:val="center"/>
          </w:tcPr>
          <w:p w14:paraId="114073F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407" w:type="pct"/>
            <w:vAlign w:val="center"/>
          </w:tcPr>
          <w:p w14:paraId="70ACF58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73" w:type="pct"/>
            <w:vAlign w:val="center"/>
          </w:tcPr>
          <w:p w14:paraId="365474D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2B6EB7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7" w:type="pct"/>
            <w:vMerge w:val="continue"/>
            <w:vAlign w:val="center"/>
          </w:tcPr>
          <w:p w14:paraId="16236889">
            <w:pPr>
              <w:widowControl/>
              <w:adjustRightInd w:val="0"/>
              <w:snapToGrid w:val="0"/>
              <w:spacing w:line="300" w:lineRule="exact"/>
              <w:jc w:val="center"/>
              <w:rPr>
                <w:rFonts w:hint="eastAsia" w:ascii="宋体" w:hAnsi="宋体" w:cs="宋体"/>
                <w:color w:val="auto"/>
                <w:kern w:val="0"/>
                <w:szCs w:val="21"/>
              </w:rPr>
            </w:pPr>
          </w:p>
        </w:tc>
        <w:tc>
          <w:tcPr>
            <w:tcW w:w="431" w:type="pct"/>
            <w:vAlign w:val="center"/>
          </w:tcPr>
          <w:p w14:paraId="676DFDB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固废</w:t>
            </w:r>
          </w:p>
        </w:tc>
        <w:tc>
          <w:tcPr>
            <w:tcW w:w="1221" w:type="pct"/>
            <w:vAlign w:val="center"/>
          </w:tcPr>
          <w:p w14:paraId="01AAA32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rPr>
              <w:t>危险废物和生活垃圾</w:t>
            </w:r>
          </w:p>
        </w:tc>
        <w:tc>
          <w:tcPr>
            <w:tcW w:w="646" w:type="pct"/>
            <w:vAlign w:val="center"/>
          </w:tcPr>
          <w:p w14:paraId="0A41006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489" w:type="pct"/>
            <w:vAlign w:val="center"/>
          </w:tcPr>
          <w:p w14:paraId="7ABA54D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486" w:type="pct"/>
            <w:vAlign w:val="center"/>
          </w:tcPr>
          <w:p w14:paraId="595523D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650" w:type="pct"/>
            <w:vAlign w:val="center"/>
          </w:tcPr>
          <w:p w14:paraId="324BFFB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407" w:type="pct"/>
            <w:vAlign w:val="center"/>
          </w:tcPr>
          <w:p w14:paraId="289CD8F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73" w:type="pct"/>
            <w:vAlign w:val="center"/>
          </w:tcPr>
          <w:p w14:paraId="243BF69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234421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7" w:type="pct"/>
            <w:vMerge w:val="continue"/>
            <w:vAlign w:val="center"/>
          </w:tcPr>
          <w:p w14:paraId="518A0925">
            <w:pPr>
              <w:widowControl/>
              <w:adjustRightInd w:val="0"/>
              <w:snapToGrid w:val="0"/>
              <w:spacing w:line="300" w:lineRule="exact"/>
              <w:jc w:val="center"/>
              <w:rPr>
                <w:rFonts w:hint="eastAsia" w:ascii="宋体" w:hAnsi="宋体" w:cs="宋体"/>
                <w:color w:val="auto"/>
                <w:kern w:val="0"/>
                <w:szCs w:val="21"/>
              </w:rPr>
            </w:pPr>
          </w:p>
        </w:tc>
        <w:tc>
          <w:tcPr>
            <w:tcW w:w="431" w:type="pct"/>
            <w:vAlign w:val="center"/>
          </w:tcPr>
          <w:p w14:paraId="378DB65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噪声</w:t>
            </w:r>
          </w:p>
        </w:tc>
        <w:tc>
          <w:tcPr>
            <w:tcW w:w="1221" w:type="pct"/>
            <w:vAlign w:val="center"/>
          </w:tcPr>
          <w:p w14:paraId="5299290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井下作业过程中的机泵</w:t>
            </w:r>
          </w:p>
        </w:tc>
        <w:tc>
          <w:tcPr>
            <w:tcW w:w="646" w:type="pct"/>
            <w:vAlign w:val="center"/>
          </w:tcPr>
          <w:p w14:paraId="58C6FFC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489" w:type="pct"/>
            <w:vAlign w:val="center"/>
          </w:tcPr>
          <w:p w14:paraId="65503FA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486" w:type="pct"/>
            <w:vAlign w:val="center"/>
          </w:tcPr>
          <w:p w14:paraId="52A6BDE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650" w:type="pct"/>
            <w:vAlign w:val="center"/>
          </w:tcPr>
          <w:p w14:paraId="61CF8D9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407" w:type="pct"/>
            <w:vAlign w:val="center"/>
          </w:tcPr>
          <w:p w14:paraId="7278022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373" w:type="pct"/>
            <w:vAlign w:val="center"/>
          </w:tcPr>
          <w:p w14:paraId="00F71DF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r>
      <w:tr w14:paraId="7668BB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7" w:type="pct"/>
            <w:vMerge w:val="continue"/>
            <w:vAlign w:val="center"/>
          </w:tcPr>
          <w:p w14:paraId="07BBB240">
            <w:pPr>
              <w:widowControl/>
              <w:adjustRightInd w:val="0"/>
              <w:snapToGrid w:val="0"/>
              <w:spacing w:line="300" w:lineRule="exact"/>
              <w:jc w:val="center"/>
              <w:rPr>
                <w:rFonts w:hint="eastAsia" w:ascii="宋体" w:hAnsi="宋体" w:cs="宋体"/>
                <w:color w:val="auto"/>
                <w:kern w:val="0"/>
                <w:szCs w:val="21"/>
              </w:rPr>
            </w:pPr>
          </w:p>
        </w:tc>
        <w:tc>
          <w:tcPr>
            <w:tcW w:w="431" w:type="pct"/>
            <w:vAlign w:val="center"/>
          </w:tcPr>
          <w:p w14:paraId="46B1E9C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风险事故</w:t>
            </w:r>
          </w:p>
        </w:tc>
        <w:tc>
          <w:tcPr>
            <w:tcW w:w="1221" w:type="pct"/>
            <w:vAlign w:val="center"/>
          </w:tcPr>
          <w:p w14:paraId="3261383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管线泄漏</w:t>
            </w:r>
          </w:p>
        </w:tc>
        <w:tc>
          <w:tcPr>
            <w:tcW w:w="646" w:type="pct"/>
            <w:vAlign w:val="center"/>
          </w:tcPr>
          <w:p w14:paraId="56B56BE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489" w:type="pct"/>
            <w:vAlign w:val="center"/>
          </w:tcPr>
          <w:p w14:paraId="08F8FD9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486" w:type="pct"/>
            <w:vAlign w:val="center"/>
          </w:tcPr>
          <w:p w14:paraId="53257C0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O</w:t>
            </w:r>
          </w:p>
        </w:tc>
        <w:tc>
          <w:tcPr>
            <w:tcW w:w="650" w:type="pct"/>
            <w:vAlign w:val="center"/>
          </w:tcPr>
          <w:p w14:paraId="6014AB4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407" w:type="pct"/>
            <w:vAlign w:val="center"/>
          </w:tcPr>
          <w:p w14:paraId="13FCAC1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73" w:type="pct"/>
            <w:vAlign w:val="center"/>
          </w:tcPr>
          <w:p w14:paraId="5F630FF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2D610C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7" w:type="pct"/>
            <w:vMerge w:val="restart"/>
            <w:vAlign w:val="center"/>
          </w:tcPr>
          <w:p w14:paraId="2AFEE96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退役期</w:t>
            </w:r>
          </w:p>
        </w:tc>
        <w:tc>
          <w:tcPr>
            <w:tcW w:w="431" w:type="pct"/>
            <w:vAlign w:val="center"/>
          </w:tcPr>
          <w:p w14:paraId="104C56E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废气</w:t>
            </w:r>
          </w:p>
        </w:tc>
        <w:tc>
          <w:tcPr>
            <w:tcW w:w="1221" w:type="pct"/>
            <w:vAlign w:val="center"/>
          </w:tcPr>
          <w:p w14:paraId="5BAEB0E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施工扬尘、汽车尾气</w:t>
            </w:r>
          </w:p>
        </w:tc>
        <w:tc>
          <w:tcPr>
            <w:tcW w:w="646" w:type="pct"/>
            <w:vAlign w:val="center"/>
          </w:tcPr>
          <w:p w14:paraId="57C4CD8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489" w:type="pct"/>
            <w:vAlign w:val="center"/>
          </w:tcPr>
          <w:p w14:paraId="340E994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486" w:type="pct"/>
            <w:vAlign w:val="center"/>
          </w:tcPr>
          <w:p w14:paraId="2F1BFB3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650" w:type="pct"/>
            <w:vAlign w:val="center"/>
          </w:tcPr>
          <w:p w14:paraId="5F81111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407" w:type="pct"/>
            <w:vAlign w:val="center"/>
          </w:tcPr>
          <w:p w14:paraId="7579B4A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73" w:type="pct"/>
            <w:vAlign w:val="center"/>
          </w:tcPr>
          <w:p w14:paraId="59159E2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3A3579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7" w:type="pct"/>
            <w:vMerge w:val="continue"/>
            <w:vAlign w:val="center"/>
          </w:tcPr>
          <w:p w14:paraId="7F226A92">
            <w:pPr>
              <w:widowControl/>
              <w:adjustRightInd w:val="0"/>
              <w:snapToGrid w:val="0"/>
              <w:spacing w:line="300" w:lineRule="exact"/>
              <w:jc w:val="center"/>
              <w:rPr>
                <w:rFonts w:hint="eastAsia" w:ascii="宋体" w:hAnsi="宋体" w:cs="宋体"/>
                <w:color w:val="auto"/>
                <w:kern w:val="0"/>
                <w:szCs w:val="21"/>
              </w:rPr>
            </w:pPr>
          </w:p>
        </w:tc>
        <w:tc>
          <w:tcPr>
            <w:tcW w:w="431" w:type="pct"/>
            <w:vAlign w:val="center"/>
          </w:tcPr>
          <w:p w14:paraId="665F598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噪声</w:t>
            </w:r>
          </w:p>
        </w:tc>
        <w:tc>
          <w:tcPr>
            <w:tcW w:w="1221" w:type="pct"/>
            <w:vAlign w:val="center"/>
          </w:tcPr>
          <w:p w14:paraId="72F9641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施工车辆及机械</w:t>
            </w:r>
          </w:p>
        </w:tc>
        <w:tc>
          <w:tcPr>
            <w:tcW w:w="646" w:type="pct"/>
            <w:vAlign w:val="center"/>
          </w:tcPr>
          <w:p w14:paraId="648158A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489" w:type="pct"/>
            <w:vAlign w:val="center"/>
          </w:tcPr>
          <w:p w14:paraId="51324B5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486" w:type="pct"/>
            <w:vAlign w:val="center"/>
          </w:tcPr>
          <w:p w14:paraId="1181388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650" w:type="pct"/>
            <w:vAlign w:val="center"/>
          </w:tcPr>
          <w:p w14:paraId="25633AF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407" w:type="pct"/>
            <w:vAlign w:val="center"/>
          </w:tcPr>
          <w:p w14:paraId="6AD8C82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373" w:type="pct"/>
            <w:vAlign w:val="center"/>
          </w:tcPr>
          <w:p w14:paraId="198263A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0459C9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7" w:type="pct"/>
            <w:vMerge w:val="continue"/>
            <w:vAlign w:val="center"/>
          </w:tcPr>
          <w:p w14:paraId="308A89D1">
            <w:pPr>
              <w:widowControl/>
              <w:adjustRightInd w:val="0"/>
              <w:snapToGrid w:val="0"/>
              <w:spacing w:line="300" w:lineRule="exact"/>
              <w:jc w:val="center"/>
              <w:rPr>
                <w:rFonts w:hint="eastAsia" w:ascii="宋体" w:hAnsi="宋体" w:cs="宋体"/>
                <w:color w:val="auto"/>
                <w:kern w:val="0"/>
                <w:szCs w:val="21"/>
              </w:rPr>
            </w:pPr>
          </w:p>
        </w:tc>
        <w:tc>
          <w:tcPr>
            <w:tcW w:w="431" w:type="pct"/>
            <w:vAlign w:val="center"/>
          </w:tcPr>
          <w:p w14:paraId="4DD5DCD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固废</w:t>
            </w:r>
          </w:p>
        </w:tc>
        <w:tc>
          <w:tcPr>
            <w:tcW w:w="1221" w:type="pct"/>
            <w:vAlign w:val="center"/>
          </w:tcPr>
          <w:p w14:paraId="2085C34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拆卸后的建筑垃圾、废弃管线</w:t>
            </w:r>
          </w:p>
        </w:tc>
        <w:tc>
          <w:tcPr>
            <w:tcW w:w="646" w:type="pct"/>
            <w:vAlign w:val="center"/>
          </w:tcPr>
          <w:p w14:paraId="46A143D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489" w:type="pct"/>
            <w:vAlign w:val="center"/>
          </w:tcPr>
          <w:p w14:paraId="33B4B97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486" w:type="pct"/>
            <w:vAlign w:val="center"/>
          </w:tcPr>
          <w:p w14:paraId="373CF29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650" w:type="pct"/>
            <w:vAlign w:val="center"/>
          </w:tcPr>
          <w:p w14:paraId="3832455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407" w:type="pct"/>
            <w:vAlign w:val="center"/>
          </w:tcPr>
          <w:p w14:paraId="7B9B224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73" w:type="pct"/>
            <w:vAlign w:val="center"/>
          </w:tcPr>
          <w:p w14:paraId="097FBBF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758E33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7" w:type="pct"/>
            <w:vMerge w:val="continue"/>
            <w:vAlign w:val="center"/>
          </w:tcPr>
          <w:p w14:paraId="03988DAA">
            <w:pPr>
              <w:widowControl/>
              <w:adjustRightInd w:val="0"/>
              <w:snapToGrid w:val="0"/>
              <w:spacing w:line="300" w:lineRule="exact"/>
              <w:jc w:val="center"/>
              <w:rPr>
                <w:rFonts w:hint="eastAsia" w:ascii="宋体" w:hAnsi="宋体" w:cs="宋体"/>
                <w:color w:val="auto"/>
                <w:kern w:val="0"/>
                <w:szCs w:val="21"/>
              </w:rPr>
            </w:pPr>
          </w:p>
        </w:tc>
        <w:tc>
          <w:tcPr>
            <w:tcW w:w="431" w:type="pct"/>
            <w:vAlign w:val="center"/>
          </w:tcPr>
          <w:p w14:paraId="0E7F6F6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废水</w:t>
            </w:r>
          </w:p>
        </w:tc>
        <w:tc>
          <w:tcPr>
            <w:tcW w:w="1221" w:type="pct"/>
            <w:vAlign w:val="center"/>
          </w:tcPr>
          <w:p w14:paraId="49E08DB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管线吹扫废水</w:t>
            </w:r>
          </w:p>
        </w:tc>
        <w:tc>
          <w:tcPr>
            <w:tcW w:w="646" w:type="pct"/>
            <w:vAlign w:val="center"/>
          </w:tcPr>
          <w:p w14:paraId="46A894A5">
            <w:pPr>
              <w:widowControl/>
              <w:adjustRightInd w:val="0"/>
              <w:snapToGrid w:val="0"/>
              <w:spacing w:line="300" w:lineRule="exact"/>
              <w:jc w:val="center"/>
              <w:rPr>
                <w:rFonts w:hint="eastAsia" w:ascii="宋体" w:hAnsi="宋体" w:cs="宋体"/>
                <w:color w:val="auto"/>
                <w:kern w:val="0"/>
                <w:szCs w:val="21"/>
              </w:rPr>
            </w:pPr>
          </w:p>
        </w:tc>
        <w:tc>
          <w:tcPr>
            <w:tcW w:w="489" w:type="pct"/>
            <w:vAlign w:val="center"/>
          </w:tcPr>
          <w:p w14:paraId="4C5B5382">
            <w:pPr>
              <w:widowControl/>
              <w:adjustRightInd w:val="0"/>
              <w:snapToGrid w:val="0"/>
              <w:spacing w:line="300" w:lineRule="exact"/>
              <w:jc w:val="center"/>
              <w:rPr>
                <w:rFonts w:hint="eastAsia" w:ascii="宋体" w:hAnsi="宋体" w:cs="宋体"/>
                <w:color w:val="auto"/>
                <w:kern w:val="0"/>
                <w:szCs w:val="21"/>
              </w:rPr>
            </w:pPr>
          </w:p>
        </w:tc>
        <w:tc>
          <w:tcPr>
            <w:tcW w:w="486" w:type="pct"/>
            <w:vAlign w:val="center"/>
          </w:tcPr>
          <w:p w14:paraId="669F8CB3">
            <w:pPr>
              <w:widowControl/>
              <w:adjustRightInd w:val="0"/>
              <w:snapToGrid w:val="0"/>
              <w:spacing w:line="300" w:lineRule="exact"/>
              <w:jc w:val="center"/>
              <w:rPr>
                <w:rFonts w:hint="eastAsia" w:ascii="宋体" w:hAnsi="宋体" w:cs="宋体"/>
                <w:color w:val="auto"/>
                <w:kern w:val="0"/>
                <w:szCs w:val="21"/>
              </w:rPr>
            </w:pPr>
          </w:p>
        </w:tc>
        <w:tc>
          <w:tcPr>
            <w:tcW w:w="650" w:type="pct"/>
            <w:vAlign w:val="center"/>
          </w:tcPr>
          <w:p w14:paraId="11E58D24">
            <w:pPr>
              <w:widowControl/>
              <w:adjustRightInd w:val="0"/>
              <w:snapToGrid w:val="0"/>
              <w:spacing w:line="300" w:lineRule="exact"/>
              <w:jc w:val="center"/>
              <w:rPr>
                <w:rFonts w:hint="eastAsia" w:ascii="宋体" w:hAnsi="宋体" w:cs="宋体"/>
                <w:color w:val="auto"/>
                <w:kern w:val="0"/>
                <w:szCs w:val="21"/>
              </w:rPr>
            </w:pPr>
          </w:p>
        </w:tc>
        <w:tc>
          <w:tcPr>
            <w:tcW w:w="407" w:type="pct"/>
            <w:vAlign w:val="center"/>
          </w:tcPr>
          <w:p w14:paraId="2E6456F3">
            <w:pPr>
              <w:widowControl/>
              <w:adjustRightInd w:val="0"/>
              <w:snapToGrid w:val="0"/>
              <w:spacing w:line="300" w:lineRule="exact"/>
              <w:jc w:val="center"/>
              <w:rPr>
                <w:rFonts w:hint="eastAsia" w:ascii="宋体" w:hAnsi="宋体" w:cs="宋体"/>
                <w:color w:val="auto"/>
                <w:kern w:val="0"/>
                <w:szCs w:val="21"/>
              </w:rPr>
            </w:pPr>
          </w:p>
        </w:tc>
        <w:tc>
          <w:tcPr>
            <w:tcW w:w="373" w:type="pct"/>
            <w:vAlign w:val="center"/>
          </w:tcPr>
          <w:p w14:paraId="5A687CF2">
            <w:pPr>
              <w:widowControl/>
              <w:adjustRightInd w:val="0"/>
              <w:snapToGrid w:val="0"/>
              <w:spacing w:line="300" w:lineRule="exact"/>
              <w:jc w:val="center"/>
              <w:rPr>
                <w:rFonts w:hint="eastAsia" w:ascii="宋体" w:hAnsi="宋体" w:cs="宋体"/>
                <w:color w:val="auto"/>
                <w:kern w:val="0"/>
                <w:szCs w:val="21"/>
              </w:rPr>
            </w:pPr>
          </w:p>
        </w:tc>
      </w:tr>
    </w:tbl>
    <w:p w14:paraId="6B5A51F8">
      <w:pPr>
        <w:spacing w:line="240" w:lineRule="exact"/>
        <w:rPr>
          <w:rFonts w:hint="eastAsia" w:ascii="宋体" w:hAnsi="宋体"/>
          <w:b/>
          <w:color w:val="auto"/>
          <w:sz w:val="18"/>
          <w:szCs w:val="18"/>
        </w:rPr>
      </w:pPr>
      <w:r>
        <w:rPr>
          <w:rFonts w:hint="eastAsia" w:ascii="宋体" w:hAnsi="宋体"/>
          <w:b/>
          <w:color w:val="auto"/>
          <w:sz w:val="18"/>
          <w:szCs w:val="18"/>
        </w:rPr>
        <w:t>注：</w:t>
      </w:r>
      <w:r>
        <w:rPr>
          <w:rFonts w:ascii="宋体" w:hAnsi="宋体"/>
          <w:b/>
          <w:color w:val="auto"/>
          <w:sz w:val="18"/>
          <w:szCs w:val="18"/>
        </w:rPr>
        <w:t>O</w:t>
      </w:r>
      <w:r>
        <w:rPr>
          <w:rFonts w:hint="eastAsia" w:ascii="宋体" w:hAnsi="宋体"/>
          <w:b/>
          <w:color w:val="auto"/>
          <w:sz w:val="18"/>
          <w:szCs w:val="18"/>
        </w:rPr>
        <w:t>：无影响；+：短期不利影响；++：长期不利影响。</w:t>
      </w:r>
    </w:p>
    <w:p w14:paraId="03079833">
      <w:pPr>
        <w:pStyle w:val="86"/>
        <w:ind w:firstLine="480"/>
        <w:rPr>
          <w:rFonts w:hint="eastAsia"/>
          <w:color w:val="auto"/>
        </w:rPr>
      </w:pPr>
      <w:bookmarkStart w:id="93" w:name="_Hlk177302980"/>
      <w:r>
        <w:rPr>
          <w:rFonts w:hint="eastAsia"/>
          <w:color w:val="auto"/>
        </w:rPr>
        <w:t>根据《环境影响评价技术导则 陆地石油天然气开发建设项目》（HJ349-2023）中的相关规定并结合项目特点、环境影响因素识别确定本次评价因子，详见表2.4-2。</w:t>
      </w:r>
    </w:p>
    <w:p w14:paraId="55668ECE">
      <w:pPr>
        <w:pStyle w:val="15"/>
        <w:rPr>
          <w:rFonts w:hint="eastAsia"/>
          <w:color w:val="auto"/>
        </w:rPr>
      </w:pPr>
      <w:bookmarkStart w:id="94" w:name="_Hlk147580851"/>
      <w:r>
        <w:rPr>
          <w:rFonts w:hint="eastAsia"/>
          <w:color w:val="auto"/>
        </w:rPr>
        <w:t>表2.4-2  环境影响评价因子筛选一览表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9"/>
        <w:gridCol w:w="422"/>
        <w:gridCol w:w="826"/>
        <w:gridCol w:w="1907"/>
        <w:gridCol w:w="1060"/>
        <w:gridCol w:w="1226"/>
        <w:gridCol w:w="1049"/>
        <w:gridCol w:w="644"/>
        <w:gridCol w:w="1023"/>
      </w:tblGrid>
      <w:tr w14:paraId="446FA7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tcBorders>
              <w:bottom w:val="single" w:color="auto" w:sz="4" w:space="0"/>
              <w:tl2br w:val="single" w:color="auto" w:sz="4" w:space="0"/>
            </w:tcBorders>
            <w:vAlign w:val="center"/>
          </w:tcPr>
          <w:p w14:paraId="5A814A1B">
            <w:pPr>
              <w:pStyle w:val="530"/>
              <w:rPr>
                <w:rFonts w:hint="eastAsia" w:eastAsia="宋体"/>
                <w:color w:val="auto"/>
              </w:rPr>
            </w:pPr>
            <w:r>
              <w:rPr>
                <w:rFonts w:hint="eastAsia" w:eastAsia="宋体"/>
                <w:color w:val="auto"/>
              </w:rPr>
              <w:t>环境要素</w:t>
            </w:r>
          </w:p>
          <w:p w14:paraId="2D04D36A">
            <w:pPr>
              <w:pStyle w:val="530"/>
              <w:rPr>
                <w:rFonts w:hint="eastAsia" w:eastAsia="宋体"/>
                <w:color w:val="auto"/>
              </w:rPr>
            </w:pPr>
            <w:r>
              <w:rPr>
                <w:rFonts w:hint="eastAsia" w:eastAsia="宋体"/>
                <w:color w:val="auto"/>
              </w:rPr>
              <w:t>单项工程</w:t>
            </w:r>
          </w:p>
        </w:tc>
        <w:tc>
          <w:tcPr>
            <w:tcW w:w="242" w:type="pct"/>
            <w:vAlign w:val="center"/>
          </w:tcPr>
          <w:p w14:paraId="2D2F48AD">
            <w:pPr>
              <w:pStyle w:val="530"/>
              <w:rPr>
                <w:rFonts w:hint="eastAsia" w:eastAsia="宋体"/>
                <w:color w:val="auto"/>
                <w:spacing w:val="-5"/>
              </w:rPr>
            </w:pPr>
            <w:r>
              <w:rPr>
                <w:rFonts w:hint="eastAsia" w:eastAsia="宋体"/>
                <w:color w:val="auto"/>
                <w:spacing w:val="-5"/>
              </w:rPr>
              <w:t>时期</w:t>
            </w:r>
          </w:p>
        </w:tc>
        <w:tc>
          <w:tcPr>
            <w:tcW w:w="360" w:type="pct"/>
            <w:vAlign w:val="center"/>
          </w:tcPr>
          <w:p w14:paraId="0A03CD0C">
            <w:pPr>
              <w:pStyle w:val="530"/>
              <w:rPr>
                <w:rFonts w:hint="eastAsia" w:eastAsia="宋体"/>
                <w:color w:val="auto"/>
                <w:spacing w:val="-5"/>
              </w:rPr>
            </w:pPr>
            <w:r>
              <w:rPr>
                <w:rFonts w:hint="eastAsia" w:eastAsia="宋体"/>
                <w:color w:val="auto"/>
                <w:spacing w:val="-5"/>
              </w:rPr>
              <w:t>大气</w:t>
            </w:r>
          </w:p>
        </w:tc>
        <w:tc>
          <w:tcPr>
            <w:tcW w:w="1085" w:type="pct"/>
            <w:vAlign w:val="center"/>
          </w:tcPr>
          <w:p w14:paraId="4EDE01AD">
            <w:pPr>
              <w:pStyle w:val="530"/>
              <w:rPr>
                <w:rFonts w:hint="eastAsia" w:eastAsia="宋体"/>
                <w:color w:val="auto"/>
                <w:spacing w:val="-4"/>
              </w:rPr>
            </w:pPr>
            <w:r>
              <w:rPr>
                <w:rFonts w:hint="eastAsia" w:eastAsia="宋体"/>
                <w:color w:val="auto"/>
                <w:spacing w:val="-4"/>
              </w:rPr>
              <w:t>地下水</w:t>
            </w:r>
          </w:p>
        </w:tc>
        <w:tc>
          <w:tcPr>
            <w:tcW w:w="605" w:type="pct"/>
            <w:vAlign w:val="center"/>
          </w:tcPr>
          <w:p w14:paraId="35F32C28">
            <w:pPr>
              <w:pStyle w:val="530"/>
              <w:rPr>
                <w:rFonts w:hint="eastAsia" w:eastAsia="宋体"/>
                <w:color w:val="auto"/>
                <w:spacing w:val="-5"/>
              </w:rPr>
            </w:pPr>
            <w:r>
              <w:rPr>
                <w:rFonts w:hint="eastAsia" w:eastAsia="宋体"/>
                <w:color w:val="auto"/>
                <w:spacing w:val="-5"/>
              </w:rPr>
              <w:t>土壤</w:t>
            </w:r>
          </w:p>
        </w:tc>
        <w:tc>
          <w:tcPr>
            <w:tcW w:w="698" w:type="pct"/>
            <w:vAlign w:val="center"/>
          </w:tcPr>
          <w:p w14:paraId="4CF1B9FF">
            <w:pPr>
              <w:pStyle w:val="530"/>
              <w:rPr>
                <w:rFonts w:hint="eastAsia" w:eastAsia="宋体"/>
                <w:color w:val="auto"/>
                <w:spacing w:val="-5"/>
              </w:rPr>
            </w:pPr>
            <w:r>
              <w:rPr>
                <w:rFonts w:hint="eastAsia" w:eastAsia="宋体"/>
                <w:color w:val="auto"/>
                <w:spacing w:val="-5"/>
              </w:rPr>
              <w:t>生态</w:t>
            </w:r>
          </w:p>
        </w:tc>
        <w:tc>
          <w:tcPr>
            <w:tcW w:w="599" w:type="pct"/>
            <w:vAlign w:val="center"/>
          </w:tcPr>
          <w:p w14:paraId="70793FB4">
            <w:pPr>
              <w:pStyle w:val="530"/>
              <w:rPr>
                <w:rFonts w:hint="eastAsia" w:eastAsia="宋体"/>
                <w:color w:val="auto"/>
                <w:spacing w:val="-5"/>
              </w:rPr>
            </w:pPr>
            <w:r>
              <w:rPr>
                <w:rFonts w:hint="eastAsia" w:eastAsia="宋体"/>
                <w:color w:val="auto"/>
                <w:spacing w:val="-5"/>
              </w:rPr>
              <w:t>噪声</w:t>
            </w:r>
          </w:p>
        </w:tc>
        <w:tc>
          <w:tcPr>
            <w:tcW w:w="372" w:type="pct"/>
            <w:vAlign w:val="center"/>
          </w:tcPr>
          <w:p w14:paraId="768DD4F2">
            <w:pPr>
              <w:pStyle w:val="530"/>
              <w:rPr>
                <w:rFonts w:hint="eastAsia" w:eastAsia="宋体"/>
                <w:color w:val="auto"/>
                <w:spacing w:val="-5"/>
              </w:rPr>
            </w:pPr>
            <w:r>
              <w:rPr>
                <w:rFonts w:hint="eastAsia" w:eastAsia="宋体"/>
                <w:color w:val="auto"/>
                <w:spacing w:val="-5"/>
              </w:rPr>
              <w:t>固体废物</w:t>
            </w:r>
          </w:p>
        </w:tc>
        <w:tc>
          <w:tcPr>
            <w:tcW w:w="584" w:type="pct"/>
            <w:vAlign w:val="center"/>
          </w:tcPr>
          <w:p w14:paraId="3A2F5228">
            <w:pPr>
              <w:pStyle w:val="530"/>
              <w:rPr>
                <w:rFonts w:hint="eastAsia" w:eastAsia="宋体"/>
                <w:color w:val="auto"/>
                <w:spacing w:val="-5"/>
              </w:rPr>
            </w:pPr>
            <w:r>
              <w:rPr>
                <w:rFonts w:hint="eastAsia" w:eastAsia="宋体"/>
                <w:color w:val="auto"/>
                <w:spacing w:val="-5"/>
              </w:rPr>
              <w:t>环境风险</w:t>
            </w:r>
          </w:p>
        </w:tc>
      </w:tr>
      <w:tr w14:paraId="4679B8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6" w:type="pct"/>
            <w:gridSpan w:val="2"/>
            <w:tcBorders>
              <w:top w:val="single" w:color="auto" w:sz="4" w:space="0"/>
            </w:tcBorders>
            <w:vAlign w:val="center"/>
          </w:tcPr>
          <w:p w14:paraId="0A729FA7">
            <w:pPr>
              <w:pStyle w:val="530"/>
              <w:rPr>
                <w:rFonts w:hint="eastAsia" w:eastAsia="宋体"/>
                <w:color w:val="auto"/>
                <w:spacing w:val="-4"/>
              </w:rPr>
            </w:pPr>
            <w:r>
              <w:rPr>
                <w:rFonts w:hint="eastAsia" w:eastAsia="宋体"/>
                <w:color w:val="auto"/>
                <w:spacing w:val="-2"/>
              </w:rPr>
              <w:t>环境质量现状调查因子</w:t>
            </w:r>
          </w:p>
        </w:tc>
        <w:tc>
          <w:tcPr>
            <w:tcW w:w="360" w:type="pct"/>
            <w:vAlign w:val="center"/>
          </w:tcPr>
          <w:p w14:paraId="6A63793F">
            <w:pPr>
              <w:pStyle w:val="530"/>
              <w:rPr>
                <w:rFonts w:hint="eastAsia" w:eastAsia="宋体"/>
                <w:color w:val="auto"/>
                <w:spacing w:val="-4"/>
              </w:rPr>
            </w:pPr>
            <w:r>
              <w:rPr>
                <w:rFonts w:hint="eastAsia" w:eastAsia="宋体"/>
                <w:color w:val="auto"/>
                <w:spacing w:val="-4"/>
              </w:rPr>
              <w:t xml:space="preserve">NMHC、硫化氢 </w:t>
            </w:r>
          </w:p>
        </w:tc>
        <w:tc>
          <w:tcPr>
            <w:tcW w:w="1085" w:type="pct"/>
            <w:vAlign w:val="center"/>
          </w:tcPr>
          <w:p w14:paraId="052F4CD8">
            <w:pPr>
              <w:pStyle w:val="530"/>
              <w:rPr>
                <w:rFonts w:hint="eastAsia" w:eastAsia="宋体"/>
                <w:color w:val="auto"/>
                <w:spacing w:val="-5"/>
              </w:rPr>
            </w:pPr>
            <w:r>
              <w:rPr>
                <w:rFonts w:eastAsia="宋体" w:cs="宋体"/>
                <w:color w:val="auto"/>
              </w:rPr>
              <w:t>K</w:t>
            </w:r>
            <w:r>
              <w:rPr>
                <w:rFonts w:eastAsia="宋体" w:cs="宋体"/>
                <w:color w:val="auto"/>
                <w:vertAlign w:val="superscript"/>
              </w:rPr>
              <w:t>+</w:t>
            </w:r>
            <w:r>
              <w:rPr>
                <w:rFonts w:hint="eastAsia" w:eastAsia="宋体" w:cs="宋体"/>
                <w:color w:val="auto"/>
              </w:rPr>
              <w:t>、</w:t>
            </w:r>
            <w:r>
              <w:rPr>
                <w:rFonts w:eastAsia="宋体" w:cs="宋体"/>
                <w:color w:val="auto"/>
              </w:rPr>
              <w:t>Na</w:t>
            </w:r>
            <w:r>
              <w:rPr>
                <w:rFonts w:eastAsia="宋体" w:cs="宋体"/>
                <w:color w:val="auto"/>
                <w:vertAlign w:val="superscript"/>
              </w:rPr>
              <w:t>+</w:t>
            </w:r>
            <w:r>
              <w:rPr>
                <w:rFonts w:hint="eastAsia" w:eastAsia="宋体" w:cs="宋体"/>
                <w:color w:val="auto"/>
              </w:rPr>
              <w:t>、</w:t>
            </w:r>
            <w:r>
              <w:rPr>
                <w:rFonts w:eastAsia="宋体" w:cs="宋体"/>
                <w:color w:val="auto"/>
              </w:rPr>
              <w:t>Ca</w:t>
            </w:r>
            <w:r>
              <w:rPr>
                <w:rFonts w:eastAsia="宋体" w:cs="宋体"/>
                <w:color w:val="auto"/>
                <w:vertAlign w:val="superscript"/>
              </w:rPr>
              <w:t>2+</w:t>
            </w:r>
            <w:r>
              <w:rPr>
                <w:rFonts w:hint="eastAsia" w:eastAsia="宋体" w:cs="宋体"/>
                <w:color w:val="auto"/>
              </w:rPr>
              <w:t>、</w:t>
            </w:r>
            <w:r>
              <w:rPr>
                <w:rFonts w:eastAsia="宋体" w:cs="宋体"/>
                <w:color w:val="auto"/>
              </w:rPr>
              <w:t>Mg</w:t>
            </w:r>
            <w:r>
              <w:rPr>
                <w:rFonts w:eastAsia="宋体" w:cs="宋体"/>
                <w:color w:val="auto"/>
                <w:vertAlign w:val="superscript"/>
              </w:rPr>
              <w:t>2+</w:t>
            </w:r>
            <w:r>
              <w:rPr>
                <w:rFonts w:hint="eastAsia" w:eastAsia="宋体" w:cs="宋体"/>
                <w:color w:val="auto"/>
              </w:rPr>
              <w:t>、</w:t>
            </w:r>
            <w:r>
              <w:rPr>
                <w:rFonts w:eastAsia="宋体" w:cs="宋体"/>
                <w:color w:val="auto"/>
              </w:rPr>
              <w:t>CO</w:t>
            </w:r>
            <w:r>
              <w:rPr>
                <w:rFonts w:eastAsia="宋体" w:cs="宋体"/>
                <w:color w:val="auto"/>
                <w:vertAlign w:val="subscript"/>
              </w:rPr>
              <w:t>3</w:t>
            </w:r>
            <w:r>
              <w:rPr>
                <w:rFonts w:eastAsia="宋体" w:cs="宋体"/>
                <w:color w:val="auto"/>
                <w:vertAlign w:val="superscript"/>
              </w:rPr>
              <w:t>2-</w:t>
            </w:r>
            <w:r>
              <w:rPr>
                <w:rFonts w:hint="eastAsia" w:eastAsia="宋体" w:cs="宋体"/>
                <w:color w:val="auto"/>
              </w:rPr>
              <w:t>、</w:t>
            </w:r>
            <w:r>
              <w:rPr>
                <w:rFonts w:eastAsia="宋体" w:cs="宋体"/>
                <w:color w:val="auto"/>
              </w:rPr>
              <w:t>HCO</w:t>
            </w:r>
            <w:r>
              <w:rPr>
                <w:rFonts w:eastAsia="宋体" w:cs="宋体"/>
                <w:color w:val="auto"/>
                <w:vertAlign w:val="subscript"/>
              </w:rPr>
              <w:t>3</w:t>
            </w:r>
            <w:r>
              <w:rPr>
                <w:rFonts w:eastAsia="宋体" w:cs="宋体"/>
                <w:color w:val="auto"/>
                <w:vertAlign w:val="superscript"/>
              </w:rPr>
              <w:t>-</w:t>
            </w:r>
            <w:r>
              <w:rPr>
                <w:rFonts w:hint="eastAsia" w:eastAsia="宋体" w:cs="宋体"/>
                <w:color w:val="auto"/>
              </w:rPr>
              <w:t>、</w:t>
            </w:r>
            <w:r>
              <w:rPr>
                <w:rFonts w:eastAsia="宋体" w:cs="宋体"/>
                <w:color w:val="auto"/>
              </w:rPr>
              <w:t>Cl</w:t>
            </w:r>
            <w:r>
              <w:rPr>
                <w:rFonts w:eastAsia="宋体" w:cs="宋体"/>
                <w:color w:val="auto"/>
                <w:vertAlign w:val="superscript"/>
              </w:rPr>
              <w:t>-</w:t>
            </w:r>
            <w:r>
              <w:rPr>
                <w:rFonts w:hint="eastAsia" w:eastAsia="宋体" w:cs="宋体"/>
                <w:color w:val="auto"/>
              </w:rPr>
              <w:t>、</w:t>
            </w:r>
            <w:r>
              <w:rPr>
                <w:rFonts w:eastAsia="宋体" w:cs="宋体"/>
                <w:color w:val="auto"/>
              </w:rPr>
              <w:t>SO</w:t>
            </w:r>
            <w:r>
              <w:rPr>
                <w:rFonts w:eastAsia="宋体" w:cs="宋体"/>
                <w:color w:val="auto"/>
                <w:vertAlign w:val="subscript"/>
              </w:rPr>
              <w:t>4</w:t>
            </w:r>
            <w:r>
              <w:rPr>
                <w:rFonts w:eastAsia="宋体" w:cs="宋体"/>
                <w:color w:val="auto"/>
                <w:vertAlign w:val="superscript"/>
              </w:rPr>
              <w:t>2-</w:t>
            </w:r>
            <w:r>
              <w:rPr>
                <w:rFonts w:hint="eastAsia" w:eastAsia="宋体" w:cs="宋体"/>
                <w:color w:val="auto"/>
              </w:rPr>
              <w:t>的浓度，</w:t>
            </w:r>
            <w:r>
              <w:rPr>
                <w:rFonts w:eastAsia="宋体" w:cs="宋体"/>
                <w:color w:val="auto"/>
              </w:rPr>
              <w:t>pH</w:t>
            </w:r>
            <w:r>
              <w:rPr>
                <w:rFonts w:hint="eastAsia" w:eastAsia="宋体" w:cs="宋体"/>
                <w:color w:val="auto"/>
              </w:rPr>
              <w:t>、氨氮、硝酸盐氮、亚硝酸盐氮、挥发性酚类、氰化物、砷、汞、铬（六价）、总硬度、铅、氟化物、镉、铁、锰、溶解性总固体、耗氧量、硫酸盐、氯化物、石油类、总大肠菌群、细菌总数、钠、硫化物、钡，水位</w:t>
            </w:r>
          </w:p>
        </w:tc>
        <w:tc>
          <w:tcPr>
            <w:tcW w:w="605" w:type="pct"/>
            <w:vAlign w:val="center"/>
          </w:tcPr>
          <w:p w14:paraId="02A39D9D">
            <w:pPr>
              <w:pStyle w:val="530"/>
              <w:rPr>
                <w:rFonts w:hint="eastAsia" w:eastAsia="宋体"/>
                <w:color w:val="auto"/>
              </w:rPr>
            </w:pPr>
            <w:r>
              <w:rPr>
                <w:rFonts w:eastAsia="宋体"/>
                <w:color w:val="auto"/>
              </w:rPr>
              <w:t>GB36600-2018</w:t>
            </w:r>
            <w:r>
              <w:rPr>
                <w:rFonts w:hint="eastAsia" w:eastAsia="宋体"/>
                <w:color w:val="auto"/>
              </w:rPr>
              <w:t xml:space="preserve"> 表1基本项目、pH、石油烃和土壤盐分含量</w:t>
            </w:r>
          </w:p>
        </w:tc>
        <w:tc>
          <w:tcPr>
            <w:tcW w:w="698" w:type="pct"/>
            <w:vAlign w:val="center"/>
          </w:tcPr>
          <w:p w14:paraId="59E24AC7">
            <w:pPr>
              <w:pStyle w:val="530"/>
              <w:rPr>
                <w:rFonts w:hint="eastAsia" w:eastAsia="宋体"/>
                <w:color w:val="auto"/>
                <w:spacing w:val="-2"/>
              </w:rPr>
            </w:pPr>
            <w:r>
              <w:rPr>
                <w:rFonts w:hint="eastAsia" w:eastAsia="宋体"/>
                <w:color w:val="auto"/>
                <w:spacing w:val="-2"/>
              </w:rPr>
              <w:t>/</w:t>
            </w:r>
          </w:p>
        </w:tc>
        <w:tc>
          <w:tcPr>
            <w:tcW w:w="599" w:type="pct"/>
            <w:vAlign w:val="center"/>
          </w:tcPr>
          <w:p w14:paraId="595B9DB8">
            <w:pPr>
              <w:pStyle w:val="530"/>
              <w:rPr>
                <w:rFonts w:hint="eastAsia" w:eastAsia="宋体"/>
                <w:color w:val="auto"/>
              </w:rPr>
            </w:pPr>
            <w:r>
              <w:rPr>
                <w:rFonts w:hint="eastAsia" w:eastAsia="宋体"/>
                <w:color w:val="auto"/>
                <w:spacing w:val="-2"/>
              </w:rPr>
              <w:t>昼间等效声级</w:t>
            </w:r>
            <w:r>
              <w:rPr>
                <w:rFonts w:hint="eastAsia" w:eastAsia="宋体"/>
                <w:color w:val="auto"/>
                <w:spacing w:val="-2"/>
                <w:position w:val="1"/>
              </w:rPr>
              <w:t>（</w:t>
            </w:r>
            <w:r>
              <w:rPr>
                <w:rFonts w:eastAsia="宋体"/>
                <w:i/>
                <w:iCs/>
                <w:color w:val="auto"/>
                <w:spacing w:val="-2"/>
                <w:position w:val="1"/>
              </w:rPr>
              <w:t>L</w:t>
            </w:r>
            <w:r>
              <w:rPr>
                <w:rFonts w:eastAsia="宋体"/>
                <w:color w:val="auto"/>
                <w:spacing w:val="-2"/>
              </w:rPr>
              <w:t>d</w:t>
            </w:r>
            <w:r>
              <w:rPr>
                <w:rFonts w:hint="eastAsia" w:eastAsia="宋体"/>
                <w:color w:val="auto"/>
                <w:spacing w:val="-2"/>
                <w:position w:val="1"/>
              </w:rPr>
              <w:t>）、夜间</w:t>
            </w:r>
            <w:r>
              <w:rPr>
                <w:rFonts w:hint="eastAsia" w:eastAsia="宋体"/>
                <w:color w:val="auto"/>
                <w:spacing w:val="-4"/>
                <w:position w:val="1"/>
              </w:rPr>
              <w:t>等效声级（</w:t>
            </w:r>
            <w:r>
              <w:rPr>
                <w:rFonts w:eastAsia="宋体"/>
                <w:i/>
                <w:iCs/>
                <w:color w:val="auto"/>
                <w:spacing w:val="-4"/>
                <w:position w:val="1"/>
              </w:rPr>
              <w:t>L</w:t>
            </w:r>
            <w:r>
              <w:rPr>
                <w:rFonts w:eastAsia="宋体"/>
                <w:color w:val="auto"/>
                <w:spacing w:val="-4"/>
              </w:rPr>
              <w:t>n</w:t>
            </w:r>
            <w:r>
              <w:rPr>
                <w:rFonts w:hint="eastAsia" w:eastAsia="宋体"/>
                <w:color w:val="auto"/>
                <w:spacing w:val="-4"/>
                <w:position w:val="1"/>
              </w:rPr>
              <w:t>）</w:t>
            </w:r>
          </w:p>
        </w:tc>
        <w:tc>
          <w:tcPr>
            <w:tcW w:w="372" w:type="pct"/>
            <w:vAlign w:val="center"/>
          </w:tcPr>
          <w:p w14:paraId="2ABE7C21">
            <w:pPr>
              <w:pStyle w:val="530"/>
              <w:rPr>
                <w:rFonts w:hint="eastAsia" w:eastAsia="宋体"/>
                <w:color w:val="auto"/>
              </w:rPr>
            </w:pPr>
          </w:p>
        </w:tc>
        <w:tc>
          <w:tcPr>
            <w:tcW w:w="584" w:type="pct"/>
            <w:vAlign w:val="center"/>
          </w:tcPr>
          <w:p w14:paraId="68ACC11F">
            <w:pPr>
              <w:pStyle w:val="530"/>
              <w:rPr>
                <w:rFonts w:hint="eastAsia" w:eastAsia="宋体"/>
                <w:color w:val="auto"/>
              </w:rPr>
            </w:pPr>
          </w:p>
        </w:tc>
      </w:tr>
      <w:tr w14:paraId="462961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restart"/>
            <w:vAlign w:val="center"/>
          </w:tcPr>
          <w:p w14:paraId="46B63175">
            <w:pPr>
              <w:pStyle w:val="530"/>
              <w:rPr>
                <w:rFonts w:hint="eastAsia" w:eastAsia="宋体"/>
                <w:color w:val="auto"/>
                <w:spacing w:val="-2"/>
              </w:rPr>
            </w:pPr>
            <w:r>
              <w:rPr>
                <w:rFonts w:hint="eastAsia" w:eastAsia="宋体"/>
                <w:color w:val="auto"/>
                <w:spacing w:val="-2"/>
              </w:rPr>
              <w:t>油气集输工程</w:t>
            </w:r>
          </w:p>
        </w:tc>
        <w:tc>
          <w:tcPr>
            <w:tcW w:w="242" w:type="pct"/>
            <w:vAlign w:val="center"/>
          </w:tcPr>
          <w:p w14:paraId="5694254D">
            <w:pPr>
              <w:pStyle w:val="530"/>
              <w:rPr>
                <w:rFonts w:hint="eastAsia" w:eastAsia="宋体"/>
                <w:color w:val="auto"/>
                <w:spacing w:val="-4"/>
              </w:rPr>
            </w:pPr>
            <w:r>
              <w:rPr>
                <w:rFonts w:hint="eastAsia" w:eastAsia="宋体"/>
                <w:color w:val="auto"/>
                <w:spacing w:val="-4"/>
              </w:rPr>
              <w:t>施工期</w:t>
            </w:r>
          </w:p>
        </w:tc>
        <w:tc>
          <w:tcPr>
            <w:tcW w:w="360" w:type="pct"/>
            <w:vAlign w:val="center"/>
          </w:tcPr>
          <w:p w14:paraId="0C67E5F9">
            <w:pPr>
              <w:pStyle w:val="530"/>
              <w:rPr>
                <w:rFonts w:hint="eastAsia" w:eastAsia="宋体"/>
                <w:color w:val="auto"/>
                <w:spacing w:val="-4"/>
              </w:rPr>
            </w:pPr>
            <w:r>
              <w:rPr>
                <w:rFonts w:hint="eastAsia" w:eastAsia="宋体"/>
                <w:color w:val="auto"/>
                <w:spacing w:val="-4"/>
              </w:rPr>
              <w:t>颗粒物</w:t>
            </w:r>
          </w:p>
        </w:tc>
        <w:tc>
          <w:tcPr>
            <w:tcW w:w="1085" w:type="pct"/>
            <w:vAlign w:val="center"/>
          </w:tcPr>
          <w:p w14:paraId="08EE439F">
            <w:pPr>
              <w:pStyle w:val="530"/>
              <w:rPr>
                <w:rFonts w:hint="eastAsia" w:eastAsia="宋体"/>
                <w:color w:val="auto"/>
                <w:spacing w:val="-5"/>
              </w:rPr>
            </w:pPr>
            <w:r>
              <w:rPr>
                <w:rFonts w:hint="eastAsia" w:eastAsia="宋体"/>
                <w:color w:val="auto"/>
                <w:spacing w:val="-5"/>
              </w:rPr>
              <w:t>耗氧量、氨氮、石油类等</w:t>
            </w:r>
          </w:p>
        </w:tc>
        <w:tc>
          <w:tcPr>
            <w:tcW w:w="605" w:type="pct"/>
            <w:vAlign w:val="center"/>
          </w:tcPr>
          <w:p w14:paraId="37A4ED26">
            <w:pPr>
              <w:pStyle w:val="530"/>
              <w:rPr>
                <w:rFonts w:hint="eastAsia" w:eastAsia="宋体"/>
                <w:color w:val="auto"/>
              </w:rPr>
            </w:pPr>
            <w:r>
              <w:rPr>
                <w:rFonts w:hint="eastAsia" w:eastAsia="宋体"/>
                <w:color w:val="auto"/>
              </w:rPr>
              <w:t>/</w:t>
            </w:r>
          </w:p>
        </w:tc>
        <w:tc>
          <w:tcPr>
            <w:tcW w:w="698" w:type="pct"/>
            <w:vAlign w:val="center"/>
          </w:tcPr>
          <w:p w14:paraId="4D2AA218">
            <w:pPr>
              <w:pStyle w:val="530"/>
              <w:rPr>
                <w:rFonts w:hint="eastAsia" w:eastAsia="宋体"/>
                <w:color w:val="auto"/>
                <w:spacing w:val="-2"/>
              </w:rPr>
            </w:pPr>
            <w:r>
              <w:rPr>
                <w:rFonts w:hint="eastAsia" w:eastAsia="宋体"/>
                <w:color w:val="auto"/>
                <w:spacing w:val="-2"/>
              </w:rPr>
              <w:t>地表扰动面积及类型、植被覆盖度、生物量损失、</w:t>
            </w:r>
            <w:r>
              <w:rPr>
                <w:rFonts w:hint="eastAsia" w:eastAsia="宋体"/>
                <w:color w:val="auto"/>
                <w:spacing w:val="-9"/>
              </w:rPr>
              <w:t>物种多样性、生态</w:t>
            </w:r>
            <w:r>
              <w:rPr>
                <w:rFonts w:hint="eastAsia" w:eastAsia="宋体"/>
                <w:color w:val="auto"/>
                <w:spacing w:val="-2"/>
              </w:rPr>
              <w:t>系统完整性等</w:t>
            </w:r>
          </w:p>
        </w:tc>
        <w:tc>
          <w:tcPr>
            <w:tcW w:w="599" w:type="pct"/>
            <w:vAlign w:val="center"/>
          </w:tcPr>
          <w:p w14:paraId="77996402">
            <w:pPr>
              <w:pStyle w:val="530"/>
              <w:rPr>
                <w:rFonts w:hint="eastAsia" w:eastAsia="宋体"/>
                <w:color w:val="auto"/>
              </w:rPr>
            </w:pPr>
            <w:r>
              <w:rPr>
                <w:rFonts w:eastAsia="宋体"/>
                <w:color w:val="auto"/>
              </w:rPr>
              <w:t>/</w:t>
            </w:r>
          </w:p>
        </w:tc>
        <w:tc>
          <w:tcPr>
            <w:tcW w:w="372" w:type="pct"/>
            <w:vAlign w:val="center"/>
          </w:tcPr>
          <w:p w14:paraId="529E9324">
            <w:pPr>
              <w:pStyle w:val="530"/>
              <w:rPr>
                <w:rFonts w:hint="eastAsia" w:eastAsia="宋体"/>
                <w:color w:val="auto"/>
              </w:rPr>
            </w:pPr>
            <w:r>
              <w:rPr>
                <w:rFonts w:hint="eastAsia" w:eastAsia="宋体"/>
                <w:color w:val="auto"/>
              </w:rPr>
              <w:t>建筑垃圾</w:t>
            </w:r>
          </w:p>
        </w:tc>
        <w:tc>
          <w:tcPr>
            <w:tcW w:w="584" w:type="pct"/>
            <w:vAlign w:val="center"/>
          </w:tcPr>
          <w:p w14:paraId="287FB401">
            <w:pPr>
              <w:pStyle w:val="530"/>
              <w:rPr>
                <w:rFonts w:hint="eastAsia" w:eastAsia="宋体"/>
                <w:color w:val="auto"/>
              </w:rPr>
            </w:pPr>
            <w:r>
              <w:rPr>
                <w:rFonts w:hint="eastAsia" w:eastAsia="宋体"/>
                <w:color w:val="auto"/>
              </w:rPr>
              <w:t>/</w:t>
            </w:r>
          </w:p>
        </w:tc>
      </w:tr>
      <w:tr w14:paraId="0AFC47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vAlign w:val="center"/>
          </w:tcPr>
          <w:p w14:paraId="3C9714D5">
            <w:pPr>
              <w:pStyle w:val="530"/>
              <w:rPr>
                <w:rFonts w:hint="eastAsia" w:eastAsia="宋体" w:cs="黑体"/>
                <w:color w:val="auto"/>
              </w:rPr>
            </w:pPr>
          </w:p>
        </w:tc>
        <w:tc>
          <w:tcPr>
            <w:tcW w:w="242" w:type="pct"/>
            <w:vAlign w:val="center"/>
          </w:tcPr>
          <w:p w14:paraId="0B06F750">
            <w:pPr>
              <w:pStyle w:val="530"/>
              <w:rPr>
                <w:rFonts w:hint="eastAsia" w:eastAsia="宋体" w:cs="黑体"/>
                <w:color w:val="auto"/>
              </w:rPr>
            </w:pPr>
            <w:r>
              <w:rPr>
                <w:rFonts w:hint="eastAsia" w:eastAsia="宋体"/>
                <w:color w:val="auto"/>
                <w:spacing w:val="-4"/>
              </w:rPr>
              <w:t>运营期</w:t>
            </w:r>
          </w:p>
        </w:tc>
        <w:tc>
          <w:tcPr>
            <w:tcW w:w="360" w:type="pct"/>
            <w:vAlign w:val="center"/>
          </w:tcPr>
          <w:p w14:paraId="254A79ED">
            <w:pPr>
              <w:pStyle w:val="530"/>
              <w:rPr>
                <w:rFonts w:hint="eastAsia" w:eastAsia="宋体"/>
                <w:color w:val="auto"/>
                <w:spacing w:val="-10"/>
                <w:position w:val="1"/>
              </w:rPr>
            </w:pPr>
            <w:r>
              <w:rPr>
                <w:rFonts w:hint="eastAsia" w:eastAsia="宋体"/>
                <w:color w:val="auto"/>
                <w:spacing w:val="-2"/>
              </w:rPr>
              <w:t>非</w:t>
            </w:r>
            <w:r>
              <w:rPr>
                <w:rFonts w:hint="eastAsia" w:eastAsia="宋体"/>
                <w:color w:val="auto"/>
                <w:spacing w:val="-4"/>
              </w:rPr>
              <w:t>甲烷总烃、颗粒物、氮氧化物、二氧化硫</w:t>
            </w:r>
          </w:p>
        </w:tc>
        <w:tc>
          <w:tcPr>
            <w:tcW w:w="1085" w:type="pct"/>
            <w:vAlign w:val="center"/>
          </w:tcPr>
          <w:p w14:paraId="353445FA">
            <w:pPr>
              <w:pStyle w:val="530"/>
              <w:rPr>
                <w:rFonts w:hint="eastAsia" w:eastAsia="宋体" w:cs="黑体"/>
                <w:color w:val="auto"/>
              </w:rPr>
            </w:pPr>
            <w:r>
              <w:rPr>
                <w:rFonts w:hint="eastAsia" w:eastAsia="宋体"/>
                <w:color w:val="auto"/>
                <w:spacing w:val="-5"/>
              </w:rPr>
              <w:t>耗氧量、氨氮、石油类等</w:t>
            </w:r>
          </w:p>
        </w:tc>
        <w:tc>
          <w:tcPr>
            <w:tcW w:w="605" w:type="pct"/>
            <w:vAlign w:val="center"/>
          </w:tcPr>
          <w:p w14:paraId="316D493C">
            <w:pPr>
              <w:pStyle w:val="530"/>
              <w:rPr>
                <w:rFonts w:hint="eastAsia" w:eastAsia="宋体" w:cs="黑体"/>
                <w:color w:val="auto"/>
              </w:rPr>
            </w:pPr>
            <w:r>
              <w:rPr>
                <w:rFonts w:hint="eastAsia" w:eastAsia="宋体"/>
                <w:color w:val="auto"/>
              </w:rPr>
              <w:t>石油烃和土壤盐分含量</w:t>
            </w:r>
          </w:p>
        </w:tc>
        <w:tc>
          <w:tcPr>
            <w:tcW w:w="698" w:type="pct"/>
            <w:vAlign w:val="center"/>
          </w:tcPr>
          <w:p w14:paraId="489F4C3A">
            <w:pPr>
              <w:pStyle w:val="530"/>
              <w:rPr>
                <w:rFonts w:hint="eastAsia" w:eastAsia="宋体" w:cs="黑体"/>
                <w:color w:val="auto"/>
              </w:rPr>
            </w:pPr>
            <w:r>
              <w:rPr>
                <w:rFonts w:hint="eastAsia" w:eastAsia="宋体"/>
                <w:color w:val="auto"/>
                <w:spacing w:val="-2"/>
              </w:rPr>
              <w:t>土壤肥力</w:t>
            </w:r>
            <w:r>
              <w:rPr>
                <w:rFonts w:hint="eastAsia" w:eastAsia="宋体"/>
                <w:color w:val="auto"/>
                <w:spacing w:val="-9"/>
              </w:rPr>
              <w:t>、生物多</w:t>
            </w:r>
            <w:r>
              <w:rPr>
                <w:rFonts w:hint="eastAsia" w:eastAsia="宋体"/>
                <w:color w:val="auto"/>
                <w:spacing w:val="-10"/>
              </w:rPr>
              <w:t>样性、生态系统完</w:t>
            </w:r>
            <w:r>
              <w:rPr>
                <w:rFonts w:hint="eastAsia" w:eastAsia="宋体"/>
                <w:color w:val="auto"/>
                <w:spacing w:val="-4"/>
              </w:rPr>
              <w:t>整性等</w:t>
            </w:r>
          </w:p>
        </w:tc>
        <w:tc>
          <w:tcPr>
            <w:tcW w:w="599" w:type="pct"/>
            <w:vAlign w:val="center"/>
          </w:tcPr>
          <w:p w14:paraId="223C2736">
            <w:pPr>
              <w:pStyle w:val="530"/>
              <w:rPr>
                <w:rFonts w:hint="eastAsia" w:eastAsia="宋体"/>
                <w:color w:val="auto"/>
                <w:spacing w:val="-2"/>
              </w:rPr>
            </w:pPr>
            <w:r>
              <w:rPr>
                <w:rFonts w:hint="eastAsia" w:eastAsia="宋体"/>
                <w:color w:val="auto"/>
                <w:spacing w:val="-2"/>
              </w:rPr>
              <w:t>昼间等效声级</w:t>
            </w:r>
            <w:r>
              <w:rPr>
                <w:rFonts w:hint="eastAsia" w:eastAsia="宋体"/>
                <w:color w:val="auto"/>
                <w:spacing w:val="-2"/>
                <w:position w:val="1"/>
              </w:rPr>
              <w:t>、夜间</w:t>
            </w:r>
            <w:r>
              <w:rPr>
                <w:rFonts w:hint="eastAsia" w:eastAsia="宋体"/>
                <w:color w:val="auto"/>
                <w:spacing w:val="-4"/>
                <w:position w:val="1"/>
              </w:rPr>
              <w:t>等效声级</w:t>
            </w:r>
          </w:p>
        </w:tc>
        <w:tc>
          <w:tcPr>
            <w:tcW w:w="372" w:type="pct"/>
            <w:vAlign w:val="center"/>
          </w:tcPr>
          <w:p w14:paraId="78B909CC">
            <w:pPr>
              <w:pStyle w:val="530"/>
              <w:rPr>
                <w:rFonts w:hint="eastAsia" w:eastAsia="宋体"/>
                <w:color w:val="auto"/>
                <w:spacing w:val="-2"/>
              </w:rPr>
            </w:pPr>
            <w:r>
              <w:rPr>
                <w:rFonts w:hint="eastAsia" w:eastAsia="宋体"/>
                <w:color w:val="auto"/>
                <w:spacing w:val="-2"/>
              </w:rPr>
              <w:t>危险废物</w:t>
            </w:r>
          </w:p>
        </w:tc>
        <w:tc>
          <w:tcPr>
            <w:tcW w:w="584" w:type="pct"/>
            <w:vAlign w:val="center"/>
          </w:tcPr>
          <w:p w14:paraId="6DB9C660">
            <w:pPr>
              <w:pStyle w:val="530"/>
              <w:rPr>
                <w:rFonts w:hint="eastAsia" w:eastAsia="宋体"/>
                <w:color w:val="auto"/>
                <w:spacing w:val="-2"/>
              </w:rPr>
            </w:pPr>
            <w:r>
              <w:rPr>
                <w:rFonts w:hint="eastAsia" w:eastAsia="宋体"/>
                <w:color w:val="auto"/>
                <w:spacing w:val="-2"/>
              </w:rPr>
              <w:t>事故状态下管线泄漏和套管破损对环境的影响</w:t>
            </w:r>
          </w:p>
        </w:tc>
      </w:tr>
      <w:bookmarkEnd w:id="93"/>
      <w:bookmarkEnd w:id="94"/>
    </w:tbl>
    <w:p w14:paraId="0B3E0F58">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95" w:name="_Toc224405919"/>
      <w:bookmarkStart w:id="96" w:name="_Ref475267069"/>
      <w:bookmarkStart w:id="97" w:name="_Ref475267067"/>
      <w:bookmarkStart w:id="98" w:name="_Toc445996329"/>
      <w:bookmarkStart w:id="99" w:name="_Toc445841967"/>
      <w:bookmarkStart w:id="100" w:name="_Toc12409"/>
      <w:r>
        <w:rPr>
          <w:rFonts w:hint="eastAsia" w:ascii="黑体" w:hAnsi="黑体" w:eastAsia="黑体" w:cs="Times New Roman"/>
          <w:bCs/>
          <w:color w:val="auto"/>
          <w:sz w:val="28"/>
          <w:szCs w:val="32"/>
          <w14:ligatures w14:val="none"/>
        </w:rPr>
        <w:t>环境功能区划与评价标准</w:t>
      </w:r>
      <w:bookmarkEnd w:id="95"/>
    </w:p>
    <w:p w14:paraId="66DF6C19">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环境功能区划</w:t>
      </w:r>
    </w:p>
    <w:p w14:paraId="2442DFB6">
      <w:pPr>
        <w:pStyle w:val="86"/>
        <w:spacing w:line="480" w:lineRule="exact"/>
        <w:ind w:firstLine="480"/>
        <w:rPr>
          <w:rFonts w:hint="eastAsia"/>
          <w:color w:val="auto"/>
          <w:lang w:bidi="ar"/>
        </w:rPr>
      </w:pPr>
      <w:r>
        <w:rPr>
          <w:rFonts w:hint="eastAsia"/>
          <w:color w:val="auto"/>
          <w:lang w:bidi="ar"/>
        </w:rPr>
        <w:t>环境功能区划情况详见表2</w:t>
      </w:r>
      <w:r>
        <w:rPr>
          <w:color w:val="auto"/>
          <w:lang w:bidi="ar"/>
        </w:rPr>
        <w:t>.5</w:t>
      </w:r>
      <w:r>
        <w:rPr>
          <w:rFonts w:hint="eastAsia"/>
          <w:color w:val="auto"/>
          <w:lang w:bidi="ar"/>
        </w:rPr>
        <w:t>-</w:t>
      </w:r>
      <w:r>
        <w:rPr>
          <w:color w:val="auto"/>
          <w:lang w:bidi="ar"/>
        </w:rPr>
        <w:t>1</w:t>
      </w:r>
      <w:r>
        <w:rPr>
          <w:rFonts w:hint="eastAsia"/>
          <w:color w:val="auto"/>
          <w:lang w:bidi="ar"/>
        </w:rPr>
        <w:t>。</w:t>
      </w:r>
    </w:p>
    <w:p w14:paraId="348D20C9">
      <w:pPr>
        <w:pStyle w:val="134"/>
        <w:rPr>
          <w:rFonts w:hint="eastAsia"/>
          <w:color w:val="auto"/>
        </w:rPr>
      </w:pPr>
      <w:r>
        <w:rPr>
          <w:rFonts w:hint="eastAsia"/>
          <w:color w:val="auto"/>
        </w:rPr>
        <w:t>表2</w:t>
      </w:r>
      <w:r>
        <w:rPr>
          <w:color w:val="auto"/>
        </w:rPr>
        <w:t>.5</w:t>
      </w:r>
      <w:r>
        <w:rPr>
          <w:rFonts w:hint="eastAsia"/>
          <w:color w:val="auto"/>
        </w:rPr>
        <w:t>-</w:t>
      </w:r>
      <w:r>
        <w:rPr>
          <w:color w:val="auto"/>
        </w:rPr>
        <w:t>1</w:t>
      </w:r>
      <w:r>
        <w:rPr>
          <w:rFonts w:hint="eastAsia"/>
          <w:color w:val="auto"/>
        </w:rPr>
        <w:t xml:space="preserve">  区域环境功能区划一览表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8"/>
        <w:gridCol w:w="5083"/>
        <w:gridCol w:w="2555"/>
      </w:tblGrid>
      <w:tr w14:paraId="618606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252F866E">
            <w:pPr>
              <w:pStyle w:val="288"/>
              <w:adjustRightInd w:val="0"/>
              <w:snapToGrid w:val="0"/>
              <w:spacing w:line="300" w:lineRule="exact"/>
              <w:rPr>
                <w:rFonts w:hint="eastAsia" w:eastAsia="宋体"/>
                <w:color w:val="auto"/>
              </w:rPr>
            </w:pPr>
            <w:r>
              <w:rPr>
                <w:rFonts w:hint="eastAsia" w:eastAsia="宋体"/>
                <w:color w:val="auto"/>
              </w:rPr>
              <w:t>环境要素</w:t>
            </w:r>
          </w:p>
        </w:tc>
        <w:tc>
          <w:tcPr>
            <w:tcW w:w="2841" w:type="pct"/>
            <w:vAlign w:val="center"/>
          </w:tcPr>
          <w:p w14:paraId="2B44E169">
            <w:pPr>
              <w:pStyle w:val="288"/>
              <w:adjustRightInd w:val="0"/>
              <w:snapToGrid w:val="0"/>
              <w:spacing w:line="300" w:lineRule="exact"/>
              <w:rPr>
                <w:rFonts w:hint="eastAsia" w:eastAsia="宋体"/>
                <w:color w:val="auto"/>
              </w:rPr>
            </w:pPr>
            <w:r>
              <w:rPr>
                <w:rFonts w:hint="eastAsia" w:eastAsia="宋体"/>
                <w:color w:val="auto"/>
              </w:rPr>
              <w:t>环境功能区划</w:t>
            </w:r>
          </w:p>
        </w:tc>
        <w:tc>
          <w:tcPr>
            <w:tcW w:w="1428" w:type="pct"/>
            <w:vAlign w:val="center"/>
          </w:tcPr>
          <w:p w14:paraId="0C883C82">
            <w:pPr>
              <w:pStyle w:val="288"/>
              <w:adjustRightInd w:val="0"/>
              <w:snapToGrid w:val="0"/>
              <w:spacing w:line="300" w:lineRule="exact"/>
              <w:rPr>
                <w:rFonts w:hint="eastAsia" w:eastAsia="宋体"/>
                <w:color w:val="auto"/>
              </w:rPr>
            </w:pPr>
            <w:r>
              <w:rPr>
                <w:rFonts w:hint="eastAsia" w:eastAsia="宋体"/>
                <w:color w:val="auto"/>
              </w:rPr>
              <w:t>划分依据</w:t>
            </w:r>
          </w:p>
        </w:tc>
      </w:tr>
      <w:tr w14:paraId="1FF370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6DA1A988">
            <w:pPr>
              <w:pStyle w:val="288"/>
              <w:adjustRightInd w:val="0"/>
              <w:snapToGrid w:val="0"/>
              <w:spacing w:line="300" w:lineRule="exact"/>
              <w:rPr>
                <w:rFonts w:hint="eastAsia" w:eastAsia="宋体"/>
                <w:color w:val="auto"/>
              </w:rPr>
            </w:pPr>
            <w:r>
              <w:rPr>
                <w:rFonts w:hint="eastAsia" w:eastAsia="宋体"/>
                <w:color w:val="auto"/>
              </w:rPr>
              <w:t>环境空气</w:t>
            </w:r>
          </w:p>
        </w:tc>
        <w:tc>
          <w:tcPr>
            <w:tcW w:w="2841" w:type="pct"/>
            <w:vAlign w:val="center"/>
          </w:tcPr>
          <w:p w14:paraId="6DF1BDB1">
            <w:pPr>
              <w:pStyle w:val="288"/>
              <w:adjustRightInd w:val="0"/>
              <w:snapToGrid w:val="0"/>
              <w:spacing w:line="300" w:lineRule="exact"/>
              <w:rPr>
                <w:rFonts w:hint="eastAsia" w:eastAsia="宋体"/>
                <w:color w:val="auto"/>
              </w:rPr>
            </w:pPr>
            <w:r>
              <w:rPr>
                <w:rFonts w:hint="eastAsia" w:eastAsia="宋体"/>
                <w:color w:val="auto"/>
              </w:rPr>
              <w:t>《环境空气质量标准》（GB3095-2026）二类功能区</w:t>
            </w:r>
          </w:p>
        </w:tc>
        <w:tc>
          <w:tcPr>
            <w:tcW w:w="1428" w:type="pct"/>
            <w:vAlign w:val="center"/>
          </w:tcPr>
          <w:p w14:paraId="6E070FBB">
            <w:pPr>
              <w:pStyle w:val="288"/>
              <w:adjustRightInd w:val="0"/>
              <w:snapToGrid w:val="0"/>
              <w:spacing w:line="300" w:lineRule="exact"/>
              <w:rPr>
                <w:rFonts w:hint="eastAsia" w:eastAsia="宋体"/>
                <w:color w:val="auto"/>
              </w:rPr>
            </w:pPr>
            <w:r>
              <w:rPr>
                <w:rFonts w:hint="eastAsia" w:eastAsia="宋体"/>
                <w:color w:val="auto"/>
              </w:rPr>
              <w:t>项目区不属于自然保护区、风景名胜区和其他需要特殊保护的区域</w:t>
            </w:r>
          </w:p>
        </w:tc>
      </w:tr>
      <w:tr w14:paraId="2C2202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592D9476">
            <w:pPr>
              <w:pStyle w:val="288"/>
              <w:adjustRightInd w:val="0"/>
              <w:snapToGrid w:val="0"/>
              <w:spacing w:line="300" w:lineRule="exact"/>
              <w:rPr>
                <w:rFonts w:hint="eastAsia" w:eastAsia="宋体"/>
                <w:color w:val="auto"/>
              </w:rPr>
            </w:pPr>
            <w:r>
              <w:rPr>
                <w:rFonts w:hint="eastAsia" w:eastAsia="宋体"/>
                <w:color w:val="auto"/>
              </w:rPr>
              <w:t>地下水环境</w:t>
            </w:r>
          </w:p>
        </w:tc>
        <w:tc>
          <w:tcPr>
            <w:tcW w:w="2841" w:type="pct"/>
            <w:vAlign w:val="center"/>
          </w:tcPr>
          <w:p w14:paraId="44A564E8">
            <w:pPr>
              <w:pStyle w:val="288"/>
              <w:adjustRightInd w:val="0"/>
              <w:snapToGrid w:val="0"/>
              <w:spacing w:line="300" w:lineRule="exact"/>
              <w:rPr>
                <w:rFonts w:hint="eastAsia" w:eastAsia="宋体"/>
                <w:color w:val="auto"/>
              </w:rPr>
            </w:pPr>
            <w:r>
              <w:rPr>
                <w:rFonts w:hint="eastAsia" w:eastAsia="宋体"/>
                <w:color w:val="auto"/>
              </w:rPr>
              <w:t>《地下水质量标准》（GB/T14848-2017）Ⅲ类区</w:t>
            </w:r>
          </w:p>
        </w:tc>
        <w:tc>
          <w:tcPr>
            <w:tcW w:w="1428" w:type="pct"/>
            <w:vAlign w:val="center"/>
          </w:tcPr>
          <w:p w14:paraId="181D03A8">
            <w:pPr>
              <w:pStyle w:val="288"/>
              <w:adjustRightInd w:val="0"/>
              <w:snapToGrid w:val="0"/>
              <w:spacing w:line="300" w:lineRule="exact"/>
              <w:rPr>
                <w:rFonts w:hint="eastAsia" w:eastAsia="宋体"/>
                <w:color w:val="auto"/>
              </w:rPr>
            </w:pPr>
            <w:r>
              <w:rPr>
                <w:rFonts w:hint="eastAsia" w:eastAsia="宋体"/>
                <w:color w:val="auto"/>
              </w:rPr>
              <w:t>主要用于工业用水</w:t>
            </w:r>
          </w:p>
        </w:tc>
      </w:tr>
      <w:tr w14:paraId="0F820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2FCD54A1">
            <w:pPr>
              <w:pStyle w:val="288"/>
              <w:adjustRightInd w:val="0"/>
              <w:snapToGrid w:val="0"/>
              <w:spacing w:line="300" w:lineRule="exact"/>
              <w:rPr>
                <w:rFonts w:hint="eastAsia" w:eastAsia="宋体"/>
                <w:color w:val="auto"/>
              </w:rPr>
            </w:pPr>
            <w:r>
              <w:rPr>
                <w:rFonts w:hint="eastAsia" w:eastAsia="宋体"/>
                <w:color w:val="auto"/>
              </w:rPr>
              <w:t>声环境</w:t>
            </w:r>
          </w:p>
        </w:tc>
        <w:tc>
          <w:tcPr>
            <w:tcW w:w="2841" w:type="pct"/>
            <w:vAlign w:val="center"/>
          </w:tcPr>
          <w:p w14:paraId="73347DA6">
            <w:pPr>
              <w:pStyle w:val="288"/>
              <w:adjustRightInd w:val="0"/>
              <w:snapToGrid w:val="0"/>
              <w:spacing w:line="300" w:lineRule="exact"/>
              <w:rPr>
                <w:rFonts w:hint="eastAsia" w:eastAsia="宋体"/>
                <w:color w:val="auto"/>
              </w:rPr>
            </w:pPr>
            <w:r>
              <w:rPr>
                <w:rFonts w:hint="eastAsia" w:eastAsia="宋体"/>
                <w:color w:val="auto"/>
              </w:rPr>
              <w:t>《声环境质量标准》（GB3096-2008）</w:t>
            </w:r>
            <w:r>
              <w:rPr>
                <w:rFonts w:eastAsia="宋体"/>
                <w:color w:val="auto"/>
              </w:rPr>
              <w:t>2</w:t>
            </w:r>
            <w:r>
              <w:rPr>
                <w:rFonts w:hint="eastAsia" w:eastAsia="宋体"/>
                <w:color w:val="auto"/>
              </w:rPr>
              <w:t>类功能区</w:t>
            </w:r>
          </w:p>
        </w:tc>
        <w:tc>
          <w:tcPr>
            <w:tcW w:w="1428" w:type="pct"/>
            <w:vAlign w:val="center"/>
          </w:tcPr>
          <w:p w14:paraId="3FC54F5A">
            <w:pPr>
              <w:pStyle w:val="288"/>
              <w:adjustRightInd w:val="0"/>
              <w:snapToGrid w:val="0"/>
              <w:spacing w:line="300" w:lineRule="exact"/>
              <w:rPr>
                <w:rFonts w:hint="eastAsia" w:eastAsia="宋体"/>
                <w:color w:val="auto"/>
              </w:rPr>
            </w:pPr>
            <w:r>
              <w:rPr>
                <w:rFonts w:hint="eastAsia" w:eastAsia="宋体"/>
                <w:color w:val="auto"/>
              </w:rPr>
              <w:t>位于2类功能区</w:t>
            </w:r>
          </w:p>
        </w:tc>
      </w:tr>
      <w:tr w14:paraId="5721B4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0A75614A">
            <w:pPr>
              <w:pStyle w:val="288"/>
              <w:adjustRightInd w:val="0"/>
              <w:snapToGrid w:val="0"/>
              <w:spacing w:line="300" w:lineRule="exact"/>
              <w:rPr>
                <w:rFonts w:hint="eastAsia" w:eastAsia="宋体"/>
                <w:color w:val="auto"/>
              </w:rPr>
            </w:pPr>
            <w:r>
              <w:rPr>
                <w:rFonts w:hint="eastAsia" w:eastAsia="宋体"/>
                <w:color w:val="auto"/>
              </w:rPr>
              <w:t>土壤环境</w:t>
            </w:r>
          </w:p>
        </w:tc>
        <w:tc>
          <w:tcPr>
            <w:tcW w:w="2841" w:type="pct"/>
            <w:vAlign w:val="center"/>
          </w:tcPr>
          <w:p w14:paraId="542214D8">
            <w:pPr>
              <w:pStyle w:val="288"/>
              <w:adjustRightInd w:val="0"/>
              <w:snapToGrid w:val="0"/>
              <w:spacing w:line="300" w:lineRule="exact"/>
              <w:rPr>
                <w:rFonts w:hint="eastAsia" w:eastAsia="宋体"/>
                <w:color w:val="auto"/>
              </w:rPr>
            </w:pPr>
            <w:r>
              <w:rPr>
                <w:rFonts w:hint="eastAsia" w:eastAsia="宋体"/>
                <w:color w:val="auto"/>
              </w:rPr>
              <w:t>《土壤环境质量</w:t>
            </w:r>
            <w:r>
              <w:rPr>
                <w:rFonts w:eastAsia="宋体"/>
                <w:color w:val="auto"/>
              </w:rPr>
              <w:t xml:space="preserve">  </w:t>
            </w:r>
            <w:r>
              <w:rPr>
                <w:rFonts w:hint="eastAsia" w:eastAsia="宋体"/>
                <w:color w:val="auto"/>
              </w:rPr>
              <w:t>建设用地土壤污染风险管控标准（试行）》（</w:t>
            </w:r>
            <w:r>
              <w:rPr>
                <w:rFonts w:eastAsia="宋体"/>
                <w:color w:val="auto"/>
              </w:rPr>
              <w:t>GB36600-2018</w:t>
            </w:r>
            <w:r>
              <w:rPr>
                <w:rFonts w:hint="eastAsia" w:eastAsia="宋体"/>
                <w:color w:val="auto"/>
              </w:rPr>
              <w:t>）第二类用地筛选值</w:t>
            </w:r>
          </w:p>
        </w:tc>
        <w:tc>
          <w:tcPr>
            <w:tcW w:w="1428" w:type="pct"/>
            <w:vAlign w:val="center"/>
          </w:tcPr>
          <w:p w14:paraId="3A868ED1">
            <w:pPr>
              <w:pStyle w:val="288"/>
              <w:adjustRightInd w:val="0"/>
              <w:snapToGrid w:val="0"/>
              <w:spacing w:line="300" w:lineRule="exact"/>
              <w:rPr>
                <w:rFonts w:hint="eastAsia" w:eastAsia="宋体"/>
                <w:color w:val="auto"/>
              </w:rPr>
            </w:pPr>
            <w:r>
              <w:rPr>
                <w:rFonts w:hint="eastAsia" w:eastAsia="宋体"/>
                <w:color w:val="auto"/>
              </w:rPr>
              <w:t>占地属于第二类建设项目用地</w:t>
            </w:r>
          </w:p>
        </w:tc>
      </w:tr>
      <w:tr w14:paraId="02B360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4313A4E5">
            <w:pPr>
              <w:pStyle w:val="288"/>
              <w:adjustRightInd w:val="0"/>
              <w:snapToGrid w:val="0"/>
              <w:spacing w:line="300" w:lineRule="exact"/>
              <w:rPr>
                <w:rFonts w:hint="eastAsia" w:eastAsia="宋体"/>
                <w:color w:val="auto"/>
              </w:rPr>
            </w:pPr>
            <w:r>
              <w:rPr>
                <w:rFonts w:hint="eastAsia" w:eastAsia="宋体"/>
                <w:color w:val="auto"/>
              </w:rPr>
              <w:t>生态环境</w:t>
            </w:r>
          </w:p>
        </w:tc>
        <w:tc>
          <w:tcPr>
            <w:tcW w:w="4269" w:type="pct"/>
            <w:gridSpan w:val="2"/>
            <w:vAlign w:val="center"/>
          </w:tcPr>
          <w:p w14:paraId="63A9C339">
            <w:pPr>
              <w:pStyle w:val="288"/>
              <w:adjustRightInd w:val="0"/>
              <w:snapToGrid w:val="0"/>
              <w:spacing w:line="300" w:lineRule="exact"/>
              <w:rPr>
                <w:rFonts w:hint="eastAsia" w:eastAsia="宋体"/>
                <w:color w:val="auto"/>
              </w:rPr>
            </w:pPr>
            <w:r>
              <w:rPr>
                <w:rFonts w:hint="eastAsia" w:eastAsia="宋体"/>
                <w:color w:val="auto"/>
              </w:rPr>
              <w:t>Ⅱ准噶尔盆地温带干旱荒漠与绿洲生态功能区—</w:t>
            </w:r>
            <w:r>
              <w:rPr>
                <w:rFonts w:eastAsia="宋体"/>
                <w:color w:val="auto"/>
              </w:rPr>
              <w:t>Ⅱ</w:t>
            </w:r>
            <w:r>
              <w:rPr>
                <w:rFonts w:eastAsia="宋体"/>
                <w:color w:val="auto"/>
                <w:vertAlign w:val="subscript"/>
              </w:rPr>
              <w:t>3</w:t>
            </w:r>
            <w:r>
              <w:rPr>
                <w:rFonts w:eastAsia="宋体"/>
                <w:color w:val="auto"/>
              </w:rPr>
              <w:t>准噶尔盆地中部固定、半固定沙漠景观生态亚区</w:t>
            </w:r>
            <w:r>
              <w:rPr>
                <w:rFonts w:hint="eastAsia" w:eastAsia="宋体"/>
                <w:color w:val="auto"/>
              </w:rPr>
              <w:t>—</w:t>
            </w:r>
            <w:r>
              <w:rPr>
                <w:rFonts w:eastAsia="宋体"/>
                <w:color w:val="auto"/>
              </w:rPr>
              <w:t>23</w:t>
            </w:r>
            <w:r>
              <w:rPr>
                <w:rFonts w:hint="eastAsia" w:eastAsia="宋体"/>
                <w:color w:val="auto"/>
              </w:rPr>
              <w:t>古尔班通古特沙漠化敏感及植被保护生态功能区</w:t>
            </w:r>
          </w:p>
        </w:tc>
      </w:tr>
    </w:tbl>
    <w:p w14:paraId="36839C08">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评价标准</w:t>
      </w:r>
      <w:bookmarkEnd w:id="96"/>
      <w:bookmarkEnd w:id="97"/>
      <w:bookmarkEnd w:id="98"/>
      <w:bookmarkEnd w:id="99"/>
      <w:bookmarkEnd w:id="100"/>
    </w:p>
    <w:p w14:paraId="7205C21C">
      <w:pPr>
        <w:pStyle w:val="86"/>
        <w:ind w:firstLine="480"/>
        <w:rPr>
          <w:rFonts w:hint="eastAsia"/>
          <w:color w:val="auto"/>
        </w:rPr>
      </w:pPr>
      <w:r>
        <w:rPr>
          <w:rFonts w:hint="eastAsia"/>
          <w:color w:val="auto"/>
        </w:rPr>
        <w:t>（1）</w:t>
      </w:r>
      <w:r>
        <w:rPr>
          <w:color w:val="auto"/>
        </w:rPr>
        <w:t>环境质量标准</w:t>
      </w:r>
    </w:p>
    <w:p w14:paraId="61F4AFE5">
      <w:pPr>
        <w:pStyle w:val="86"/>
        <w:ind w:firstLine="480"/>
        <w:rPr>
          <w:rFonts w:hint="eastAsia"/>
          <w:color w:val="auto"/>
        </w:rPr>
      </w:pPr>
      <w:r>
        <w:rPr>
          <w:rFonts w:hint="eastAsia"/>
          <w:color w:val="auto"/>
        </w:rPr>
        <w:t>①</w:t>
      </w:r>
      <w:r>
        <w:rPr>
          <w:color w:val="auto"/>
        </w:rPr>
        <w:t>环境空气</w:t>
      </w:r>
    </w:p>
    <w:p w14:paraId="030CCA9F">
      <w:pPr>
        <w:pStyle w:val="86"/>
        <w:ind w:firstLine="480"/>
        <w:rPr>
          <w:rFonts w:hint="eastAsia"/>
          <w:color w:val="auto"/>
        </w:rPr>
      </w:pPr>
      <w:r>
        <w:rPr>
          <w:color w:val="auto"/>
        </w:rPr>
        <w:t>SO</w:t>
      </w:r>
      <w:r>
        <w:rPr>
          <w:color w:val="auto"/>
          <w:vertAlign w:val="subscript"/>
        </w:rPr>
        <w:t>2</w:t>
      </w:r>
      <w:r>
        <w:rPr>
          <w:color w:val="auto"/>
        </w:rPr>
        <w:t>、NO</w:t>
      </w:r>
      <w:r>
        <w:rPr>
          <w:color w:val="auto"/>
          <w:vertAlign w:val="subscript"/>
        </w:rPr>
        <w:t>2</w:t>
      </w:r>
      <w:r>
        <w:rPr>
          <w:color w:val="auto"/>
        </w:rPr>
        <w:t>、PM</w:t>
      </w:r>
      <w:r>
        <w:rPr>
          <w:color w:val="auto"/>
          <w:vertAlign w:val="subscript"/>
        </w:rPr>
        <w:t>10</w:t>
      </w:r>
      <w:r>
        <w:rPr>
          <w:rFonts w:hint="eastAsia" w:cs="Arial"/>
          <w:color w:val="auto"/>
        </w:rPr>
        <w:t>、P</w:t>
      </w:r>
      <w:r>
        <w:rPr>
          <w:rFonts w:cs="Arial"/>
          <w:color w:val="auto"/>
        </w:rPr>
        <w:t>M</w:t>
      </w:r>
      <w:r>
        <w:rPr>
          <w:rFonts w:cs="Arial"/>
          <w:color w:val="auto"/>
          <w:vertAlign w:val="subscript"/>
        </w:rPr>
        <w:t>2.5</w:t>
      </w:r>
      <w:r>
        <w:rPr>
          <w:rFonts w:hint="eastAsia" w:cs="Arial"/>
          <w:color w:val="auto"/>
        </w:rPr>
        <w:t>、C</w:t>
      </w:r>
      <w:r>
        <w:rPr>
          <w:rFonts w:cs="Arial"/>
          <w:color w:val="auto"/>
        </w:rPr>
        <w:t>O</w:t>
      </w:r>
      <w:r>
        <w:rPr>
          <w:rFonts w:hint="eastAsia" w:cs="Arial"/>
          <w:color w:val="auto"/>
        </w:rPr>
        <w:t>、O</w:t>
      </w:r>
      <w:r>
        <w:rPr>
          <w:rFonts w:cs="Arial"/>
          <w:color w:val="auto"/>
          <w:vertAlign w:val="subscript"/>
        </w:rPr>
        <w:t>3</w:t>
      </w:r>
      <w:r>
        <w:rPr>
          <w:rFonts w:hint="eastAsia" w:cs="Arial"/>
          <w:color w:val="auto"/>
        </w:rPr>
        <w:t>六项基本项目</w:t>
      </w:r>
      <w:r>
        <w:rPr>
          <w:color w:val="auto"/>
        </w:rPr>
        <w:t>执行《环境空气质量标准》（GB3095-20</w:t>
      </w:r>
      <w:r>
        <w:rPr>
          <w:rFonts w:hint="eastAsia"/>
          <w:color w:val="auto"/>
        </w:rPr>
        <w:t>26</w:t>
      </w:r>
      <w:r>
        <w:rPr>
          <w:color w:val="auto"/>
        </w:rPr>
        <w:t>）</w:t>
      </w:r>
      <w:r>
        <w:rPr>
          <w:rFonts w:hint="eastAsia"/>
          <w:color w:val="auto"/>
        </w:rPr>
        <w:t>中过渡阶段的</w:t>
      </w:r>
      <w:r>
        <w:rPr>
          <w:color w:val="auto"/>
        </w:rPr>
        <w:t>二级浓度限值；非甲烷总烃参照《</w:t>
      </w:r>
      <w:r>
        <w:rPr>
          <w:rFonts w:hint="eastAsia"/>
          <w:color w:val="auto"/>
        </w:rPr>
        <w:t>〈</w:t>
      </w:r>
      <w:r>
        <w:rPr>
          <w:color w:val="auto"/>
        </w:rPr>
        <w:t>大气污染物综合排放标准</w:t>
      </w:r>
      <w:r>
        <w:rPr>
          <w:rFonts w:hint="eastAsia"/>
          <w:color w:val="auto"/>
        </w:rPr>
        <w:t>〉</w:t>
      </w:r>
      <w:r>
        <w:rPr>
          <w:color w:val="auto"/>
        </w:rPr>
        <w:t>详解》中推荐值2.0mg/m</w:t>
      </w:r>
      <w:r>
        <w:rPr>
          <w:color w:val="auto"/>
          <w:vertAlign w:val="superscript"/>
        </w:rPr>
        <w:t>3</w:t>
      </w:r>
      <w:r>
        <w:rPr>
          <w:color w:val="auto"/>
        </w:rPr>
        <w:t>执行</w:t>
      </w:r>
      <w:r>
        <w:rPr>
          <w:rFonts w:hint="eastAsia"/>
          <w:color w:val="auto"/>
        </w:rPr>
        <w:t>，H</w:t>
      </w:r>
      <w:r>
        <w:rPr>
          <w:rFonts w:hint="eastAsia"/>
          <w:color w:val="auto"/>
          <w:vertAlign w:val="subscript"/>
        </w:rPr>
        <w:t>2</w:t>
      </w:r>
      <w:r>
        <w:rPr>
          <w:rFonts w:hint="eastAsia"/>
          <w:color w:val="auto"/>
        </w:rPr>
        <w:t>S执行《环境影响评价技术导则大气环境》（</w:t>
      </w:r>
      <w:r>
        <w:rPr>
          <w:color w:val="auto"/>
        </w:rPr>
        <w:t>HJ2.2-2018）附录D中</w:t>
      </w:r>
      <w:r>
        <w:rPr>
          <w:rFonts w:hint="eastAsia"/>
          <w:color w:val="auto"/>
        </w:rPr>
        <w:t>推荐值，各</w:t>
      </w:r>
      <w:r>
        <w:rPr>
          <w:color w:val="auto"/>
        </w:rPr>
        <w:t>标准取值见</w:t>
      </w:r>
      <w:r>
        <w:rPr>
          <w:rFonts w:hint="eastAsia"/>
          <w:color w:val="auto"/>
        </w:rPr>
        <w:t>表</w:t>
      </w:r>
      <w:r>
        <w:rPr>
          <w:color w:val="auto"/>
        </w:rPr>
        <w:t>2.5</w:t>
      </w:r>
      <w:r>
        <w:rPr>
          <w:rFonts w:hint="eastAsia"/>
          <w:color w:val="auto"/>
        </w:rPr>
        <w:t>-</w:t>
      </w:r>
      <w:r>
        <w:rPr>
          <w:color w:val="auto"/>
        </w:rPr>
        <w:t>2。</w:t>
      </w:r>
    </w:p>
    <w:p w14:paraId="1CC5F4DB">
      <w:pPr>
        <w:pStyle w:val="15"/>
        <w:rPr>
          <w:rFonts w:hint="eastAsia"/>
          <w:color w:val="auto"/>
        </w:rPr>
      </w:pPr>
      <w:r>
        <w:rPr>
          <w:rFonts w:hint="eastAsia"/>
          <w:color w:val="auto"/>
        </w:rPr>
        <w:t>表</w:t>
      </w:r>
      <w:r>
        <w:rPr>
          <w:color w:val="auto"/>
        </w:rPr>
        <w:t>2.5</w:t>
      </w:r>
      <w:r>
        <w:rPr>
          <w:rFonts w:hint="eastAsia"/>
          <w:color w:val="auto"/>
        </w:rPr>
        <w:t>-</w:t>
      </w:r>
      <w:r>
        <w:rPr>
          <w:color w:val="auto"/>
        </w:rPr>
        <w:t>2</w:t>
      </w:r>
      <w:r>
        <w:rPr>
          <w:rFonts w:hint="eastAsia"/>
          <w:color w:val="auto"/>
        </w:rPr>
        <w:t xml:space="preserve">   </w:t>
      </w:r>
      <w:r>
        <w:rPr>
          <w:color w:val="auto"/>
        </w:rPr>
        <w:t xml:space="preserve"> 环境空气质量标准</w:t>
      </w:r>
      <w:r>
        <w:rPr>
          <w:rFonts w:hint="eastAsia"/>
          <w:color w:val="auto"/>
        </w:rPr>
        <w:t>一览表</w:t>
      </w:r>
    </w:p>
    <w:tbl>
      <w:tblPr>
        <w:tblStyle w:val="51"/>
        <w:tblW w:w="8946" w:type="dxa"/>
        <w:tblInd w:w="108"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93"/>
        <w:gridCol w:w="1292"/>
        <w:gridCol w:w="2018"/>
        <w:gridCol w:w="1345"/>
        <w:gridCol w:w="889"/>
        <w:gridCol w:w="2709"/>
      </w:tblGrid>
      <w:tr w14:paraId="7869C9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693" w:type="dxa"/>
            <w:tcBorders>
              <w:right w:val="single" w:color="auto" w:sz="4" w:space="0"/>
            </w:tcBorders>
            <w:vAlign w:val="center"/>
          </w:tcPr>
          <w:p w14:paraId="714F26C9">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序号</w:t>
            </w:r>
          </w:p>
        </w:tc>
        <w:tc>
          <w:tcPr>
            <w:tcW w:w="1292" w:type="dxa"/>
            <w:tcBorders>
              <w:left w:val="single" w:color="auto" w:sz="4" w:space="0"/>
            </w:tcBorders>
            <w:vAlign w:val="center"/>
          </w:tcPr>
          <w:p w14:paraId="048FEAD4">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污染物名称</w:t>
            </w:r>
          </w:p>
        </w:tc>
        <w:tc>
          <w:tcPr>
            <w:tcW w:w="2018" w:type="dxa"/>
            <w:vAlign w:val="center"/>
          </w:tcPr>
          <w:p w14:paraId="20307998">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取值时间</w:t>
            </w:r>
          </w:p>
        </w:tc>
        <w:tc>
          <w:tcPr>
            <w:tcW w:w="1345" w:type="dxa"/>
            <w:tcBorders>
              <w:bottom w:val="single" w:color="auto" w:sz="4" w:space="0"/>
            </w:tcBorders>
            <w:vAlign w:val="center"/>
          </w:tcPr>
          <w:p w14:paraId="7EB586FE">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浓度限值</w:t>
            </w:r>
          </w:p>
        </w:tc>
        <w:tc>
          <w:tcPr>
            <w:tcW w:w="889" w:type="dxa"/>
            <w:tcBorders>
              <w:bottom w:val="single" w:color="auto" w:sz="4" w:space="0"/>
            </w:tcBorders>
            <w:vAlign w:val="center"/>
          </w:tcPr>
          <w:p w14:paraId="1508C91E">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单位</w:t>
            </w:r>
          </w:p>
        </w:tc>
        <w:tc>
          <w:tcPr>
            <w:tcW w:w="2709" w:type="dxa"/>
            <w:tcBorders>
              <w:bottom w:val="single" w:color="auto" w:sz="4" w:space="0"/>
            </w:tcBorders>
            <w:vAlign w:val="center"/>
          </w:tcPr>
          <w:p w14:paraId="0D184DB5">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标准来源</w:t>
            </w:r>
          </w:p>
        </w:tc>
      </w:tr>
      <w:tr w14:paraId="2486BA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restart"/>
            <w:tcBorders>
              <w:right w:val="single" w:color="auto" w:sz="4" w:space="0"/>
            </w:tcBorders>
            <w:vAlign w:val="center"/>
          </w:tcPr>
          <w:p w14:paraId="0D512AAB">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w:t>
            </w:r>
          </w:p>
        </w:tc>
        <w:tc>
          <w:tcPr>
            <w:tcW w:w="1292" w:type="dxa"/>
            <w:vMerge w:val="restart"/>
            <w:tcBorders>
              <w:left w:val="single" w:color="auto" w:sz="4" w:space="0"/>
            </w:tcBorders>
            <w:vAlign w:val="center"/>
          </w:tcPr>
          <w:p w14:paraId="7DDEACF9">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SO</w:t>
            </w:r>
            <w:r>
              <w:rPr>
                <w:rFonts w:hint="eastAsia" w:ascii="宋体" w:hAnsi="宋体" w:cs="宋体"/>
                <w:color w:val="auto"/>
                <w:szCs w:val="21"/>
                <w:vertAlign w:val="subscript"/>
              </w:rPr>
              <w:t>2</w:t>
            </w:r>
          </w:p>
        </w:tc>
        <w:tc>
          <w:tcPr>
            <w:tcW w:w="2018" w:type="dxa"/>
            <w:vAlign w:val="center"/>
          </w:tcPr>
          <w:p w14:paraId="629EB7E7">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年平均</w:t>
            </w:r>
          </w:p>
        </w:tc>
        <w:tc>
          <w:tcPr>
            <w:tcW w:w="1345" w:type="dxa"/>
            <w:vAlign w:val="center"/>
          </w:tcPr>
          <w:p w14:paraId="7E020509">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60</w:t>
            </w:r>
          </w:p>
        </w:tc>
        <w:tc>
          <w:tcPr>
            <w:tcW w:w="889" w:type="dxa"/>
            <w:vMerge w:val="restart"/>
            <w:vAlign w:val="center"/>
          </w:tcPr>
          <w:p w14:paraId="2E882E98">
            <w:pPr>
              <w:adjustRightInd w:val="0"/>
              <w:snapToGrid w:val="0"/>
              <w:spacing w:line="300" w:lineRule="exact"/>
              <w:jc w:val="center"/>
              <w:rPr>
                <w:rFonts w:hint="eastAsia" w:ascii="宋体" w:hAnsi="宋体" w:cs="宋体"/>
                <w:color w:val="auto"/>
                <w:szCs w:val="21"/>
                <w:vertAlign w:val="superscript"/>
              </w:rPr>
            </w:pPr>
            <w:r>
              <w:rPr>
                <w:rFonts w:hint="eastAsia" w:ascii="宋体" w:hAnsi="宋体" w:cs="宋体"/>
                <w:color w:val="auto"/>
                <w:szCs w:val="21"/>
              </w:rPr>
              <w:t>μg/m</w:t>
            </w:r>
            <w:r>
              <w:rPr>
                <w:rFonts w:hint="eastAsia" w:ascii="宋体" w:hAnsi="宋体" w:cs="宋体"/>
                <w:color w:val="auto"/>
                <w:szCs w:val="21"/>
                <w:vertAlign w:val="superscript"/>
              </w:rPr>
              <w:t>3</w:t>
            </w:r>
          </w:p>
        </w:tc>
        <w:tc>
          <w:tcPr>
            <w:tcW w:w="2709" w:type="dxa"/>
            <w:vMerge w:val="restart"/>
            <w:vAlign w:val="center"/>
          </w:tcPr>
          <w:p w14:paraId="39704EAB">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GB3095-2026</w:t>
            </w:r>
            <w:r>
              <w:rPr>
                <w:rFonts w:ascii="宋体" w:hAnsi="宋体" w:cs="宋体"/>
                <w:color w:val="auto"/>
                <w:szCs w:val="21"/>
              </w:rPr>
              <w:t xml:space="preserve"> </w:t>
            </w:r>
          </w:p>
        </w:tc>
      </w:tr>
      <w:tr w14:paraId="43B8A3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continue"/>
            <w:tcBorders>
              <w:right w:val="single" w:color="auto" w:sz="4" w:space="0"/>
            </w:tcBorders>
            <w:vAlign w:val="center"/>
          </w:tcPr>
          <w:p w14:paraId="5FB1A6E5">
            <w:pPr>
              <w:adjustRightInd w:val="0"/>
              <w:snapToGrid w:val="0"/>
              <w:spacing w:line="300" w:lineRule="exact"/>
              <w:jc w:val="center"/>
              <w:rPr>
                <w:rFonts w:hint="eastAsia" w:ascii="宋体" w:hAnsi="宋体" w:cs="宋体"/>
                <w:color w:val="auto"/>
                <w:szCs w:val="21"/>
              </w:rPr>
            </w:pPr>
          </w:p>
        </w:tc>
        <w:tc>
          <w:tcPr>
            <w:tcW w:w="1292" w:type="dxa"/>
            <w:vMerge w:val="continue"/>
            <w:tcBorders>
              <w:left w:val="single" w:color="auto" w:sz="4" w:space="0"/>
            </w:tcBorders>
            <w:vAlign w:val="center"/>
          </w:tcPr>
          <w:p w14:paraId="3D5C902F">
            <w:pPr>
              <w:adjustRightInd w:val="0"/>
              <w:snapToGrid w:val="0"/>
              <w:spacing w:line="300" w:lineRule="exact"/>
              <w:jc w:val="center"/>
              <w:rPr>
                <w:rFonts w:hint="eastAsia" w:ascii="宋体" w:hAnsi="宋体" w:cs="宋体"/>
                <w:color w:val="auto"/>
                <w:szCs w:val="21"/>
              </w:rPr>
            </w:pPr>
          </w:p>
        </w:tc>
        <w:tc>
          <w:tcPr>
            <w:tcW w:w="2018" w:type="dxa"/>
            <w:vAlign w:val="center"/>
          </w:tcPr>
          <w:p w14:paraId="2314319E">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w:t>
            </w:r>
            <w:r>
              <w:rPr>
                <w:rFonts w:ascii="宋体" w:hAnsi="宋体" w:cs="宋体"/>
                <w:color w:val="auto"/>
                <w:szCs w:val="21"/>
              </w:rPr>
              <w:t>4</w:t>
            </w:r>
            <w:r>
              <w:rPr>
                <w:rFonts w:hint="eastAsia" w:ascii="宋体" w:hAnsi="宋体" w:cs="宋体"/>
                <w:color w:val="auto"/>
                <w:szCs w:val="21"/>
              </w:rPr>
              <w:t>小时平均</w:t>
            </w:r>
          </w:p>
        </w:tc>
        <w:tc>
          <w:tcPr>
            <w:tcW w:w="1345" w:type="dxa"/>
            <w:vAlign w:val="center"/>
          </w:tcPr>
          <w:p w14:paraId="58C04C5E">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w:t>
            </w:r>
            <w:r>
              <w:rPr>
                <w:rFonts w:ascii="宋体" w:hAnsi="宋体" w:cs="宋体"/>
                <w:color w:val="auto"/>
                <w:szCs w:val="21"/>
              </w:rPr>
              <w:t>50</w:t>
            </w:r>
          </w:p>
        </w:tc>
        <w:tc>
          <w:tcPr>
            <w:tcW w:w="889" w:type="dxa"/>
            <w:vMerge w:val="continue"/>
            <w:vAlign w:val="center"/>
          </w:tcPr>
          <w:p w14:paraId="643EA769">
            <w:pPr>
              <w:adjustRightInd w:val="0"/>
              <w:snapToGrid w:val="0"/>
              <w:spacing w:line="300" w:lineRule="exact"/>
              <w:jc w:val="center"/>
              <w:rPr>
                <w:rFonts w:hint="eastAsia" w:ascii="宋体" w:hAnsi="宋体" w:cs="宋体"/>
                <w:color w:val="auto"/>
                <w:szCs w:val="21"/>
              </w:rPr>
            </w:pPr>
          </w:p>
        </w:tc>
        <w:tc>
          <w:tcPr>
            <w:tcW w:w="2709" w:type="dxa"/>
            <w:vMerge w:val="continue"/>
            <w:vAlign w:val="center"/>
          </w:tcPr>
          <w:p w14:paraId="52A94B3F">
            <w:pPr>
              <w:adjustRightInd w:val="0"/>
              <w:snapToGrid w:val="0"/>
              <w:spacing w:line="300" w:lineRule="exact"/>
              <w:jc w:val="center"/>
              <w:rPr>
                <w:rFonts w:hint="eastAsia" w:ascii="宋体" w:hAnsi="宋体" w:cs="宋体"/>
                <w:color w:val="auto"/>
                <w:szCs w:val="21"/>
              </w:rPr>
            </w:pPr>
          </w:p>
        </w:tc>
      </w:tr>
      <w:tr w14:paraId="4CEAA7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continue"/>
            <w:tcBorders>
              <w:right w:val="single" w:color="auto" w:sz="4" w:space="0"/>
            </w:tcBorders>
            <w:vAlign w:val="center"/>
          </w:tcPr>
          <w:p w14:paraId="1D6549C2">
            <w:pPr>
              <w:adjustRightInd w:val="0"/>
              <w:snapToGrid w:val="0"/>
              <w:spacing w:line="300" w:lineRule="exact"/>
              <w:jc w:val="center"/>
              <w:rPr>
                <w:rFonts w:hint="eastAsia" w:ascii="宋体" w:hAnsi="宋体" w:cs="宋体"/>
                <w:color w:val="auto"/>
                <w:szCs w:val="21"/>
              </w:rPr>
            </w:pPr>
          </w:p>
        </w:tc>
        <w:tc>
          <w:tcPr>
            <w:tcW w:w="1292" w:type="dxa"/>
            <w:vMerge w:val="continue"/>
            <w:tcBorders>
              <w:left w:val="single" w:color="auto" w:sz="4" w:space="0"/>
            </w:tcBorders>
            <w:vAlign w:val="center"/>
          </w:tcPr>
          <w:p w14:paraId="51CB4C4D">
            <w:pPr>
              <w:adjustRightInd w:val="0"/>
              <w:snapToGrid w:val="0"/>
              <w:spacing w:line="300" w:lineRule="exact"/>
              <w:jc w:val="center"/>
              <w:rPr>
                <w:rFonts w:hint="eastAsia" w:ascii="宋体" w:hAnsi="宋体" w:cs="宋体"/>
                <w:color w:val="auto"/>
                <w:szCs w:val="21"/>
              </w:rPr>
            </w:pPr>
          </w:p>
        </w:tc>
        <w:tc>
          <w:tcPr>
            <w:tcW w:w="2018" w:type="dxa"/>
            <w:vAlign w:val="center"/>
          </w:tcPr>
          <w:p w14:paraId="7F3B01FB">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1小时平均</w:t>
            </w:r>
          </w:p>
        </w:tc>
        <w:tc>
          <w:tcPr>
            <w:tcW w:w="1345" w:type="dxa"/>
            <w:vAlign w:val="center"/>
          </w:tcPr>
          <w:p w14:paraId="15C7FC7D">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500</w:t>
            </w:r>
          </w:p>
        </w:tc>
        <w:tc>
          <w:tcPr>
            <w:tcW w:w="889" w:type="dxa"/>
            <w:vMerge w:val="continue"/>
            <w:vAlign w:val="center"/>
          </w:tcPr>
          <w:p w14:paraId="342DF617">
            <w:pPr>
              <w:adjustRightInd w:val="0"/>
              <w:snapToGrid w:val="0"/>
              <w:spacing w:line="300" w:lineRule="exact"/>
              <w:jc w:val="center"/>
              <w:rPr>
                <w:rFonts w:hint="eastAsia" w:ascii="宋体" w:hAnsi="宋体" w:cs="宋体"/>
                <w:color w:val="auto"/>
                <w:szCs w:val="21"/>
              </w:rPr>
            </w:pPr>
          </w:p>
        </w:tc>
        <w:tc>
          <w:tcPr>
            <w:tcW w:w="2709" w:type="dxa"/>
            <w:vMerge w:val="continue"/>
            <w:vAlign w:val="center"/>
          </w:tcPr>
          <w:p w14:paraId="6246B069">
            <w:pPr>
              <w:adjustRightInd w:val="0"/>
              <w:snapToGrid w:val="0"/>
              <w:spacing w:line="300" w:lineRule="exact"/>
              <w:jc w:val="center"/>
              <w:rPr>
                <w:rFonts w:hint="eastAsia" w:ascii="宋体" w:hAnsi="宋体" w:cs="宋体"/>
                <w:color w:val="auto"/>
                <w:szCs w:val="21"/>
              </w:rPr>
            </w:pPr>
          </w:p>
        </w:tc>
      </w:tr>
      <w:tr w14:paraId="69DCE8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restart"/>
            <w:tcBorders>
              <w:right w:val="single" w:color="auto" w:sz="4" w:space="0"/>
            </w:tcBorders>
            <w:vAlign w:val="center"/>
          </w:tcPr>
          <w:p w14:paraId="61196D0E">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w:t>
            </w:r>
          </w:p>
        </w:tc>
        <w:tc>
          <w:tcPr>
            <w:tcW w:w="1292" w:type="dxa"/>
            <w:vMerge w:val="restart"/>
            <w:tcBorders>
              <w:left w:val="single" w:color="auto" w:sz="4" w:space="0"/>
            </w:tcBorders>
            <w:vAlign w:val="center"/>
          </w:tcPr>
          <w:p w14:paraId="27799F68">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NO</w:t>
            </w:r>
            <w:r>
              <w:rPr>
                <w:rFonts w:hint="eastAsia" w:ascii="宋体" w:hAnsi="宋体" w:cs="宋体"/>
                <w:color w:val="auto"/>
                <w:szCs w:val="21"/>
                <w:vertAlign w:val="subscript"/>
              </w:rPr>
              <w:t>2</w:t>
            </w:r>
          </w:p>
        </w:tc>
        <w:tc>
          <w:tcPr>
            <w:tcW w:w="2018" w:type="dxa"/>
            <w:vAlign w:val="center"/>
          </w:tcPr>
          <w:p w14:paraId="7FE53324">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年平均</w:t>
            </w:r>
          </w:p>
        </w:tc>
        <w:tc>
          <w:tcPr>
            <w:tcW w:w="1345" w:type="dxa"/>
            <w:vAlign w:val="center"/>
          </w:tcPr>
          <w:p w14:paraId="16E7EE88">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40</w:t>
            </w:r>
          </w:p>
        </w:tc>
        <w:tc>
          <w:tcPr>
            <w:tcW w:w="889" w:type="dxa"/>
            <w:vMerge w:val="continue"/>
            <w:vAlign w:val="center"/>
          </w:tcPr>
          <w:p w14:paraId="5AB69406">
            <w:pPr>
              <w:adjustRightInd w:val="0"/>
              <w:snapToGrid w:val="0"/>
              <w:spacing w:line="300" w:lineRule="exact"/>
              <w:jc w:val="center"/>
              <w:rPr>
                <w:rFonts w:hint="eastAsia" w:ascii="宋体" w:hAnsi="宋体" w:cs="宋体"/>
                <w:color w:val="auto"/>
                <w:szCs w:val="21"/>
              </w:rPr>
            </w:pPr>
          </w:p>
        </w:tc>
        <w:tc>
          <w:tcPr>
            <w:tcW w:w="2709" w:type="dxa"/>
            <w:vMerge w:val="continue"/>
            <w:vAlign w:val="center"/>
          </w:tcPr>
          <w:p w14:paraId="295981FF">
            <w:pPr>
              <w:adjustRightInd w:val="0"/>
              <w:snapToGrid w:val="0"/>
              <w:spacing w:line="300" w:lineRule="exact"/>
              <w:jc w:val="center"/>
              <w:rPr>
                <w:rFonts w:hint="eastAsia" w:ascii="宋体" w:hAnsi="宋体" w:cs="宋体"/>
                <w:color w:val="auto"/>
                <w:szCs w:val="21"/>
              </w:rPr>
            </w:pPr>
          </w:p>
        </w:tc>
      </w:tr>
      <w:tr w14:paraId="65ABC7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continue"/>
            <w:tcBorders>
              <w:right w:val="single" w:color="auto" w:sz="4" w:space="0"/>
            </w:tcBorders>
            <w:vAlign w:val="center"/>
          </w:tcPr>
          <w:p w14:paraId="5AE2BAC0">
            <w:pPr>
              <w:adjustRightInd w:val="0"/>
              <w:snapToGrid w:val="0"/>
              <w:spacing w:line="300" w:lineRule="exact"/>
              <w:jc w:val="center"/>
              <w:rPr>
                <w:rFonts w:hint="eastAsia" w:ascii="宋体" w:hAnsi="宋体" w:cs="宋体"/>
                <w:color w:val="auto"/>
                <w:szCs w:val="21"/>
              </w:rPr>
            </w:pPr>
          </w:p>
        </w:tc>
        <w:tc>
          <w:tcPr>
            <w:tcW w:w="1292" w:type="dxa"/>
            <w:vMerge w:val="continue"/>
            <w:tcBorders>
              <w:left w:val="single" w:color="auto" w:sz="4" w:space="0"/>
            </w:tcBorders>
            <w:vAlign w:val="center"/>
          </w:tcPr>
          <w:p w14:paraId="47234239">
            <w:pPr>
              <w:adjustRightInd w:val="0"/>
              <w:snapToGrid w:val="0"/>
              <w:spacing w:line="300" w:lineRule="exact"/>
              <w:jc w:val="center"/>
              <w:rPr>
                <w:rFonts w:hint="eastAsia" w:ascii="宋体" w:hAnsi="宋体" w:cs="宋体"/>
                <w:color w:val="auto"/>
                <w:szCs w:val="21"/>
              </w:rPr>
            </w:pPr>
          </w:p>
        </w:tc>
        <w:tc>
          <w:tcPr>
            <w:tcW w:w="2018" w:type="dxa"/>
            <w:vAlign w:val="center"/>
          </w:tcPr>
          <w:p w14:paraId="2EB062D1">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w:t>
            </w:r>
            <w:r>
              <w:rPr>
                <w:rFonts w:ascii="宋体" w:hAnsi="宋体" w:cs="宋体"/>
                <w:color w:val="auto"/>
                <w:szCs w:val="21"/>
              </w:rPr>
              <w:t>4</w:t>
            </w:r>
            <w:r>
              <w:rPr>
                <w:rFonts w:hint="eastAsia" w:ascii="宋体" w:hAnsi="宋体" w:cs="宋体"/>
                <w:color w:val="auto"/>
                <w:szCs w:val="21"/>
              </w:rPr>
              <w:t>小时平均</w:t>
            </w:r>
          </w:p>
        </w:tc>
        <w:tc>
          <w:tcPr>
            <w:tcW w:w="1345" w:type="dxa"/>
            <w:vAlign w:val="center"/>
          </w:tcPr>
          <w:p w14:paraId="3FCBCB29">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8</w:t>
            </w:r>
            <w:r>
              <w:rPr>
                <w:rFonts w:ascii="宋体" w:hAnsi="宋体" w:cs="宋体"/>
                <w:color w:val="auto"/>
                <w:szCs w:val="21"/>
              </w:rPr>
              <w:t>0</w:t>
            </w:r>
          </w:p>
        </w:tc>
        <w:tc>
          <w:tcPr>
            <w:tcW w:w="889" w:type="dxa"/>
            <w:vMerge w:val="continue"/>
            <w:vAlign w:val="center"/>
          </w:tcPr>
          <w:p w14:paraId="083DB891">
            <w:pPr>
              <w:adjustRightInd w:val="0"/>
              <w:snapToGrid w:val="0"/>
              <w:spacing w:line="300" w:lineRule="exact"/>
              <w:jc w:val="center"/>
              <w:rPr>
                <w:rFonts w:hint="eastAsia" w:ascii="宋体" w:hAnsi="宋体" w:cs="宋体"/>
                <w:color w:val="auto"/>
                <w:szCs w:val="21"/>
              </w:rPr>
            </w:pPr>
          </w:p>
        </w:tc>
        <w:tc>
          <w:tcPr>
            <w:tcW w:w="2709" w:type="dxa"/>
            <w:vMerge w:val="continue"/>
            <w:vAlign w:val="center"/>
          </w:tcPr>
          <w:p w14:paraId="42DE4FE4">
            <w:pPr>
              <w:adjustRightInd w:val="0"/>
              <w:snapToGrid w:val="0"/>
              <w:spacing w:line="300" w:lineRule="exact"/>
              <w:jc w:val="center"/>
              <w:rPr>
                <w:rFonts w:hint="eastAsia" w:ascii="宋体" w:hAnsi="宋体" w:cs="宋体"/>
                <w:color w:val="auto"/>
                <w:szCs w:val="21"/>
              </w:rPr>
            </w:pPr>
          </w:p>
        </w:tc>
      </w:tr>
      <w:tr w14:paraId="02C17C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continue"/>
            <w:tcBorders>
              <w:right w:val="single" w:color="auto" w:sz="4" w:space="0"/>
            </w:tcBorders>
            <w:vAlign w:val="center"/>
          </w:tcPr>
          <w:p w14:paraId="09FF3249">
            <w:pPr>
              <w:adjustRightInd w:val="0"/>
              <w:snapToGrid w:val="0"/>
              <w:spacing w:line="300" w:lineRule="exact"/>
              <w:jc w:val="center"/>
              <w:rPr>
                <w:rFonts w:hint="eastAsia" w:ascii="宋体" w:hAnsi="宋体" w:cs="宋体"/>
                <w:color w:val="auto"/>
                <w:szCs w:val="21"/>
              </w:rPr>
            </w:pPr>
          </w:p>
        </w:tc>
        <w:tc>
          <w:tcPr>
            <w:tcW w:w="1292" w:type="dxa"/>
            <w:vMerge w:val="continue"/>
            <w:tcBorders>
              <w:left w:val="single" w:color="auto" w:sz="4" w:space="0"/>
            </w:tcBorders>
            <w:vAlign w:val="center"/>
          </w:tcPr>
          <w:p w14:paraId="1E38CCB9">
            <w:pPr>
              <w:adjustRightInd w:val="0"/>
              <w:snapToGrid w:val="0"/>
              <w:spacing w:line="300" w:lineRule="exact"/>
              <w:jc w:val="center"/>
              <w:rPr>
                <w:rFonts w:hint="eastAsia" w:ascii="宋体" w:hAnsi="宋体" w:cs="宋体"/>
                <w:color w:val="auto"/>
                <w:szCs w:val="21"/>
              </w:rPr>
            </w:pPr>
          </w:p>
        </w:tc>
        <w:tc>
          <w:tcPr>
            <w:tcW w:w="2018" w:type="dxa"/>
            <w:vAlign w:val="center"/>
          </w:tcPr>
          <w:p w14:paraId="0412A383">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1小时平均</w:t>
            </w:r>
          </w:p>
        </w:tc>
        <w:tc>
          <w:tcPr>
            <w:tcW w:w="1345" w:type="dxa"/>
            <w:vAlign w:val="center"/>
          </w:tcPr>
          <w:p w14:paraId="5A1784F2">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200</w:t>
            </w:r>
          </w:p>
        </w:tc>
        <w:tc>
          <w:tcPr>
            <w:tcW w:w="889" w:type="dxa"/>
            <w:vMerge w:val="continue"/>
            <w:vAlign w:val="center"/>
          </w:tcPr>
          <w:p w14:paraId="53542622">
            <w:pPr>
              <w:adjustRightInd w:val="0"/>
              <w:snapToGrid w:val="0"/>
              <w:spacing w:line="300" w:lineRule="exact"/>
              <w:jc w:val="center"/>
              <w:rPr>
                <w:rFonts w:hint="eastAsia" w:ascii="宋体" w:hAnsi="宋体" w:cs="宋体"/>
                <w:color w:val="auto"/>
                <w:szCs w:val="21"/>
              </w:rPr>
            </w:pPr>
          </w:p>
        </w:tc>
        <w:tc>
          <w:tcPr>
            <w:tcW w:w="2709" w:type="dxa"/>
            <w:vMerge w:val="continue"/>
            <w:vAlign w:val="center"/>
          </w:tcPr>
          <w:p w14:paraId="5E47C79B">
            <w:pPr>
              <w:adjustRightInd w:val="0"/>
              <w:snapToGrid w:val="0"/>
              <w:spacing w:line="300" w:lineRule="exact"/>
              <w:jc w:val="center"/>
              <w:rPr>
                <w:rFonts w:hint="eastAsia" w:ascii="宋体" w:hAnsi="宋体" w:cs="宋体"/>
                <w:color w:val="auto"/>
                <w:szCs w:val="21"/>
              </w:rPr>
            </w:pPr>
          </w:p>
        </w:tc>
      </w:tr>
      <w:tr w14:paraId="622EFF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restart"/>
            <w:tcBorders>
              <w:right w:val="single" w:color="auto" w:sz="4" w:space="0"/>
            </w:tcBorders>
            <w:vAlign w:val="center"/>
          </w:tcPr>
          <w:p w14:paraId="53D89385">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3</w:t>
            </w:r>
          </w:p>
        </w:tc>
        <w:tc>
          <w:tcPr>
            <w:tcW w:w="1292" w:type="dxa"/>
            <w:vMerge w:val="restart"/>
            <w:tcBorders>
              <w:left w:val="single" w:color="auto" w:sz="4" w:space="0"/>
            </w:tcBorders>
            <w:vAlign w:val="center"/>
          </w:tcPr>
          <w:p w14:paraId="36A048A2">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PM</w:t>
            </w:r>
            <w:r>
              <w:rPr>
                <w:rFonts w:hint="eastAsia" w:ascii="宋体" w:hAnsi="宋体" w:cs="宋体"/>
                <w:color w:val="auto"/>
                <w:szCs w:val="21"/>
                <w:vertAlign w:val="subscript"/>
              </w:rPr>
              <w:t>10</w:t>
            </w:r>
          </w:p>
        </w:tc>
        <w:tc>
          <w:tcPr>
            <w:tcW w:w="2018" w:type="dxa"/>
            <w:vAlign w:val="center"/>
          </w:tcPr>
          <w:p w14:paraId="3E0F4E3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年平均</w:t>
            </w:r>
          </w:p>
        </w:tc>
        <w:tc>
          <w:tcPr>
            <w:tcW w:w="1345" w:type="dxa"/>
            <w:vAlign w:val="center"/>
          </w:tcPr>
          <w:p w14:paraId="6C393666">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60</w:t>
            </w:r>
          </w:p>
        </w:tc>
        <w:tc>
          <w:tcPr>
            <w:tcW w:w="889" w:type="dxa"/>
            <w:vMerge w:val="continue"/>
            <w:vAlign w:val="center"/>
          </w:tcPr>
          <w:p w14:paraId="69E8E8C1">
            <w:pPr>
              <w:adjustRightInd w:val="0"/>
              <w:snapToGrid w:val="0"/>
              <w:spacing w:line="300" w:lineRule="exact"/>
              <w:jc w:val="center"/>
              <w:rPr>
                <w:rFonts w:hint="eastAsia" w:ascii="宋体" w:hAnsi="宋体" w:cs="宋体"/>
                <w:color w:val="auto"/>
                <w:szCs w:val="21"/>
              </w:rPr>
            </w:pPr>
          </w:p>
        </w:tc>
        <w:tc>
          <w:tcPr>
            <w:tcW w:w="2709" w:type="dxa"/>
            <w:vMerge w:val="continue"/>
            <w:vAlign w:val="center"/>
          </w:tcPr>
          <w:p w14:paraId="27361E23">
            <w:pPr>
              <w:adjustRightInd w:val="0"/>
              <w:snapToGrid w:val="0"/>
              <w:spacing w:line="300" w:lineRule="exact"/>
              <w:jc w:val="center"/>
              <w:rPr>
                <w:rFonts w:hint="eastAsia" w:ascii="宋体" w:hAnsi="宋体" w:cs="宋体"/>
                <w:color w:val="auto"/>
                <w:szCs w:val="21"/>
              </w:rPr>
            </w:pPr>
          </w:p>
        </w:tc>
      </w:tr>
      <w:tr w14:paraId="27054F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continue"/>
            <w:tcBorders>
              <w:right w:val="single" w:color="auto" w:sz="4" w:space="0"/>
            </w:tcBorders>
            <w:vAlign w:val="center"/>
          </w:tcPr>
          <w:p w14:paraId="4007FDD6">
            <w:pPr>
              <w:adjustRightInd w:val="0"/>
              <w:snapToGrid w:val="0"/>
              <w:spacing w:line="300" w:lineRule="exact"/>
              <w:jc w:val="center"/>
              <w:rPr>
                <w:rFonts w:hint="eastAsia" w:ascii="宋体" w:hAnsi="宋体" w:cs="宋体"/>
                <w:color w:val="auto"/>
                <w:szCs w:val="21"/>
              </w:rPr>
            </w:pPr>
          </w:p>
        </w:tc>
        <w:tc>
          <w:tcPr>
            <w:tcW w:w="1292" w:type="dxa"/>
            <w:vMerge w:val="continue"/>
            <w:tcBorders>
              <w:left w:val="single" w:color="auto" w:sz="4" w:space="0"/>
            </w:tcBorders>
            <w:vAlign w:val="center"/>
          </w:tcPr>
          <w:p w14:paraId="0DA1CD2B">
            <w:pPr>
              <w:adjustRightInd w:val="0"/>
              <w:snapToGrid w:val="0"/>
              <w:spacing w:line="300" w:lineRule="exact"/>
              <w:jc w:val="center"/>
              <w:rPr>
                <w:rFonts w:hint="eastAsia" w:ascii="宋体" w:hAnsi="宋体" w:cs="宋体"/>
                <w:color w:val="auto"/>
                <w:szCs w:val="21"/>
              </w:rPr>
            </w:pPr>
          </w:p>
        </w:tc>
        <w:tc>
          <w:tcPr>
            <w:tcW w:w="2018" w:type="dxa"/>
            <w:vAlign w:val="center"/>
          </w:tcPr>
          <w:p w14:paraId="1348969B">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24小时平均</w:t>
            </w:r>
          </w:p>
        </w:tc>
        <w:tc>
          <w:tcPr>
            <w:tcW w:w="1345" w:type="dxa"/>
            <w:vAlign w:val="center"/>
          </w:tcPr>
          <w:p w14:paraId="62C683AF">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120</w:t>
            </w:r>
          </w:p>
        </w:tc>
        <w:tc>
          <w:tcPr>
            <w:tcW w:w="889" w:type="dxa"/>
            <w:vMerge w:val="continue"/>
            <w:vAlign w:val="center"/>
          </w:tcPr>
          <w:p w14:paraId="74B6C66F">
            <w:pPr>
              <w:adjustRightInd w:val="0"/>
              <w:snapToGrid w:val="0"/>
              <w:spacing w:line="300" w:lineRule="exact"/>
              <w:jc w:val="center"/>
              <w:rPr>
                <w:rFonts w:hint="eastAsia" w:ascii="宋体" w:hAnsi="宋体" w:cs="宋体"/>
                <w:color w:val="auto"/>
                <w:szCs w:val="21"/>
              </w:rPr>
            </w:pPr>
          </w:p>
        </w:tc>
        <w:tc>
          <w:tcPr>
            <w:tcW w:w="2709" w:type="dxa"/>
            <w:vMerge w:val="continue"/>
            <w:vAlign w:val="center"/>
          </w:tcPr>
          <w:p w14:paraId="22E785D0">
            <w:pPr>
              <w:adjustRightInd w:val="0"/>
              <w:snapToGrid w:val="0"/>
              <w:spacing w:line="300" w:lineRule="exact"/>
              <w:jc w:val="center"/>
              <w:rPr>
                <w:rFonts w:hint="eastAsia" w:ascii="宋体" w:hAnsi="宋体" w:cs="宋体"/>
                <w:color w:val="auto"/>
                <w:szCs w:val="21"/>
              </w:rPr>
            </w:pPr>
          </w:p>
        </w:tc>
      </w:tr>
      <w:tr w14:paraId="3FA9343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restart"/>
            <w:tcBorders>
              <w:right w:val="single" w:color="auto" w:sz="4" w:space="0"/>
            </w:tcBorders>
            <w:vAlign w:val="center"/>
          </w:tcPr>
          <w:p w14:paraId="11BC8B82">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4</w:t>
            </w:r>
          </w:p>
        </w:tc>
        <w:tc>
          <w:tcPr>
            <w:tcW w:w="1292" w:type="dxa"/>
            <w:vMerge w:val="restart"/>
            <w:tcBorders>
              <w:left w:val="single" w:color="auto" w:sz="4" w:space="0"/>
            </w:tcBorders>
            <w:vAlign w:val="center"/>
          </w:tcPr>
          <w:p w14:paraId="0940B93F">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PM</w:t>
            </w:r>
            <w:r>
              <w:rPr>
                <w:rFonts w:hint="eastAsia" w:ascii="宋体" w:hAnsi="宋体" w:cs="宋体"/>
                <w:color w:val="auto"/>
                <w:szCs w:val="21"/>
                <w:vertAlign w:val="subscript"/>
              </w:rPr>
              <w:t>2.5</w:t>
            </w:r>
          </w:p>
        </w:tc>
        <w:tc>
          <w:tcPr>
            <w:tcW w:w="2018" w:type="dxa"/>
            <w:vAlign w:val="center"/>
          </w:tcPr>
          <w:p w14:paraId="130F5026">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年平均</w:t>
            </w:r>
          </w:p>
        </w:tc>
        <w:tc>
          <w:tcPr>
            <w:tcW w:w="1345" w:type="dxa"/>
            <w:vAlign w:val="center"/>
          </w:tcPr>
          <w:p w14:paraId="4D82865D">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30</w:t>
            </w:r>
          </w:p>
        </w:tc>
        <w:tc>
          <w:tcPr>
            <w:tcW w:w="889" w:type="dxa"/>
            <w:vMerge w:val="continue"/>
            <w:vAlign w:val="center"/>
          </w:tcPr>
          <w:p w14:paraId="23697F58">
            <w:pPr>
              <w:adjustRightInd w:val="0"/>
              <w:snapToGrid w:val="0"/>
              <w:spacing w:line="300" w:lineRule="exact"/>
              <w:jc w:val="center"/>
              <w:rPr>
                <w:rFonts w:hint="eastAsia" w:ascii="宋体" w:hAnsi="宋体" w:cs="宋体"/>
                <w:color w:val="auto"/>
                <w:szCs w:val="21"/>
              </w:rPr>
            </w:pPr>
          </w:p>
        </w:tc>
        <w:tc>
          <w:tcPr>
            <w:tcW w:w="2709" w:type="dxa"/>
            <w:vMerge w:val="continue"/>
            <w:vAlign w:val="center"/>
          </w:tcPr>
          <w:p w14:paraId="2147197A">
            <w:pPr>
              <w:adjustRightInd w:val="0"/>
              <w:snapToGrid w:val="0"/>
              <w:spacing w:line="300" w:lineRule="exact"/>
              <w:jc w:val="center"/>
              <w:rPr>
                <w:rFonts w:hint="eastAsia" w:ascii="宋体" w:hAnsi="宋体" w:cs="宋体"/>
                <w:color w:val="auto"/>
                <w:szCs w:val="21"/>
              </w:rPr>
            </w:pPr>
          </w:p>
        </w:tc>
      </w:tr>
      <w:tr w14:paraId="00F6E2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continue"/>
            <w:tcBorders>
              <w:right w:val="single" w:color="auto" w:sz="4" w:space="0"/>
            </w:tcBorders>
            <w:vAlign w:val="center"/>
          </w:tcPr>
          <w:p w14:paraId="5945D69C">
            <w:pPr>
              <w:adjustRightInd w:val="0"/>
              <w:snapToGrid w:val="0"/>
              <w:spacing w:line="300" w:lineRule="exact"/>
              <w:jc w:val="center"/>
              <w:rPr>
                <w:rFonts w:hint="eastAsia" w:ascii="宋体" w:hAnsi="宋体" w:cs="宋体"/>
                <w:color w:val="auto"/>
                <w:szCs w:val="21"/>
              </w:rPr>
            </w:pPr>
          </w:p>
        </w:tc>
        <w:tc>
          <w:tcPr>
            <w:tcW w:w="1292" w:type="dxa"/>
            <w:vMerge w:val="continue"/>
            <w:tcBorders>
              <w:left w:val="single" w:color="auto" w:sz="4" w:space="0"/>
            </w:tcBorders>
            <w:vAlign w:val="center"/>
          </w:tcPr>
          <w:p w14:paraId="6746FF54">
            <w:pPr>
              <w:adjustRightInd w:val="0"/>
              <w:snapToGrid w:val="0"/>
              <w:spacing w:line="300" w:lineRule="exact"/>
              <w:jc w:val="center"/>
              <w:rPr>
                <w:rFonts w:hint="eastAsia" w:ascii="宋体" w:hAnsi="宋体" w:cs="宋体"/>
                <w:color w:val="auto"/>
                <w:szCs w:val="21"/>
              </w:rPr>
            </w:pPr>
          </w:p>
        </w:tc>
        <w:tc>
          <w:tcPr>
            <w:tcW w:w="2018" w:type="dxa"/>
            <w:vAlign w:val="center"/>
          </w:tcPr>
          <w:p w14:paraId="29BE1F7F">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24小时平均</w:t>
            </w:r>
          </w:p>
        </w:tc>
        <w:tc>
          <w:tcPr>
            <w:tcW w:w="1345" w:type="dxa"/>
            <w:vAlign w:val="center"/>
          </w:tcPr>
          <w:p w14:paraId="7DCB06C7">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60</w:t>
            </w:r>
          </w:p>
        </w:tc>
        <w:tc>
          <w:tcPr>
            <w:tcW w:w="889" w:type="dxa"/>
            <w:vMerge w:val="continue"/>
            <w:vAlign w:val="center"/>
          </w:tcPr>
          <w:p w14:paraId="70CFF09C">
            <w:pPr>
              <w:adjustRightInd w:val="0"/>
              <w:snapToGrid w:val="0"/>
              <w:spacing w:line="300" w:lineRule="exact"/>
              <w:jc w:val="center"/>
              <w:rPr>
                <w:rFonts w:hint="eastAsia" w:ascii="宋体" w:hAnsi="宋体" w:cs="宋体"/>
                <w:color w:val="auto"/>
                <w:szCs w:val="21"/>
              </w:rPr>
            </w:pPr>
          </w:p>
        </w:tc>
        <w:tc>
          <w:tcPr>
            <w:tcW w:w="2709" w:type="dxa"/>
            <w:vMerge w:val="continue"/>
            <w:vAlign w:val="center"/>
          </w:tcPr>
          <w:p w14:paraId="744E754C">
            <w:pPr>
              <w:adjustRightInd w:val="0"/>
              <w:snapToGrid w:val="0"/>
              <w:spacing w:line="300" w:lineRule="exact"/>
              <w:jc w:val="center"/>
              <w:rPr>
                <w:rFonts w:hint="eastAsia" w:ascii="宋体" w:hAnsi="宋体" w:cs="宋体"/>
                <w:color w:val="auto"/>
                <w:szCs w:val="21"/>
              </w:rPr>
            </w:pPr>
          </w:p>
        </w:tc>
      </w:tr>
      <w:tr w14:paraId="159C1B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restart"/>
            <w:tcBorders>
              <w:right w:val="single" w:color="auto" w:sz="4" w:space="0"/>
            </w:tcBorders>
            <w:vAlign w:val="center"/>
          </w:tcPr>
          <w:p w14:paraId="1A6454EF">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5</w:t>
            </w:r>
          </w:p>
        </w:tc>
        <w:tc>
          <w:tcPr>
            <w:tcW w:w="1292" w:type="dxa"/>
            <w:vMerge w:val="restart"/>
            <w:tcBorders>
              <w:left w:val="single" w:color="auto" w:sz="4" w:space="0"/>
            </w:tcBorders>
            <w:vAlign w:val="center"/>
          </w:tcPr>
          <w:p w14:paraId="161B0F1F">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O</w:t>
            </w:r>
            <w:r>
              <w:rPr>
                <w:rFonts w:hint="eastAsia" w:ascii="宋体" w:hAnsi="宋体" w:cs="宋体"/>
                <w:color w:val="auto"/>
                <w:szCs w:val="21"/>
                <w:vertAlign w:val="subscript"/>
              </w:rPr>
              <w:t>3</w:t>
            </w:r>
          </w:p>
        </w:tc>
        <w:tc>
          <w:tcPr>
            <w:tcW w:w="2018" w:type="dxa"/>
            <w:vAlign w:val="center"/>
          </w:tcPr>
          <w:p w14:paraId="271FE361">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日最大8小时平均</w:t>
            </w:r>
          </w:p>
        </w:tc>
        <w:tc>
          <w:tcPr>
            <w:tcW w:w="1345" w:type="dxa"/>
            <w:vAlign w:val="center"/>
          </w:tcPr>
          <w:p w14:paraId="0D62CA88">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160</w:t>
            </w:r>
          </w:p>
        </w:tc>
        <w:tc>
          <w:tcPr>
            <w:tcW w:w="889" w:type="dxa"/>
            <w:vMerge w:val="continue"/>
            <w:vAlign w:val="center"/>
          </w:tcPr>
          <w:p w14:paraId="22008DC6">
            <w:pPr>
              <w:adjustRightInd w:val="0"/>
              <w:snapToGrid w:val="0"/>
              <w:spacing w:line="300" w:lineRule="exact"/>
              <w:jc w:val="center"/>
              <w:rPr>
                <w:rFonts w:hint="eastAsia" w:ascii="宋体" w:hAnsi="宋体" w:cs="宋体"/>
                <w:color w:val="auto"/>
                <w:szCs w:val="21"/>
              </w:rPr>
            </w:pPr>
          </w:p>
        </w:tc>
        <w:tc>
          <w:tcPr>
            <w:tcW w:w="2709" w:type="dxa"/>
            <w:vMerge w:val="continue"/>
            <w:vAlign w:val="center"/>
          </w:tcPr>
          <w:p w14:paraId="0A4BB645">
            <w:pPr>
              <w:adjustRightInd w:val="0"/>
              <w:snapToGrid w:val="0"/>
              <w:spacing w:line="300" w:lineRule="exact"/>
              <w:jc w:val="center"/>
              <w:rPr>
                <w:rFonts w:hint="eastAsia" w:ascii="宋体" w:hAnsi="宋体" w:cs="宋体"/>
                <w:color w:val="auto"/>
                <w:szCs w:val="21"/>
              </w:rPr>
            </w:pPr>
          </w:p>
        </w:tc>
      </w:tr>
      <w:tr w14:paraId="72973C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continue"/>
            <w:tcBorders>
              <w:right w:val="single" w:color="auto" w:sz="4" w:space="0"/>
            </w:tcBorders>
            <w:vAlign w:val="center"/>
          </w:tcPr>
          <w:p w14:paraId="20E7D3F6">
            <w:pPr>
              <w:adjustRightInd w:val="0"/>
              <w:snapToGrid w:val="0"/>
              <w:spacing w:line="300" w:lineRule="exact"/>
              <w:jc w:val="center"/>
              <w:rPr>
                <w:rFonts w:hint="eastAsia" w:ascii="宋体" w:hAnsi="宋体" w:cs="宋体"/>
                <w:color w:val="auto"/>
                <w:szCs w:val="21"/>
              </w:rPr>
            </w:pPr>
          </w:p>
        </w:tc>
        <w:tc>
          <w:tcPr>
            <w:tcW w:w="1292" w:type="dxa"/>
            <w:vMerge w:val="continue"/>
            <w:tcBorders>
              <w:left w:val="single" w:color="auto" w:sz="4" w:space="0"/>
            </w:tcBorders>
            <w:vAlign w:val="center"/>
          </w:tcPr>
          <w:p w14:paraId="78BB4E6E">
            <w:pPr>
              <w:adjustRightInd w:val="0"/>
              <w:snapToGrid w:val="0"/>
              <w:spacing w:line="300" w:lineRule="exact"/>
              <w:jc w:val="center"/>
              <w:rPr>
                <w:rFonts w:hint="eastAsia" w:ascii="宋体" w:hAnsi="宋体" w:cs="宋体"/>
                <w:color w:val="auto"/>
                <w:szCs w:val="21"/>
              </w:rPr>
            </w:pPr>
          </w:p>
        </w:tc>
        <w:tc>
          <w:tcPr>
            <w:tcW w:w="2018" w:type="dxa"/>
            <w:vAlign w:val="center"/>
          </w:tcPr>
          <w:p w14:paraId="44BCD426">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1小时平均</w:t>
            </w:r>
          </w:p>
        </w:tc>
        <w:tc>
          <w:tcPr>
            <w:tcW w:w="1345" w:type="dxa"/>
            <w:vAlign w:val="center"/>
          </w:tcPr>
          <w:p w14:paraId="1B23938B">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w:t>
            </w:r>
            <w:r>
              <w:rPr>
                <w:rFonts w:ascii="宋体" w:hAnsi="宋体" w:cs="宋体"/>
                <w:color w:val="auto"/>
                <w:szCs w:val="21"/>
              </w:rPr>
              <w:t>00</w:t>
            </w:r>
          </w:p>
        </w:tc>
        <w:tc>
          <w:tcPr>
            <w:tcW w:w="889" w:type="dxa"/>
            <w:vMerge w:val="continue"/>
            <w:tcBorders>
              <w:bottom w:val="single" w:color="auto" w:sz="4" w:space="0"/>
            </w:tcBorders>
            <w:vAlign w:val="center"/>
          </w:tcPr>
          <w:p w14:paraId="3EDFF7E4">
            <w:pPr>
              <w:adjustRightInd w:val="0"/>
              <w:snapToGrid w:val="0"/>
              <w:spacing w:line="300" w:lineRule="exact"/>
              <w:jc w:val="center"/>
              <w:rPr>
                <w:rFonts w:hint="eastAsia" w:ascii="宋体" w:hAnsi="宋体" w:cs="宋体"/>
                <w:color w:val="auto"/>
                <w:szCs w:val="21"/>
              </w:rPr>
            </w:pPr>
          </w:p>
        </w:tc>
        <w:tc>
          <w:tcPr>
            <w:tcW w:w="2709" w:type="dxa"/>
            <w:vMerge w:val="continue"/>
            <w:vAlign w:val="center"/>
          </w:tcPr>
          <w:p w14:paraId="3135A8BE">
            <w:pPr>
              <w:adjustRightInd w:val="0"/>
              <w:snapToGrid w:val="0"/>
              <w:spacing w:line="300" w:lineRule="exact"/>
              <w:jc w:val="center"/>
              <w:rPr>
                <w:rFonts w:hint="eastAsia" w:ascii="宋体" w:hAnsi="宋体" w:cs="宋体"/>
                <w:color w:val="auto"/>
                <w:szCs w:val="21"/>
              </w:rPr>
            </w:pPr>
          </w:p>
        </w:tc>
      </w:tr>
      <w:tr w14:paraId="3B5F2B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restart"/>
            <w:tcBorders>
              <w:right w:val="single" w:color="auto" w:sz="4" w:space="0"/>
            </w:tcBorders>
            <w:vAlign w:val="center"/>
          </w:tcPr>
          <w:p w14:paraId="2EF3B698">
            <w:pPr>
              <w:adjustRightInd w:val="0"/>
              <w:snapToGrid w:val="0"/>
              <w:spacing w:line="300" w:lineRule="exact"/>
              <w:jc w:val="center"/>
              <w:rPr>
                <w:rFonts w:hint="eastAsia" w:ascii="宋体" w:hAnsi="宋体" w:cs="宋体"/>
                <w:color w:val="auto"/>
                <w:szCs w:val="21"/>
              </w:rPr>
            </w:pPr>
            <w:r>
              <w:rPr>
                <w:rFonts w:ascii="宋体" w:hAnsi="宋体" w:cs="宋体"/>
                <w:color w:val="auto"/>
                <w:szCs w:val="21"/>
              </w:rPr>
              <w:t>6</w:t>
            </w:r>
          </w:p>
        </w:tc>
        <w:tc>
          <w:tcPr>
            <w:tcW w:w="1292" w:type="dxa"/>
            <w:vMerge w:val="restart"/>
            <w:tcBorders>
              <w:left w:val="single" w:color="auto" w:sz="4" w:space="0"/>
            </w:tcBorders>
            <w:vAlign w:val="center"/>
          </w:tcPr>
          <w:p w14:paraId="56B0B3F8">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CO</w:t>
            </w:r>
          </w:p>
        </w:tc>
        <w:tc>
          <w:tcPr>
            <w:tcW w:w="2018" w:type="dxa"/>
            <w:vAlign w:val="center"/>
          </w:tcPr>
          <w:p w14:paraId="53F50743">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24小时平均</w:t>
            </w:r>
          </w:p>
        </w:tc>
        <w:tc>
          <w:tcPr>
            <w:tcW w:w="1345" w:type="dxa"/>
            <w:vAlign w:val="center"/>
          </w:tcPr>
          <w:p w14:paraId="7A246AD4">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4</w:t>
            </w:r>
          </w:p>
        </w:tc>
        <w:tc>
          <w:tcPr>
            <w:tcW w:w="889" w:type="dxa"/>
            <w:vMerge w:val="restart"/>
            <w:tcBorders>
              <w:top w:val="single" w:color="auto" w:sz="4" w:space="0"/>
            </w:tcBorders>
            <w:vAlign w:val="center"/>
          </w:tcPr>
          <w:p w14:paraId="622350E2">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mg/m</w:t>
            </w:r>
            <w:r>
              <w:rPr>
                <w:rFonts w:hint="eastAsia" w:ascii="宋体" w:hAnsi="宋体" w:cs="宋体"/>
                <w:color w:val="auto"/>
                <w:szCs w:val="21"/>
                <w:vertAlign w:val="superscript"/>
              </w:rPr>
              <w:t>3</w:t>
            </w:r>
          </w:p>
        </w:tc>
        <w:tc>
          <w:tcPr>
            <w:tcW w:w="2709" w:type="dxa"/>
            <w:vMerge w:val="continue"/>
            <w:vAlign w:val="center"/>
          </w:tcPr>
          <w:p w14:paraId="7FE2D054">
            <w:pPr>
              <w:adjustRightInd w:val="0"/>
              <w:snapToGrid w:val="0"/>
              <w:spacing w:line="300" w:lineRule="exact"/>
              <w:jc w:val="center"/>
              <w:rPr>
                <w:rFonts w:hint="eastAsia" w:ascii="宋体" w:hAnsi="宋体" w:cs="宋体"/>
                <w:color w:val="auto"/>
                <w:szCs w:val="21"/>
              </w:rPr>
            </w:pPr>
          </w:p>
        </w:tc>
      </w:tr>
      <w:tr w14:paraId="04F4E4A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vMerge w:val="continue"/>
            <w:tcBorders>
              <w:right w:val="single" w:color="auto" w:sz="4" w:space="0"/>
            </w:tcBorders>
            <w:vAlign w:val="center"/>
          </w:tcPr>
          <w:p w14:paraId="4D1DCA00">
            <w:pPr>
              <w:adjustRightInd w:val="0"/>
              <w:snapToGrid w:val="0"/>
              <w:spacing w:line="300" w:lineRule="exact"/>
              <w:jc w:val="center"/>
              <w:rPr>
                <w:rFonts w:hint="eastAsia" w:ascii="宋体" w:hAnsi="宋体" w:cs="宋体"/>
                <w:color w:val="auto"/>
                <w:szCs w:val="21"/>
              </w:rPr>
            </w:pPr>
          </w:p>
        </w:tc>
        <w:tc>
          <w:tcPr>
            <w:tcW w:w="1292" w:type="dxa"/>
            <w:vMerge w:val="continue"/>
            <w:tcBorders>
              <w:left w:val="single" w:color="auto" w:sz="4" w:space="0"/>
            </w:tcBorders>
            <w:vAlign w:val="center"/>
          </w:tcPr>
          <w:p w14:paraId="0ADB41C3">
            <w:pPr>
              <w:adjustRightInd w:val="0"/>
              <w:snapToGrid w:val="0"/>
              <w:spacing w:line="300" w:lineRule="exact"/>
              <w:jc w:val="center"/>
              <w:rPr>
                <w:rFonts w:hint="eastAsia" w:ascii="宋体" w:hAnsi="宋体" w:cs="宋体"/>
                <w:color w:val="auto"/>
                <w:szCs w:val="21"/>
              </w:rPr>
            </w:pPr>
          </w:p>
        </w:tc>
        <w:tc>
          <w:tcPr>
            <w:tcW w:w="2018" w:type="dxa"/>
            <w:vAlign w:val="center"/>
          </w:tcPr>
          <w:p w14:paraId="18768E90">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1小时平均</w:t>
            </w:r>
          </w:p>
        </w:tc>
        <w:tc>
          <w:tcPr>
            <w:tcW w:w="1345" w:type="dxa"/>
            <w:vAlign w:val="center"/>
          </w:tcPr>
          <w:p w14:paraId="1747F10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w:t>
            </w:r>
            <w:r>
              <w:rPr>
                <w:rFonts w:ascii="宋体" w:hAnsi="宋体" w:cs="宋体"/>
                <w:color w:val="auto"/>
                <w:szCs w:val="21"/>
              </w:rPr>
              <w:t>0</w:t>
            </w:r>
          </w:p>
        </w:tc>
        <w:tc>
          <w:tcPr>
            <w:tcW w:w="889" w:type="dxa"/>
            <w:vMerge w:val="continue"/>
            <w:tcBorders>
              <w:bottom w:val="single" w:color="auto" w:sz="4" w:space="0"/>
            </w:tcBorders>
            <w:vAlign w:val="center"/>
          </w:tcPr>
          <w:p w14:paraId="3DF71ED1">
            <w:pPr>
              <w:adjustRightInd w:val="0"/>
              <w:snapToGrid w:val="0"/>
              <w:spacing w:line="300" w:lineRule="exact"/>
              <w:jc w:val="center"/>
              <w:rPr>
                <w:rFonts w:hint="eastAsia" w:ascii="宋体" w:hAnsi="宋体" w:cs="宋体"/>
                <w:color w:val="auto"/>
                <w:szCs w:val="21"/>
              </w:rPr>
            </w:pPr>
          </w:p>
        </w:tc>
        <w:tc>
          <w:tcPr>
            <w:tcW w:w="2709" w:type="dxa"/>
            <w:vMerge w:val="continue"/>
            <w:vAlign w:val="center"/>
          </w:tcPr>
          <w:p w14:paraId="4C662060">
            <w:pPr>
              <w:adjustRightInd w:val="0"/>
              <w:snapToGrid w:val="0"/>
              <w:spacing w:line="300" w:lineRule="exact"/>
              <w:jc w:val="center"/>
              <w:rPr>
                <w:rFonts w:hint="eastAsia" w:ascii="宋体" w:hAnsi="宋体" w:cs="宋体"/>
                <w:color w:val="auto"/>
                <w:szCs w:val="21"/>
              </w:rPr>
            </w:pPr>
          </w:p>
        </w:tc>
      </w:tr>
      <w:tr w14:paraId="11205B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tcBorders>
              <w:right w:val="single" w:color="auto" w:sz="4" w:space="0"/>
            </w:tcBorders>
            <w:vAlign w:val="center"/>
          </w:tcPr>
          <w:p w14:paraId="41F4DC72">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7</w:t>
            </w:r>
          </w:p>
        </w:tc>
        <w:tc>
          <w:tcPr>
            <w:tcW w:w="1292" w:type="dxa"/>
            <w:tcBorders>
              <w:left w:val="single" w:color="auto" w:sz="4" w:space="0"/>
            </w:tcBorders>
            <w:vAlign w:val="center"/>
          </w:tcPr>
          <w:p w14:paraId="69B9CBF7">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NMHC</w:t>
            </w:r>
          </w:p>
        </w:tc>
        <w:tc>
          <w:tcPr>
            <w:tcW w:w="2018" w:type="dxa"/>
            <w:vAlign w:val="center"/>
          </w:tcPr>
          <w:p w14:paraId="17D2B8A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一次浓度限值</w:t>
            </w:r>
          </w:p>
        </w:tc>
        <w:tc>
          <w:tcPr>
            <w:tcW w:w="1345" w:type="dxa"/>
            <w:vAlign w:val="center"/>
          </w:tcPr>
          <w:p w14:paraId="0A034E38">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2.0</w:t>
            </w:r>
          </w:p>
        </w:tc>
        <w:tc>
          <w:tcPr>
            <w:tcW w:w="889" w:type="dxa"/>
            <w:vAlign w:val="center"/>
          </w:tcPr>
          <w:p w14:paraId="3BDC6282">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mg/m</w:t>
            </w:r>
            <w:r>
              <w:rPr>
                <w:rFonts w:hint="eastAsia" w:ascii="宋体" w:hAnsi="宋体" w:cs="宋体"/>
                <w:color w:val="auto"/>
                <w:szCs w:val="21"/>
                <w:vertAlign w:val="superscript"/>
              </w:rPr>
              <w:t>3</w:t>
            </w:r>
          </w:p>
        </w:tc>
        <w:tc>
          <w:tcPr>
            <w:tcW w:w="2709" w:type="dxa"/>
            <w:vAlign w:val="center"/>
          </w:tcPr>
          <w:p w14:paraId="10BBD67E">
            <w:pPr>
              <w:adjustRightInd w:val="0"/>
              <w:snapToGrid w:val="0"/>
              <w:spacing w:line="300" w:lineRule="exact"/>
              <w:jc w:val="center"/>
              <w:rPr>
                <w:rFonts w:hint="eastAsia" w:ascii="宋体" w:hAnsi="宋体" w:cs="宋体"/>
                <w:color w:val="auto"/>
                <w:szCs w:val="21"/>
              </w:rPr>
            </w:pPr>
            <w:r>
              <w:rPr>
                <w:rFonts w:hint="eastAsia"/>
                <w:color w:val="auto"/>
              </w:rPr>
              <w:t>《</w:t>
            </w:r>
            <w:r>
              <w:rPr>
                <w:color w:val="auto"/>
              </w:rPr>
              <w:t>大气污染物综合排放标准》详解</w:t>
            </w:r>
          </w:p>
        </w:tc>
      </w:tr>
      <w:tr w14:paraId="5761DC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3" w:type="dxa"/>
            <w:tcBorders>
              <w:right w:val="single" w:color="auto" w:sz="4" w:space="0"/>
            </w:tcBorders>
            <w:vAlign w:val="center"/>
          </w:tcPr>
          <w:p w14:paraId="215A2216">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8</w:t>
            </w:r>
          </w:p>
        </w:tc>
        <w:tc>
          <w:tcPr>
            <w:tcW w:w="1292" w:type="dxa"/>
            <w:tcBorders>
              <w:left w:val="single" w:color="auto" w:sz="4" w:space="0"/>
            </w:tcBorders>
            <w:vAlign w:val="center"/>
          </w:tcPr>
          <w:p w14:paraId="19DA6C6D">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H</w:t>
            </w:r>
            <w:r>
              <w:rPr>
                <w:rFonts w:hint="eastAsia" w:ascii="宋体" w:hAnsi="宋体" w:cs="宋体"/>
                <w:color w:val="auto"/>
                <w:szCs w:val="21"/>
                <w:vertAlign w:val="subscript"/>
              </w:rPr>
              <w:t>2</w:t>
            </w:r>
            <w:r>
              <w:rPr>
                <w:rFonts w:hint="eastAsia" w:ascii="宋体" w:hAnsi="宋体" w:cs="宋体"/>
                <w:color w:val="auto"/>
                <w:szCs w:val="21"/>
              </w:rPr>
              <w:t>S</w:t>
            </w:r>
          </w:p>
        </w:tc>
        <w:tc>
          <w:tcPr>
            <w:tcW w:w="2018" w:type="dxa"/>
            <w:vAlign w:val="center"/>
          </w:tcPr>
          <w:p w14:paraId="6B7E618B">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1小时平均</w:t>
            </w:r>
          </w:p>
        </w:tc>
        <w:tc>
          <w:tcPr>
            <w:tcW w:w="1345" w:type="dxa"/>
            <w:vAlign w:val="center"/>
          </w:tcPr>
          <w:p w14:paraId="6A710A6E">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10</w:t>
            </w:r>
          </w:p>
        </w:tc>
        <w:tc>
          <w:tcPr>
            <w:tcW w:w="889" w:type="dxa"/>
            <w:vAlign w:val="center"/>
          </w:tcPr>
          <w:p w14:paraId="0DA9FE66">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μg/m</w:t>
            </w:r>
            <w:r>
              <w:rPr>
                <w:rFonts w:hint="eastAsia" w:ascii="宋体" w:hAnsi="宋体" w:cs="宋体"/>
                <w:color w:val="auto"/>
                <w:szCs w:val="21"/>
                <w:vertAlign w:val="superscript"/>
              </w:rPr>
              <w:t>3</w:t>
            </w:r>
          </w:p>
        </w:tc>
        <w:tc>
          <w:tcPr>
            <w:tcW w:w="2709" w:type="dxa"/>
            <w:vAlign w:val="center"/>
          </w:tcPr>
          <w:p w14:paraId="4D9139C3">
            <w:pPr>
              <w:adjustRightInd w:val="0"/>
              <w:snapToGrid w:val="0"/>
              <w:spacing w:line="300" w:lineRule="exact"/>
              <w:jc w:val="center"/>
              <w:rPr>
                <w:rFonts w:hint="eastAsia" w:ascii="宋体" w:hAnsi="宋体" w:cs="宋体"/>
                <w:color w:val="auto"/>
                <w:szCs w:val="21"/>
                <w:lang w:bidi="ar"/>
              </w:rPr>
            </w:pPr>
            <w:r>
              <w:rPr>
                <w:rFonts w:hint="eastAsia" w:ascii="宋体" w:hAnsi="宋体" w:cs="宋体"/>
                <w:color w:val="auto"/>
                <w:szCs w:val="21"/>
                <w:lang w:bidi="ar"/>
              </w:rPr>
              <w:t>HJ2.2-2018附录D中的1h平均浓度限值</w:t>
            </w:r>
          </w:p>
        </w:tc>
      </w:tr>
    </w:tbl>
    <w:p w14:paraId="6049CC72">
      <w:pPr>
        <w:pStyle w:val="86"/>
        <w:ind w:firstLine="480"/>
        <w:rPr>
          <w:rFonts w:hint="eastAsia"/>
          <w:color w:val="auto"/>
        </w:rPr>
      </w:pPr>
      <w:r>
        <w:rPr>
          <w:rFonts w:hint="eastAsia"/>
          <w:color w:val="auto"/>
        </w:rPr>
        <w:t>②地下水</w:t>
      </w:r>
    </w:p>
    <w:p w14:paraId="0A352089">
      <w:pPr>
        <w:pStyle w:val="86"/>
        <w:ind w:firstLine="480"/>
        <w:rPr>
          <w:rFonts w:hint="eastAsia"/>
          <w:color w:val="auto"/>
        </w:rPr>
      </w:pPr>
      <w:r>
        <w:rPr>
          <w:rFonts w:hint="eastAsia"/>
          <w:color w:val="auto"/>
        </w:rPr>
        <w:t>地下水环境质量执行《地下水质量标准》</w:t>
      </w:r>
      <w:r>
        <w:rPr>
          <w:color w:val="auto"/>
        </w:rPr>
        <w:t>（GB/T14843-2017</w:t>
      </w:r>
      <w:r>
        <w:rPr>
          <w:rFonts w:hint="eastAsia"/>
          <w:color w:val="auto"/>
        </w:rPr>
        <w:t>）Ⅲ类标准，</w:t>
      </w:r>
      <w:r>
        <w:rPr>
          <w:color w:val="auto"/>
        </w:rPr>
        <w:t>石油</w:t>
      </w:r>
      <w:r>
        <w:rPr>
          <w:rFonts w:hint="eastAsia"/>
          <w:color w:val="auto"/>
        </w:rPr>
        <w:t>类参照《地表水环境质量标准》（</w:t>
      </w:r>
      <w:r>
        <w:rPr>
          <w:color w:val="auto"/>
        </w:rPr>
        <w:t>GB3838-2002）</w:t>
      </w:r>
      <w:r>
        <w:rPr>
          <w:rFonts w:hint="eastAsia"/>
          <w:color w:val="auto"/>
        </w:rPr>
        <w:t>Ⅲ类标准，具体标准值见表</w:t>
      </w:r>
      <w:r>
        <w:rPr>
          <w:color w:val="auto"/>
        </w:rPr>
        <w:t>2.5</w:t>
      </w:r>
      <w:r>
        <w:rPr>
          <w:rFonts w:hint="eastAsia"/>
          <w:color w:val="auto"/>
        </w:rPr>
        <w:t>-</w:t>
      </w:r>
      <w:r>
        <w:rPr>
          <w:color w:val="auto"/>
        </w:rPr>
        <w:t>3</w:t>
      </w:r>
      <w:r>
        <w:rPr>
          <w:rFonts w:hint="eastAsia"/>
          <w:color w:val="auto"/>
        </w:rPr>
        <w:t>。</w:t>
      </w:r>
    </w:p>
    <w:p w14:paraId="332DE98F">
      <w:pPr>
        <w:pStyle w:val="86"/>
        <w:ind w:firstLine="480"/>
        <w:rPr>
          <w:rFonts w:hint="eastAsia"/>
          <w:color w:val="auto"/>
        </w:rPr>
      </w:pPr>
    </w:p>
    <w:p w14:paraId="0365D8DD">
      <w:pPr>
        <w:pStyle w:val="15"/>
        <w:rPr>
          <w:rFonts w:hint="eastAsia"/>
          <w:color w:val="auto"/>
        </w:rPr>
      </w:pPr>
      <w:r>
        <w:rPr>
          <w:rFonts w:hint="eastAsia"/>
          <w:color w:val="auto"/>
        </w:rPr>
        <w:t>表</w:t>
      </w:r>
      <w:r>
        <w:rPr>
          <w:color w:val="auto"/>
        </w:rPr>
        <w:t>2.5</w:t>
      </w:r>
      <w:r>
        <w:rPr>
          <w:rFonts w:hint="eastAsia"/>
          <w:color w:val="auto"/>
        </w:rPr>
        <w:t>-</w:t>
      </w:r>
      <w:r>
        <w:rPr>
          <w:color w:val="auto"/>
        </w:rPr>
        <w:t xml:space="preserve">3 </w:t>
      </w:r>
      <w:r>
        <w:rPr>
          <w:rFonts w:hint="eastAsia"/>
          <w:color w:val="auto"/>
        </w:rPr>
        <w:t xml:space="preserve">   地下水质量标准值    [单位mg/L，pH无量纲]</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59"/>
        <w:gridCol w:w="1558"/>
        <w:gridCol w:w="1560"/>
        <w:gridCol w:w="1276"/>
        <w:gridCol w:w="1829"/>
        <w:gridCol w:w="1764"/>
      </w:tblGrid>
      <w:tr w14:paraId="3F4F06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6" w:type="pct"/>
            <w:vAlign w:val="center"/>
          </w:tcPr>
          <w:p w14:paraId="753D3574">
            <w:pPr>
              <w:pStyle w:val="288"/>
              <w:adjustRightInd w:val="0"/>
              <w:snapToGrid w:val="0"/>
              <w:spacing w:line="300" w:lineRule="exact"/>
              <w:rPr>
                <w:rFonts w:hint="eastAsia" w:eastAsia="宋体"/>
                <w:color w:val="auto"/>
              </w:rPr>
            </w:pPr>
            <w:r>
              <w:rPr>
                <w:rFonts w:hint="eastAsia" w:eastAsia="宋体"/>
                <w:color w:val="auto"/>
              </w:rPr>
              <w:t>序号</w:t>
            </w:r>
          </w:p>
        </w:tc>
        <w:tc>
          <w:tcPr>
            <w:tcW w:w="871" w:type="pct"/>
            <w:vAlign w:val="center"/>
          </w:tcPr>
          <w:p w14:paraId="4838928F">
            <w:pPr>
              <w:pStyle w:val="288"/>
              <w:adjustRightInd w:val="0"/>
              <w:snapToGrid w:val="0"/>
              <w:spacing w:line="300" w:lineRule="exact"/>
              <w:rPr>
                <w:rFonts w:hint="eastAsia" w:eastAsia="宋体"/>
                <w:color w:val="auto"/>
              </w:rPr>
            </w:pPr>
            <w:r>
              <w:rPr>
                <w:rFonts w:hint="eastAsia" w:eastAsia="宋体"/>
                <w:color w:val="auto"/>
              </w:rPr>
              <w:t>监测因子</w:t>
            </w:r>
          </w:p>
        </w:tc>
        <w:tc>
          <w:tcPr>
            <w:tcW w:w="872" w:type="pct"/>
            <w:vAlign w:val="center"/>
          </w:tcPr>
          <w:p w14:paraId="3D5B55AF">
            <w:pPr>
              <w:pStyle w:val="288"/>
              <w:adjustRightInd w:val="0"/>
              <w:snapToGrid w:val="0"/>
              <w:spacing w:line="300" w:lineRule="exact"/>
              <w:rPr>
                <w:rFonts w:hint="eastAsia" w:eastAsia="宋体"/>
                <w:color w:val="auto"/>
              </w:rPr>
            </w:pPr>
            <w:r>
              <w:rPr>
                <w:rFonts w:hint="eastAsia" w:eastAsia="宋体"/>
                <w:color w:val="auto"/>
              </w:rPr>
              <w:t>标准值</w:t>
            </w:r>
          </w:p>
          <w:p w14:paraId="73F2FD54">
            <w:pPr>
              <w:pStyle w:val="288"/>
              <w:adjustRightInd w:val="0"/>
              <w:snapToGrid w:val="0"/>
              <w:spacing w:line="300" w:lineRule="exact"/>
              <w:rPr>
                <w:rFonts w:hint="eastAsia" w:eastAsia="宋体"/>
                <w:color w:val="auto"/>
              </w:rPr>
            </w:pPr>
            <w:r>
              <w:rPr>
                <w:rFonts w:hint="eastAsia" w:eastAsia="宋体"/>
                <w:color w:val="auto"/>
              </w:rPr>
              <w:t>（</w:t>
            </w:r>
            <w:r>
              <w:rPr>
                <w:rFonts w:hint="eastAsia" w:eastAsia="宋体"/>
                <w:color w:val="auto"/>
                <w:spacing w:val="6"/>
              </w:rPr>
              <w:t>Ⅲ</w:t>
            </w:r>
            <w:r>
              <w:rPr>
                <w:rFonts w:hint="eastAsia" w:eastAsia="宋体"/>
                <w:color w:val="auto"/>
              </w:rPr>
              <w:t>类）</w:t>
            </w:r>
          </w:p>
        </w:tc>
        <w:tc>
          <w:tcPr>
            <w:tcW w:w="713" w:type="pct"/>
            <w:vAlign w:val="center"/>
          </w:tcPr>
          <w:p w14:paraId="4BED68CA">
            <w:pPr>
              <w:pStyle w:val="288"/>
              <w:adjustRightInd w:val="0"/>
              <w:snapToGrid w:val="0"/>
              <w:spacing w:line="300" w:lineRule="exact"/>
              <w:rPr>
                <w:rFonts w:hint="eastAsia" w:eastAsia="宋体"/>
                <w:color w:val="auto"/>
              </w:rPr>
            </w:pPr>
            <w:r>
              <w:rPr>
                <w:rFonts w:hint="eastAsia" w:eastAsia="宋体"/>
                <w:color w:val="auto"/>
              </w:rPr>
              <w:t>序号</w:t>
            </w:r>
          </w:p>
        </w:tc>
        <w:tc>
          <w:tcPr>
            <w:tcW w:w="1022" w:type="pct"/>
            <w:vAlign w:val="center"/>
          </w:tcPr>
          <w:p w14:paraId="6DD9EF29">
            <w:pPr>
              <w:pStyle w:val="288"/>
              <w:adjustRightInd w:val="0"/>
              <w:snapToGrid w:val="0"/>
              <w:spacing w:line="300" w:lineRule="exact"/>
              <w:rPr>
                <w:rFonts w:hint="eastAsia" w:eastAsia="宋体"/>
                <w:color w:val="auto"/>
              </w:rPr>
            </w:pPr>
            <w:r>
              <w:rPr>
                <w:rFonts w:hint="eastAsia" w:eastAsia="宋体"/>
                <w:color w:val="auto"/>
              </w:rPr>
              <w:t>监测因子</w:t>
            </w:r>
          </w:p>
        </w:tc>
        <w:tc>
          <w:tcPr>
            <w:tcW w:w="986" w:type="pct"/>
            <w:vAlign w:val="center"/>
          </w:tcPr>
          <w:p w14:paraId="5CB8F9AB">
            <w:pPr>
              <w:pStyle w:val="288"/>
              <w:adjustRightInd w:val="0"/>
              <w:snapToGrid w:val="0"/>
              <w:spacing w:line="300" w:lineRule="exact"/>
              <w:rPr>
                <w:rFonts w:hint="eastAsia" w:eastAsia="宋体"/>
                <w:color w:val="auto"/>
              </w:rPr>
            </w:pPr>
            <w:r>
              <w:rPr>
                <w:rFonts w:hint="eastAsia" w:eastAsia="宋体"/>
                <w:color w:val="auto"/>
              </w:rPr>
              <w:t>标准值（</w:t>
            </w:r>
            <w:r>
              <w:rPr>
                <w:rFonts w:hint="eastAsia" w:eastAsia="宋体"/>
                <w:color w:val="auto"/>
                <w:spacing w:val="6"/>
              </w:rPr>
              <w:t>Ⅲ</w:t>
            </w:r>
            <w:r>
              <w:rPr>
                <w:rFonts w:hint="eastAsia" w:eastAsia="宋体"/>
                <w:color w:val="auto"/>
              </w:rPr>
              <w:t>类）</w:t>
            </w:r>
          </w:p>
        </w:tc>
      </w:tr>
      <w:tr w14:paraId="17097D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6" w:type="pct"/>
            <w:vAlign w:val="center"/>
          </w:tcPr>
          <w:p w14:paraId="55A77D35">
            <w:pPr>
              <w:pStyle w:val="288"/>
              <w:adjustRightInd w:val="0"/>
              <w:snapToGrid w:val="0"/>
              <w:spacing w:line="300" w:lineRule="exact"/>
              <w:rPr>
                <w:rFonts w:hint="eastAsia" w:eastAsia="宋体"/>
                <w:color w:val="auto"/>
              </w:rPr>
            </w:pPr>
            <w:r>
              <w:rPr>
                <w:rFonts w:hint="eastAsia" w:eastAsia="宋体"/>
                <w:color w:val="auto"/>
              </w:rPr>
              <w:t>1</w:t>
            </w:r>
          </w:p>
        </w:tc>
        <w:tc>
          <w:tcPr>
            <w:tcW w:w="871" w:type="pct"/>
            <w:vAlign w:val="center"/>
          </w:tcPr>
          <w:p w14:paraId="157B3059">
            <w:pPr>
              <w:pStyle w:val="288"/>
              <w:adjustRightInd w:val="0"/>
              <w:snapToGrid w:val="0"/>
              <w:spacing w:line="300" w:lineRule="exact"/>
              <w:rPr>
                <w:rFonts w:hint="eastAsia" w:eastAsia="宋体"/>
                <w:color w:val="auto"/>
              </w:rPr>
            </w:pPr>
            <w:r>
              <w:rPr>
                <w:rFonts w:hint="eastAsia" w:eastAsia="宋体"/>
                <w:color w:val="auto"/>
              </w:rPr>
              <w:t>pH值</w:t>
            </w:r>
          </w:p>
        </w:tc>
        <w:tc>
          <w:tcPr>
            <w:tcW w:w="872" w:type="pct"/>
            <w:vAlign w:val="center"/>
          </w:tcPr>
          <w:p w14:paraId="31FA94DC">
            <w:pPr>
              <w:pStyle w:val="288"/>
              <w:adjustRightInd w:val="0"/>
              <w:snapToGrid w:val="0"/>
              <w:spacing w:line="300" w:lineRule="exact"/>
              <w:rPr>
                <w:rFonts w:hint="eastAsia" w:eastAsia="宋体"/>
                <w:color w:val="auto"/>
              </w:rPr>
            </w:pPr>
            <w:r>
              <w:rPr>
                <w:rFonts w:hint="eastAsia" w:eastAsia="宋体"/>
                <w:color w:val="auto"/>
              </w:rPr>
              <w:t>6</w:t>
            </w:r>
            <w:r>
              <w:rPr>
                <w:rFonts w:eastAsia="宋体"/>
                <w:color w:val="auto"/>
              </w:rPr>
              <w:t>.5</w:t>
            </w:r>
            <w:r>
              <w:rPr>
                <w:rFonts w:hint="eastAsia" w:eastAsia="宋体"/>
                <w:color w:val="auto"/>
              </w:rPr>
              <w:t>≤p</w:t>
            </w:r>
            <w:r>
              <w:rPr>
                <w:rFonts w:eastAsia="宋体"/>
                <w:color w:val="auto"/>
              </w:rPr>
              <w:t>H</w:t>
            </w:r>
            <w:r>
              <w:rPr>
                <w:rFonts w:hint="eastAsia" w:eastAsia="宋体"/>
                <w:color w:val="auto"/>
              </w:rPr>
              <w:t>≤8</w:t>
            </w:r>
            <w:r>
              <w:rPr>
                <w:rFonts w:eastAsia="宋体"/>
                <w:color w:val="auto"/>
              </w:rPr>
              <w:t>.5</w:t>
            </w:r>
          </w:p>
        </w:tc>
        <w:tc>
          <w:tcPr>
            <w:tcW w:w="713" w:type="pct"/>
            <w:vAlign w:val="center"/>
          </w:tcPr>
          <w:p w14:paraId="752D7D2E">
            <w:pPr>
              <w:pStyle w:val="288"/>
              <w:adjustRightInd w:val="0"/>
              <w:snapToGrid w:val="0"/>
              <w:spacing w:line="300" w:lineRule="exact"/>
              <w:rPr>
                <w:rFonts w:hint="eastAsia" w:eastAsia="宋体"/>
                <w:color w:val="auto"/>
              </w:rPr>
            </w:pPr>
            <w:r>
              <w:rPr>
                <w:rFonts w:hint="eastAsia" w:eastAsia="宋体"/>
                <w:color w:val="auto"/>
              </w:rPr>
              <w:t>1</w:t>
            </w:r>
            <w:r>
              <w:rPr>
                <w:rFonts w:eastAsia="宋体"/>
                <w:color w:val="auto"/>
              </w:rPr>
              <w:t>3</w:t>
            </w:r>
          </w:p>
        </w:tc>
        <w:tc>
          <w:tcPr>
            <w:tcW w:w="1022" w:type="pct"/>
            <w:vAlign w:val="center"/>
          </w:tcPr>
          <w:p w14:paraId="6D2855EE">
            <w:pPr>
              <w:pStyle w:val="288"/>
              <w:adjustRightInd w:val="0"/>
              <w:snapToGrid w:val="0"/>
              <w:spacing w:line="300" w:lineRule="exact"/>
              <w:rPr>
                <w:rFonts w:hint="eastAsia" w:eastAsia="宋体"/>
                <w:color w:val="auto"/>
              </w:rPr>
            </w:pPr>
            <w:r>
              <w:rPr>
                <w:rFonts w:hint="eastAsia" w:eastAsia="宋体"/>
                <w:color w:val="auto"/>
              </w:rPr>
              <w:t>六价铬</w:t>
            </w:r>
          </w:p>
        </w:tc>
        <w:tc>
          <w:tcPr>
            <w:tcW w:w="986" w:type="pct"/>
          </w:tcPr>
          <w:p w14:paraId="3F756DFE">
            <w:pPr>
              <w:pStyle w:val="288"/>
              <w:adjustRightInd w:val="0"/>
              <w:snapToGrid w:val="0"/>
              <w:spacing w:line="300" w:lineRule="exact"/>
              <w:rPr>
                <w:rFonts w:hint="eastAsia" w:eastAsia="宋体"/>
                <w:color w:val="auto"/>
              </w:rPr>
            </w:pPr>
            <w:r>
              <w:rPr>
                <w:rFonts w:hint="eastAsia" w:eastAsia="宋体" w:cs="宋体"/>
                <w:color w:val="auto"/>
              </w:rPr>
              <w:t>≤0</w:t>
            </w:r>
            <w:r>
              <w:rPr>
                <w:rFonts w:eastAsia="宋体" w:cs="宋体"/>
                <w:color w:val="auto"/>
              </w:rPr>
              <w:t>.05</w:t>
            </w:r>
          </w:p>
        </w:tc>
      </w:tr>
      <w:tr w14:paraId="44453F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6" w:type="pct"/>
            <w:vAlign w:val="center"/>
          </w:tcPr>
          <w:p w14:paraId="6228CA84">
            <w:pPr>
              <w:pStyle w:val="288"/>
              <w:adjustRightInd w:val="0"/>
              <w:snapToGrid w:val="0"/>
              <w:spacing w:line="300" w:lineRule="exact"/>
              <w:rPr>
                <w:rFonts w:hint="eastAsia" w:eastAsia="宋体"/>
                <w:color w:val="auto"/>
              </w:rPr>
            </w:pPr>
            <w:r>
              <w:rPr>
                <w:rFonts w:hint="eastAsia" w:eastAsia="宋体"/>
                <w:color w:val="auto"/>
              </w:rPr>
              <w:t>2</w:t>
            </w:r>
          </w:p>
        </w:tc>
        <w:tc>
          <w:tcPr>
            <w:tcW w:w="871" w:type="pct"/>
            <w:vAlign w:val="center"/>
          </w:tcPr>
          <w:p w14:paraId="51EE1F84">
            <w:pPr>
              <w:pStyle w:val="288"/>
              <w:adjustRightInd w:val="0"/>
              <w:snapToGrid w:val="0"/>
              <w:spacing w:line="300" w:lineRule="exact"/>
              <w:rPr>
                <w:rFonts w:hint="eastAsia" w:eastAsia="宋体"/>
                <w:color w:val="auto"/>
              </w:rPr>
            </w:pPr>
            <w:r>
              <w:rPr>
                <w:rFonts w:hint="eastAsia" w:eastAsia="宋体"/>
                <w:color w:val="auto"/>
              </w:rPr>
              <w:t>总硬度</w:t>
            </w:r>
          </w:p>
        </w:tc>
        <w:tc>
          <w:tcPr>
            <w:tcW w:w="872" w:type="pct"/>
          </w:tcPr>
          <w:p w14:paraId="373BE491">
            <w:pPr>
              <w:pStyle w:val="288"/>
              <w:adjustRightInd w:val="0"/>
              <w:snapToGrid w:val="0"/>
              <w:spacing w:line="300" w:lineRule="exact"/>
              <w:rPr>
                <w:rFonts w:hint="eastAsia" w:eastAsia="宋体"/>
                <w:color w:val="auto"/>
              </w:rPr>
            </w:pPr>
            <w:r>
              <w:rPr>
                <w:rFonts w:hint="eastAsia" w:eastAsia="宋体" w:cs="宋体"/>
                <w:color w:val="auto"/>
              </w:rPr>
              <w:t>≤</w:t>
            </w:r>
            <w:r>
              <w:rPr>
                <w:rFonts w:eastAsia="宋体" w:cs="宋体"/>
                <w:color w:val="auto"/>
              </w:rPr>
              <w:t>450</w:t>
            </w:r>
          </w:p>
        </w:tc>
        <w:tc>
          <w:tcPr>
            <w:tcW w:w="713" w:type="pct"/>
            <w:vAlign w:val="center"/>
          </w:tcPr>
          <w:p w14:paraId="0FBC71CF">
            <w:pPr>
              <w:pStyle w:val="288"/>
              <w:adjustRightInd w:val="0"/>
              <w:snapToGrid w:val="0"/>
              <w:spacing w:line="300" w:lineRule="exact"/>
              <w:rPr>
                <w:rFonts w:hint="eastAsia" w:eastAsia="宋体"/>
                <w:color w:val="auto"/>
              </w:rPr>
            </w:pPr>
            <w:r>
              <w:rPr>
                <w:rFonts w:hint="eastAsia" w:eastAsia="宋体"/>
                <w:color w:val="auto"/>
              </w:rPr>
              <w:t>1</w:t>
            </w:r>
            <w:r>
              <w:rPr>
                <w:rFonts w:eastAsia="宋体"/>
                <w:color w:val="auto"/>
              </w:rPr>
              <w:t>4</w:t>
            </w:r>
          </w:p>
        </w:tc>
        <w:tc>
          <w:tcPr>
            <w:tcW w:w="1022" w:type="pct"/>
            <w:vAlign w:val="center"/>
          </w:tcPr>
          <w:p w14:paraId="4B66D197">
            <w:pPr>
              <w:pStyle w:val="288"/>
              <w:adjustRightInd w:val="0"/>
              <w:snapToGrid w:val="0"/>
              <w:spacing w:line="300" w:lineRule="exact"/>
              <w:rPr>
                <w:rFonts w:hint="eastAsia" w:eastAsia="宋体"/>
                <w:color w:val="auto"/>
              </w:rPr>
            </w:pPr>
            <w:r>
              <w:rPr>
                <w:rFonts w:hint="eastAsia" w:eastAsia="宋体"/>
                <w:color w:val="auto"/>
              </w:rPr>
              <w:t>砷</w:t>
            </w:r>
          </w:p>
        </w:tc>
        <w:tc>
          <w:tcPr>
            <w:tcW w:w="986" w:type="pct"/>
          </w:tcPr>
          <w:p w14:paraId="42835AF5">
            <w:pPr>
              <w:pStyle w:val="288"/>
              <w:adjustRightInd w:val="0"/>
              <w:snapToGrid w:val="0"/>
              <w:spacing w:line="300" w:lineRule="exact"/>
              <w:rPr>
                <w:rFonts w:hint="eastAsia" w:eastAsia="宋体"/>
                <w:color w:val="auto"/>
              </w:rPr>
            </w:pPr>
            <w:r>
              <w:rPr>
                <w:rFonts w:hint="eastAsia" w:eastAsia="宋体" w:cs="宋体"/>
                <w:color w:val="auto"/>
              </w:rPr>
              <w:t>≤0</w:t>
            </w:r>
            <w:r>
              <w:rPr>
                <w:rFonts w:eastAsia="宋体" w:cs="宋体"/>
                <w:color w:val="auto"/>
              </w:rPr>
              <w:t>.01</w:t>
            </w:r>
          </w:p>
        </w:tc>
      </w:tr>
      <w:tr w14:paraId="12AAE1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6" w:type="pct"/>
            <w:vAlign w:val="center"/>
          </w:tcPr>
          <w:p w14:paraId="2F9B1038">
            <w:pPr>
              <w:pStyle w:val="288"/>
              <w:adjustRightInd w:val="0"/>
              <w:snapToGrid w:val="0"/>
              <w:spacing w:line="300" w:lineRule="exact"/>
              <w:rPr>
                <w:rFonts w:hint="eastAsia" w:eastAsia="宋体"/>
                <w:color w:val="auto"/>
              </w:rPr>
            </w:pPr>
            <w:r>
              <w:rPr>
                <w:rFonts w:hint="eastAsia" w:eastAsia="宋体"/>
                <w:color w:val="auto"/>
              </w:rPr>
              <w:t>3</w:t>
            </w:r>
          </w:p>
        </w:tc>
        <w:tc>
          <w:tcPr>
            <w:tcW w:w="871" w:type="pct"/>
            <w:vAlign w:val="center"/>
          </w:tcPr>
          <w:p w14:paraId="6ACA0F9B">
            <w:pPr>
              <w:pStyle w:val="288"/>
              <w:adjustRightInd w:val="0"/>
              <w:snapToGrid w:val="0"/>
              <w:spacing w:line="300" w:lineRule="exact"/>
              <w:rPr>
                <w:rFonts w:hint="eastAsia" w:eastAsia="宋体"/>
                <w:color w:val="auto"/>
              </w:rPr>
            </w:pPr>
            <w:r>
              <w:rPr>
                <w:rFonts w:hint="eastAsia" w:eastAsia="宋体"/>
                <w:color w:val="auto"/>
              </w:rPr>
              <w:t>溶解性总固体</w:t>
            </w:r>
          </w:p>
        </w:tc>
        <w:tc>
          <w:tcPr>
            <w:tcW w:w="872" w:type="pct"/>
          </w:tcPr>
          <w:p w14:paraId="64C59049">
            <w:pPr>
              <w:pStyle w:val="288"/>
              <w:adjustRightInd w:val="0"/>
              <w:snapToGrid w:val="0"/>
              <w:spacing w:line="300" w:lineRule="exact"/>
              <w:rPr>
                <w:rFonts w:hint="eastAsia" w:eastAsia="宋体"/>
                <w:color w:val="auto"/>
              </w:rPr>
            </w:pPr>
            <w:r>
              <w:rPr>
                <w:rFonts w:hint="eastAsia" w:eastAsia="宋体" w:cs="宋体"/>
                <w:color w:val="auto"/>
              </w:rPr>
              <w:t>≤1</w:t>
            </w:r>
            <w:r>
              <w:rPr>
                <w:rFonts w:eastAsia="宋体" w:cs="宋体"/>
                <w:color w:val="auto"/>
              </w:rPr>
              <w:t>000</w:t>
            </w:r>
          </w:p>
        </w:tc>
        <w:tc>
          <w:tcPr>
            <w:tcW w:w="713" w:type="pct"/>
            <w:vAlign w:val="center"/>
          </w:tcPr>
          <w:p w14:paraId="0A3D3EC7">
            <w:pPr>
              <w:pStyle w:val="288"/>
              <w:adjustRightInd w:val="0"/>
              <w:snapToGrid w:val="0"/>
              <w:spacing w:line="300" w:lineRule="exact"/>
              <w:rPr>
                <w:rFonts w:hint="eastAsia" w:eastAsia="宋体"/>
                <w:color w:val="auto"/>
              </w:rPr>
            </w:pPr>
            <w:r>
              <w:rPr>
                <w:rFonts w:hint="eastAsia" w:eastAsia="宋体"/>
                <w:color w:val="auto"/>
              </w:rPr>
              <w:t>1</w:t>
            </w:r>
            <w:r>
              <w:rPr>
                <w:rFonts w:eastAsia="宋体"/>
                <w:color w:val="auto"/>
              </w:rPr>
              <w:t>5</w:t>
            </w:r>
          </w:p>
        </w:tc>
        <w:tc>
          <w:tcPr>
            <w:tcW w:w="1022" w:type="pct"/>
            <w:vAlign w:val="center"/>
          </w:tcPr>
          <w:p w14:paraId="6A9E0E3D">
            <w:pPr>
              <w:pStyle w:val="288"/>
              <w:adjustRightInd w:val="0"/>
              <w:snapToGrid w:val="0"/>
              <w:spacing w:line="300" w:lineRule="exact"/>
              <w:rPr>
                <w:rFonts w:hint="eastAsia" w:eastAsia="宋体"/>
                <w:color w:val="auto"/>
              </w:rPr>
            </w:pPr>
            <w:r>
              <w:rPr>
                <w:rFonts w:hint="eastAsia" w:eastAsia="宋体"/>
                <w:color w:val="auto"/>
              </w:rPr>
              <w:t>镉</w:t>
            </w:r>
          </w:p>
        </w:tc>
        <w:tc>
          <w:tcPr>
            <w:tcW w:w="986" w:type="pct"/>
          </w:tcPr>
          <w:p w14:paraId="4C9531F8">
            <w:pPr>
              <w:pStyle w:val="288"/>
              <w:adjustRightInd w:val="0"/>
              <w:snapToGrid w:val="0"/>
              <w:spacing w:line="300" w:lineRule="exact"/>
              <w:rPr>
                <w:rFonts w:hint="eastAsia" w:eastAsia="宋体"/>
                <w:color w:val="auto"/>
              </w:rPr>
            </w:pPr>
            <w:r>
              <w:rPr>
                <w:rFonts w:hint="eastAsia" w:eastAsia="宋体" w:cs="宋体"/>
                <w:color w:val="auto"/>
              </w:rPr>
              <w:t>≤0</w:t>
            </w:r>
            <w:r>
              <w:rPr>
                <w:rFonts w:eastAsia="宋体" w:cs="宋体"/>
                <w:color w:val="auto"/>
              </w:rPr>
              <w:t>.005</w:t>
            </w:r>
          </w:p>
        </w:tc>
      </w:tr>
      <w:tr w14:paraId="576901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6" w:type="pct"/>
            <w:vAlign w:val="center"/>
          </w:tcPr>
          <w:p w14:paraId="40AAB524">
            <w:pPr>
              <w:pStyle w:val="288"/>
              <w:adjustRightInd w:val="0"/>
              <w:snapToGrid w:val="0"/>
              <w:spacing w:line="300" w:lineRule="exact"/>
              <w:rPr>
                <w:rFonts w:hint="eastAsia" w:eastAsia="宋体"/>
                <w:color w:val="auto"/>
              </w:rPr>
            </w:pPr>
            <w:r>
              <w:rPr>
                <w:rFonts w:hint="eastAsia" w:eastAsia="宋体"/>
                <w:color w:val="auto"/>
              </w:rPr>
              <w:t>4</w:t>
            </w:r>
          </w:p>
        </w:tc>
        <w:tc>
          <w:tcPr>
            <w:tcW w:w="871" w:type="pct"/>
            <w:vAlign w:val="center"/>
          </w:tcPr>
          <w:p w14:paraId="6FF3F0B4">
            <w:pPr>
              <w:pStyle w:val="288"/>
              <w:adjustRightInd w:val="0"/>
              <w:snapToGrid w:val="0"/>
              <w:spacing w:line="300" w:lineRule="exact"/>
              <w:rPr>
                <w:rFonts w:hint="eastAsia" w:eastAsia="宋体"/>
                <w:color w:val="auto"/>
              </w:rPr>
            </w:pPr>
            <w:r>
              <w:rPr>
                <w:rFonts w:hint="eastAsia" w:eastAsia="宋体"/>
                <w:color w:val="auto"/>
              </w:rPr>
              <w:t>耗氧量</w:t>
            </w:r>
          </w:p>
        </w:tc>
        <w:tc>
          <w:tcPr>
            <w:tcW w:w="872" w:type="pct"/>
          </w:tcPr>
          <w:p w14:paraId="7C66264B">
            <w:pPr>
              <w:pStyle w:val="288"/>
              <w:adjustRightInd w:val="0"/>
              <w:snapToGrid w:val="0"/>
              <w:spacing w:line="300" w:lineRule="exact"/>
              <w:rPr>
                <w:rFonts w:hint="eastAsia" w:eastAsia="宋体"/>
                <w:color w:val="auto"/>
              </w:rPr>
            </w:pPr>
            <w:r>
              <w:rPr>
                <w:rFonts w:hint="eastAsia" w:eastAsia="宋体" w:cs="宋体"/>
                <w:color w:val="auto"/>
              </w:rPr>
              <w:t>≤3</w:t>
            </w:r>
            <w:r>
              <w:rPr>
                <w:rFonts w:eastAsia="宋体" w:cs="宋体"/>
                <w:color w:val="auto"/>
              </w:rPr>
              <w:t>.0</w:t>
            </w:r>
          </w:p>
        </w:tc>
        <w:tc>
          <w:tcPr>
            <w:tcW w:w="713" w:type="pct"/>
            <w:vAlign w:val="center"/>
          </w:tcPr>
          <w:p w14:paraId="75D803A7">
            <w:pPr>
              <w:pStyle w:val="288"/>
              <w:adjustRightInd w:val="0"/>
              <w:snapToGrid w:val="0"/>
              <w:spacing w:line="300" w:lineRule="exact"/>
              <w:rPr>
                <w:rFonts w:hint="eastAsia" w:eastAsia="宋体"/>
                <w:color w:val="auto"/>
              </w:rPr>
            </w:pPr>
            <w:r>
              <w:rPr>
                <w:rFonts w:hint="eastAsia" w:eastAsia="宋体"/>
                <w:color w:val="auto"/>
              </w:rPr>
              <w:t>1</w:t>
            </w:r>
            <w:r>
              <w:rPr>
                <w:rFonts w:eastAsia="宋体"/>
                <w:color w:val="auto"/>
              </w:rPr>
              <w:t>6</w:t>
            </w:r>
          </w:p>
        </w:tc>
        <w:tc>
          <w:tcPr>
            <w:tcW w:w="1022" w:type="pct"/>
            <w:vAlign w:val="center"/>
          </w:tcPr>
          <w:p w14:paraId="7B1119F9">
            <w:pPr>
              <w:pStyle w:val="288"/>
              <w:adjustRightInd w:val="0"/>
              <w:snapToGrid w:val="0"/>
              <w:spacing w:line="300" w:lineRule="exact"/>
              <w:rPr>
                <w:rFonts w:hint="eastAsia" w:eastAsia="宋体"/>
                <w:color w:val="auto"/>
              </w:rPr>
            </w:pPr>
            <w:r>
              <w:rPr>
                <w:rFonts w:hint="eastAsia" w:eastAsia="宋体"/>
                <w:color w:val="auto"/>
              </w:rPr>
              <w:t>石油类</w:t>
            </w:r>
          </w:p>
        </w:tc>
        <w:tc>
          <w:tcPr>
            <w:tcW w:w="986" w:type="pct"/>
          </w:tcPr>
          <w:p w14:paraId="5A1E4C7B">
            <w:pPr>
              <w:pStyle w:val="288"/>
              <w:adjustRightInd w:val="0"/>
              <w:snapToGrid w:val="0"/>
              <w:spacing w:line="300" w:lineRule="exact"/>
              <w:rPr>
                <w:rFonts w:hint="eastAsia" w:eastAsia="宋体"/>
                <w:color w:val="auto"/>
              </w:rPr>
            </w:pPr>
            <w:r>
              <w:rPr>
                <w:rFonts w:hint="eastAsia" w:eastAsia="宋体" w:cs="宋体"/>
                <w:color w:val="auto"/>
              </w:rPr>
              <w:t>≤0</w:t>
            </w:r>
            <w:r>
              <w:rPr>
                <w:rFonts w:eastAsia="宋体" w:cs="宋体"/>
                <w:color w:val="auto"/>
              </w:rPr>
              <w:t>.05</w:t>
            </w:r>
          </w:p>
        </w:tc>
      </w:tr>
      <w:tr w14:paraId="677333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6" w:type="pct"/>
            <w:vAlign w:val="center"/>
          </w:tcPr>
          <w:p w14:paraId="726F082C">
            <w:pPr>
              <w:pStyle w:val="288"/>
              <w:adjustRightInd w:val="0"/>
              <w:snapToGrid w:val="0"/>
              <w:spacing w:line="300" w:lineRule="exact"/>
              <w:rPr>
                <w:rFonts w:hint="eastAsia" w:eastAsia="宋体"/>
                <w:color w:val="auto"/>
              </w:rPr>
            </w:pPr>
            <w:r>
              <w:rPr>
                <w:rFonts w:hint="eastAsia" w:eastAsia="宋体"/>
                <w:color w:val="auto"/>
              </w:rPr>
              <w:t>5</w:t>
            </w:r>
          </w:p>
        </w:tc>
        <w:tc>
          <w:tcPr>
            <w:tcW w:w="871" w:type="pct"/>
            <w:vAlign w:val="center"/>
          </w:tcPr>
          <w:p w14:paraId="289965AA">
            <w:pPr>
              <w:pStyle w:val="288"/>
              <w:adjustRightInd w:val="0"/>
              <w:snapToGrid w:val="0"/>
              <w:spacing w:line="300" w:lineRule="exact"/>
              <w:rPr>
                <w:rFonts w:hint="eastAsia" w:eastAsia="宋体"/>
                <w:color w:val="auto"/>
              </w:rPr>
            </w:pPr>
            <w:r>
              <w:rPr>
                <w:rFonts w:hint="eastAsia" w:eastAsia="宋体"/>
                <w:color w:val="auto"/>
              </w:rPr>
              <w:t>氨氮</w:t>
            </w:r>
          </w:p>
        </w:tc>
        <w:tc>
          <w:tcPr>
            <w:tcW w:w="872" w:type="pct"/>
          </w:tcPr>
          <w:p w14:paraId="1FDDF0F8">
            <w:pPr>
              <w:pStyle w:val="288"/>
              <w:adjustRightInd w:val="0"/>
              <w:snapToGrid w:val="0"/>
              <w:spacing w:line="300" w:lineRule="exact"/>
              <w:rPr>
                <w:rFonts w:hint="eastAsia" w:eastAsia="宋体"/>
                <w:color w:val="auto"/>
              </w:rPr>
            </w:pPr>
            <w:r>
              <w:rPr>
                <w:rFonts w:hint="eastAsia" w:eastAsia="宋体" w:cs="宋体"/>
                <w:color w:val="auto"/>
              </w:rPr>
              <w:t>≤0</w:t>
            </w:r>
            <w:r>
              <w:rPr>
                <w:rFonts w:eastAsia="宋体" w:cs="宋体"/>
                <w:color w:val="auto"/>
              </w:rPr>
              <w:t>.50</w:t>
            </w:r>
          </w:p>
        </w:tc>
        <w:tc>
          <w:tcPr>
            <w:tcW w:w="713" w:type="pct"/>
            <w:vAlign w:val="center"/>
          </w:tcPr>
          <w:p w14:paraId="20721524">
            <w:pPr>
              <w:pStyle w:val="288"/>
              <w:adjustRightInd w:val="0"/>
              <w:snapToGrid w:val="0"/>
              <w:spacing w:line="300" w:lineRule="exact"/>
              <w:rPr>
                <w:rFonts w:hint="eastAsia" w:eastAsia="宋体"/>
                <w:color w:val="auto"/>
              </w:rPr>
            </w:pPr>
            <w:r>
              <w:rPr>
                <w:rFonts w:hint="eastAsia" w:eastAsia="宋体"/>
                <w:color w:val="auto"/>
              </w:rPr>
              <w:t>1</w:t>
            </w:r>
            <w:r>
              <w:rPr>
                <w:rFonts w:eastAsia="宋体"/>
                <w:color w:val="auto"/>
              </w:rPr>
              <w:t>7</w:t>
            </w:r>
          </w:p>
        </w:tc>
        <w:tc>
          <w:tcPr>
            <w:tcW w:w="1022" w:type="pct"/>
            <w:vAlign w:val="center"/>
          </w:tcPr>
          <w:p w14:paraId="53A1BEA6">
            <w:pPr>
              <w:pStyle w:val="288"/>
              <w:adjustRightInd w:val="0"/>
              <w:snapToGrid w:val="0"/>
              <w:spacing w:line="300" w:lineRule="exact"/>
              <w:rPr>
                <w:rFonts w:hint="eastAsia" w:eastAsia="宋体"/>
                <w:color w:val="auto"/>
              </w:rPr>
            </w:pPr>
            <w:r>
              <w:rPr>
                <w:rFonts w:hint="eastAsia" w:eastAsia="宋体"/>
                <w:color w:val="auto"/>
              </w:rPr>
              <w:t>铁</w:t>
            </w:r>
          </w:p>
        </w:tc>
        <w:tc>
          <w:tcPr>
            <w:tcW w:w="986" w:type="pct"/>
          </w:tcPr>
          <w:p w14:paraId="7F1BC576">
            <w:pPr>
              <w:pStyle w:val="288"/>
              <w:adjustRightInd w:val="0"/>
              <w:snapToGrid w:val="0"/>
              <w:spacing w:line="300" w:lineRule="exact"/>
              <w:rPr>
                <w:rFonts w:hint="eastAsia" w:eastAsia="宋体"/>
                <w:color w:val="auto"/>
              </w:rPr>
            </w:pPr>
            <w:r>
              <w:rPr>
                <w:rFonts w:hint="eastAsia" w:eastAsia="宋体" w:cs="宋体"/>
                <w:color w:val="auto"/>
              </w:rPr>
              <w:t>≤0</w:t>
            </w:r>
            <w:r>
              <w:rPr>
                <w:rFonts w:eastAsia="宋体" w:cs="宋体"/>
                <w:color w:val="auto"/>
              </w:rPr>
              <w:t>.3</w:t>
            </w:r>
          </w:p>
        </w:tc>
      </w:tr>
      <w:tr w14:paraId="4D535A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6" w:type="pct"/>
            <w:vAlign w:val="center"/>
          </w:tcPr>
          <w:p w14:paraId="499C193D">
            <w:pPr>
              <w:pStyle w:val="288"/>
              <w:adjustRightInd w:val="0"/>
              <w:snapToGrid w:val="0"/>
              <w:spacing w:line="300" w:lineRule="exact"/>
              <w:rPr>
                <w:rFonts w:hint="eastAsia" w:eastAsia="宋体"/>
                <w:color w:val="auto"/>
              </w:rPr>
            </w:pPr>
            <w:r>
              <w:rPr>
                <w:rFonts w:hint="eastAsia" w:eastAsia="宋体"/>
                <w:color w:val="auto"/>
              </w:rPr>
              <w:t>6</w:t>
            </w:r>
          </w:p>
        </w:tc>
        <w:tc>
          <w:tcPr>
            <w:tcW w:w="871" w:type="pct"/>
            <w:vAlign w:val="center"/>
          </w:tcPr>
          <w:p w14:paraId="04810298">
            <w:pPr>
              <w:pStyle w:val="288"/>
              <w:adjustRightInd w:val="0"/>
              <w:snapToGrid w:val="0"/>
              <w:spacing w:line="300" w:lineRule="exact"/>
              <w:rPr>
                <w:rFonts w:hint="eastAsia" w:eastAsia="宋体"/>
                <w:color w:val="auto"/>
              </w:rPr>
            </w:pPr>
            <w:r>
              <w:rPr>
                <w:rFonts w:hint="eastAsia" w:eastAsia="宋体"/>
                <w:color w:val="auto"/>
              </w:rPr>
              <w:t>硝酸盐</w:t>
            </w:r>
          </w:p>
        </w:tc>
        <w:tc>
          <w:tcPr>
            <w:tcW w:w="872" w:type="pct"/>
          </w:tcPr>
          <w:p w14:paraId="644D34FE">
            <w:pPr>
              <w:pStyle w:val="288"/>
              <w:adjustRightInd w:val="0"/>
              <w:snapToGrid w:val="0"/>
              <w:spacing w:line="300" w:lineRule="exact"/>
              <w:rPr>
                <w:rFonts w:hint="eastAsia" w:eastAsia="宋体"/>
                <w:color w:val="auto"/>
              </w:rPr>
            </w:pPr>
            <w:r>
              <w:rPr>
                <w:rFonts w:hint="eastAsia" w:eastAsia="宋体" w:cs="宋体"/>
                <w:color w:val="auto"/>
              </w:rPr>
              <w:t>≤2</w:t>
            </w:r>
            <w:r>
              <w:rPr>
                <w:rFonts w:eastAsia="宋体" w:cs="宋体"/>
                <w:color w:val="auto"/>
              </w:rPr>
              <w:t>0.0</w:t>
            </w:r>
          </w:p>
        </w:tc>
        <w:tc>
          <w:tcPr>
            <w:tcW w:w="713" w:type="pct"/>
            <w:vAlign w:val="center"/>
          </w:tcPr>
          <w:p w14:paraId="00F6E1D3">
            <w:pPr>
              <w:pStyle w:val="288"/>
              <w:adjustRightInd w:val="0"/>
              <w:snapToGrid w:val="0"/>
              <w:spacing w:line="300" w:lineRule="exact"/>
              <w:rPr>
                <w:rFonts w:hint="eastAsia" w:eastAsia="宋体"/>
                <w:color w:val="auto"/>
              </w:rPr>
            </w:pPr>
            <w:r>
              <w:rPr>
                <w:rFonts w:hint="eastAsia" w:eastAsia="宋体"/>
                <w:color w:val="auto"/>
              </w:rPr>
              <w:t>1</w:t>
            </w:r>
            <w:r>
              <w:rPr>
                <w:rFonts w:eastAsia="宋体"/>
                <w:color w:val="auto"/>
              </w:rPr>
              <w:t>8</w:t>
            </w:r>
          </w:p>
        </w:tc>
        <w:tc>
          <w:tcPr>
            <w:tcW w:w="1022" w:type="pct"/>
            <w:vAlign w:val="center"/>
          </w:tcPr>
          <w:p w14:paraId="1A41FE32">
            <w:pPr>
              <w:pStyle w:val="288"/>
              <w:adjustRightInd w:val="0"/>
              <w:snapToGrid w:val="0"/>
              <w:spacing w:line="300" w:lineRule="exact"/>
              <w:rPr>
                <w:rFonts w:hint="eastAsia" w:eastAsia="宋体"/>
                <w:color w:val="auto"/>
              </w:rPr>
            </w:pPr>
            <w:r>
              <w:rPr>
                <w:rFonts w:hint="eastAsia" w:eastAsia="宋体"/>
                <w:color w:val="auto"/>
              </w:rPr>
              <w:t>锰</w:t>
            </w:r>
          </w:p>
        </w:tc>
        <w:tc>
          <w:tcPr>
            <w:tcW w:w="986" w:type="pct"/>
          </w:tcPr>
          <w:p w14:paraId="70C193E3">
            <w:pPr>
              <w:pStyle w:val="288"/>
              <w:adjustRightInd w:val="0"/>
              <w:snapToGrid w:val="0"/>
              <w:spacing w:line="300" w:lineRule="exact"/>
              <w:rPr>
                <w:rFonts w:hint="eastAsia" w:eastAsia="宋体"/>
                <w:color w:val="auto"/>
              </w:rPr>
            </w:pPr>
            <w:r>
              <w:rPr>
                <w:rFonts w:hint="eastAsia" w:eastAsia="宋体" w:cs="宋体"/>
                <w:color w:val="auto"/>
              </w:rPr>
              <w:t>≤1</w:t>
            </w:r>
            <w:r>
              <w:rPr>
                <w:rFonts w:eastAsia="宋体" w:cs="宋体"/>
                <w:color w:val="auto"/>
              </w:rPr>
              <w:t>.5</w:t>
            </w:r>
          </w:p>
        </w:tc>
      </w:tr>
      <w:tr w14:paraId="674D6C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6" w:type="pct"/>
            <w:vAlign w:val="center"/>
          </w:tcPr>
          <w:p w14:paraId="11D6BDAF">
            <w:pPr>
              <w:pStyle w:val="288"/>
              <w:adjustRightInd w:val="0"/>
              <w:snapToGrid w:val="0"/>
              <w:spacing w:line="300" w:lineRule="exact"/>
              <w:rPr>
                <w:rFonts w:hint="eastAsia" w:eastAsia="宋体"/>
                <w:color w:val="auto"/>
              </w:rPr>
            </w:pPr>
            <w:r>
              <w:rPr>
                <w:rFonts w:hint="eastAsia" w:eastAsia="宋体"/>
                <w:color w:val="auto"/>
              </w:rPr>
              <w:t>7</w:t>
            </w:r>
          </w:p>
        </w:tc>
        <w:tc>
          <w:tcPr>
            <w:tcW w:w="871" w:type="pct"/>
            <w:vAlign w:val="center"/>
          </w:tcPr>
          <w:p w14:paraId="76379C44">
            <w:pPr>
              <w:pStyle w:val="288"/>
              <w:adjustRightInd w:val="0"/>
              <w:snapToGrid w:val="0"/>
              <w:spacing w:line="300" w:lineRule="exact"/>
              <w:rPr>
                <w:rFonts w:hint="eastAsia" w:eastAsia="宋体"/>
                <w:color w:val="auto"/>
              </w:rPr>
            </w:pPr>
            <w:r>
              <w:rPr>
                <w:rFonts w:hint="eastAsia" w:eastAsia="宋体"/>
                <w:color w:val="auto"/>
              </w:rPr>
              <w:t>亚硝酸盐</w:t>
            </w:r>
          </w:p>
        </w:tc>
        <w:tc>
          <w:tcPr>
            <w:tcW w:w="872" w:type="pct"/>
          </w:tcPr>
          <w:p w14:paraId="4E72D7A9">
            <w:pPr>
              <w:pStyle w:val="288"/>
              <w:adjustRightInd w:val="0"/>
              <w:snapToGrid w:val="0"/>
              <w:spacing w:line="300" w:lineRule="exact"/>
              <w:rPr>
                <w:rFonts w:hint="eastAsia" w:eastAsia="宋体"/>
                <w:color w:val="auto"/>
              </w:rPr>
            </w:pPr>
            <w:r>
              <w:rPr>
                <w:rFonts w:hint="eastAsia" w:eastAsia="宋体" w:cs="宋体"/>
                <w:color w:val="auto"/>
              </w:rPr>
              <w:t>≤1</w:t>
            </w:r>
            <w:r>
              <w:rPr>
                <w:rFonts w:eastAsia="宋体" w:cs="宋体"/>
                <w:color w:val="auto"/>
              </w:rPr>
              <w:t>.00</w:t>
            </w:r>
          </w:p>
        </w:tc>
        <w:tc>
          <w:tcPr>
            <w:tcW w:w="713" w:type="pct"/>
            <w:vAlign w:val="center"/>
          </w:tcPr>
          <w:p w14:paraId="26C84B15">
            <w:pPr>
              <w:pStyle w:val="288"/>
              <w:adjustRightInd w:val="0"/>
              <w:snapToGrid w:val="0"/>
              <w:spacing w:line="300" w:lineRule="exact"/>
              <w:rPr>
                <w:rFonts w:hint="eastAsia" w:eastAsia="宋体"/>
                <w:color w:val="auto"/>
              </w:rPr>
            </w:pPr>
            <w:r>
              <w:rPr>
                <w:rFonts w:hint="eastAsia" w:eastAsia="宋体"/>
                <w:color w:val="auto"/>
              </w:rPr>
              <w:t>1</w:t>
            </w:r>
            <w:r>
              <w:rPr>
                <w:rFonts w:eastAsia="宋体"/>
                <w:color w:val="auto"/>
              </w:rPr>
              <w:t>9</w:t>
            </w:r>
          </w:p>
        </w:tc>
        <w:tc>
          <w:tcPr>
            <w:tcW w:w="1022" w:type="pct"/>
            <w:vAlign w:val="center"/>
          </w:tcPr>
          <w:p w14:paraId="6CF5328D">
            <w:pPr>
              <w:pStyle w:val="288"/>
              <w:adjustRightInd w:val="0"/>
              <w:snapToGrid w:val="0"/>
              <w:spacing w:line="300" w:lineRule="exact"/>
              <w:rPr>
                <w:rFonts w:hint="eastAsia" w:eastAsia="宋体"/>
                <w:color w:val="auto"/>
              </w:rPr>
            </w:pPr>
            <w:r>
              <w:rPr>
                <w:rFonts w:hint="eastAsia" w:eastAsia="宋体"/>
                <w:color w:val="auto"/>
              </w:rPr>
              <w:t>铅</w:t>
            </w:r>
          </w:p>
        </w:tc>
        <w:tc>
          <w:tcPr>
            <w:tcW w:w="986" w:type="pct"/>
          </w:tcPr>
          <w:p w14:paraId="15A147D5">
            <w:pPr>
              <w:pStyle w:val="288"/>
              <w:adjustRightInd w:val="0"/>
              <w:snapToGrid w:val="0"/>
              <w:spacing w:line="300" w:lineRule="exact"/>
              <w:rPr>
                <w:rFonts w:hint="eastAsia" w:eastAsia="宋体"/>
                <w:color w:val="auto"/>
              </w:rPr>
            </w:pPr>
            <w:r>
              <w:rPr>
                <w:rFonts w:hint="eastAsia" w:eastAsia="宋体" w:cs="宋体"/>
                <w:color w:val="auto"/>
              </w:rPr>
              <w:t>≤0</w:t>
            </w:r>
            <w:r>
              <w:rPr>
                <w:rFonts w:eastAsia="宋体" w:cs="宋体"/>
                <w:color w:val="auto"/>
              </w:rPr>
              <w:t>.01</w:t>
            </w:r>
          </w:p>
        </w:tc>
      </w:tr>
      <w:tr w14:paraId="45A8C2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6" w:type="pct"/>
            <w:vAlign w:val="center"/>
          </w:tcPr>
          <w:p w14:paraId="204A4394">
            <w:pPr>
              <w:pStyle w:val="288"/>
              <w:adjustRightInd w:val="0"/>
              <w:snapToGrid w:val="0"/>
              <w:spacing w:line="300" w:lineRule="exact"/>
              <w:rPr>
                <w:rFonts w:hint="eastAsia" w:eastAsia="宋体"/>
                <w:color w:val="auto"/>
              </w:rPr>
            </w:pPr>
            <w:r>
              <w:rPr>
                <w:rFonts w:hint="eastAsia" w:eastAsia="宋体"/>
                <w:color w:val="auto"/>
              </w:rPr>
              <w:t>8</w:t>
            </w:r>
          </w:p>
        </w:tc>
        <w:tc>
          <w:tcPr>
            <w:tcW w:w="871" w:type="pct"/>
            <w:vAlign w:val="center"/>
          </w:tcPr>
          <w:p w14:paraId="5C0F3CE3">
            <w:pPr>
              <w:pStyle w:val="288"/>
              <w:adjustRightInd w:val="0"/>
              <w:snapToGrid w:val="0"/>
              <w:spacing w:line="300" w:lineRule="exact"/>
              <w:rPr>
                <w:rFonts w:hint="eastAsia" w:eastAsia="宋体"/>
                <w:color w:val="auto"/>
              </w:rPr>
            </w:pPr>
            <w:r>
              <w:rPr>
                <w:rFonts w:hint="eastAsia" w:eastAsia="宋体"/>
                <w:color w:val="auto"/>
              </w:rPr>
              <w:t>氯化物</w:t>
            </w:r>
          </w:p>
        </w:tc>
        <w:tc>
          <w:tcPr>
            <w:tcW w:w="872" w:type="pct"/>
          </w:tcPr>
          <w:p w14:paraId="4F9FAC2D">
            <w:pPr>
              <w:pStyle w:val="288"/>
              <w:adjustRightInd w:val="0"/>
              <w:snapToGrid w:val="0"/>
              <w:spacing w:line="300" w:lineRule="exact"/>
              <w:rPr>
                <w:rFonts w:hint="eastAsia" w:eastAsia="宋体"/>
                <w:color w:val="auto"/>
              </w:rPr>
            </w:pPr>
            <w:r>
              <w:rPr>
                <w:rFonts w:hint="eastAsia" w:eastAsia="宋体" w:cs="宋体"/>
                <w:color w:val="auto"/>
              </w:rPr>
              <w:t>≤2</w:t>
            </w:r>
            <w:r>
              <w:rPr>
                <w:rFonts w:eastAsia="宋体" w:cs="宋体"/>
                <w:color w:val="auto"/>
              </w:rPr>
              <w:t>50</w:t>
            </w:r>
          </w:p>
        </w:tc>
        <w:tc>
          <w:tcPr>
            <w:tcW w:w="713" w:type="pct"/>
            <w:vAlign w:val="center"/>
          </w:tcPr>
          <w:p w14:paraId="3B9D20C6">
            <w:pPr>
              <w:pStyle w:val="288"/>
              <w:adjustRightInd w:val="0"/>
              <w:snapToGrid w:val="0"/>
              <w:spacing w:line="300" w:lineRule="exact"/>
              <w:rPr>
                <w:rFonts w:hint="eastAsia" w:eastAsia="宋体"/>
                <w:color w:val="auto"/>
              </w:rPr>
            </w:pPr>
            <w:r>
              <w:rPr>
                <w:rFonts w:hint="eastAsia" w:eastAsia="宋体"/>
                <w:color w:val="auto"/>
              </w:rPr>
              <w:t>2</w:t>
            </w:r>
            <w:r>
              <w:rPr>
                <w:rFonts w:eastAsia="宋体"/>
                <w:color w:val="auto"/>
              </w:rPr>
              <w:t>0</w:t>
            </w:r>
          </w:p>
        </w:tc>
        <w:tc>
          <w:tcPr>
            <w:tcW w:w="1022" w:type="pct"/>
            <w:vAlign w:val="center"/>
          </w:tcPr>
          <w:p w14:paraId="15FF3163">
            <w:pPr>
              <w:pStyle w:val="288"/>
              <w:adjustRightInd w:val="0"/>
              <w:snapToGrid w:val="0"/>
              <w:spacing w:line="300" w:lineRule="exact"/>
              <w:rPr>
                <w:rFonts w:hint="eastAsia" w:eastAsia="宋体"/>
                <w:color w:val="auto"/>
              </w:rPr>
            </w:pPr>
            <w:r>
              <w:rPr>
                <w:rFonts w:hint="eastAsia" w:eastAsia="宋体"/>
                <w:color w:val="auto"/>
              </w:rPr>
              <w:t>汞</w:t>
            </w:r>
          </w:p>
        </w:tc>
        <w:tc>
          <w:tcPr>
            <w:tcW w:w="986" w:type="pct"/>
          </w:tcPr>
          <w:p w14:paraId="7A165431">
            <w:pPr>
              <w:pStyle w:val="288"/>
              <w:adjustRightInd w:val="0"/>
              <w:snapToGrid w:val="0"/>
              <w:spacing w:line="300" w:lineRule="exact"/>
              <w:rPr>
                <w:rFonts w:hint="eastAsia" w:eastAsia="宋体"/>
                <w:color w:val="auto"/>
              </w:rPr>
            </w:pPr>
            <w:r>
              <w:rPr>
                <w:rFonts w:hint="eastAsia" w:eastAsia="宋体" w:cs="宋体"/>
                <w:color w:val="auto"/>
              </w:rPr>
              <w:t>≤0</w:t>
            </w:r>
            <w:r>
              <w:rPr>
                <w:rFonts w:eastAsia="宋体" w:cs="宋体"/>
                <w:color w:val="auto"/>
              </w:rPr>
              <w:t>.001</w:t>
            </w:r>
          </w:p>
        </w:tc>
      </w:tr>
      <w:tr w14:paraId="7DAE3A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6" w:type="pct"/>
            <w:vAlign w:val="center"/>
          </w:tcPr>
          <w:p w14:paraId="763E6FE0">
            <w:pPr>
              <w:pStyle w:val="288"/>
              <w:adjustRightInd w:val="0"/>
              <w:snapToGrid w:val="0"/>
              <w:spacing w:line="300" w:lineRule="exact"/>
              <w:rPr>
                <w:rFonts w:hint="eastAsia" w:eastAsia="宋体"/>
                <w:color w:val="auto"/>
              </w:rPr>
            </w:pPr>
            <w:r>
              <w:rPr>
                <w:rFonts w:hint="eastAsia" w:eastAsia="宋体"/>
                <w:color w:val="auto"/>
              </w:rPr>
              <w:t>9</w:t>
            </w:r>
          </w:p>
        </w:tc>
        <w:tc>
          <w:tcPr>
            <w:tcW w:w="871" w:type="pct"/>
            <w:vAlign w:val="center"/>
          </w:tcPr>
          <w:p w14:paraId="5456CDB9">
            <w:pPr>
              <w:pStyle w:val="288"/>
              <w:adjustRightInd w:val="0"/>
              <w:snapToGrid w:val="0"/>
              <w:spacing w:line="300" w:lineRule="exact"/>
              <w:rPr>
                <w:rFonts w:hint="eastAsia" w:eastAsia="宋体"/>
                <w:color w:val="auto"/>
              </w:rPr>
            </w:pPr>
            <w:r>
              <w:rPr>
                <w:rFonts w:hint="eastAsia" w:eastAsia="宋体"/>
                <w:color w:val="auto"/>
              </w:rPr>
              <w:t>硫酸盐</w:t>
            </w:r>
          </w:p>
        </w:tc>
        <w:tc>
          <w:tcPr>
            <w:tcW w:w="872" w:type="pct"/>
          </w:tcPr>
          <w:p w14:paraId="211F1B09">
            <w:pPr>
              <w:pStyle w:val="288"/>
              <w:adjustRightInd w:val="0"/>
              <w:snapToGrid w:val="0"/>
              <w:spacing w:line="300" w:lineRule="exact"/>
              <w:rPr>
                <w:rFonts w:hint="eastAsia" w:eastAsia="宋体"/>
                <w:color w:val="auto"/>
              </w:rPr>
            </w:pPr>
            <w:r>
              <w:rPr>
                <w:rFonts w:hint="eastAsia" w:eastAsia="宋体" w:cs="宋体"/>
                <w:color w:val="auto"/>
              </w:rPr>
              <w:t>≤2</w:t>
            </w:r>
            <w:r>
              <w:rPr>
                <w:rFonts w:eastAsia="宋体" w:cs="宋体"/>
                <w:color w:val="auto"/>
              </w:rPr>
              <w:t>50</w:t>
            </w:r>
          </w:p>
        </w:tc>
        <w:tc>
          <w:tcPr>
            <w:tcW w:w="713" w:type="pct"/>
            <w:vAlign w:val="center"/>
          </w:tcPr>
          <w:p w14:paraId="415CE02B">
            <w:pPr>
              <w:pStyle w:val="288"/>
              <w:adjustRightInd w:val="0"/>
              <w:snapToGrid w:val="0"/>
              <w:spacing w:line="300" w:lineRule="exact"/>
              <w:rPr>
                <w:rFonts w:hint="eastAsia" w:eastAsia="宋体"/>
                <w:color w:val="auto"/>
              </w:rPr>
            </w:pPr>
            <w:r>
              <w:rPr>
                <w:rFonts w:hint="eastAsia" w:eastAsia="宋体"/>
                <w:color w:val="auto"/>
              </w:rPr>
              <w:t>2</w:t>
            </w:r>
            <w:r>
              <w:rPr>
                <w:rFonts w:eastAsia="宋体"/>
                <w:color w:val="auto"/>
              </w:rPr>
              <w:t>1</w:t>
            </w:r>
          </w:p>
        </w:tc>
        <w:tc>
          <w:tcPr>
            <w:tcW w:w="1022" w:type="pct"/>
            <w:vAlign w:val="center"/>
          </w:tcPr>
          <w:p w14:paraId="2310986E">
            <w:pPr>
              <w:pStyle w:val="288"/>
              <w:adjustRightInd w:val="0"/>
              <w:snapToGrid w:val="0"/>
              <w:spacing w:line="300" w:lineRule="exact"/>
              <w:rPr>
                <w:rFonts w:hint="eastAsia" w:eastAsia="宋体"/>
                <w:color w:val="auto"/>
              </w:rPr>
            </w:pPr>
            <w:r>
              <w:rPr>
                <w:rFonts w:hint="eastAsia" w:eastAsia="宋体"/>
                <w:color w:val="auto"/>
              </w:rPr>
              <w:t>总大肠菌群</w:t>
            </w:r>
          </w:p>
        </w:tc>
        <w:tc>
          <w:tcPr>
            <w:tcW w:w="986" w:type="pct"/>
          </w:tcPr>
          <w:p w14:paraId="4EB48063">
            <w:pPr>
              <w:pStyle w:val="288"/>
              <w:adjustRightInd w:val="0"/>
              <w:snapToGrid w:val="0"/>
              <w:spacing w:line="300" w:lineRule="exact"/>
              <w:rPr>
                <w:rFonts w:hint="eastAsia" w:eastAsia="宋体"/>
                <w:color w:val="auto"/>
              </w:rPr>
            </w:pPr>
            <w:r>
              <w:rPr>
                <w:rFonts w:hint="eastAsia" w:eastAsia="宋体" w:cs="宋体"/>
                <w:color w:val="auto"/>
              </w:rPr>
              <w:t>≤3</w:t>
            </w:r>
            <w:r>
              <w:rPr>
                <w:rFonts w:eastAsia="宋体" w:cs="宋体"/>
                <w:color w:val="auto"/>
              </w:rPr>
              <w:t>.0</w:t>
            </w:r>
          </w:p>
        </w:tc>
      </w:tr>
      <w:tr w14:paraId="6C59C2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6" w:type="pct"/>
            <w:vAlign w:val="center"/>
          </w:tcPr>
          <w:p w14:paraId="1FFF3168">
            <w:pPr>
              <w:pStyle w:val="288"/>
              <w:adjustRightInd w:val="0"/>
              <w:snapToGrid w:val="0"/>
              <w:spacing w:line="300" w:lineRule="exact"/>
              <w:rPr>
                <w:rFonts w:hint="eastAsia" w:eastAsia="宋体"/>
                <w:color w:val="auto"/>
              </w:rPr>
            </w:pPr>
            <w:r>
              <w:rPr>
                <w:rFonts w:hint="eastAsia" w:eastAsia="宋体"/>
                <w:color w:val="auto"/>
              </w:rPr>
              <w:t>1</w:t>
            </w:r>
            <w:r>
              <w:rPr>
                <w:rFonts w:eastAsia="宋体"/>
                <w:color w:val="auto"/>
              </w:rPr>
              <w:t>0</w:t>
            </w:r>
          </w:p>
        </w:tc>
        <w:tc>
          <w:tcPr>
            <w:tcW w:w="871" w:type="pct"/>
            <w:vAlign w:val="center"/>
          </w:tcPr>
          <w:p w14:paraId="1C171476">
            <w:pPr>
              <w:pStyle w:val="288"/>
              <w:adjustRightInd w:val="0"/>
              <w:snapToGrid w:val="0"/>
              <w:spacing w:line="300" w:lineRule="exact"/>
              <w:rPr>
                <w:rFonts w:hint="eastAsia" w:eastAsia="宋体"/>
                <w:color w:val="auto"/>
              </w:rPr>
            </w:pPr>
            <w:r>
              <w:rPr>
                <w:rFonts w:hint="eastAsia" w:eastAsia="宋体"/>
                <w:color w:val="auto"/>
              </w:rPr>
              <w:t>氟化物</w:t>
            </w:r>
          </w:p>
        </w:tc>
        <w:tc>
          <w:tcPr>
            <w:tcW w:w="872" w:type="pct"/>
          </w:tcPr>
          <w:p w14:paraId="3C78B6C1">
            <w:pPr>
              <w:pStyle w:val="288"/>
              <w:adjustRightInd w:val="0"/>
              <w:snapToGrid w:val="0"/>
              <w:spacing w:line="300" w:lineRule="exact"/>
              <w:rPr>
                <w:rFonts w:hint="eastAsia" w:eastAsia="宋体"/>
                <w:color w:val="auto"/>
              </w:rPr>
            </w:pPr>
            <w:r>
              <w:rPr>
                <w:rFonts w:hint="eastAsia" w:eastAsia="宋体" w:cs="宋体"/>
                <w:color w:val="auto"/>
              </w:rPr>
              <w:t>≤1</w:t>
            </w:r>
            <w:r>
              <w:rPr>
                <w:rFonts w:eastAsia="宋体" w:cs="宋体"/>
                <w:color w:val="auto"/>
              </w:rPr>
              <w:t>.0</w:t>
            </w:r>
          </w:p>
        </w:tc>
        <w:tc>
          <w:tcPr>
            <w:tcW w:w="713" w:type="pct"/>
            <w:vAlign w:val="center"/>
          </w:tcPr>
          <w:p w14:paraId="7E07D351">
            <w:pPr>
              <w:pStyle w:val="288"/>
              <w:adjustRightInd w:val="0"/>
              <w:snapToGrid w:val="0"/>
              <w:spacing w:line="300" w:lineRule="exact"/>
              <w:rPr>
                <w:rFonts w:hint="eastAsia" w:eastAsia="宋体"/>
                <w:color w:val="auto"/>
              </w:rPr>
            </w:pPr>
            <w:r>
              <w:rPr>
                <w:rFonts w:hint="eastAsia" w:eastAsia="宋体"/>
                <w:color w:val="auto"/>
              </w:rPr>
              <w:t>2</w:t>
            </w:r>
            <w:r>
              <w:rPr>
                <w:rFonts w:eastAsia="宋体"/>
                <w:color w:val="auto"/>
              </w:rPr>
              <w:t>2</w:t>
            </w:r>
          </w:p>
        </w:tc>
        <w:tc>
          <w:tcPr>
            <w:tcW w:w="1022" w:type="pct"/>
            <w:vAlign w:val="center"/>
          </w:tcPr>
          <w:p w14:paraId="0D42B607">
            <w:pPr>
              <w:pStyle w:val="288"/>
              <w:adjustRightInd w:val="0"/>
              <w:snapToGrid w:val="0"/>
              <w:spacing w:line="300" w:lineRule="exact"/>
              <w:rPr>
                <w:rFonts w:hint="eastAsia" w:eastAsia="宋体"/>
                <w:color w:val="auto"/>
              </w:rPr>
            </w:pPr>
            <w:r>
              <w:rPr>
                <w:rFonts w:hint="eastAsia" w:eastAsia="宋体"/>
                <w:color w:val="auto"/>
              </w:rPr>
              <w:t>菌落总数</w:t>
            </w:r>
          </w:p>
        </w:tc>
        <w:tc>
          <w:tcPr>
            <w:tcW w:w="986" w:type="pct"/>
          </w:tcPr>
          <w:p w14:paraId="534DD7B9">
            <w:pPr>
              <w:pStyle w:val="288"/>
              <w:adjustRightInd w:val="0"/>
              <w:snapToGrid w:val="0"/>
              <w:spacing w:line="300" w:lineRule="exact"/>
              <w:rPr>
                <w:rFonts w:hint="eastAsia" w:eastAsia="宋体"/>
                <w:color w:val="auto"/>
              </w:rPr>
            </w:pPr>
            <w:r>
              <w:rPr>
                <w:rFonts w:hint="eastAsia" w:eastAsia="宋体" w:cs="宋体"/>
                <w:color w:val="auto"/>
              </w:rPr>
              <w:t>≤1</w:t>
            </w:r>
            <w:r>
              <w:rPr>
                <w:rFonts w:eastAsia="宋体" w:cs="宋体"/>
                <w:color w:val="auto"/>
              </w:rPr>
              <w:t>00</w:t>
            </w:r>
          </w:p>
        </w:tc>
      </w:tr>
      <w:tr w14:paraId="19FF79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6" w:type="pct"/>
            <w:vAlign w:val="center"/>
          </w:tcPr>
          <w:p w14:paraId="4A81D0FC">
            <w:pPr>
              <w:pStyle w:val="288"/>
              <w:adjustRightInd w:val="0"/>
              <w:snapToGrid w:val="0"/>
              <w:spacing w:line="300" w:lineRule="exact"/>
              <w:rPr>
                <w:rFonts w:hint="eastAsia" w:eastAsia="宋体"/>
                <w:color w:val="auto"/>
              </w:rPr>
            </w:pPr>
            <w:r>
              <w:rPr>
                <w:rFonts w:hint="eastAsia" w:eastAsia="宋体"/>
                <w:color w:val="auto"/>
              </w:rPr>
              <w:t>1</w:t>
            </w:r>
            <w:r>
              <w:rPr>
                <w:rFonts w:eastAsia="宋体"/>
                <w:color w:val="auto"/>
              </w:rPr>
              <w:t>1</w:t>
            </w:r>
          </w:p>
        </w:tc>
        <w:tc>
          <w:tcPr>
            <w:tcW w:w="871" w:type="pct"/>
            <w:vAlign w:val="center"/>
          </w:tcPr>
          <w:p w14:paraId="713B28BD">
            <w:pPr>
              <w:pStyle w:val="288"/>
              <w:adjustRightInd w:val="0"/>
              <w:snapToGrid w:val="0"/>
              <w:spacing w:line="300" w:lineRule="exact"/>
              <w:rPr>
                <w:rFonts w:hint="eastAsia" w:eastAsia="宋体"/>
                <w:color w:val="auto"/>
              </w:rPr>
            </w:pPr>
            <w:r>
              <w:rPr>
                <w:rFonts w:hint="eastAsia" w:eastAsia="宋体"/>
                <w:color w:val="auto"/>
              </w:rPr>
              <w:t>氰化物</w:t>
            </w:r>
          </w:p>
        </w:tc>
        <w:tc>
          <w:tcPr>
            <w:tcW w:w="872" w:type="pct"/>
          </w:tcPr>
          <w:p w14:paraId="0596C8A9">
            <w:pPr>
              <w:pStyle w:val="288"/>
              <w:adjustRightInd w:val="0"/>
              <w:snapToGrid w:val="0"/>
              <w:spacing w:line="300" w:lineRule="exact"/>
              <w:rPr>
                <w:rFonts w:hint="eastAsia" w:eastAsia="宋体" w:cs="宋体"/>
                <w:color w:val="auto"/>
              </w:rPr>
            </w:pPr>
            <w:r>
              <w:rPr>
                <w:rFonts w:hint="eastAsia" w:eastAsia="宋体" w:cs="宋体"/>
                <w:color w:val="auto"/>
              </w:rPr>
              <w:t>≤0</w:t>
            </w:r>
            <w:r>
              <w:rPr>
                <w:rFonts w:eastAsia="宋体" w:cs="宋体"/>
                <w:color w:val="auto"/>
              </w:rPr>
              <w:t>.05</w:t>
            </w:r>
          </w:p>
        </w:tc>
        <w:tc>
          <w:tcPr>
            <w:tcW w:w="713" w:type="pct"/>
            <w:vAlign w:val="center"/>
          </w:tcPr>
          <w:p w14:paraId="049CA163">
            <w:pPr>
              <w:pStyle w:val="288"/>
              <w:adjustRightInd w:val="0"/>
              <w:snapToGrid w:val="0"/>
              <w:spacing w:line="300" w:lineRule="exact"/>
              <w:rPr>
                <w:rFonts w:hint="eastAsia" w:eastAsia="宋体"/>
                <w:color w:val="auto"/>
              </w:rPr>
            </w:pPr>
            <w:r>
              <w:rPr>
                <w:rFonts w:hint="eastAsia" w:eastAsia="宋体"/>
                <w:color w:val="auto"/>
              </w:rPr>
              <w:t>2</w:t>
            </w:r>
            <w:r>
              <w:rPr>
                <w:rFonts w:eastAsia="宋体"/>
                <w:color w:val="auto"/>
              </w:rPr>
              <w:t>3</w:t>
            </w:r>
          </w:p>
        </w:tc>
        <w:tc>
          <w:tcPr>
            <w:tcW w:w="1022" w:type="pct"/>
            <w:vAlign w:val="center"/>
          </w:tcPr>
          <w:p w14:paraId="07E809F7">
            <w:pPr>
              <w:pStyle w:val="288"/>
              <w:adjustRightInd w:val="0"/>
              <w:snapToGrid w:val="0"/>
              <w:spacing w:line="300" w:lineRule="exact"/>
              <w:rPr>
                <w:rFonts w:hint="eastAsia" w:eastAsia="宋体"/>
                <w:color w:val="auto"/>
              </w:rPr>
            </w:pPr>
            <w:r>
              <w:rPr>
                <w:rFonts w:hint="eastAsia" w:eastAsia="宋体"/>
                <w:color w:val="auto"/>
              </w:rPr>
              <w:t>钠</w:t>
            </w:r>
          </w:p>
        </w:tc>
        <w:tc>
          <w:tcPr>
            <w:tcW w:w="986" w:type="pct"/>
          </w:tcPr>
          <w:p w14:paraId="6BD308A4">
            <w:pPr>
              <w:pStyle w:val="288"/>
              <w:adjustRightInd w:val="0"/>
              <w:snapToGrid w:val="0"/>
              <w:spacing w:line="300" w:lineRule="exact"/>
              <w:rPr>
                <w:rFonts w:hint="eastAsia" w:eastAsia="宋体" w:cs="宋体"/>
                <w:color w:val="auto"/>
              </w:rPr>
            </w:pPr>
            <w:r>
              <w:rPr>
                <w:rFonts w:hint="eastAsia" w:eastAsia="宋体" w:cs="宋体"/>
                <w:color w:val="auto"/>
              </w:rPr>
              <w:t>≤2</w:t>
            </w:r>
            <w:r>
              <w:rPr>
                <w:rFonts w:eastAsia="宋体" w:cs="宋体"/>
                <w:color w:val="auto"/>
              </w:rPr>
              <w:t>00</w:t>
            </w:r>
          </w:p>
        </w:tc>
      </w:tr>
      <w:tr w14:paraId="12037E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36" w:type="pct"/>
            <w:vAlign w:val="center"/>
          </w:tcPr>
          <w:p w14:paraId="78E35D56">
            <w:pPr>
              <w:pStyle w:val="288"/>
              <w:adjustRightInd w:val="0"/>
              <w:snapToGrid w:val="0"/>
              <w:spacing w:line="300" w:lineRule="exact"/>
              <w:rPr>
                <w:rFonts w:hint="eastAsia" w:eastAsia="宋体"/>
                <w:color w:val="auto"/>
              </w:rPr>
            </w:pPr>
            <w:r>
              <w:rPr>
                <w:rFonts w:hint="eastAsia" w:eastAsia="宋体"/>
                <w:color w:val="auto"/>
              </w:rPr>
              <w:t>1</w:t>
            </w:r>
            <w:r>
              <w:rPr>
                <w:rFonts w:eastAsia="宋体"/>
                <w:color w:val="auto"/>
              </w:rPr>
              <w:t>2</w:t>
            </w:r>
          </w:p>
        </w:tc>
        <w:tc>
          <w:tcPr>
            <w:tcW w:w="871" w:type="pct"/>
            <w:vAlign w:val="center"/>
          </w:tcPr>
          <w:p w14:paraId="4580924B">
            <w:pPr>
              <w:pStyle w:val="288"/>
              <w:adjustRightInd w:val="0"/>
              <w:snapToGrid w:val="0"/>
              <w:spacing w:line="300" w:lineRule="exact"/>
              <w:rPr>
                <w:rFonts w:hint="eastAsia" w:eastAsia="宋体"/>
                <w:color w:val="auto"/>
              </w:rPr>
            </w:pPr>
            <w:r>
              <w:rPr>
                <w:rFonts w:hint="eastAsia" w:eastAsia="宋体"/>
                <w:color w:val="auto"/>
              </w:rPr>
              <w:t>挥发酚</w:t>
            </w:r>
          </w:p>
        </w:tc>
        <w:tc>
          <w:tcPr>
            <w:tcW w:w="872" w:type="pct"/>
          </w:tcPr>
          <w:p w14:paraId="7079305E">
            <w:pPr>
              <w:pStyle w:val="288"/>
              <w:adjustRightInd w:val="0"/>
              <w:snapToGrid w:val="0"/>
              <w:spacing w:line="300" w:lineRule="exact"/>
              <w:rPr>
                <w:rFonts w:hint="eastAsia" w:eastAsia="宋体" w:cs="宋体"/>
                <w:color w:val="auto"/>
              </w:rPr>
            </w:pPr>
            <w:r>
              <w:rPr>
                <w:rFonts w:hint="eastAsia" w:eastAsia="宋体" w:cs="宋体"/>
                <w:color w:val="auto"/>
              </w:rPr>
              <w:t>≤0</w:t>
            </w:r>
            <w:r>
              <w:rPr>
                <w:rFonts w:eastAsia="宋体" w:cs="宋体"/>
                <w:color w:val="auto"/>
              </w:rPr>
              <w:t>.002</w:t>
            </w:r>
          </w:p>
        </w:tc>
        <w:tc>
          <w:tcPr>
            <w:tcW w:w="713" w:type="pct"/>
            <w:vAlign w:val="center"/>
          </w:tcPr>
          <w:p w14:paraId="74418047">
            <w:pPr>
              <w:pStyle w:val="288"/>
              <w:adjustRightInd w:val="0"/>
              <w:snapToGrid w:val="0"/>
              <w:spacing w:line="300" w:lineRule="exact"/>
              <w:rPr>
                <w:rFonts w:hint="eastAsia" w:eastAsia="宋体"/>
                <w:color w:val="auto"/>
              </w:rPr>
            </w:pPr>
            <w:r>
              <w:rPr>
                <w:rFonts w:hint="eastAsia" w:eastAsia="宋体"/>
                <w:color w:val="auto"/>
              </w:rPr>
              <w:t>2</w:t>
            </w:r>
            <w:r>
              <w:rPr>
                <w:rFonts w:eastAsia="宋体"/>
                <w:color w:val="auto"/>
              </w:rPr>
              <w:t>4</w:t>
            </w:r>
          </w:p>
        </w:tc>
        <w:tc>
          <w:tcPr>
            <w:tcW w:w="1022" w:type="pct"/>
            <w:vAlign w:val="center"/>
          </w:tcPr>
          <w:p w14:paraId="0FE326FF">
            <w:pPr>
              <w:pStyle w:val="288"/>
              <w:adjustRightInd w:val="0"/>
              <w:snapToGrid w:val="0"/>
              <w:spacing w:line="300" w:lineRule="exact"/>
              <w:rPr>
                <w:rFonts w:hint="eastAsia" w:eastAsia="宋体"/>
                <w:color w:val="auto"/>
              </w:rPr>
            </w:pPr>
            <w:r>
              <w:rPr>
                <w:rFonts w:hint="eastAsia" w:eastAsia="宋体"/>
                <w:color w:val="auto"/>
              </w:rPr>
              <w:t>硫化物</w:t>
            </w:r>
          </w:p>
        </w:tc>
        <w:tc>
          <w:tcPr>
            <w:tcW w:w="986" w:type="pct"/>
          </w:tcPr>
          <w:p w14:paraId="185BBA37">
            <w:pPr>
              <w:pStyle w:val="288"/>
              <w:adjustRightInd w:val="0"/>
              <w:snapToGrid w:val="0"/>
              <w:spacing w:line="300" w:lineRule="exact"/>
              <w:rPr>
                <w:rFonts w:hint="eastAsia" w:eastAsia="宋体" w:cs="宋体"/>
                <w:color w:val="auto"/>
              </w:rPr>
            </w:pPr>
            <w:r>
              <w:rPr>
                <w:rFonts w:hint="eastAsia" w:eastAsia="宋体" w:cs="宋体"/>
                <w:color w:val="auto"/>
              </w:rPr>
              <w:t>≤0</w:t>
            </w:r>
            <w:r>
              <w:rPr>
                <w:rFonts w:eastAsia="宋体" w:cs="宋体"/>
                <w:color w:val="auto"/>
              </w:rPr>
              <w:t>.02</w:t>
            </w:r>
          </w:p>
        </w:tc>
      </w:tr>
    </w:tbl>
    <w:p w14:paraId="2B1C1995">
      <w:pPr>
        <w:pStyle w:val="86"/>
        <w:ind w:firstLine="480"/>
        <w:rPr>
          <w:rFonts w:hint="eastAsia"/>
          <w:color w:val="auto"/>
        </w:rPr>
      </w:pPr>
      <w:r>
        <w:rPr>
          <w:rFonts w:hint="eastAsia"/>
          <w:color w:val="auto"/>
        </w:rPr>
        <w:t>③</w:t>
      </w:r>
      <w:r>
        <w:rPr>
          <w:color w:val="auto"/>
        </w:rPr>
        <w:t>声环境</w:t>
      </w:r>
    </w:p>
    <w:p w14:paraId="700E41D7">
      <w:pPr>
        <w:pStyle w:val="86"/>
        <w:ind w:firstLine="480"/>
        <w:rPr>
          <w:rFonts w:hint="eastAsia"/>
          <w:color w:val="auto"/>
          <w:kern w:val="0"/>
        </w:rPr>
      </w:pPr>
      <w:r>
        <w:rPr>
          <w:rFonts w:hint="eastAsia"/>
          <w:color w:val="auto"/>
          <w:kern w:val="0"/>
        </w:rPr>
        <w:t>声环境质量</w:t>
      </w:r>
      <w:r>
        <w:rPr>
          <w:color w:val="auto"/>
          <w:kern w:val="0"/>
        </w:rPr>
        <w:t>执行《声环境质量标准》（GB3096-2008）2类</w:t>
      </w:r>
      <w:r>
        <w:rPr>
          <w:rFonts w:hint="eastAsia"/>
          <w:color w:val="auto"/>
          <w:kern w:val="0"/>
        </w:rPr>
        <w:t>区</w:t>
      </w:r>
      <w:r>
        <w:rPr>
          <w:color w:val="auto"/>
          <w:kern w:val="0"/>
        </w:rPr>
        <w:t>限值，</w:t>
      </w:r>
      <w:r>
        <w:rPr>
          <w:rFonts w:hint="eastAsia"/>
          <w:color w:val="auto"/>
          <w:kern w:val="0"/>
        </w:rPr>
        <w:t>详</w:t>
      </w:r>
      <w:r>
        <w:rPr>
          <w:color w:val="auto"/>
          <w:kern w:val="0"/>
        </w:rPr>
        <w:t>见</w:t>
      </w:r>
      <w:r>
        <w:rPr>
          <w:rFonts w:hint="eastAsia"/>
          <w:color w:val="auto"/>
        </w:rPr>
        <w:t>表</w:t>
      </w:r>
      <w:r>
        <w:rPr>
          <w:color w:val="auto"/>
        </w:rPr>
        <w:t>2.5</w:t>
      </w:r>
      <w:r>
        <w:rPr>
          <w:rFonts w:hint="eastAsia"/>
          <w:color w:val="auto"/>
        </w:rPr>
        <w:t>-</w:t>
      </w:r>
      <w:r>
        <w:rPr>
          <w:color w:val="auto"/>
        </w:rPr>
        <w:t>4</w:t>
      </w:r>
      <w:r>
        <w:rPr>
          <w:rFonts w:hint="eastAsia"/>
          <w:color w:val="auto"/>
          <w:kern w:val="0"/>
        </w:rPr>
        <w:t>。</w:t>
      </w:r>
    </w:p>
    <w:p w14:paraId="6E00D7B4">
      <w:pPr>
        <w:pStyle w:val="15"/>
        <w:rPr>
          <w:rFonts w:hint="eastAsia"/>
          <w:color w:val="auto"/>
        </w:rPr>
      </w:pPr>
      <w:r>
        <w:rPr>
          <w:rFonts w:hint="eastAsia"/>
          <w:color w:val="auto"/>
        </w:rPr>
        <w:t>表</w:t>
      </w:r>
      <w:r>
        <w:rPr>
          <w:color w:val="auto"/>
        </w:rPr>
        <w:t>2.5</w:t>
      </w:r>
      <w:r>
        <w:rPr>
          <w:rFonts w:hint="eastAsia"/>
          <w:color w:val="auto"/>
        </w:rPr>
        <w:t>-</w:t>
      </w:r>
      <w:r>
        <w:rPr>
          <w:color w:val="auto"/>
        </w:rPr>
        <w:t>4</w:t>
      </w:r>
      <w:r>
        <w:rPr>
          <w:rFonts w:hint="eastAsia"/>
          <w:color w:val="auto"/>
        </w:rPr>
        <w:t xml:space="preserve">  </w:t>
      </w:r>
      <w:r>
        <w:rPr>
          <w:color w:val="auto"/>
        </w:rPr>
        <w:t>声环境质量</w:t>
      </w:r>
      <w:r>
        <w:rPr>
          <w:rFonts w:hint="eastAsia"/>
          <w:color w:val="auto"/>
        </w:rPr>
        <w:t>评价</w:t>
      </w:r>
      <w:r>
        <w:rPr>
          <w:color w:val="auto"/>
        </w:rPr>
        <w:t>标准</w:t>
      </w:r>
      <w:r>
        <w:rPr>
          <w:rFonts w:hint="eastAsia"/>
          <w:color w:val="auto"/>
        </w:rPr>
        <w:t>一览表</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140"/>
        <w:gridCol w:w="2128"/>
        <w:gridCol w:w="2149"/>
        <w:gridCol w:w="2369"/>
      </w:tblGrid>
      <w:tr w14:paraId="43E2E3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40" w:type="dxa"/>
            <w:vMerge w:val="restart"/>
            <w:vAlign w:val="center"/>
          </w:tcPr>
          <w:p w14:paraId="3160054F">
            <w:pPr>
              <w:pStyle w:val="296"/>
              <w:adjustRightInd w:val="0"/>
              <w:snapToGrid w:val="0"/>
              <w:spacing w:line="300" w:lineRule="exact"/>
              <w:rPr>
                <w:rFonts w:hint="eastAsia" w:cs="宋体"/>
                <w:color w:val="auto"/>
              </w:rPr>
            </w:pPr>
            <w:r>
              <w:rPr>
                <w:rFonts w:hint="eastAsia" w:cs="宋体"/>
                <w:color w:val="auto"/>
              </w:rPr>
              <w:t>评价因子</w:t>
            </w:r>
          </w:p>
        </w:tc>
        <w:tc>
          <w:tcPr>
            <w:tcW w:w="4277" w:type="dxa"/>
            <w:gridSpan w:val="2"/>
            <w:vAlign w:val="center"/>
          </w:tcPr>
          <w:p w14:paraId="4BB87759">
            <w:pPr>
              <w:pStyle w:val="296"/>
              <w:adjustRightInd w:val="0"/>
              <w:snapToGrid w:val="0"/>
              <w:spacing w:line="300" w:lineRule="exact"/>
              <w:rPr>
                <w:rFonts w:hint="eastAsia" w:cs="宋体"/>
                <w:color w:val="auto"/>
              </w:rPr>
            </w:pPr>
            <w:r>
              <w:rPr>
                <w:rFonts w:hint="eastAsia" w:cs="宋体"/>
                <w:color w:val="auto"/>
              </w:rPr>
              <w:t>标准值[</w:t>
            </w:r>
            <w:r>
              <w:rPr>
                <w:rFonts w:cs="宋体"/>
                <w:color w:val="auto"/>
              </w:rPr>
              <w:t>dB（A</w:t>
            </w:r>
            <w:r>
              <w:rPr>
                <w:rFonts w:hint="eastAsia" w:cs="宋体"/>
                <w:color w:val="auto"/>
              </w:rPr>
              <w:t>）</w:t>
            </w:r>
            <w:r>
              <w:rPr>
                <w:rFonts w:cs="宋体"/>
                <w:color w:val="auto"/>
              </w:rPr>
              <w:t>]</w:t>
            </w:r>
          </w:p>
        </w:tc>
        <w:tc>
          <w:tcPr>
            <w:tcW w:w="2369" w:type="dxa"/>
            <w:vMerge w:val="restart"/>
            <w:vAlign w:val="center"/>
          </w:tcPr>
          <w:p w14:paraId="7EC76E64">
            <w:pPr>
              <w:pStyle w:val="296"/>
              <w:adjustRightInd w:val="0"/>
              <w:snapToGrid w:val="0"/>
              <w:spacing w:line="300" w:lineRule="exact"/>
              <w:rPr>
                <w:rFonts w:hint="eastAsia" w:cs="宋体"/>
                <w:color w:val="auto"/>
              </w:rPr>
            </w:pPr>
            <w:r>
              <w:rPr>
                <w:rFonts w:hint="eastAsia" w:cs="宋体"/>
                <w:color w:val="auto"/>
              </w:rPr>
              <w:t>标准来源</w:t>
            </w:r>
          </w:p>
        </w:tc>
      </w:tr>
      <w:tr w14:paraId="05595D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40" w:type="dxa"/>
            <w:vMerge w:val="continue"/>
            <w:vAlign w:val="center"/>
          </w:tcPr>
          <w:p w14:paraId="722EF7CB">
            <w:pPr>
              <w:pStyle w:val="296"/>
              <w:adjustRightInd w:val="0"/>
              <w:snapToGrid w:val="0"/>
              <w:spacing w:line="300" w:lineRule="exact"/>
              <w:rPr>
                <w:rFonts w:hint="eastAsia" w:cs="宋体"/>
                <w:color w:val="auto"/>
              </w:rPr>
            </w:pPr>
          </w:p>
        </w:tc>
        <w:tc>
          <w:tcPr>
            <w:tcW w:w="2128" w:type="dxa"/>
            <w:vAlign w:val="center"/>
          </w:tcPr>
          <w:p w14:paraId="0EE50C0D">
            <w:pPr>
              <w:pStyle w:val="296"/>
              <w:adjustRightInd w:val="0"/>
              <w:snapToGrid w:val="0"/>
              <w:spacing w:line="300" w:lineRule="exact"/>
              <w:rPr>
                <w:rFonts w:hint="eastAsia" w:cs="宋体"/>
                <w:color w:val="auto"/>
              </w:rPr>
            </w:pPr>
            <w:r>
              <w:rPr>
                <w:rFonts w:hint="eastAsia" w:cs="宋体"/>
                <w:color w:val="auto"/>
              </w:rPr>
              <w:t>昼间</w:t>
            </w:r>
          </w:p>
        </w:tc>
        <w:tc>
          <w:tcPr>
            <w:tcW w:w="2149" w:type="dxa"/>
            <w:vAlign w:val="center"/>
          </w:tcPr>
          <w:p w14:paraId="040C1862">
            <w:pPr>
              <w:pStyle w:val="296"/>
              <w:adjustRightInd w:val="0"/>
              <w:snapToGrid w:val="0"/>
              <w:spacing w:line="300" w:lineRule="exact"/>
              <w:rPr>
                <w:rFonts w:hint="eastAsia" w:cs="宋体"/>
                <w:color w:val="auto"/>
              </w:rPr>
            </w:pPr>
            <w:r>
              <w:rPr>
                <w:rFonts w:hint="eastAsia" w:cs="宋体"/>
                <w:color w:val="auto"/>
              </w:rPr>
              <w:t>夜间</w:t>
            </w:r>
          </w:p>
        </w:tc>
        <w:tc>
          <w:tcPr>
            <w:tcW w:w="2369" w:type="dxa"/>
            <w:vMerge w:val="continue"/>
            <w:vAlign w:val="center"/>
          </w:tcPr>
          <w:p w14:paraId="5F1009EB">
            <w:pPr>
              <w:pStyle w:val="296"/>
              <w:adjustRightInd w:val="0"/>
              <w:snapToGrid w:val="0"/>
              <w:spacing w:line="300" w:lineRule="exact"/>
              <w:rPr>
                <w:rFonts w:hint="eastAsia" w:cs="宋体"/>
                <w:color w:val="auto"/>
              </w:rPr>
            </w:pPr>
          </w:p>
        </w:tc>
      </w:tr>
      <w:tr w14:paraId="723A09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40" w:type="dxa"/>
            <w:vAlign w:val="center"/>
          </w:tcPr>
          <w:p w14:paraId="5066DA9D">
            <w:pPr>
              <w:pStyle w:val="296"/>
              <w:adjustRightInd w:val="0"/>
              <w:snapToGrid w:val="0"/>
              <w:spacing w:line="300" w:lineRule="exact"/>
              <w:rPr>
                <w:rFonts w:hint="eastAsia" w:cs="宋体"/>
                <w:color w:val="auto"/>
              </w:rPr>
            </w:pPr>
            <w:r>
              <w:rPr>
                <w:rFonts w:hint="eastAsia" w:cs="宋体"/>
                <w:color w:val="auto"/>
              </w:rPr>
              <w:t>等效连续</w:t>
            </w:r>
            <w:r>
              <w:rPr>
                <w:rFonts w:cs="宋体"/>
                <w:color w:val="auto"/>
              </w:rPr>
              <w:t>A</w:t>
            </w:r>
            <w:r>
              <w:rPr>
                <w:rFonts w:hint="eastAsia" w:cs="宋体"/>
                <w:color w:val="auto"/>
              </w:rPr>
              <w:t>声级</w:t>
            </w:r>
          </w:p>
        </w:tc>
        <w:tc>
          <w:tcPr>
            <w:tcW w:w="2128" w:type="dxa"/>
            <w:vAlign w:val="center"/>
          </w:tcPr>
          <w:p w14:paraId="14DDA48F">
            <w:pPr>
              <w:pStyle w:val="296"/>
              <w:adjustRightInd w:val="0"/>
              <w:snapToGrid w:val="0"/>
              <w:spacing w:line="300" w:lineRule="exact"/>
              <w:rPr>
                <w:rFonts w:hint="eastAsia" w:cs="宋体"/>
                <w:color w:val="auto"/>
              </w:rPr>
            </w:pPr>
            <w:r>
              <w:rPr>
                <w:rFonts w:cs="宋体"/>
                <w:color w:val="auto"/>
              </w:rPr>
              <w:t>60</w:t>
            </w:r>
          </w:p>
        </w:tc>
        <w:tc>
          <w:tcPr>
            <w:tcW w:w="2149" w:type="dxa"/>
            <w:vAlign w:val="center"/>
          </w:tcPr>
          <w:p w14:paraId="15FECE87">
            <w:pPr>
              <w:pStyle w:val="296"/>
              <w:adjustRightInd w:val="0"/>
              <w:snapToGrid w:val="0"/>
              <w:spacing w:line="300" w:lineRule="exact"/>
              <w:rPr>
                <w:rFonts w:hint="eastAsia" w:cs="宋体"/>
                <w:color w:val="auto"/>
              </w:rPr>
            </w:pPr>
            <w:r>
              <w:rPr>
                <w:rFonts w:cs="宋体"/>
                <w:color w:val="auto"/>
              </w:rPr>
              <w:t>50</w:t>
            </w:r>
          </w:p>
        </w:tc>
        <w:tc>
          <w:tcPr>
            <w:tcW w:w="2369" w:type="dxa"/>
            <w:vAlign w:val="center"/>
          </w:tcPr>
          <w:p w14:paraId="6B45DCF1">
            <w:pPr>
              <w:pStyle w:val="296"/>
              <w:adjustRightInd w:val="0"/>
              <w:snapToGrid w:val="0"/>
              <w:spacing w:line="300" w:lineRule="exact"/>
              <w:rPr>
                <w:rFonts w:hint="eastAsia" w:cs="宋体"/>
                <w:color w:val="auto"/>
              </w:rPr>
            </w:pPr>
            <w:r>
              <w:rPr>
                <w:rFonts w:cs="宋体"/>
                <w:color w:val="auto"/>
              </w:rPr>
              <w:t>GB3096-2008 2</w:t>
            </w:r>
            <w:r>
              <w:rPr>
                <w:rFonts w:hint="eastAsia" w:cs="宋体"/>
                <w:color w:val="auto"/>
              </w:rPr>
              <w:t>类</w:t>
            </w:r>
          </w:p>
        </w:tc>
      </w:tr>
    </w:tbl>
    <w:p w14:paraId="3797E2A8">
      <w:pPr>
        <w:pStyle w:val="86"/>
        <w:ind w:firstLine="480"/>
        <w:rPr>
          <w:rFonts w:hint="eastAsia"/>
          <w:color w:val="auto"/>
        </w:rPr>
      </w:pPr>
      <w:r>
        <w:rPr>
          <w:rFonts w:hint="eastAsia"/>
          <w:color w:val="auto"/>
        </w:rPr>
        <w:t>④土壤</w:t>
      </w:r>
      <w:r>
        <w:rPr>
          <w:color w:val="auto"/>
        </w:rPr>
        <w:t>环境</w:t>
      </w:r>
    </w:p>
    <w:p w14:paraId="58DF1C60">
      <w:pPr>
        <w:pStyle w:val="86"/>
        <w:ind w:firstLine="480"/>
        <w:rPr>
          <w:rFonts w:hint="eastAsia"/>
          <w:color w:val="auto"/>
          <w:szCs w:val="20"/>
        </w:rPr>
      </w:pPr>
      <w:r>
        <w:rPr>
          <w:rFonts w:hint="eastAsia"/>
          <w:color w:val="auto"/>
          <w:szCs w:val="20"/>
        </w:rPr>
        <w:t>土壤环境质量执行《土壤环境质量</w:t>
      </w:r>
      <w:r>
        <w:rPr>
          <w:color w:val="auto"/>
          <w:szCs w:val="20"/>
        </w:rPr>
        <w:t xml:space="preserve">  </w:t>
      </w:r>
      <w:r>
        <w:rPr>
          <w:rFonts w:hint="eastAsia"/>
          <w:color w:val="auto"/>
          <w:szCs w:val="20"/>
        </w:rPr>
        <w:t>建设用地土壤污染风险管控标准（试行）》（</w:t>
      </w:r>
      <w:r>
        <w:rPr>
          <w:color w:val="auto"/>
          <w:szCs w:val="20"/>
        </w:rPr>
        <w:t>GB36600-2018</w:t>
      </w:r>
      <w:r>
        <w:rPr>
          <w:rFonts w:hint="eastAsia"/>
          <w:color w:val="auto"/>
          <w:szCs w:val="20"/>
        </w:rPr>
        <w:t>）中第二类用地筛选值，标准限值见表</w:t>
      </w:r>
      <w:r>
        <w:rPr>
          <w:color w:val="auto"/>
          <w:szCs w:val="20"/>
        </w:rPr>
        <w:t>2.5</w:t>
      </w:r>
      <w:r>
        <w:rPr>
          <w:rFonts w:hint="eastAsia"/>
          <w:color w:val="auto"/>
          <w:szCs w:val="20"/>
        </w:rPr>
        <w:t>-</w:t>
      </w:r>
      <w:r>
        <w:rPr>
          <w:color w:val="auto"/>
          <w:szCs w:val="20"/>
        </w:rPr>
        <w:t>5</w:t>
      </w:r>
      <w:r>
        <w:rPr>
          <w:rFonts w:hint="eastAsia"/>
          <w:color w:val="auto"/>
          <w:szCs w:val="20"/>
        </w:rPr>
        <w:t>。</w:t>
      </w:r>
    </w:p>
    <w:p w14:paraId="02506472">
      <w:pPr>
        <w:pStyle w:val="15"/>
        <w:rPr>
          <w:rFonts w:hint="eastAsia"/>
          <w:color w:val="auto"/>
        </w:rPr>
      </w:pPr>
      <w:r>
        <w:rPr>
          <w:rFonts w:hint="eastAsia"/>
          <w:color w:val="auto"/>
        </w:rPr>
        <w:t>表</w:t>
      </w:r>
      <w:r>
        <w:rPr>
          <w:color w:val="auto"/>
        </w:rPr>
        <w:t>2.5</w:t>
      </w:r>
      <w:r>
        <w:rPr>
          <w:rFonts w:hint="eastAsia"/>
          <w:color w:val="auto"/>
        </w:rPr>
        <w:t>-</w:t>
      </w:r>
      <w:r>
        <w:rPr>
          <w:color w:val="auto"/>
        </w:rPr>
        <w:t>5</w:t>
      </w:r>
      <w:r>
        <w:rPr>
          <w:rFonts w:hint="eastAsia"/>
          <w:color w:val="auto"/>
        </w:rPr>
        <w:t xml:space="preserve"> </w:t>
      </w:r>
      <w:r>
        <w:rPr>
          <w:color w:val="auto"/>
        </w:rPr>
        <w:t xml:space="preserve"> 土壤环境质量评价标准一览表</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63"/>
        <w:gridCol w:w="1950"/>
        <w:gridCol w:w="1531"/>
        <w:gridCol w:w="1114"/>
        <w:gridCol w:w="2075"/>
        <w:gridCol w:w="1453"/>
      </w:tblGrid>
      <w:tr w14:paraId="41BE1A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blHeader/>
          <w:jc w:val="center"/>
        </w:trPr>
        <w:tc>
          <w:tcPr>
            <w:tcW w:w="663" w:type="dxa"/>
            <w:vAlign w:val="center"/>
          </w:tcPr>
          <w:p w14:paraId="612A2D86">
            <w:pPr>
              <w:pStyle w:val="296"/>
              <w:adjustRightInd w:val="0"/>
              <w:snapToGrid w:val="0"/>
              <w:spacing w:line="300" w:lineRule="exact"/>
              <w:rPr>
                <w:rFonts w:hint="eastAsia" w:cs="宋体"/>
                <w:color w:val="auto"/>
              </w:rPr>
            </w:pPr>
            <w:r>
              <w:rPr>
                <w:rFonts w:hint="eastAsia" w:cs="宋体"/>
                <w:color w:val="auto"/>
              </w:rPr>
              <w:t>序号</w:t>
            </w:r>
          </w:p>
        </w:tc>
        <w:tc>
          <w:tcPr>
            <w:tcW w:w="1950" w:type="dxa"/>
            <w:vAlign w:val="center"/>
          </w:tcPr>
          <w:p w14:paraId="2A214BCB">
            <w:pPr>
              <w:pStyle w:val="296"/>
              <w:adjustRightInd w:val="0"/>
              <w:snapToGrid w:val="0"/>
              <w:spacing w:line="300" w:lineRule="exact"/>
              <w:rPr>
                <w:rFonts w:hint="eastAsia" w:cs="宋体"/>
                <w:color w:val="auto"/>
              </w:rPr>
            </w:pPr>
            <w:r>
              <w:rPr>
                <w:rFonts w:hint="eastAsia" w:cs="宋体"/>
                <w:color w:val="auto"/>
              </w:rPr>
              <w:t>污染物项目</w:t>
            </w:r>
          </w:p>
        </w:tc>
        <w:tc>
          <w:tcPr>
            <w:tcW w:w="1531" w:type="dxa"/>
            <w:vAlign w:val="center"/>
          </w:tcPr>
          <w:p w14:paraId="5A657A9E">
            <w:pPr>
              <w:pStyle w:val="296"/>
              <w:adjustRightInd w:val="0"/>
              <w:snapToGrid w:val="0"/>
              <w:spacing w:line="300" w:lineRule="exact"/>
              <w:rPr>
                <w:rFonts w:hint="eastAsia" w:cs="宋体"/>
                <w:color w:val="auto"/>
              </w:rPr>
            </w:pPr>
            <w:r>
              <w:rPr>
                <w:rFonts w:hint="eastAsia" w:cs="宋体"/>
                <w:color w:val="auto"/>
              </w:rPr>
              <w:t>第二类用地筛选值（mg/kg）</w:t>
            </w:r>
          </w:p>
        </w:tc>
        <w:tc>
          <w:tcPr>
            <w:tcW w:w="1114" w:type="dxa"/>
            <w:vAlign w:val="center"/>
          </w:tcPr>
          <w:p w14:paraId="021DF15E">
            <w:pPr>
              <w:pStyle w:val="296"/>
              <w:adjustRightInd w:val="0"/>
              <w:snapToGrid w:val="0"/>
              <w:spacing w:line="300" w:lineRule="exact"/>
              <w:rPr>
                <w:rFonts w:hint="eastAsia" w:cs="宋体"/>
                <w:color w:val="auto"/>
              </w:rPr>
            </w:pPr>
            <w:r>
              <w:rPr>
                <w:rFonts w:hint="eastAsia" w:cs="宋体"/>
                <w:color w:val="auto"/>
              </w:rPr>
              <w:t>序号</w:t>
            </w:r>
          </w:p>
        </w:tc>
        <w:tc>
          <w:tcPr>
            <w:tcW w:w="2075" w:type="dxa"/>
            <w:vAlign w:val="center"/>
          </w:tcPr>
          <w:p w14:paraId="51C16130">
            <w:pPr>
              <w:pStyle w:val="296"/>
              <w:adjustRightInd w:val="0"/>
              <w:snapToGrid w:val="0"/>
              <w:spacing w:line="300" w:lineRule="exact"/>
              <w:rPr>
                <w:rFonts w:hint="eastAsia" w:cs="宋体"/>
                <w:color w:val="auto"/>
              </w:rPr>
            </w:pPr>
            <w:r>
              <w:rPr>
                <w:rFonts w:hint="eastAsia" w:cs="宋体"/>
                <w:color w:val="auto"/>
              </w:rPr>
              <w:t>污染物项目</w:t>
            </w:r>
          </w:p>
        </w:tc>
        <w:tc>
          <w:tcPr>
            <w:tcW w:w="1453" w:type="dxa"/>
            <w:vAlign w:val="center"/>
          </w:tcPr>
          <w:p w14:paraId="02BA5791">
            <w:pPr>
              <w:pStyle w:val="296"/>
              <w:adjustRightInd w:val="0"/>
              <w:snapToGrid w:val="0"/>
              <w:spacing w:line="300" w:lineRule="exact"/>
              <w:rPr>
                <w:rFonts w:hint="eastAsia" w:cs="宋体"/>
                <w:color w:val="auto"/>
              </w:rPr>
            </w:pPr>
            <w:r>
              <w:rPr>
                <w:rFonts w:hint="eastAsia" w:cs="宋体"/>
                <w:color w:val="auto"/>
              </w:rPr>
              <w:t>第二类用地筛选值（mg/kg）</w:t>
            </w:r>
          </w:p>
        </w:tc>
      </w:tr>
      <w:tr w14:paraId="320E19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86" w:type="dxa"/>
            <w:gridSpan w:val="6"/>
            <w:vAlign w:val="center"/>
          </w:tcPr>
          <w:p w14:paraId="34FB919E">
            <w:pPr>
              <w:pStyle w:val="296"/>
              <w:adjustRightInd w:val="0"/>
              <w:snapToGrid w:val="0"/>
              <w:spacing w:line="300" w:lineRule="exact"/>
              <w:rPr>
                <w:rFonts w:hint="eastAsia" w:cs="宋体"/>
                <w:color w:val="auto"/>
              </w:rPr>
            </w:pPr>
            <w:r>
              <w:rPr>
                <w:rFonts w:hint="eastAsia" w:cs="宋体"/>
                <w:color w:val="auto"/>
              </w:rPr>
              <w:t>基本项目（重金属和无机物）</w:t>
            </w:r>
          </w:p>
        </w:tc>
      </w:tr>
      <w:tr w14:paraId="3A1EB7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6200277B">
            <w:pPr>
              <w:pStyle w:val="296"/>
              <w:adjustRightInd w:val="0"/>
              <w:snapToGrid w:val="0"/>
              <w:spacing w:line="300" w:lineRule="exact"/>
              <w:rPr>
                <w:rFonts w:hint="eastAsia" w:cs="宋体"/>
                <w:color w:val="auto"/>
              </w:rPr>
            </w:pPr>
            <w:r>
              <w:rPr>
                <w:rFonts w:hint="eastAsia" w:cs="宋体"/>
                <w:color w:val="auto"/>
              </w:rPr>
              <w:t>1</w:t>
            </w:r>
          </w:p>
        </w:tc>
        <w:tc>
          <w:tcPr>
            <w:tcW w:w="1950" w:type="dxa"/>
            <w:vAlign w:val="center"/>
          </w:tcPr>
          <w:p w14:paraId="3AF7965D">
            <w:pPr>
              <w:pStyle w:val="296"/>
              <w:adjustRightInd w:val="0"/>
              <w:snapToGrid w:val="0"/>
              <w:spacing w:line="300" w:lineRule="exact"/>
              <w:rPr>
                <w:rFonts w:hint="eastAsia" w:cs="宋体"/>
                <w:color w:val="auto"/>
              </w:rPr>
            </w:pPr>
            <w:r>
              <w:rPr>
                <w:rFonts w:hint="eastAsia" w:cs="宋体"/>
                <w:color w:val="auto"/>
              </w:rPr>
              <w:t>砷</w:t>
            </w:r>
          </w:p>
        </w:tc>
        <w:tc>
          <w:tcPr>
            <w:tcW w:w="1531" w:type="dxa"/>
            <w:vAlign w:val="center"/>
          </w:tcPr>
          <w:p w14:paraId="47505137">
            <w:pPr>
              <w:pStyle w:val="296"/>
              <w:adjustRightInd w:val="0"/>
              <w:snapToGrid w:val="0"/>
              <w:spacing w:line="300" w:lineRule="exact"/>
              <w:rPr>
                <w:rFonts w:hint="eastAsia" w:cs="宋体"/>
                <w:color w:val="auto"/>
              </w:rPr>
            </w:pPr>
            <w:r>
              <w:rPr>
                <w:rFonts w:hint="eastAsia" w:cs="宋体"/>
                <w:color w:val="auto"/>
              </w:rPr>
              <w:t>60</w:t>
            </w:r>
          </w:p>
        </w:tc>
        <w:tc>
          <w:tcPr>
            <w:tcW w:w="1114" w:type="dxa"/>
            <w:vAlign w:val="center"/>
          </w:tcPr>
          <w:p w14:paraId="6F48863E">
            <w:pPr>
              <w:pStyle w:val="296"/>
              <w:adjustRightInd w:val="0"/>
              <w:snapToGrid w:val="0"/>
              <w:spacing w:line="300" w:lineRule="exact"/>
              <w:rPr>
                <w:rFonts w:hint="eastAsia" w:cs="宋体"/>
                <w:color w:val="auto"/>
              </w:rPr>
            </w:pPr>
            <w:r>
              <w:rPr>
                <w:rFonts w:hint="eastAsia" w:cs="宋体"/>
                <w:color w:val="auto"/>
              </w:rPr>
              <w:t>5</w:t>
            </w:r>
          </w:p>
        </w:tc>
        <w:tc>
          <w:tcPr>
            <w:tcW w:w="2075" w:type="dxa"/>
            <w:vAlign w:val="center"/>
          </w:tcPr>
          <w:p w14:paraId="4C52DB81">
            <w:pPr>
              <w:pStyle w:val="296"/>
              <w:adjustRightInd w:val="0"/>
              <w:snapToGrid w:val="0"/>
              <w:spacing w:line="300" w:lineRule="exact"/>
              <w:rPr>
                <w:rFonts w:hint="eastAsia" w:cs="宋体"/>
                <w:color w:val="auto"/>
              </w:rPr>
            </w:pPr>
            <w:r>
              <w:rPr>
                <w:rFonts w:hint="eastAsia" w:cs="宋体"/>
                <w:color w:val="auto"/>
              </w:rPr>
              <w:t>铅</w:t>
            </w:r>
          </w:p>
        </w:tc>
        <w:tc>
          <w:tcPr>
            <w:tcW w:w="1453" w:type="dxa"/>
            <w:vAlign w:val="center"/>
          </w:tcPr>
          <w:p w14:paraId="21BBBBC2">
            <w:pPr>
              <w:pStyle w:val="296"/>
              <w:adjustRightInd w:val="0"/>
              <w:snapToGrid w:val="0"/>
              <w:spacing w:line="300" w:lineRule="exact"/>
              <w:rPr>
                <w:rFonts w:hint="eastAsia" w:cs="宋体"/>
                <w:color w:val="auto"/>
              </w:rPr>
            </w:pPr>
            <w:r>
              <w:rPr>
                <w:rFonts w:hint="eastAsia" w:cs="宋体"/>
                <w:color w:val="auto"/>
              </w:rPr>
              <w:t>800</w:t>
            </w:r>
          </w:p>
        </w:tc>
      </w:tr>
      <w:tr w14:paraId="53519C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476FA20B">
            <w:pPr>
              <w:pStyle w:val="296"/>
              <w:adjustRightInd w:val="0"/>
              <w:snapToGrid w:val="0"/>
              <w:spacing w:line="300" w:lineRule="exact"/>
              <w:rPr>
                <w:rFonts w:hint="eastAsia" w:cs="宋体"/>
                <w:color w:val="auto"/>
              </w:rPr>
            </w:pPr>
            <w:r>
              <w:rPr>
                <w:rFonts w:hint="eastAsia" w:cs="宋体"/>
                <w:color w:val="auto"/>
              </w:rPr>
              <w:t>2</w:t>
            </w:r>
          </w:p>
        </w:tc>
        <w:tc>
          <w:tcPr>
            <w:tcW w:w="1950" w:type="dxa"/>
            <w:vAlign w:val="center"/>
          </w:tcPr>
          <w:p w14:paraId="20A86AD9">
            <w:pPr>
              <w:pStyle w:val="296"/>
              <w:adjustRightInd w:val="0"/>
              <w:snapToGrid w:val="0"/>
              <w:spacing w:line="300" w:lineRule="exact"/>
              <w:rPr>
                <w:rFonts w:hint="eastAsia" w:cs="宋体"/>
                <w:color w:val="auto"/>
              </w:rPr>
            </w:pPr>
            <w:r>
              <w:rPr>
                <w:rFonts w:hint="eastAsia" w:cs="宋体"/>
                <w:color w:val="auto"/>
              </w:rPr>
              <w:t>镉</w:t>
            </w:r>
          </w:p>
        </w:tc>
        <w:tc>
          <w:tcPr>
            <w:tcW w:w="1531" w:type="dxa"/>
            <w:vAlign w:val="center"/>
          </w:tcPr>
          <w:p w14:paraId="7817BB0E">
            <w:pPr>
              <w:pStyle w:val="296"/>
              <w:adjustRightInd w:val="0"/>
              <w:snapToGrid w:val="0"/>
              <w:spacing w:line="300" w:lineRule="exact"/>
              <w:rPr>
                <w:rFonts w:hint="eastAsia" w:cs="宋体"/>
                <w:color w:val="auto"/>
              </w:rPr>
            </w:pPr>
            <w:r>
              <w:rPr>
                <w:rFonts w:hint="eastAsia" w:cs="宋体"/>
                <w:color w:val="auto"/>
              </w:rPr>
              <w:t>65</w:t>
            </w:r>
          </w:p>
        </w:tc>
        <w:tc>
          <w:tcPr>
            <w:tcW w:w="1114" w:type="dxa"/>
            <w:vAlign w:val="center"/>
          </w:tcPr>
          <w:p w14:paraId="416FF914">
            <w:pPr>
              <w:pStyle w:val="296"/>
              <w:adjustRightInd w:val="0"/>
              <w:snapToGrid w:val="0"/>
              <w:spacing w:line="300" w:lineRule="exact"/>
              <w:rPr>
                <w:rFonts w:hint="eastAsia" w:cs="宋体"/>
                <w:color w:val="auto"/>
              </w:rPr>
            </w:pPr>
            <w:r>
              <w:rPr>
                <w:rFonts w:hint="eastAsia" w:cs="宋体"/>
                <w:color w:val="auto"/>
              </w:rPr>
              <w:t>6</w:t>
            </w:r>
          </w:p>
        </w:tc>
        <w:tc>
          <w:tcPr>
            <w:tcW w:w="2075" w:type="dxa"/>
            <w:vAlign w:val="center"/>
          </w:tcPr>
          <w:p w14:paraId="7FB34ACE">
            <w:pPr>
              <w:pStyle w:val="296"/>
              <w:adjustRightInd w:val="0"/>
              <w:snapToGrid w:val="0"/>
              <w:spacing w:line="300" w:lineRule="exact"/>
              <w:rPr>
                <w:rFonts w:hint="eastAsia" w:cs="宋体"/>
                <w:color w:val="auto"/>
              </w:rPr>
            </w:pPr>
            <w:r>
              <w:rPr>
                <w:rFonts w:hint="eastAsia" w:cs="宋体"/>
                <w:color w:val="auto"/>
              </w:rPr>
              <w:t>汞</w:t>
            </w:r>
          </w:p>
        </w:tc>
        <w:tc>
          <w:tcPr>
            <w:tcW w:w="1453" w:type="dxa"/>
            <w:vAlign w:val="center"/>
          </w:tcPr>
          <w:p w14:paraId="1C49B92C">
            <w:pPr>
              <w:pStyle w:val="296"/>
              <w:adjustRightInd w:val="0"/>
              <w:snapToGrid w:val="0"/>
              <w:spacing w:line="300" w:lineRule="exact"/>
              <w:rPr>
                <w:rFonts w:hint="eastAsia" w:cs="宋体"/>
                <w:color w:val="auto"/>
              </w:rPr>
            </w:pPr>
            <w:r>
              <w:rPr>
                <w:rFonts w:hint="eastAsia" w:cs="宋体"/>
                <w:color w:val="auto"/>
              </w:rPr>
              <w:t>38</w:t>
            </w:r>
          </w:p>
        </w:tc>
      </w:tr>
      <w:tr w14:paraId="646D8C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7CDBD0F2">
            <w:pPr>
              <w:pStyle w:val="296"/>
              <w:adjustRightInd w:val="0"/>
              <w:snapToGrid w:val="0"/>
              <w:spacing w:line="300" w:lineRule="exact"/>
              <w:rPr>
                <w:rFonts w:hint="eastAsia" w:cs="宋体"/>
                <w:color w:val="auto"/>
              </w:rPr>
            </w:pPr>
            <w:r>
              <w:rPr>
                <w:rFonts w:hint="eastAsia" w:cs="宋体"/>
                <w:color w:val="auto"/>
              </w:rPr>
              <w:t>3</w:t>
            </w:r>
          </w:p>
        </w:tc>
        <w:tc>
          <w:tcPr>
            <w:tcW w:w="1950" w:type="dxa"/>
            <w:vAlign w:val="center"/>
          </w:tcPr>
          <w:p w14:paraId="17EBBF4A">
            <w:pPr>
              <w:pStyle w:val="296"/>
              <w:adjustRightInd w:val="0"/>
              <w:snapToGrid w:val="0"/>
              <w:spacing w:line="300" w:lineRule="exact"/>
              <w:rPr>
                <w:rFonts w:hint="eastAsia" w:cs="宋体"/>
                <w:color w:val="auto"/>
              </w:rPr>
            </w:pPr>
            <w:r>
              <w:rPr>
                <w:rFonts w:hint="eastAsia" w:cs="宋体"/>
                <w:color w:val="auto"/>
              </w:rPr>
              <w:t>铬（六价）</w:t>
            </w:r>
          </w:p>
        </w:tc>
        <w:tc>
          <w:tcPr>
            <w:tcW w:w="1531" w:type="dxa"/>
            <w:vAlign w:val="center"/>
          </w:tcPr>
          <w:p w14:paraId="4A163899">
            <w:pPr>
              <w:pStyle w:val="296"/>
              <w:adjustRightInd w:val="0"/>
              <w:snapToGrid w:val="0"/>
              <w:spacing w:line="300" w:lineRule="exact"/>
              <w:rPr>
                <w:rFonts w:hint="eastAsia" w:cs="宋体"/>
                <w:color w:val="auto"/>
              </w:rPr>
            </w:pPr>
            <w:r>
              <w:rPr>
                <w:rFonts w:hint="eastAsia" w:cs="宋体"/>
                <w:color w:val="auto"/>
              </w:rPr>
              <w:t>5.7</w:t>
            </w:r>
          </w:p>
        </w:tc>
        <w:tc>
          <w:tcPr>
            <w:tcW w:w="1114" w:type="dxa"/>
            <w:vAlign w:val="center"/>
          </w:tcPr>
          <w:p w14:paraId="518620B2">
            <w:pPr>
              <w:pStyle w:val="296"/>
              <w:adjustRightInd w:val="0"/>
              <w:snapToGrid w:val="0"/>
              <w:spacing w:line="300" w:lineRule="exact"/>
              <w:rPr>
                <w:rFonts w:hint="eastAsia" w:cs="宋体"/>
                <w:color w:val="auto"/>
              </w:rPr>
            </w:pPr>
            <w:r>
              <w:rPr>
                <w:rFonts w:hint="eastAsia" w:cs="宋体"/>
                <w:color w:val="auto"/>
              </w:rPr>
              <w:t>7</w:t>
            </w:r>
          </w:p>
        </w:tc>
        <w:tc>
          <w:tcPr>
            <w:tcW w:w="2075" w:type="dxa"/>
            <w:vAlign w:val="center"/>
          </w:tcPr>
          <w:p w14:paraId="21A121B6">
            <w:pPr>
              <w:pStyle w:val="296"/>
              <w:adjustRightInd w:val="0"/>
              <w:snapToGrid w:val="0"/>
              <w:spacing w:line="300" w:lineRule="exact"/>
              <w:rPr>
                <w:rFonts w:hint="eastAsia" w:cs="宋体"/>
                <w:color w:val="auto"/>
              </w:rPr>
            </w:pPr>
            <w:r>
              <w:rPr>
                <w:rFonts w:hint="eastAsia" w:cs="宋体"/>
                <w:color w:val="auto"/>
              </w:rPr>
              <w:t>镍</w:t>
            </w:r>
          </w:p>
        </w:tc>
        <w:tc>
          <w:tcPr>
            <w:tcW w:w="1453" w:type="dxa"/>
            <w:vAlign w:val="center"/>
          </w:tcPr>
          <w:p w14:paraId="3D96FCD0">
            <w:pPr>
              <w:pStyle w:val="296"/>
              <w:adjustRightInd w:val="0"/>
              <w:snapToGrid w:val="0"/>
              <w:spacing w:line="300" w:lineRule="exact"/>
              <w:rPr>
                <w:rFonts w:hint="eastAsia" w:cs="宋体"/>
                <w:color w:val="auto"/>
              </w:rPr>
            </w:pPr>
            <w:r>
              <w:rPr>
                <w:rFonts w:hint="eastAsia" w:cs="宋体"/>
                <w:color w:val="auto"/>
              </w:rPr>
              <w:t>900</w:t>
            </w:r>
          </w:p>
        </w:tc>
      </w:tr>
      <w:tr w14:paraId="19A0FB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59A6B724">
            <w:pPr>
              <w:pStyle w:val="296"/>
              <w:adjustRightInd w:val="0"/>
              <w:snapToGrid w:val="0"/>
              <w:spacing w:line="300" w:lineRule="exact"/>
              <w:rPr>
                <w:rFonts w:hint="eastAsia" w:cs="宋体"/>
                <w:color w:val="auto"/>
              </w:rPr>
            </w:pPr>
            <w:r>
              <w:rPr>
                <w:rFonts w:hint="eastAsia" w:cs="宋体"/>
                <w:color w:val="auto"/>
              </w:rPr>
              <w:t>4</w:t>
            </w:r>
          </w:p>
        </w:tc>
        <w:tc>
          <w:tcPr>
            <w:tcW w:w="1950" w:type="dxa"/>
            <w:vAlign w:val="center"/>
          </w:tcPr>
          <w:p w14:paraId="6BCCCD65">
            <w:pPr>
              <w:pStyle w:val="296"/>
              <w:adjustRightInd w:val="0"/>
              <w:snapToGrid w:val="0"/>
              <w:spacing w:line="300" w:lineRule="exact"/>
              <w:rPr>
                <w:rFonts w:hint="eastAsia" w:cs="宋体"/>
                <w:color w:val="auto"/>
              </w:rPr>
            </w:pPr>
            <w:r>
              <w:rPr>
                <w:rFonts w:hint="eastAsia" w:cs="宋体"/>
                <w:color w:val="auto"/>
              </w:rPr>
              <w:t>铜</w:t>
            </w:r>
          </w:p>
        </w:tc>
        <w:tc>
          <w:tcPr>
            <w:tcW w:w="1531" w:type="dxa"/>
            <w:vAlign w:val="center"/>
          </w:tcPr>
          <w:p w14:paraId="2AF09C6B">
            <w:pPr>
              <w:pStyle w:val="296"/>
              <w:adjustRightInd w:val="0"/>
              <w:snapToGrid w:val="0"/>
              <w:spacing w:line="300" w:lineRule="exact"/>
              <w:rPr>
                <w:rFonts w:hint="eastAsia" w:cs="宋体"/>
                <w:color w:val="auto"/>
              </w:rPr>
            </w:pPr>
            <w:r>
              <w:rPr>
                <w:rFonts w:hint="eastAsia" w:cs="宋体"/>
                <w:color w:val="auto"/>
              </w:rPr>
              <w:t>18000</w:t>
            </w:r>
          </w:p>
        </w:tc>
        <w:tc>
          <w:tcPr>
            <w:tcW w:w="1114" w:type="dxa"/>
            <w:vAlign w:val="center"/>
          </w:tcPr>
          <w:p w14:paraId="6BAD911B">
            <w:pPr>
              <w:pStyle w:val="296"/>
              <w:adjustRightInd w:val="0"/>
              <w:snapToGrid w:val="0"/>
              <w:spacing w:line="300" w:lineRule="exact"/>
              <w:rPr>
                <w:rFonts w:hint="eastAsia" w:cs="宋体"/>
                <w:color w:val="auto"/>
              </w:rPr>
            </w:pPr>
          </w:p>
        </w:tc>
        <w:tc>
          <w:tcPr>
            <w:tcW w:w="2075" w:type="dxa"/>
            <w:vAlign w:val="center"/>
          </w:tcPr>
          <w:p w14:paraId="7CA4A9A6">
            <w:pPr>
              <w:pStyle w:val="296"/>
              <w:adjustRightInd w:val="0"/>
              <w:snapToGrid w:val="0"/>
              <w:spacing w:line="300" w:lineRule="exact"/>
              <w:rPr>
                <w:rFonts w:hint="eastAsia" w:cs="宋体"/>
                <w:color w:val="auto"/>
              </w:rPr>
            </w:pPr>
          </w:p>
        </w:tc>
        <w:tc>
          <w:tcPr>
            <w:tcW w:w="1453" w:type="dxa"/>
            <w:vAlign w:val="center"/>
          </w:tcPr>
          <w:p w14:paraId="540D346C">
            <w:pPr>
              <w:pStyle w:val="296"/>
              <w:adjustRightInd w:val="0"/>
              <w:snapToGrid w:val="0"/>
              <w:spacing w:line="300" w:lineRule="exact"/>
              <w:rPr>
                <w:rFonts w:hint="eastAsia" w:cs="宋体"/>
                <w:color w:val="auto"/>
              </w:rPr>
            </w:pPr>
          </w:p>
        </w:tc>
      </w:tr>
      <w:tr w14:paraId="393222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86" w:type="dxa"/>
            <w:gridSpan w:val="6"/>
            <w:vAlign w:val="center"/>
          </w:tcPr>
          <w:p w14:paraId="4FDBAABE">
            <w:pPr>
              <w:pStyle w:val="296"/>
              <w:adjustRightInd w:val="0"/>
              <w:snapToGrid w:val="0"/>
              <w:spacing w:line="300" w:lineRule="exact"/>
              <w:rPr>
                <w:rFonts w:hint="eastAsia" w:cs="宋体"/>
                <w:color w:val="auto"/>
              </w:rPr>
            </w:pPr>
            <w:r>
              <w:rPr>
                <w:rFonts w:hint="eastAsia" w:cs="宋体"/>
                <w:color w:val="auto"/>
              </w:rPr>
              <w:t>基本项目（挥发性有机物）</w:t>
            </w:r>
          </w:p>
        </w:tc>
      </w:tr>
      <w:tr w14:paraId="5C5FB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536DDBE7">
            <w:pPr>
              <w:pStyle w:val="296"/>
              <w:adjustRightInd w:val="0"/>
              <w:snapToGrid w:val="0"/>
              <w:spacing w:line="300" w:lineRule="exact"/>
              <w:rPr>
                <w:rFonts w:hint="eastAsia" w:cs="宋体"/>
                <w:color w:val="auto"/>
              </w:rPr>
            </w:pPr>
            <w:r>
              <w:rPr>
                <w:rFonts w:hint="eastAsia" w:cs="宋体"/>
                <w:color w:val="auto"/>
              </w:rPr>
              <w:t>8</w:t>
            </w:r>
          </w:p>
        </w:tc>
        <w:tc>
          <w:tcPr>
            <w:tcW w:w="1950" w:type="dxa"/>
            <w:vAlign w:val="center"/>
          </w:tcPr>
          <w:p w14:paraId="389A070F">
            <w:pPr>
              <w:pStyle w:val="296"/>
              <w:adjustRightInd w:val="0"/>
              <w:snapToGrid w:val="0"/>
              <w:spacing w:line="300" w:lineRule="exact"/>
              <w:rPr>
                <w:rFonts w:hint="eastAsia" w:cs="宋体"/>
                <w:color w:val="auto"/>
              </w:rPr>
            </w:pPr>
            <w:r>
              <w:rPr>
                <w:rFonts w:hint="eastAsia" w:cs="宋体"/>
                <w:color w:val="auto"/>
              </w:rPr>
              <w:t>四氯化碳</w:t>
            </w:r>
          </w:p>
        </w:tc>
        <w:tc>
          <w:tcPr>
            <w:tcW w:w="1531" w:type="dxa"/>
            <w:vAlign w:val="center"/>
          </w:tcPr>
          <w:p w14:paraId="080D91A3">
            <w:pPr>
              <w:pStyle w:val="296"/>
              <w:adjustRightInd w:val="0"/>
              <w:snapToGrid w:val="0"/>
              <w:spacing w:line="300" w:lineRule="exact"/>
              <w:rPr>
                <w:rFonts w:hint="eastAsia" w:cs="宋体"/>
                <w:color w:val="auto"/>
              </w:rPr>
            </w:pPr>
            <w:r>
              <w:rPr>
                <w:rFonts w:hint="eastAsia" w:cs="宋体"/>
                <w:color w:val="auto"/>
              </w:rPr>
              <w:t>2.8</w:t>
            </w:r>
          </w:p>
        </w:tc>
        <w:tc>
          <w:tcPr>
            <w:tcW w:w="1114" w:type="dxa"/>
            <w:vAlign w:val="center"/>
          </w:tcPr>
          <w:p w14:paraId="0B98BCC3">
            <w:pPr>
              <w:pStyle w:val="296"/>
              <w:adjustRightInd w:val="0"/>
              <w:snapToGrid w:val="0"/>
              <w:spacing w:line="300" w:lineRule="exact"/>
              <w:rPr>
                <w:rFonts w:hint="eastAsia" w:cs="宋体"/>
                <w:color w:val="auto"/>
              </w:rPr>
            </w:pPr>
            <w:r>
              <w:rPr>
                <w:rFonts w:hint="eastAsia" w:cs="宋体"/>
                <w:color w:val="auto"/>
              </w:rPr>
              <w:t>22</w:t>
            </w:r>
          </w:p>
        </w:tc>
        <w:tc>
          <w:tcPr>
            <w:tcW w:w="2075" w:type="dxa"/>
            <w:vAlign w:val="center"/>
          </w:tcPr>
          <w:p w14:paraId="7D8E2E32">
            <w:pPr>
              <w:pStyle w:val="296"/>
              <w:adjustRightInd w:val="0"/>
              <w:snapToGrid w:val="0"/>
              <w:spacing w:line="300" w:lineRule="exact"/>
              <w:rPr>
                <w:rFonts w:hint="eastAsia" w:cs="宋体"/>
                <w:color w:val="auto"/>
              </w:rPr>
            </w:pPr>
            <w:r>
              <w:rPr>
                <w:rFonts w:hint="eastAsia" w:cs="宋体"/>
                <w:color w:val="auto"/>
              </w:rPr>
              <w:t>1,1,2-三氯乙烷</w:t>
            </w:r>
          </w:p>
        </w:tc>
        <w:tc>
          <w:tcPr>
            <w:tcW w:w="1453" w:type="dxa"/>
            <w:vAlign w:val="center"/>
          </w:tcPr>
          <w:p w14:paraId="528F3E8E">
            <w:pPr>
              <w:pStyle w:val="296"/>
              <w:adjustRightInd w:val="0"/>
              <w:snapToGrid w:val="0"/>
              <w:spacing w:line="300" w:lineRule="exact"/>
              <w:rPr>
                <w:rFonts w:hint="eastAsia" w:cs="宋体"/>
                <w:color w:val="auto"/>
              </w:rPr>
            </w:pPr>
            <w:r>
              <w:rPr>
                <w:rFonts w:hint="eastAsia" w:cs="宋体"/>
                <w:color w:val="auto"/>
              </w:rPr>
              <w:t>2.8</w:t>
            </w:r>
          </w:p>
        </w:tc>
      </w:tr>
      <w:tr w14:paraId="0161C4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5F7B31AE">
            <w:pPr>
              <w:pStyle w:val="296"/>
              <w:adjustRightInd w:val="0"/>
              <w:snapToGrid w:val="0"/>
              <w:spacing w:line="300" w:lineRule="exact"/>
              <w:rPr>
                <w:rFonts w:hint="eastAsia" w:cs="宋体"/>
                <w:color w:val="auto"/>
              </w:rPr>
            </w:pPr>
            <w:r>
              <w:rPr>
                <w:rFonts w:hint="eastAsia" w:cs="宋体"/>
                <w:color w:val="auto"/>
              </w:rPr>
              <w:t>9</w:t>
            </w:r>
          </w:p>
        </w:tc>
        <w:tc>
          <w:tcPr>
            <w:tcW w:w="1950" w:type="dxa"/>
            <w:vAlign w:val="center"/>
          </w:tcPr>
          <w:p w14:paraId="142DB6E8">
            <w:pPr>
              <w:pStyle w:val="296"/>
              <w:adjustRightInd w:val="0"/>
              <w:snapToGrid w:val="0"/>
              <w:spacing w:line="300" w:lineRule="exact"/>
              <w:rPr>
                <w:rFonts w:hint="eastAsia" w:cs="宋体"/>
                <w:color w:val="auto"/>
              </w:rPr>
            </w:pPr>
            <w:r>
              <w:rPr>
                <w:rFonts w:hint="eastAsia" w:cs="宋体"/>
                <w:color w:val="auto"/>
              </w:rPr>
              <w:t>氯仿</w:t>
            </w:r>
          </w:p>
        </w:tc>
        <w:tc>
          <w:tcPr>
            <w:tcW w:w="1531" w:type="dxa"/>
            <w:vAlign w:val="center"/>
          </w:tcPr>
          <w:p w14:paraId="38CE9BD4">
            <w:pPr>
              <w:pStyle w:val="296"/>
              <w:adjustRightInd w:val="0"/>
              <w:snapToGrid w:val="0"/>
              <w:spacing w:line="300" w:lineRule="exact"/>
              <w:rPr>
                <w:rFonts w:hint="eastAsia" w:cs="宋体"/>
                <w:color w:val="auto"/>
              </w:rPr>
            </w:pPr>
            <w:r>
              <w:rPr>
                <w:rFonts w:hint="eastAsia" w:cs="宋体"/>
                <w:color w:val="auto"/>
              </w:rPr>
              <w:t>0.9</w:t>
            </w:r>
          </w:p>
        </w:tc>
        <w:tc>
          <w:tcPr>
            <w:tcW w:w="1114" w:type="dxa"/>
            <w:vAlign w:val="center"/>
          </w:tcPr>
          <w:p w14:paraId="693CDAAC">
            <w:pPr>
              <w:pStyle w:val="296"/>
              <w:adjustRightInd w:val="0"/>
              <w:snapToGrid w:val="0"/>
              <w:spacing w:line="300" w:lineRule="exact"/>
              <w:rPr>
                <w:rFonts w:hint="eastAsia" w:cs="宋体"/>
                <w:color w:val="auto"/>
              </w:rPr>
            </w:pPr>
            <w:r>
              <w:rPr>
                <w:rFonts w:hint="eastAsia" w:cs="宋体"/>
                <w:color w:val="auto"/>
              </w:rPr>
              <w:t>23</w:t>
            </w:r>
          </w:p>
        </w:tc>
        <w:tc>
          <w:tcPr>
            <w:tcW w:w="2075" w:type="dxa"/>
            <w:vAlign w:val="center"/>
          </w:tcPr>
          <w:p w14:paraId="5E9DDD56">
            <w:pPr>
              <w:pStyle w:val="296"/>
              <w:adjustRightInd w:val="0"/>
              <w:snapToGrid w:val="0"/>
              <w:spacing w:line="300" w:lineRule="exact"/>
              <w:rPr>
                <w:rFonts w:hint="eastAsia" w:cs="宋体"/>
                <w:color w:val="auto"/>
              </w:rPr>
            </w:pPr>
            <w:r>
              <w:rPr>
                <w:rFonts w:hint="eastAsia" w:cs="宋体"/>
                <w:color w:val="auto"/>
              </w:rPr>
              <w:t>三氯乙烯</w:t>
            </w:r>
          </w:p>
        </w:tc>
        <w:tc>
          <w:tcPr>
            <w:tcW w:w="1453" w:type="dxa"/>
            <w:vAlign w:val="center"/>
          </w:tcPr>
          <w:p w14:paraId="694118D0">
            <w:pPr>
              <w:pStyle w:val="296"/>
              <w:adjustRightInd w:val="0"/>
              <w:snapToGrid w:val="0"/>
              <w:spacing w:line="300" w:lineRule="exact"/>
              <w:rPr>
                <w:rFonts w:hint="eastAsia" w:cs="宋体"/>
                <w:color w:val="auto"/>
              </w:rPr>
            </w:pPr>
            <w:r>
              <w:rPr>
                <w:rFonts w:hint="eastAsia" w:cs="宋体"/>
                <w:color w:val="auto"/>
              </w:rPr>
              <w:t>2.8</w:t>
            </w:r>
          </w:p>
        </w:tc>
      </w:tr>
      <w:tr w14:paraId="2B2E04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1ECE3D08">
            <w:pPr>
              <w:pStyle w:val="296"/>
              <w:adjustRightInd w:val="0"/>
              <w:snapToGrid w:val="0"/>
              <w:spacing w:line="300" w:lineRule="exact"/>
              <w:rPr>
                <w:rFonts w:hint="eastAsia" w:cs="宋体"/>
                <w:color w:val="auto"/>
              </w:rPr>
            </w:pPr>
            <w:r>
              <w:rPr>
                <w:rFonts w:hint="eastAsia" w:cs="宋体"/>
                <w:color w:val="auto"/>
              </w:rPr>
              <w:t>10</w:t>
            </w:r>
          </w:p>
        </w:tc>
        <w:tc>
          <w:tcPr>
            <w:tcW w:w="1950" w:type="dxa"/>
            <w:vAlign w:val="center"/>
          </w:tcPr>
          <w:p w14:paraId="690814B3">
            <w:pPr>
              <w:pStyle w:val="296"/>
              <w:adjustRightInd w:val="0"/>
              <w:snapToGrid w:val="0"/>
              <w:spacing w:line="300" w:lineRule="exact"/>
              <w:rPr>
                <w:rFonts w:hint="eastAsia" w:cs="宋体"/>
                <w:color w:val="auto"/>
              </w:rPr>
            </w:pPr>
            <w:r>
              <w:rPr>
                <w:rFonts w:hint="eastAsia" w:cs="宋体"/>
                <w:color w:val="auto"/>
              </w:rPr>
              <w:t>氯甲烷</w:t>
            </w:r>
          </w:p>
        </w:tc>
        <w:tc>
          <w:tcPr>
            <w:tcW w:w="1531" w:type="dxa"/>
            <w:vAlign w:val="center"/>
          </w:tcPr>
          <w:p w14:paraId="760F1697">
            <w:pPr>
              <w:pStyle w:val="296"/>
              <w:adjustRightInd w:val="0"/>
              <w:snapToGrid w:val="0"/>
              <w:spacing w:line="300" w:lineRule="exact"/>
              <w:rPr>
                <w:rFonts w:hint="eastAsia" w:cs="宋体"/>
                <w:color w:val="auto"/>
              </w:rPr>
            </w:pPr>
            <w:r>
              <w:rPr>
                <w:rFonts w:hint="eastAsia" w:cs="宋体"/>
                <w:color w:val="auto"/>
              </w:rPr>
              <w:t>37</w:t>
            </w:r>
          </w:p>
        </w:tc>
        <w:tc>
          <w:tcPr>
            <w:tcW w:w="1114" w:type="dxa"/>
            <w:vAlign w:val="center"/>
          </w:tcPr>
          <w:p w14:paraId="3BE2953E">
            <w:pPr>
              <w:pStyle w:val="296"/>
              <w:adjustRightInd w:val="0"/>
              <w:snapToGrid w:val="0"/>
              <w:spacing w:line="300" w:lineRule="exact"/>
              <w:rPr>
                <w:rFonts w:hint="eastAsia" w:cs="宋体"/>
                <w:color w:val="auto"/>
              </w:rPr>
            </w:pPr>
            <w:r>
              <w:rPr>
                <w:rFonts w:hint="eastAsia" w:cs="宋体"/>
                <w:color w:val="auto"/>
              </w:rPr>
              <w:t>24</w:t>
            </w:r>
          </w:p>
        </w:tc>
        <w:tc>
          <w:tcPr>
            <w:tcW w:w="2075" w:type="dxa"/>
            <w:vAlign w:val="center"/>
          </w:tcPr>
          <w:p w14:paraId="7E84450F">
            <w:pPr>
              <w:pStyle w:val="296"/>
              <w:adjustRightInd w:val="0"/>
              <w:snapToGrid w:val="0"/>
              <w:spacing w:line="300" w:lineRule="exact"/>
              <w:rPr>
                <w:rFonts w:hint="eastAsia" w:cs="宋体"/>
                <w:color w:val="auto"/>
              </w:rPr>
            </w:pPr>
            <w:r>
              <w:rPr>
                <w:rFonts w:hint="eastAsia" w:cs="宋体"/>
                <w:color w:val="auto"/>
              </w:rPr>
              <w:t>1,2,3-三氯丙烷</w:t>
            </w:r>
          </w:p>
        </w:tc>
        <w:tc>
          <w:tcPr>
            <w:tcW w:w="1453" w:type="dxa"/>
            <w:vAlign w:val="center"/>
          </w:tcPr>
          <w:p w14:paraId="335A52FA">
            <w:pPr>
              <w:pStyle w:val="296"/>
              <w:adjustRightInd w:val="0"/>
              <w:snapToGrid w:val="0"/>
              <w:spacing w:line="300" w:lineRule="exact"/>
              <w:rPr>
                <w:rFonts w:hint="eastAsia" w:cs="宋体"/>
                <w:color w:val="auto"/>
              </w:rPr>
            </w:pPr>
            <w:r>
              <w:rPr>
                <w:rFonts w:hint="eastAsia" w:cs="宋体"/>
                <w:color w:val="auto"/>
              </w:rPr>
              <w:t>0.5</w:t>
            </w:r>
          </w:p>
        </w:tc>
      </w:tr>
      <w:tr w14:paraId="3A5293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1F6EBD59">
            <w:pPr>
              <w:pStyle w:val="296"/>
              <w:adjustRightInd w:val="0"/>
              <w:snapToGrid w:val="0"/>
              <w:spacing w:line="300" w:lineRule="exact"/>
              <w:rPr>
                <w:rFonts w:hint="eastAsia" w:cs="宋体"/>
                <w:color w:val="auto"/>
              </w:rPr>
            </w:pPr>
            <w:r>
              <w:rPr>
                <w:rFonts w:hint="eastAsia" w:cs="宋体"/>
                <w:color w:val="auto"/>
              </w:rPr>
              <w:t>11</w:t>
            </w:r>
          </w:p>
        </w:tc>
        <w:tc>
          <w:tcPr>
            <w:tcW w:w="1950" w:type="dxa"/>
            <w:vAlign w:val="center"/>
          </w:tcPr>
          <w:p w14:paraId="7662D0ED">
            <w:pPr>
              <w:pStyle w:val="296"/>
              <w:adjustRightInd w:val="0"/>
              <w:snapToGrid w:val="0"/>
              <w:spacing w:line="300" w:lineRule="exact"/>
              <w:rPr>
                <w:rFonts w:hint="eastAsia" w:cs="宋体"/>
                <w:color w:val="auto"/>
              </w:rPr>
            </w:pPr>
            <w:r>
              <w:rPr>
                <w:rFonts w:hint="eastAsia" w:cs="宋体"/>
                <w:color w:val="auto"/>
              </w:rPr>
              <w:t>1,1-二氯乙烷</w:t>
            </w:r>
          </w:p>
        </w:tc>
        <w:tc>
          <w:tcPr>
            <w:tcW w:w="1531" w:type="dxa"/>
            <w:vAlign w:val="center"/>
          </w:tcPr>
          <w:p w14:paraId="47F60CE2">
            <w:pPr>
              <w:pStyle w:val="296"/>
              <w:adjustRightInd w:val="0"/>
              <w:snapToGrid w:val="0"/>
              <w:spacing w:line="300" w:lineRule="exact"/>
              <w:rPr>
                <w:rFonts w:hint="eastAsia" w:cs="宋体"/>
                <w:color w:val="auto"/>
              </w:rPr>
            </w:pPr>
            <w:r>
              <w:rPr>
                <w:rFonts w:hint="eastAsia" w:cs="宋体"/>
                <w:color w:val="auto"/>
              </w:rPr>
              <w:t>9</w:t>
            </w:r>
          </w:p>
        </w:tc>
        <w:tc>
          <w:tcPr>
            <w:tcW w:w="1114" w:type="dxa"/>
            <w:vAlign w:val="center"/>
          </w:tcPr>
          <w:p w14:paraId="45590C73">
            <w:pPr>
              <w:pStyle w:val="296"/>
              <w:adjustRightInd w:val="0"/>
              <w:snapToGrid w:val="0"/>
              <w:spacing w:line="300" w:lineRule="exact"/>
              <w:rPr>
                <w:rFonts w:hint="eastAsia" w:cs="宋体"/>
                <w:color w:val="auto"/>
              </w:rPr>
            </w:pPr>
            <w:r>
              <w:rPr>
                <w:rFonts w:hint="eastAsia" w:cs="宋体"/>
                <w:color w:val="auto"/>
              </w:rPr>
              <w:t>25</w:t>
            </w:r>
          </w:p>
        </w:tc>
        <w:tc>
          <w:tcPr>
            <w:tcW w:w="2075" w:type="dxa"/>
            <w:vAlign w:val="center"/>
          </w:tcPr>
          <w:p w14:paraId="043F6329">
            <w:pPr>
              <w:pStyle w:val="296"/>
              <w:adjustRightInd w:val="0"/>
              <w:snapToGrid w:val="0"/>
              <w:spacing w:line="300" w:lineRule="exact"/>
              <w:rPr>
                <w:rFonts w:hint="eastAsia" w:cs="宋体"/>
                <w:color w:val="auto"/>
              </w:rPr>
            </w:pPr>
            <w:r>
              <w:rPr>
                <w:rFonts w:hint="eastAsia" w:cs="宋体"/>
                <w:color w:val="auto"/>
              </w:rPr>
              <w:t>氯乙烯</w:t>
            </w:r>
          </w:p>
        </w:tc>
        <w:tc>
          <w:tcPr>
            <w:tcW w:w="1453" w:type="dxa"/>
            <w:vAlign w:val="center"/>
          </w:tcPr>
          <w:p w14:paraId="0ECBC509">
            <w:pPr>
              <w:pStyle w:val="296"/>
              <w:adjustRightInd w:val="0"/>
              <w:snapToGrid w:val="0"/>
              <w:spacing w:line="300" w:lineRule="exact"/>
              <w:rPr>
                <w:rFonts w:hint="eastAsia" w:cs="宋体"/>
                <w:color w:val="auto"/>
              </w:rPr>
            </w:pPr>
            <w:r>
              <w:rPr>
                <w:rFonts w:hint="eastAsia" w:cs="宋体"/>
                <w:color w:val="auto"/>
              </w:rPr>
              <w:t>0.43</w:t>
            </w:r>
          </w:p>
        </w:tc>
      </w:tr>
      <w:tr w14:paraId="2D6FC7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0CDF6C8E">
            <w:pPr>
              <w:pStyle w:val="296"/>
              <w:adjustRightInd w:val="0"/>
              <w:snapToGrid w:val="0"/>
              <w:spacing w:line="300" w:lineRule="exact"/>
              <w:rPr>
                <w:rFonts w:hint="eastAsia" w:cs="宋体"/>
                <w:color w:val="auto"/>
              </w:rPr>
            </w:pPr>
            <w:r>
              <w:rPr>
                <w:rFonts w:hint="eastAsia" w:cs="宋体"/>
                <w:color w:val="auto"/>
              </w:rPr>
              <w:t>12</w:t>
            </w:r>
          </w:p>
        </w:tc>
        <w:tc>
          <w:tcPr>
            <w:tcW w:w="1950" w:type="dxa"/>
            <w:vAlign w:val="center"/>
          </w:tcPr>
          <w:p w14:paraId="72544479">
            <w:pPr>
              <w:pStyle w:val="296"/>
              <w:adjustRightInd w:val="0"/>
              <w:snapToGrid w:val="0"/>
              <w:spacing w:line="300" w:lineRule="exact"/>
              <w:rPr>
                <w:rFonts w:hint="eastAsia" w:cs="宋体"/>
                <w:color w:val="auto"/>
              </w:rPr>
            </w:pPr>
            <w:r>
              <w:rPr>
                <w:rFonts w:hint="eastAsia" w:cs="宋体"/>
                <w:color w:val="auto"/>
              </w:rPr>
              <w:t>1,2-二氯乙烷</w:t>
            </w:r>
          </w:p>
        </w:tc>
        <w:tc>
          <w:tcPr>
            <w:tcW w:w="1531" w:type="dxa"/>
            <w:vAlign w:val="center"/>
          </w:tcPr>
          <w:p w14:paraId="25D3BB56">
            <w:pPr>
              <w:pStyle w:val="296"/>
              <w:adjustRightInd w:val="0"/>
              <w:snapToGrid w:val="0"/>
              <w:spacing w:line="300" w:lineRule="exact"/>
              <w:rPr>
                <w:rFonts w:hint="eastAsia" w:cs="宋体"/>
                <w:color w:val="auto"/>
              </w:rPr>
            </w:pPr>
            <w:r>
              <w:rPr>
                <w:rFonts w:hint="eastAsia" w:cs="宋体"/>
                <w:color w:val="auto"/>
              </w:rPr>
              <w:t>5</w:t>
            </w:r>
          </w:p>
        </w:tc>
        <w:tc>
          <w:tcPr>
            <w:tcW w:w="1114" w:type="dxa"/>
            <w:vAlign w:val="center"/>
          </w:tcPr>
          <w:p w14:paraId="46C6A2F1">
            <w:pPr>
              <w:pStyle w:val="296"/>
              <w:adjustRightInd w:val="0"/>
              <w:snapToGrid w:val="0"/>
              <w:spacing w:line="300" w:lineRule="exact"/>
              <w:rPr>
                <w:rFonts w:hint="eastAsia" w:cs="宋体"/>
                <w:color w:val="auto"/>
              </w:rPr>
            </w:pPr>
            <w:r>
              <w:rPr>
                <w:rFonts w:hint="eastAsia" w:cs="宋体"/>
                <w:color w:val="auto"/>
              </w:rPr>
              <w:t>26</w:t>
            </w:r>
          </w:p>
        </w:tc>
        <w:tc>
          <w:tcPr>
            <w:tcW w:w="2075" w:type="dxa"/>
            <w:vAlign w:val="center"/>
          </w:tcPr>
          <w:p w14:paraId="4D65C314">
            <w:pPr>
              <w:pStyle w:val="296"/>
              <w:adjustRightInd w:val="0"/>
              <w:snapToGrid w:val="0"/>
              <w:spacing w:line="300" w:lineRule="exact"/>
              <w:rPr>
                <w:rFonts w:hint="eastAsia" w:cs="宋体"/>
                <w:color w:val="auto"/>
              </w:rPr>
            </w:pPr>
            <w:r>
              <w:rPr>
                <w:rFonts w:hint="eastAsia" w:cs="宋体"/>
                <w:color w:val="auto"/>
              </w:rPr>
              <w:t>苯</w:t>
            </w:r>
          </w:p>
        </w:tc>
        <w:tc>
          <w:tcPr>
            <w:tcW w:w="1453" w:type="dxa"/>
            <w:vAlign w:val="center"/>
          </w:tcPr>
          <w:p w14:paraId="53F9B3B3">
            <w:pPr>
              <w:pStyle w:val="296"/>
              <w:adjustRightInd w:val="0"/>
              <w:snapToGrid w:val="0"/>
              <w:spacing w:line="300" w:lineRule="exact"/>
              <w:rPr>
                <w:rFonts w:hint="eastAsia" w:cs="宋体"/>
                <w:color w:val="auto"/>
              </w:rPr>
            </w:pPr>
            <w:r>
              <w:rPr>
                <w:rFonts w:hint="eastAsia" w:cs="宋体"/>
                <w:color w:val="auto"/>
              </w:rPr>
              <w:t>4</w:t>
            </w:r>
          </w:p>
        </w:tc>
      </w:tr>
      <w:tr w14:paraId="570437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343C9BD3">
            <w:pPr>
              <w:pStyle w:val="296"/>
              <w:adjustRightInd w:val="0"/>
              <w:snapToGrid w:val="0"/>
              <w:spacing w:line="300" w:lineRule="exact"/>
              <w:rPr>
                <w:rFonts w:hint="eastAsia" w:cs="宋体"/>
                <w:color w:val="auto"/>
              </w:rPr>
            </w:pPr>
            <w:r>
              <w:rPr>
                <w:rFonts w:hint="eastAsia" w:cs="宋体"/>
                <w:color w:val="auto"/>
              </w:rPr>
              <w:t>13</w:t>
            </w:r>
          </w:p>
        </w:tc>
        <w:tc>
          <w:tcPr>
            <w:tcW w:w="1950" w:type="dxa"/>
            <w:vAlign w:val="center"/>
          </w:tcPr>
          <w:p w14:paraId="1432CDDD">
            <w:pPr>
              <w:pStyle w:val="296"/>
              <w:adjustRightInd w:val="0"/>
              <w:snapToGrid w:val="0"/>
              <w:spacing w:line="300" w:lineRule="exact"/>
              <w:rPr>
                <w:rFonts w:hint="eastAsia" w:cs="宋体"/>
                <w:color w:val="auto"/>
              </w:rPr>
            </w:pPr>
            <w:r>
              <w:rPr>
                <w:rFonts w:hint="eastAsia" w:cs="宋体"/>
                <w:color w:val="auto"/>
              </w:rPr>
              <w:t>1,1-二氯乙烯</w:t>
            </w:r>
          </w:p>
        </w:tc>
        <w:tc>
          <w:tcPr>
            <w:tcW w:w="1531" w:type="dxa"/>
            <w:vAlign w:val="center"/>
          </w:tcPr>
          <w:p w14:paraId="7C105373">
            <w:pPr>
              <w:pStyle w:val="296"/>
              <w:adjustRightInd w:val="0"/>
              <w:snapToGrid w:val="0"/>
              <w:spacing w:line="300" w:lineRule="exact"/>
              <w:rPr>
                <w:rFonts w:hint="eastAsia" w:cs="宋体"/>
                <w:color w:val="auto"/>
              </w:rPr>
            </w:pPr>
            <w:r>
              <w:rPr>
                <w:rFonts w:hint="eastAsia" w:cs="宋体"/>
                <w:color w:val="auto"/>
              </w:rPr>
              <w:t>66</w:t>
            </w:r>
          </w:p>
        </w:tc>
        <w:tc>
          <w:tcPr>
            <w:tcW w:w="1114" w:type="dxa"/>
            <w:vAlign w:val="center"/>
          </w:tcPr>
          <w:p w14:paraId="195E5D83">
            <w:pPr>
              <w:pStyle w:val="296"/>
              <w:adjustRightInd w:val="0"/>
              <w:snapToGrid w:val="0"/>
              <w:spacing w:line="300" w:lineRule="exact"/>
              <w:rPr>
                <w:rFonts w:hint="eastAsia" w:cs="宋体"/>
                <w:color w:val="auto"/>
              </w:rPr>
            </w:pPr>
            <w:r>
              <w:rPr>
                <w:rFonts w:hint="eastAsia" w:cs="宋体"/>
                <w:color w:val="auto"/>
              </w:rPr>
              <w:t>27</w:t>
            </w:r>
          </w:p>
        </w:tc>
        <w:tc>
          <w:tcPr>
            <w:tcW w:w="2075" w:type="dxa"/>
            <w:vAlign w:val="center"/>
          </w:tcPr>
          <w:p w14:paraId="54363272">
            <w:pPr>
              <w:pStyle w:val="296"/>
              <w:adjustRightInd w:val="0"/>
              <w:snapToGrid w:val="0"/>
              <w:spacing w:line="300" w:lineRule="exact"/>
              <w:rPr>
                <w:rFonts w:hint="eastAsia" w:cs="宋体"/>
                <w:color w:val="auto"/>
              </w:rPr>
            </w:pPr>
            <w:r>
              <w:rPr>
                <w:rFonts w:hint="eastAsia" w:cs="宋体"/>
                <w:color w:val="auto"/>
              </w:rPr>
              <w:t>氯苯</w:t>
            </w:r>
          </w:p>
        </w:tc>
        <w:tc>
          <w:tcPr>
            <w:tcW w:w="1453" w:type="dxa"/>
            <w:vAlign w:val="center"/>
          </w:tcPr>
          <w:p w14:paraId="3E3A20AC">
            <w:pPr>
              <w:pStyle w:val="296"/>
              <w:adjustRightInd w:val="0"/>
              <w:snapToGrid w:val="0"/>
              <w:spacing w:line="300" w:lineRule="exact"/>
              <w:rPr>
                <w:rFonts w:hint="eastAsia" w:cs="宋体"/>
                <w:color w:val="auto"/>
              </w:rPr>
            </w:pPr>
            <w:r>
              <w:rPr>
                <w:rFonts w:hint="eastAsia" w:cs="宋体"/>
                <w:color w:val="auto"/>
              </w:rPr>
              <w:t>270</w:t>
            </w:r>
          </w:p>
        </w:tc>
      </w:tr>
      <w:tr w14:paraId="28695C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57D15115">
            <w:pPr>
              <w:pStyle w:val="296"/>
              <w:adjustRightInd w:val="0"/>
              <w:snapToGrid w:val="0"/>
              <w:spacing w:line="300" w:lineRule="exact"/>
              <w:rPr>
                <w:rFonts w:hint="eastAsia" w:cs="宋体"/>
                <w:color w:val="auto"/>
              </w:rPr>
            </w:pPr>
            <w:r>
              <w:rPr>
                <w:rFonts w:hint="eastAsia" w:cs="宋体"/>
                <w:color w:val="auto"/>
              </w:rPr>
              <w:t>14</w:t>
            </w:r>
          </w:p>
        </w:tc>
        <w:tc>
          <w:tcPr>
            <w:tcW w:w="1950" w:type="dxa"/>
            <w:vAlign w:val="center"/>
          </w:tcPr>
          <w:p w14:paraId="142085F2">
            <w:pPr>
              <w:pStyle w:val="296"/>
              <w:adjustRightInd w:val="0"/>
              <w:snapToGrid w:val="0"/>
              <w:spacing w:line="300" w:lineRule="exact"/>
              <w:rPr>
                <w:rFonts w:hint="eastAsia" w:cs="宋体"/>
                <w:color w:val="auto"/>
              </w:rPr>
            </w:pPr>
            <w:r>
              <w:rPr>
                <w:rFonts w:hint="eastAsia" w:cs="宋体"/>
                <w:color w:val="auto"/>
              </w:rPr>
              <w:t>顺-1,2-二氯乙烯</w:t>
            </w:r>
          </w:p>
        </w:tc>
        <w:tc>
          <w:tcPr>
            <w:tcW w:w="1531" w:type="dxa"/>
            <w:vAlign w:val="center"/>
          </w:tcPr>
          <w:p w14:paraId="3EBF5D4C">
            <w:pPr>
              <w:pStyle w:val="296"/>
              <w:adjustRightInd w:val="0"/>
              <w:snapToGrid w:val="0"/>
              <w:spacing w:line="300" w:lineRule="exact"/>
              <w:rPr>
                <w:rFonts w:hint="eastAsia" w:cs="宋体"/>
                <w:color w:val="auto"/>
              </w:rPr>
            </w:pPr>
            <w:r>
              <w:rPr>
                <w:rFonts w:hint="eastAsia" w:cs="宋体"/>
                <w:color w:val="auto"/>
              </w:rPr>
              <w:t>596</w:t>
            </w:r>
          </w:p>
        </w:tc>
        <w:tc>
          <w:tcPr>
            <w:tcW w:w="1114" w:type="dxa"/>
            <w:vAlign w:val="center"/>
          </w:tcPr>
          <w:p w14:paraId="4E6AF1EB">
            <w:pPr>
              <w:pStyle w:val="296"/>
              <w:adjustRightInd w:val="0"/>
              <w:snapToGrid w:val="0"/>
              <w:spacing w:line="300" w:lineRule="exact"/>
              <w:rPr>
                <w:rFonts w:hint="eastAsia" w:cs="宋体"/>
                <w:color w:val="auto"/>
              </w:rPr>
            </w:pPr>
            <w:r>
              <w:rPr>
                <w:rFonts w:hint="eastAsia" w:cs="宋体"/>
                <w:color w:val="auto"/>
              </w:rPr>
              <w:t>28</w:t>
            </w:r>
          </w:p>
        </w:tc>
        <w:tc>
          <w:tcPr>
            <w:tcW w:w="2075" w:type="dxa"/>
            <w:vAlign w:val="center"/>
          </w:tcPr>
          <w:p w14:paraId="77CF9EE2">
            <w:pPr>
              <w:pStyle w:val="296"/>
              <w:adjustRightInd w:val="0"/>
              <w:snapToGrid w:val="0"/>
              <w:spacing w:line="300" w:lineRule="exact"/>
              <w:rPr>
                <w:rFonts w:hint="eastAsia" w:cs="宋体"/>
                <w:color w:val="auto"/>
              </w:rPr>
            </w:pPr>
            <w:r>
              <w:rPr>
                <w:rFonts w:hint="eastAsia" w:cs="宋体"/>
                <w:color w:val="auto"/>
              </w:rPr>
              <w:t>1,2-二氯苯</w:t>
            </w:r>
          </w:p>
        </w:tc>
        <w:tc>
          <w:tcPr>
            <w:tcW w:w="1453" w:type="dxa"/>
            <w:vAlign w:val="center"/>
          </w:tcPr>
          <w:p w14:paraId="730F2E1F">
            <w:pPr>
              <w:pStyle w:val="296"/>
              <w:adjustRightInd w:val="0"/>
              <w:snapToGrid w:val="0"/>
              <w:spacing w:line="300" w:lineRule="exact"/>
              <w:rPr>
                <w:rFonts w:hint="eastAsia" w:cs="宋体"/>
                <w:color w:val="auto"/>
              </w:rPr>
            </w:pPr>
            <w:r>
              <w:rPr>
                <w:rFonts w:hint="eastAsia" w:cs="宋体"/>
                <w:color w:val="auto"/>
              </w:rPr>
              <w:t>560</w:t>
            </w:r>
          </w:p>
        </w:tc>
      </w:tr>
      <w:tr w14:paraId="61EDC4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6D09346C">
            <w:pPr>
              <w:pStyle w:val="296"/>
              <w:adjustRightInd w:val="0"/>
              <w:snapToGrid w:val="0"/>
              <w:spacing w:line="300" w:lineRule="exact"/>
              <w:rPr>
                <w:rFonts w:hint="eastAsia" w:cs="宋体"/>
                <w:color w:val="auto"/>
              </w:rPr>
            </w:pPr>
            <w:r>
              <w:rPr>
                <w:rFonts w:hint="eastAsia" w:cs="宋体"/>
                <w:color w:val="auto"/>
              </w:rPr>
              <w:t>15</w:t>
            </w:r>
          </w:p>
        </w:tc>
        <w:tc>
          <w:tcPr>
            <w:tcW w:w="1950" w:type="dxa"/>
            <w:vAlign w:val="center"/>
          </w:tcPr>
          <w:p w14:paraId="152D0EDE">
            <w:pPr>
              <w:pStyle w:val="296"/>
              <w:adjustRightInd w:val="0"/>
              <w:snapToGrid w:val="0"/>
              <w:spacing w:line="300" w:lineRule="exact"/>
              <w:rPr>
                <w:rFonts w:hint="eastAsia" w:cs="宋体"/>
                <w:color w:val="auto"/>
              </w:rPr>
            </w:pPr>
            <w:r>
              <w:rPr>
                <w:rFonts w:hint="eastAsia" w:cs="宋体"/>
                <w:color w:val="auto"/>
              </w:rPr>
              <w:t>反-1,2-二氯乙烯</w:t>
            </w:r>
          </w:p>
        </w:tc>
        <w:tc>
          <w:tcPr>
            <w:tcW w:w="1531" w:type="dxa"/>
            <w:vAlign w:val="center"/>
          </w:tcPr>
          <w:p w14:paraId="7CA02965">
            <w:pPr>
              <w:pStyle w:val="296"/>
              <w:adjustRightInd w:val="0"/>
              <w:snapToGrid w:val="0"/>
              <w:spacing w:line="300" w:lineRule="exact"/>
              <w:rPr>
                <w:rFonts w:hint="eastAsia" w:cs="宋体"/>
                <w:color w:val="auto"/>
              </w:rPr>
            </w:pPr>
            <w:r>
              <w:rPr>
                <w:rFonts w:hint="eastAsia" w:cs="宋体"/>
                <w:color w:val="auto"/>
              </w:rPr>
              <w:t>54</w:t>
            </w:r>
          </w:p>
        </w:tc>
        <w:tc>
          <w:tcPr>
            <w:tcW w:w="1114" w:type="dxa"/>
            <w:vAlign w:val="center"/>
          </w:tcPr>
          <w:p w14:paraId="27610439">
            <w:pPr>
              <w:pStyle w:val="296"/>
              <w:adjustRightInd w:val="0"/>
              <w:snapToGrid w:val="0"/>
              <w:spacing w:line="300" w:lineRule="exact"/>
              <w:rPr>
                <w:rFonts w:hint="eastAsia" w:cs="宋体"/>
                <w:color w:val="auto"/>
              </w:rPr>
            </w:pPr>
            <w:r>
              <w:rPr>
                <w:rFonts w:hint="eastAsia" w:cs="宋体"/>
                <w:color w:val="auto"/>
              </w:rPr>
              <w:t>29</w:t>
            </w:r>
          </w:p>
        </w:tc>
        <w:tc>
          <w:tcPr>
            <w:tcW w:w="2075" w:type="dxa"/>
            <w:vAlign w:val="center"/>
          </w:tcPr>
          <w:p w14:paraId="4FEBD459">
            <w:pPr>
              <w:pStyle w:val="296"/>
              <w:adjustRightInd w:val="0"/>
              <w:snapToGrid w:val="0"/>
              <w:spacing w:line="300" w:lineRule="exact"/>
              <w:rPr>
                <w:rFonts w:hint="eastAsia" w:cs="宋体"/>
                <w:color w:val="auto"/>
              </w:rPr>
            </w:pPr>
            <w:r>
              <w:rPr>
                <w:rFonts w:hint="eastAsia" w:cs="宋体"/>
                <w:color w:val="auto"/>
              </w:rPr>
              <w:t>1,4-二氯苯</w:t>
            </w:r>
          </w:p>
        </w:tc>
        <w:tc>
          <w:tcPr>
            <w:tcW w:w="1453" w:type="dxa"/>
            <w:vAlign w:val="center"/>
          </w:tcPr>
          <w:p w14:paraId="253E4BC7">
            <w:pPr>
              <w:pStyle w:val="296"/>
              <w:adjustRightInd w:val="0"/>
              <w:snapToGrid w:val="0"/>
              <w:spacing w:line="300" w:lineRule="exact"/>
              <w:rPr>
                <w:rFonts w:hint="eastAsia" w:cs="宋体"/>
                <w:color w:val="auto"/>
              </w:rPr>
            </w:pPr>
            <w:r>
              <w:rPr>
                <w:rFonts w:hint="eastAsia" w:cs="宋体"/>
                <w:color w:val="auto"/>
              </w:rPr>
              <w:t>20</w:t>
            </w:r>
          </w:p>
        </w:tc>
      </w:tr>
      <w:tr w14:paraId="2AF721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79A84AFA">
            <w:pPr>
              <w:pStyle w:val="296"/>
              <w:adjustRightInd w:val="0"/>
              <w:snapToGrid w:val="0"/>
              <w:spacing w:line="300" w:lineRule="exact"/>
              <w:rPr>
                <w:rFonts w:hint="eastAsia" w:cs="宋体"/>
                <w:color w:val="auto"/>
              </w:rPr>
            </w:pPr>
            <w:r>
              <w:rPr>
                <w:rFonts w:hint="eastAsia" w:cs="宋体"/>
                <w:color w:val="auto"/>
              </w:rPr>
              <w:t>16</w:t>
            </w:r>
          </w:p>
        </w:tc>
        <w:tc>
          <w:tcPr>
            <w:tcW w:w="1950" w:type="dxa"/>
            <w:vAlign w:val="center"/>
          </w:tcPr>
          <w:p w14:paraId="48515055">
            <w:pPr>
              <w:pStyle w:val="296"/>
              <w:adjustRightInd w:val="0"/>
              <w:snapToGrid w:val="0"/>
              <w:spacing w:line="300" w:lineRule="exact"/>
              <w:rPr>
                <w:rFonts w:hint="eastAsia" w:cs="宋体"/>
                <w:color w:val="auto"/>
              </w:rPr>
            </w:pPr>
            <w:r>
              <w:rPr>
                <w:rFonts w:hint="eastAsia" w:cs="宋体"/>
                <w:color w:val="auto"/>
              </w:rPr>
              <w:t>二氯甲烷</w:t>
            </w:r>
          </w:p>
        </w:tc>
        <w:tc>
          <w:tcPr>
            <w:tcW w:w="1531" w:type="dxa"/>
            <w:vAlign w:val="center"/>
          </w:tcPr>
          <w:p w14:paraId="72839BED">
            <w:pPr>
              <w:pStyle w:val="296"/>
              <w:adjustRightInd w:val="0"/>
              <w:snapToGrid w:val="0"/>
              <w:spacing w:line="300" w:lineRule="exact"/>
              <w:rPr>
                <w:rFonts w:hint="eastAsia" w:cs="宋体"/>
                <w:color w:val="auto"/>
              </w:rPr>
            </w:pPr>
            <w:r>
              <w:rPr>
                <w:rFonts w:hint="eastAsia" w:cs="宋体"/>
                <w:color w:val="auto"/>
              </w:rPr>
              <w:t>616</w:t>
            </w:r>
          </w:p>
        </w:tc>
        <w:tc>
          <w:tcPr>
            <w:tcW w:w="1114" w:type="dxa"/>
            <w:vAlign w:val="center"/>
          </w:tcPr>
          <w:p w14:paraId="3E01C524">
            <w:pPr>
              <w:pStyle w:val="296"/>
              <w:adjustRightInd w:val="0"/>
              <w:snapToGrid w:val="0"/>
              <w:spacing w:line="300" w:lineRule="exact"/>
              <w:rPr>
                <w:rFonts w:hint="eastAsia" w:cs="宋体"/>
                <w:color w:val="auto"/>
              </w:rPr>
            </w:pPr>
            <w:r>
              <w:rPr>
                <w:rFonts w:hint="eastAsia" w:cs="宋体"/>
                <w:color w:val="auto"/>
              </w:rPr>
              <w:t>30</w:t>
            </w:r>
          </w:p>
        </w:tc>
        <w:tc>
          <w:tcPr>
            <w:tcW w:w="2075" w:type="dxa"/>
            <w:vAlign w:val="center"/>
          </w:tcPr>
          <w:p w14:paraId="64F4BB3C">
            <w:pPr>
              <w:pStyle w:val="296"/>
              <w:adjustRightInd w:val="0"/>
              <w:snapToGrid w:val="0"/>
              <w:spacing w:line="300" w:lineRule="exact"/>
              <w:rPr>
                <w:rFonts w:hint="eastAsia" w:cs="宋体"/>
                <w:color w:val="auto"/>
              </w:rPr>
            </w:pPr>
            <w:r>
              <w:rPr>
                <w:rFonts w:hint="eastAsia" w:cs="宋体"/>
                <w:color w:val="auto"/>
              </w:rPr>
              <w:t>乙苯</w:t>
            </w:r>
          </w:p>
        </w:tc>
        <w:tc>
          <w:tcPr>
            <w:tcW w:w="1453" w:type="dxa"/>
            <w:vAlign w:val="center"/>
          </w:tcPr>
          <w:p w14:paraId="1BBFDFBD">
            <w:pPr>
              <w:pStyle w:val="296"/>
              <w:adjustRightInd w:val="0"/>
              <w:snapToGrid w:val="0"/>
              <w:spacing w:line="300" w:lineRule="exact"/>
              <w:rPr>
                <w:rFonts w:hint="eastAsia" w:cs="宋体"/>
                <w:color w:val="auto"/>
              </w:rPr>
            </w:pPr>
            <w:r>
              <w:rPr>
                <w:rFonts w:hint="eastAsia" w:cs="宋体"/>
                <w:color w:val="auto"/>
              </w:rPr>
              <w:t>28</w:t>
            </w:r>
          </w:p>
        </w:tc>
      </w:tr>
      <w:tr w14:paraId="5E7BEF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65CF6B39">
            <w:pPr>
              <w:pStyle w:val="296"/>
              <w:adjustRightInd w:val="0"/>
              <w:snapToGrid w:val="0"/>
              <w:spacing w:line="300" w:lineRule="exact"/>
              <w:rPr>
                <w:rFonts w:hint="eastAsia" w:cs="宋体"/>
                <w:color w:val="auto"/>
              </w:rPr>
            </w:pPr>
            <w:r>
              <w:rPr>
                <w:rFonts w:hint="eastAsia" w:cs="宋体"/>
                <w:color w:val="auto"/>
              </w:rPr>
              <w:t>17</w:t>
            </w:r>
          </w:p>
        </w:tc>
        <w:tc>
          <w:tcPr>
            <w:tcW w:w="1950" w:type="dxa"/>
            <w:vAlign w:val="center"/>
          </w:tcPr>
          <w:p w14:paraId="615168B5">
            <w:pPr>
              <w:pStyle w:val="296"/>
              <w:adjustRightInd w:val="0"/>
              <w:snapToGrid w:val="0"/>
              <w:spacing w:line="300" w:lineRule="exact"/>
              <w:rPr>
                <w:rFonts w:hint="eastAsia" w:cs="宋体"/>
                <w:color w:val="auto"/>
              </w:rPr>
            </w:pPr>
            <w:r>
              <w:rPr>
                <w:rFonts w:hint="eastAsia" w:cs="宋体"/>
                <w:color w:val="auto"/>
              </w:rPr>
              <w:t>1,2-二氯丙烷</w:t>
            </w:r>
          </w:p>
        </w:tc>
        <w:tc>
          <w:tcPr>
            <w:tcW w:w="1531" w:type="dxa"/>
            <w:vAlign w:val="center"/>
          </w:tcPr>
          <w:p w14:paraId="0B2AE364">
            <w:pPr>
              <w:pStyle w:val="296"/>
              <w:adjustRightInd w:val="0"/>
              <w:snapToGrid w:val="0"/>
              <w:spacing w:line="300" w:lineRule="exact"/>
              <w:rPr>
                <w:rFonts w:hint="eastAsia" w:cs="宋体"/>
                <w:color w:val="auto"/>
              </w:rPr>
            </w:pPr>
            <w:r>
              <w:rPr>
                <w:rFonts w:hint="eastAsia" w:cs="宋体"/>
                <w:color w:val="auto"/>
              </w:rPr>
              <w:t>5</w:t>
            </w:r>
          </w:p>
        </w:tc>
        <w:tc>
          <w:tcPr>
            <w:tcW w:w="1114" w:type="dxa"/>
            <w:vAlign w:val="center"/>
          </w:tcPr>
          <w:p w14:paraId="07621B92">
            <w:pPr>
              <w:pStyle w:val="296"/>
              <w:adjustRightInd w:val="0"/>
              <w:snapToGrid w:val="0"/>
              <w:spacing w:line="300" w:lineRule="exact"/>
              <w:rPr>
                <w:rFonts w:hint="eastAsia" w:cs="宋体"/>
                <w:color w:val="auto"/>
              </w:rPr>
            </w:pPr>
            <w:r>
              <w:rPr>
                <w:rFonts w:hint="eastAsia" w:cs="宋体"/>
                <w:color w:val="auto"/>
              </w:rPr>
              <w:t>31</w:t>
            </w:r>
          </w:p>
        </w:tc>
        <w:tc>
          <w:tcPr>
            <w:tcW w:w="2075" w:type="dxa"/>
            <w:vAlign w:val="center"/>
          </w:tcPr>
          <w:p w14:paraId="59C851E8">
            <w:pPr>
              <w:pStyle w:val="296"/>
              <w:adjustRightInd w:val="0"/>
              <w:snapToGrid w:val="0"/>
              <w:spacing w:line="300" w:lineRule="exact"/>
              <w:rPr>
                <w:rFonts w:hint="eastAsia" w:cs="宋体"/>
                <w:color w:val="auto"/>
              </w:rPr>
            </w:pPr>
            <w:r>
              <w:rPr>
                <w:rFonts w:hint="eastAsia" w:cs="宋体"/>
                <w:color w:val="auto"/>
              </w:rPr>
              <w:t>苯乙烯</w:t>
            </w:r>
          </w:p>
        </w:tc>
        <w:tc>
          <w:tcPr>
            <w:tcW w:w="1453" w:type="dxa"/>
            <w:vAlign w:val="center"/>
          </w:tcPr>
          <w:p w14:paraId="74FB0F03">
            <w:pPr>
              <w:pStyle w:val="296"/>
              <w:adjustRightInd w:val="0"/>
              <w:snapToGrid w:val="0"/>
              <w:spacing w:line="300" w:lineRule="exact"/>
              <w:rPr>
                <w:rFonts w:hint="eastAsia" w:cs="宋体"/>
                <w:color w:val="auto"/>
              </w:rPr>
            </w:pPr>
            <w:r>
              <w:rPr>
                <w:rFonts w:hint="eastAsia" w:cs="宋体"/>
                <w:color w:val="auto"/>
              </w:rPr>
              <w:t>1290</w:t>
            </w:r>
          </w:p>
        </w:tc>
      </w:tr>
      <w:tr w14:paraId="591E1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5394ADAD">
            <w:pPr>
              <w:pStyle w:val="296"/>
              <w:adjustRightInd w:val="0"/>
              <w:snapToGrid w:val="0"/>
              <w:spacing w:line="300" w:lineRule="exact"/>
              <w:rPr>
                <w:rFonts w:hint="eastAsia" w:cs="宋体"/>
                <w:color w:val="auto"/>
              </w:rPr>
            </w:pPr>
            <w:r>
              <w:rPr>
                <w:rFonts w:hint="eastAsia" w:cs="宋体"/>
                <w:color w:val="auto"/>
              </w:rPr>
              <w:t>18</w:t>
            </w:r>
          </w:p>
        </w:tc>
        <w:tc>
          <w:tcPr>
            <w:tcW w:w="1950" w:type="dxa"/>
            <w:vAlign w:val="center"/>
          </w:tcPr>
          <w:p w14:paraId="09D7B57F">
            <w:pPr>
              <w:pStyle w:val="296"/>
              <w:adjustRightInd w:val="0"/>
              <w:snapToGrid w:val="0"/>
              <w:spacing w:line="300" w:lineRule="exact"/>
              <w:rPr>
                <w:rFonts w:hint="eastAsia" w:cs="宋体"/>
                <w:color w:val="auto"/>
              </w:rPr>
            </w:pPr>
            <w:r>
              <w:rPr>
                <w:rFonts w:hint="eastAsia" w:cs="宋体"/>
                <w:color w:val="auto"/>
              </w:rPr>
              <w:t>1,1,1,2-四氯乙烷</w:t>
            </w:r>
          </w:p>
        </w:tc>
        <w:tc>
          <w:tcPr>
            <w:tcW w:w="1531" w:type="dxa"/>
            <w:vAlign w:val="center"/>
          </w:tcPr>
          <w:p w14:paraId="335A6EFA">
            <w:pPr>
              <w:pStyle w:val="296"/>
              <w:adjustRightInd w:val="0"/>
              <w:snapToGrid w:val="0"/>
              <w:spacing w:line="300" w:lineRule="exact"/>
              <w:rPr>
                <w:rFonts w:hint="eastAsia" w:cs="宋体"/>
                <w:color w:val="auto"/>
              </w:rPr>
            </w:pPr>
            <w:r>
              <w:rPr>
                <w:rFonts w:hint="eastAsia" w:cs="宋体"/>
                <w:color w:val="auto"/>
              </w:rPr>
              <w:t>10</w:t>
            </w:r>
          </w:p>
        </w:tc>
        <w:tc>
          <w:tcPr>
            <w:tcW w:w="1114" w:type="dxa"/>
            <w:vAlign w:val="center"/>
          </w:tcPr>
          <w:p w14:paraId="2F603C3F">
            <w:pPr>
              <w:pStyle w:val="296"/>
              <w:adjustRightInd w:val="0"/>
              <w:snapToGrid w:val="0"/>
              <w:spacing w:line="300" w:lineRule="exact"/>
              <w:rPr>
                <w:rFonts w:hint="eastAsia" w:cs="宋体"/>
                <w:color w:val="auto"/>
              </w:rPr>
            </w:pPr>
            <w:r>
              <w:rPr>
                <w:rFonts w:hint="eastAsia" w:cs="宋体"/>
                <w:color w:val="auto"/>
              </w:rPr>
              <w:t>32</w:t>
            </w:r>
          </w:p>
        </w:tc>
        <w:tc>
          <w:tcPr>
            <w:tcW w:w="2075" w:type="dxa"/>
            <w:vAlign w:val="center"/>
          </w:tcPr>
          <w:p w14:paraId="19F4050C">
            <w:pPr>
              <w:pStyle w:val="296"/>
              <w:adjustRightInd w:val="0"/>
              <w:snapToGrid w:val="0"/>
              <w:spacing w:line="300" w:lineRule="exact"/>
              <w:rPr>
                <w:rFonts w:hint="eastAsia" w:cs="宋体"/>
                <w:color w:val="auto"/>
              </w:rPr>
            </w:pPr>
            <w:r>
              <w:rPr>
                <w:rFonts w:hint="eastAsia" w:cs="宋体"/>
                <w:color w:val="auto"/>
              </w:rPr>
              <w:t>甲苯</w:t>
            </w:r>
          </w:p>
        </w:tc>
        <w:tc>
          <w:tcPr>
            <w:tcW w:w="1453" w:type="dxa"/>
            <w:vAlign w:val="center"/>
          </w:tcPr>
          <w:p w14:paraId="41724DC3">
            <w:pPr>
              <w:pStyle w:val="296"/>
              <w:adjustRightInd w:val="0"/>
              <w:snapToGrid w:val="0"/>
              <w:spacing w:line="300" w:lineRule="exact"/>
              <w:rPr>
                <w:rFonts w:hint="eastAsia" w:cs="宋体"/>
                <w:color w:val="auto"/>
              </w:rPr>
            </w:pPr>
            <w:r>
              <w:rPr>
                <w:rFonts w:hint="eastAsia" w:cs="宋体"/>
                <w:color w:val="auto"/>
              </w:rPr>
              <w:t>1200</w:t>
            </w:r>
          </w:p>
        </w:tc>
      </w:tr>
      <w:tr w14:paraId="2F4A34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72A70D61">
            <w:pPr>
              <w:pStyle w:val="296"/>
              <w:adjustRightInd w:val="0"/>
              <w:snapToGrid w:val="0"/>
              <w:spacing w:line="300" w:lineRule="exact"/>
              <w:rPr>
                <w:rFonts w:hint="eastAsia" w:cs="宋体"/>
                <w:color w:val="auto"/>
              </w:rPr>
            </w:pPr>
            <w:r>
              <w:rPr>
                <w:rFonts w:hint="eastAsia" w:cs="宋体"/>
                <w:color w:val="auto"/>
              </w:rPr>
              <w:t>19</w:t>
            </w:r>
          </w:p>
        </w:tc>
        <w:tc>
          <w:tcPr>
            <w:tcW w:w="1950" w:type="dxa"/>
            <w:vAlign w:val="center"/>
          </w:tcPr>
          <w:p w14:paraId="0DB92778">
            <w:pPr>
              <w:pStyle w:val="296"/>
              <w:adjustRightInd w:val="0"/>
              <w:snapToGrid w:val="0"/>
              <w:spacing w:line="300" w:lineRule="exact"/>
              <w:rPr>
                <w:rFonts w:hint="eastAsia" w:cs="宋体"/>
                <w:color w:val="auto"/>
              </w:rPr>
            </w:pPr>
            <w:r>
              <w:rPr>
                <w:rFonts w:hint="eastAsia" w:cs="宋体"/>
                <w:color w:val="auto"/>
              </w:rPr>
              <w:t>1,1,2,2-四氯乙烷</w:t>
            </w:r>
          </w:p>
        </w:tc>
        <w:tc>
          <w:tcPr>
            <w:tcW w:w="1531" w:type="dxa"/>
            <w:vAlign w:val="center"/>
          </w:tcPr>
          <w:p w14:paraId="132BE95C">
            <w:pPr>
              <w:pStyle w:val="296"/>
              <w:adjustRightInd w:val="0"/>
              <w:snapToGrid w:val="0"/>
              <w:spacing w:line="300" w:lineRule="exact"/>
              <w:rPr>
                <w:rFonts w:hint="eastAsia" w:cs="宋体"/>
                <w:color w:val="auto"/>
              </w:rPr>
            </w:pPr>
            <w:r>
              <w:rPr>
                <w:rFonts w:hint="eastAsia" w:cs="宋体"/>
                <w:color w:val="auto"/>
              </w:rPr>
              <w:t>6.8</w:t>
            </w:r>
          </w:p>
        </w:tc>
        <w:tc>
          <w:tcPr>
            <w:tcW w:w="1114" w:type="dxa"/>
            <w:vAlign w:val="center"/>
          </w:tcPr>
          <w:p w14:paraId="16A41BD5">
            <w:pPr>
              <w:pStyle w:val="296"/>
              <w:adjustRightInd w:val="0"/>
              <w:snapToGrid w:val="0"/>
              <w:spacing w:line="300" w:lineRule="exact"/>
              <w:rPr>
                <w:rFonts w:hint="eastAsia" w:cs="宋体"/>
                <w:color w:val="auto"/>
              </w:rPr>
            </w:pPr>
            <w:r>
              <w:rPr>
                <w:rFonts w:hint="eastAsia" w:cs="宋体"/>
                <w:color w:val="auto"/>
              </w:rPr>
              <w:t>33</w:t>
            </w:r>
          </w:p>
        </w:tc>
        <w:tc>
          <w:tcPr>
            <w:tcW w:w="2075" w:type="dxa"/>
            <w:vAlign w:val="center"/>
          </w:tcPr>
          <w:p w14:paraId="30CC70B4">
            <w:pPr>
              <w:pStyle w:val="296"/>
              <w:adjustRightInd w:val="0"/>
              <w:snapToGrid w:val="0"/>
              <w:spacing w:line="300" w:lineRule="exact"/>
              <w:rPr>
                <w:rFonts w:hint="eastAsia" w:cs="宋体"/>
                <w:color w:val="auto"/>
              </w:rPr>
            </w:pPr>
            <w:r>
              <w:rPr>
                <w:rFonts w:hint="eastAsia" w:cs="宋体"/>
                <w:color w:val="auto"/>
              </w:rPr>
              <w:t>间二甲苯+对二甲苯</w:t>
            </w:r>
          </w:p>
        </w:tc>
        <w:tc>
          <w:tcPr>
            <w:tcW w:w="1453" w:type="dxa"/>
            <w:vAlign w:val="center"/>
          </w:tcPr>
          <w:p w14:paraId="2E0C7751">
            <w:pPr>
              <w:pStyle w:val="296"/>
              <w:adjustRightInd w:val="0"/>
              <w:snapToGrid w:val="0"/>
              <w:spacing w:line="300" w:lineRule="exact"/>
              <w:rPr>
                <w:rFonts w:hint="eastAsia" w:cs="宋体"/>
                <w:color w:val="auto"/>
              </w:rPr>
            </w:pPr>
            <w:r>
              <w:rPr>
                <w:rFonts w:hint="eastAsia" w:cs="宋体"/>
                <w:color w:val="auto"/>
              </w:rPr>
              <w:t>570</w:t>
            </w:r>
          </w:p>
        </w:tc>
      </w:tr>
      <w:tr w14:paraId="15735A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4CD36095">
            <w:pPr>
              <w:pStyle w:val="296"/>
              <w:adjustRightInd w:val="0"/>
              <w:snapToGrid w:val="0"/>
              <w:spacing w:line="300" w:lineRule="exact"/>
              <w:rPr>
                <w:rFonts w:hint="eastAsia" w:cs="宋体"/>
                <w:color w:val="auto"/>
              </w:rPr>
            </w:pPr>
            <w:r>
              <w:rPr>
                <w:rFonts w:hint="eastAsia" w:cs="宋体"/>
                <w:color w:val="auto"/>
              </w:rPr>
              <w:t>20</w:t>
            </w:r>
          </w:p>
        </w:tc>
        <w:tc>
          <w:tcPr>
            <w:tcW w:w="1950" w:type="dxa"/>
            <w:vAlign w:val="center"/>
          </w:tcPr>
          <w:p w14:paraId="642D1383">
            <w:pPr>
              <w:pStyle w:val="296"/>
              <w:adjustRightInd w:val="0"/>
              <w:snapToGrid w:val="0"/>
              <w:spacing w:line="300" w:lineRule="exact"/>
              <w:rPr>
                <w:rFonts w:hint="eastAsia" w:cs="宋体"/>
                <w:color w:val="auto"/>
              </w:rPr>
            </w:pPr>
            <w:r>
              <w:rPr>
                <w:rFonts w:hint="eastAsia" w:cs="宋体"/>
                <w:color w:val="auto"/>
              </w:rPr>
              <w:t>四氯乙烯</w:t>
            </w:r>
          </w:p>
        </w:tc>
        <w:tc>
          <w:tcPr>
            <w:tcW w:w="1531" w:type="dxa"/>
            <w:vAlign w:val="center"/>
          </w:tcPr>
          <w:p w14:paraId="30526B32">
            <w:pPr>
              <w:pStyle w:val="296"/>
              <w:adjustRightInd w:val="0"/>
              <w:snapToGrid w:val="0"/>
              <w:spacing w:line="300" w:lineRule="exact"/>
              <w:rPr>
                <w:rFonts w:hint="eastAsia" w:cs="宋体"/>
                <w:color w:val="auto"/>
              </w:rPr>
            </w:pPr>
            <w:r>
              <w:rPr>
                <w:rFonts w:hint="eastAsia" w:cs="宋体"/>
                <w:color w:val="auto"/>
              </w:rPr>
              <w:t>53</w:t>
            </w:r>
          </w:p>
        </w:tc>
        <w:tc>
          <w:tcPr>
            <w:tcW w:w="1114" w:type="dxa"/>
            <w:vAlign w:val="center"/>
          </w:tcPr>
          <w:p w14:paraId="64E73880">
            <w:pPr>
              <w:pStyle w:val="296"/>
              <w:adjustRightInd w:val="0"/>
              <w:snapToGrid w:val="0"/>
              <w:spacing w:line="300" w:lineRule="exact"/>
              <w:rPr>
                <w:rFonts w:hint="eastAsia" w:cs="宋体"/>
                <w:color w:val="auto"/>
              </w:rPr>
            </w:pPr>
            <w:r>
              <w:rPr>
                <w:rFonts w:hint="eastAsia" w:cs="宋体"/>
                <w:color w:val="auto"/>
              </w:rPr>
              <w:t>34</w:t>
            </w:r>
          </w:p>
        </w:tc>
        <w:tc>
          <w:tcPr>
            <w:tcW w:w="2075" w:type="dxa"/>
            <w:vAlign w:val="center"/>
          </w:tcPr>
          <w:p w14:paraId="156F7074">
            <w:pPr>
              <w:pStyle w:val="296"/>
              <w:adjustRightInd w:val="0"/>
              <w:snapToGrid w:val="0"/>
              <w:spacing w:line="300" w:lineRule="exact"/>
              <w:rPr>
                <w:rFonts w:hint="eastAsia" w:cs="宋体"/>
                <w:color w:val="auto"/>
              </w:rPr>
            </w:pPr>
            <w:r>
              <w:rPr>
                <w:rFonts w:hint="eastAsia" w:cs="宋体"/>
                <w:color w:val="auto"/>
              </w:rPr>
              <w:t>邻二甲苯</w:t>
            </w:r>
          </w:p>
        </w:tc>
        <w:tc>
          <w:tcPr>
            <w:tcW w:w="1453" w:type="dxa"/>
            <w:vAlign w:val="center"/>
          </w:tcPr>
          <w:p w14:paraId="6F39BF78">
            <w:pPr>
              <w:pStyle w:val="296"/>
              <w:adjustRightInd w:val="0"/>
              <w:snapToGrid w:val="0"/>
              <w:spacing w:line="300" w:lineRule="exact"/>
              <w:rPr>
                <w:rFonts w:hint="eastAsia" w:cs="宋体"/>
                <w:color w:val="auto"/>
              </w:rPr>
            </w:pPr>
            <w:r>
              <w:rPr>
                <w:rFonts w:hint="eastAsia" w:cs="宋体"/>
                <w:color w:val="auto"/>
              </w:rPr>
              <w:t>640</w:t>
            </w:r>
          </w:p>
        </w:tc>
      </w:tr>
      <w:tr w14:paraId="2849CC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056A70E6">
            <w:pPr>
              <w:pStyle w:val="296"/>
              <w:adjustRightInd w:val="0"/>
              <w:snapToGrid w:val="0"/>
              <w:spacing w:line="300" w:lineRule="exact"/>
              <w:rPr>
                <w:rFonts w:hint="eastAsia" w:cs="宋体"/>
                <w:color w:val="auto"/>
              </w:rPr>
            </w:pPr>
            <w:r>
              <w:rPr>
                <w:rFonts w:hint="eastAsia" w:cs="宋体"/>
                <w:color w:val="auto"/>
              </w:rPr>
              <w:t>21</w:t>
            </w:r>
          </w:p>
        </w:tc>
        <w:tc>
          <w:tcPr>
            <w:tcW w:w="1950" w:type="dxa"/>
            <w:vAlign w:val="center"/>
          </w:tcPr>
          <w:p w14:paraId="5F79D70F">
            <w:pPr>
              <w:pStyle w:val="296"/>
              <w:adjustRightInd w:val="0"/>
              <w:snapToGrid w:val="0"/>
              <w:spacing w:line="300" w:lineRule="exact"/>
              <w:rPr>
                <w:rFonts w:hint="eastAsia" w:cs="宋体"/>
                <w:color w:val="auto"/>
              </w:rPr>
            </w:pPr>
            <w:r>
              <w:rPr>
                <w:rFonts w:hint="eastAsia" w:cs="宋体"/>
                <w:color w:val="auto"/>
              </w:rPr>
              <w:t>1,1,1-三氯乙烷</w:t>
            </w:r>
          </w:p>
        </w:tc>
        <w:tc>
          <w:tcPr>
            <w:tcW w:w="1531" w:type="dxa"/>
            <w:vAlign w:val="center"/>
          </w:tcPr>
          <w:p w14:paraId="603C3A6E">
            <w:pPr>
              <w:pStyle w:val="296"/>
              <w:adjustRightInd w:val="0"/>
              <w:snapToGrid w:val="0"/>
              <w:spacing w:line="300" w:lineRule="exact"/>
              <w:rPr>
                <w:rFonts w:hint="eastAsia" w:cs="宋体"/>
                <w:color w:val="auto"/>
              </w:rPr>
            </w:pPr>
            <w:r>
              <w:rPr>
                <w:rFonts w:hint="eastAsia" w:cs="宋体"/>
                <w:color w:val="auto"/>
              </w:rPr>
              <w:t>840</w:t>
            </w:r>
          </w:p>
        </w:tc>
        <w:tc>
          <w:tcPr>
            <w:tcW w:w="1114" w:type="dxa"/>
            <w:vAlign w:val="center"/>
          </w:tcPr>
          <w:p w14:paraId="019A81F4">
            <w:pPr>
              <w:pStyle w:val="296"/>
              <w:adjustRightInd w:val="0"/>
              <w:snapToGrid w:val="0"/>
              <w:spacing w:line="300" w:lineRule="exact"/>
              <w:rPr>
                <w:rFonts w:hint="eastAsia" w:cs="宋体"/>
                <w:color w:val="auto"/>
              </w:rPr>
            </w:pPr>
          </w:p>
        </w:tc>
        <w:tc>
          <w:tcPr>
            <w:tcW w:w="2075" w:type="dxa"/>
            <w:vAlign w:val="center"/>
          </w:tcPr>
          <w:p w14:paraId="1F782803">
            <w:pPr>
              <w:pStyle w:val="296"/>
              <w:adjustRightInd w:val="0"/>
              <w:snapToGrid w:val="0"/>
              <w:spacing w:line="300" w:lineRule="exact"/>
              <w:rPr>
                <w:rFonts w:hint="eastAsia" w:cs="宋体"/>
                <w:color w:val="auto"/>
              </w:rPr>
            </w:pPr>
          </w:p>
        </w:tc>
        <w:tc>
          <w:tcPr>
            <w:tcW w:w="1453" w:type="dxa"/>
            <w:vAlign w:val="center"/>
          </w:tcPr>
          <w:p w14:paraId="5FA3C1AC">
            <w:pPr>
              <w:pStyle w:val="296"/>
              <w:adjustRightInd w:val="0"/>
              <w:snapToGrid w:val="0"/>
              <w:spacing w:line="300" w:lineRule="exact"/>
              <w:rPr>
                <w:rFonts w:hint="eastAsia" w:cs="宋体"/>
                <w:color w:val="auto"/>
              </w:rPr>
            </w:pPr>
          </w:p>
        </w:tc>
      </w:tr>
      <w:tr w14:paraId="2A81BE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86" w:type="dxa"/>
            <w:gridSpan w:val="6"/>
            <w:vAlign w:val="center"/>
          </w:tcPr>
          <w:p w14:paraId="32456007">
            <w:pPr>
              <w:pStyle w:val="296"/>
              <w:adjustRightInd w:val="0"/>
              <w:snapToGrid w:val="0"/>
              <w:spacing w:line="300" w:lineRule="exact"/>
              <w:rPr>
                <w:rFonts w:hint="eastAsia" w:cs="宋体"/>
                <w:color w:val="auto"/>
              </w:rPr>
            </w:pPr>
            <w:r>
              <w:rPr>
                <w:rFonts w:hint="eastAsia" w:cs="宋体"/>
                <w:color w:val="auto"/>
              </w:rPr>
              <w:t>基本项目（半挥发性有机物）</w:t>
            </w:r>
          </w:p>
        </w:tc>
      </w:tr>
      <w:tr w14:paraId="1B367D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4E6DFD3D">
            <w:pPr>
              <w:pStyle w:val="296"/>
              <w:adjustRightInd w:val="0"/>
              <w:snapToGrid w:val="0"/>
              <w:spacing w:line="300" w:lineRule="exact"/>
              <w:rPr>
                <w:rFonts w:hint="eastAsia" w:cs="宋体"/>
                <w:color w:val="auto"/>
              </w:rPr>
            </w:pPr>
            <w:r>
              <w:rPr>
                <w:rFonts w:hint="eastAsia" w:cs="宋体"/>
                <w:color w:val="auto"/>
              </w:rPr>
              <w:t>35</w:t>
            </w:r>
          </w:p>
        </w:tc>
        <w:tc>
          <w:tcPr>
            <w:tcW w:w="1950" w:type="dxa"/>
            <w:vAlign w:val="center"/>
          </w:tcPr>
          <w:p w14:paraId="6C98FDA0">
            <w:pPr>
              <w:pStyle w:val="296"/>
              <w:adjustRightInd w:val="0"/>
              <w:snapToGrid w:val="0"/>
              <w:spacing w:line="300" w:lineRule="exact"/>
              <w:rPr>
                <w:rFonts w:hint="eastAsia" w:cs="宋体"/>
                <w:color w:val="auto"/>
              </w:rPr>
            </w:pPr>
            <w:r>
              <w:rPr>
                <w:rFonts w:hint="eastAsia" w:cs="宋体"/>
                <w:color w:val="auto"/>
              </w:rPr>
              <w:t>硝基苯</w:t>
            </w:r>
          </w:p>
        </w:tc>
        <w:tc>
          <w:tcPr>
            <w:tcW w:w="1531" w:type="dxa"/>
            <w:vAlign w:val="center"/>
          </w:tcPr>
          <w:p w14:paraId="4446D59E">
            <w:pPr>
              <w:pStyle w:val="296"/>
              <w:adjustRightInd w:val="0"/>
              <w:snapToGrid w:val="0"/>
              <w:spacing w:line="300" w:lineRule="exact"/>
              <w:rPr>
                <w:rFonts w:hint="eastAsia" w:cs="宋体"/>
                <w:color w:val="auto"/>
              </w:rPr>
            </w:pPr>
            <w:r>
              <w:rPr>
                <w:rFonts w:hint="eastAsia" w:cs="宋体"/>
                <w:color w:val="auto"/>
              </w:rPr>
              <w:t>76</w:t>
            </w:r>
          </w:p>
        </w:tc>
        <w:tc>
          <w:tcPr>
            <w:tcW w:w="1114" w:type="dxa"/>
            <w:vAlign w:val="center"/>
          </w:tcPr>
          <w:p w14:paraId="6C7DD6DA">
            <w:pPr>
              <w:pStyle w:val="296"/>
              <w:adjustRightInd w:val="0"/>
              <w:snapToGrid w:val="0"/>
              <w:spacing w:line="300" w:lineRule="exact"/>
              <w:rPr>
                <w:rFonts w:hint="eastAsia" w:cs="宋体"/>
                <w:color w:val="auto"/>
              </w:rPr>
            </w:pPr>
            <w:r>
              <w:rPr>
                <w:rFonts w:hint="eastAsia" w:cs="宋体"/>
                <w:color w:val="auto"/>
              </w:rPr>
              <w:t>41</w:t>
            </w:r>
          </w:p>
        </w:tc>
        <w:tc>
          <w:tcPr>
            <w:tcW w:w="2075" w:type="dxa"/>
            <w:vAlign w:val="center"/>
          </w:tcPr>
          <w:p w14:paraId="32A85BD6">
            <w:pPr>
              <w:pStyle w:val="296"/>
              <w:adjustRightInd w:val="0"/>
              <w:snapToGrid w:val="0"/>
              <w:spacing w:line="300" w:lineRule="exact"/>
              <w:rPr>
                <w:rFonts w:hint="eastAsia" w:cs="宋体"/>
                <w:color w:val="auto"/>
              </w:rPr>
            </w:pPr>
            <w:r>
              <w:rPr>
                <w:rFonts w:hint="eastAsia" w:cs="宋体"/>
                <w:color w:val="auto"/>
              </w:rPr>
              <w:t>苯并〔k〕荧蒽</w:t>
            </w:r>
          </w:p>
        </w:tc>
        <w:tc>
          <w:tcPr>
            <w:tcW w:w="1453" w:type="dxa"/>
            <w:vAlign w:val="center"/>
          </w:tcPr>
          <w:p w14:paraId="7FD7F748">
            <w:pPr>
              <w:pStyle w:val="296"/>
              <w:adjustRightInd w:val="0"/>
              <w:snapToGrid w:val="0"/>
              <w:spacing w:line="300" w:lineRule="exact"/>
              <w:rPr>
                <w:rFonts w:hint="eastAsia" w:cs="宋体"/>
                <w:color w:val="auto"/>
              </w:rPr>
            </w:pPr>
            <w:r>
              <w:rPr>
                <w:rFonts w:hint="eastAsia" w:cs="宋体"/>
                <w:color w:val="auto"/>
              </w:rPr>
              <w:t>151</w:t>
            </w:r>
          </w:p>
        </w:tc>
      </w:tr>
      <w:tr w14:paraId="7F4C15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147919D3">
            <w:pPr>
              <w:pStyle w:val="296"/>
              <w:adjustRightInd w:val="0"/>
              <w:snapToGrid w:val="0"/>
              <w:spacing w:line="300" w:lineRule="exact"/>
              <w:rPr>
                <w:rFonts w:hint="eastAsia" w:cs="宋体"/>
                <w:color w:val="auto"/>
              </w:rPr>
            </w:pPr>
            <w:r>
              <w:rPr>
                <w:rFonts w:hint="eastAsia" w:cs="宋体"/>
                <w:color w:val="auto"/>
              </w:rPr>
              <w:t>36</w:t>
            </w:r>
          </w:p>
        </w:tc>
        <w:tc>
          <w:tcPr>
            <w:tcW w:w="1950" w:type="dxa"/>
            <w:vAlign w:val="center"/>
          </w:tcPr>
          <w:p w14:paraId="04E07F55">
            <w:pPr>
              <w:pStyle w:val="296"/>
              <w:adjustRightInd w:val="0"/>
              <w:snapToGrid w:val="0"/>
              <w:spacing w:line="300" w:lineRule="exact"/>
              <w:rPr>
                <w:rFonts w:hint="eastAsia" w:cs="宋体"/>
                <w:color w:val="auto"/>
              </w:rPr>
            </w:pPr>
            <w:r>
              <w:rPr>
                <w:rFonts w:hint="eastAsia" w:cs="宋体"/>
                <w:color w:val="auto"/>
              </w:rPr>
              <w:t>苯胺</w:t>
            </w:r>
          </w:p>
        </w:tc>
        <w:tc>
          <w:tcPr>
            <w:tcW w:w="1531" w:type="dxa"/>
            <w:vAlign w:val="center"/>
          </w:tcPr>
          <w:p w14:paraId="3381A4E4">
            <w:pPr>
              <w:pStyle w:val="296"/>
              <w:adjustRightInd w:val="0"/>
              <w:snapToGrid w:val="0"/>
              <w:spacing w:line="300" w:lineRule="exact"/>
              <w:rPr>
                <w:rFonts w:hint="eastAsia" w:cs="宋体"/>
                <w:color w:val="auto"/>
              </w:rPr>
            </w:pPr>
            <w:r>
              <w:rPr>
                <w:rFonts w:hint="eastAsia" w:cs="宋体"/>
                <w:color w:val="auto"/>
              </w:rPr>
              <w:t>260</w:t>
            </w:r>
          </w:p>
        </w:tc>
        <w:tc>
          <w:tcPr>
            <w:tcW w:w="1114" w:type="dxa"/>
            <w:vAlign w:val="center"/>
          </w:tcPr>
          <w:p w14:paraId="0F9F7D79">
            <w:pPr>
              <w:pStyle w:val="296"/>
              <w:adjustRightInd w:val="0"/>
              <w:snapToGrid w:val="0"/>
              <w:spacing w:line="300" w:lineRule="exact"/>
              <w:rPr>
                <w:rFonts w:hint="eastAsia" w:cs="宋体"/>
                <w:color w:val="auto"/>
              </w:rPr>
            </w:pPr>
            <w:r>
              <w:rPr>
                <w:rFonts w:hint="eastAsia" w:cs="宋体"/>
                <w:color w:val="auto"/>
              </w:rPr>
              <w:t>42</w:t>
            </w:r>
          </w:p>
        </w:tc>
        <w:tc>
          <w:tcPr>
            <w:tcW w:w="2075" w:type="dxa"/>
            <w:vAlign w:val="center"/>
          </w:tcPr>
          <w:p w14:paraId="749D38BC">
            <w:pPr>
              <w:pStyle w:val="296"/>
              <w:adjustRightInd w:val="0"/>
              <w:snapToGrid w:val="0"/>
              <w:spacing w:line="300" w:lineRule="exact"/>
              <w:rPr>
                <w:rFonts w:hint="eastAsia" w:cs="宋体"/>
                <w:color w:val="auto"/>
              </w:rPr>
            </w:pPr>
            <w:r>
              <w:rPr>
                <w:rFonts w:hint="eastAsia" w:cs="宋体"/>
                <w:color w:val="auto"/>
              </w:rPr>
              <w:t>䓛</w:t>
            </w:r>
          </w:p>
        </w:tc>
        <w:tc>
          <w:tcPr>
            <w:tcW w:w="1453" w:type="dxa"/>
            <w:vAlign w:val="center"/>
          </w:tcPr>
          <w:p w14:paraId="4E9683D3">
            <w:pPr>
              <w:pStyle w:val="296"/>
              <w:adjustRightInd w:val="0"/>
              <w:snapToGrid w:val="0"/>
              <w:spacing w:line="300" w:lineRule="exact"/>
              <w:rPr>
                <w:rFonts w:hint="eastAsia" w:cs="宋体"/>
                <w:color w:val="auto"/>
              </w:rPr>
            </w:pPr>
            <w:r>
              <w:rPr>
                <w:rFonts w:hint="eastAsia" w:cs="宋体"/>
                <w:color w:val="auto"/>
              </w:rPr>
              <w:t>1293</w:t>
            </w:r>
          </w:p>
        </w:tc>
      </w:tr>
      <w:tr w14:paraId="2B86EE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24E11C1A">
            <w:pPr>
              <w:pStyle w:val="296"/>
              <w:adjustRightInd w:val="0"/>
              <w:snapToGrid w:val="0"/>
              <w:spacing w:line="300" w:lineRule="exact"/>
              <w:rPr>
                <w:rFonts w:hint="eastAsia" w:cs="宋体"/>
                <w:color w:val="auto"/>
              </w:rPr>
            </w:pPr>
            <w:r>
              <w:rPr>
                <w:rFonts w:hint="eastAsia" w:cs="宋体"/>
                <w:color w:val="auto"/>
              </w:rPr>
              <w:t>37</w:t>
            </w:r>
          </w:p>
        </w:tc>
        <w:tc>
          <w:tcPr>
            <w:tcW w:w="1950" w:type="dxa"/>
            <w:vAlign w:val="center"/>
          </w:tcPr>
          <w:p w14:paraId="6AFFD434">
            <w:pPr>
              <w:pStyle w:val="296"/>
              <w:adjustRightInd w:val="0"/>
              <w:snapToGrid w:val="0"/>
              <w:spacing w:line="300" w:lineRule="exact"/>
              <w:rPr>
                <w:rFonts w:hint="eastAsia" w:cs="宋体"/>
                <w:color w:val="auto"/>
              </w:rPr>
            </w:pPr>
            <w:r>
              <w:rPr>
                <w:rFonts w:hint="eastAsia" w:cs="宋体"/>
                <w:color w:val="auto"/>
              </w:rPr>
              <w:t>2-氯酚</w:t>
            </w:r>
          </w:p>
        </w:tc>
        <w:tc>
          <w:tcPr>
            <w:tcW w:w="1531" w:type="dxa"/>
            <w:vAlign w:val="center"/>
          </w:tcPr>
          <w:p w14:paraId="737CC905">
            <w:pPr>
              <w:pStyle w:val="296"/>
              <w:adjustRightInd w:val="0"/>
              <w:snapToGrid w:val="0"/>
              <w:spacing w:line="300" w:lineRule="exact"/>
              <w:rPr>
                <w:rFonts w:hint="eastAsia" w:cs="宋体"/>
                <w:color w:val="auto"/>
              </w:rPr>
            </w:pPr>
            <w:r>
              <w:rPr>
                <w:rFonts w:hint="eastAsia" w:cs="宋体"/>
                <w:color w:val="auto"/>
              </w:rPr>
              <w:t>2256</w:t>
            </w:r>
          </w:p>
        </w:tc>
        <w:tc>
          <w:tcPr>
            <w:tcW w:w="1114" w:type="dxa"/>
            <w:vAlign w:val="center"/>
          </w:tcPr>
          <w:p w14:paraId="1538C805">
            <w:pPr>
              <w:pStyle w:val="296"/>
              <w:adjustRightInd w:val="0"/>
              <w:snapToGrid w:val="0"/>
              <w:spacing w:line="300" w:lineRule="exact"/>
              <w:rPr>
                <w:rFonts w:hint="eastAsia" w:cs="宋体"/>
                <w:color w:val="auto"/>
              </w:rPr>
            </w:pPr>
            <w:r>
              <w:rPr>
                <w:rFonts w:hint="eastAsia" w:cs="宋体"/>
                <w:color w:val="auto"/>
              </w:rPr>
              <w:t>43</w:t>
            </w:r>
          </w:p>
        </w:tc>
        <w:tc>
          <w:tcPr>
            <w:tcW w:w="2075" w:type="dxa"/>
            <w:vAlign w:val="center"/>
          </w:tcPr>
          <w:p w14:paraId="3E5E1D64">
            <w:pPr>
              <w:pStyle w:val="296"/>
              <w:adjustRightInd w:val="0"/>
              <w:snapToGrid w:val="0"/>
              <w:spacing w:line="300" w:lineRule="exact"/>
              <w:rPr>
                <w:rFonts w:hint="eastAsia" w:cs="宋体"/>
                <w:color w:val="auto"/>
              </w:rPr>
            </w:pPr>
            <w:r>
              <w:rPr>
                <w:rFonts w:hint="eastAsia" w:cs="宋体"/>
                <w:color w:val="auto"/>
              </w:rPr>
              <w:t>二苯并〔a，h〕蒽</w:t>
            </w:r>
          </w:p>
        </w:tc>
        <w:tc>
          <w:tcPr>
            <w:tcW w:w="1453" w:type="dxa"/>
            <w:vAlign w:val="center"/>
          </w:tcPr>
          <w:p w14:paraId="3B9A5A4C">
            <w:pPr>
              <w:pStyle w:val="296"/>
              <w:adjustRightInd w:val="0"/>
              <w:snapToGrid w:val="0"/>
              <w:spacing w:line="300" w:lineRule="exact"/>
              <w:rPr>
                <w:rFonts w:hint="eastAsia" w:cs="宋体"/>
                <w:color w:val="auto"/>
              </w:rPr>
            </w:pPr>
            <w:r>
              <w:rPr>
                <w:rFonts w:hint="eastAsia" w:cs="宋体"/>
                <w:color w:val="auto"/>
              </w:rPr>
              <w:t>1.5</w:t>
            </w:r>
          </w:p>
        </w:tc>
      </w:tr>
      <w:tr w14:paraId="4C6A64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728021BD">
            <w:pPr>
              <w:pStyle w:val="296"/>
              <w:adjustRightInd w:val="0"/>
              <w:snapToGrid w:val="0"/>
              <w:spacing w:line="300" w:lineRule="exact"/>
              <w:rPr>
                <w:rFonts w:hint="eastAsia" w:cs="宋体"/>
                <w:color w:val="auto"/>
              </w:rPr>
            </w:pPr>
            <w:r>
              <w:rPr>
                <w:rFonts w:hint="eastAsia" w:cs="宋体"/>
                <w:color w:val="auto"/>
              </w:rPr>
              <w:t>38</w:t>
            </w:r>
          </w:p>
        </w:tc>
        <w:tc>
          <w:tcPr>
            <w:tcW w:w="1950" w:type="dxa"/>
            <w:vAlign w:val="center"/>
          </w:tcPr>
          <w:p w14:paraId="389B5243">
            <w:pPr>
              <w:pStyle w:val="296"/>
              <w:adjustRightInd w:val="0"/>
              <w:snapToGrid w:val="0"/>
              <w:spacing w:line="300" w:lineRule="exact"/>
              <w:rPr>
                <w:rFonts w:hint="eastAsia" w:cs="宋体"/>
                <w:color w:val="auto"/>
              </w:rPr>
            </w:pPr>
            <w:r>
              <w:rPr>
                <w:rFonts w:hint="eastAsia" w:cs="宋体"/>
                <w:color w:val="auto"/>
              </w:rPr>
              <w:t>苯并〔a〕蒽</w:t>
            </w:r>
          </w:p>
        </w:tc>
        <w:tc>
          <w:tcPr>
            <w:tcW w:w="1531" w:type="dxa"/>
            <w:vAlign w:val="center"/>
          </w:tcPr>
          <w:p w14:paraId="39AF9EE5">
            <w:pPr>
              <w:pStyle w:val="296"/>
              <w:adjustRightInd w:val="0"/>
              <w:snapToGrid w:val="0"/>
              <w:spacing w:line="300" w:lineRule="exact"/>
              <w:rPr>
                <w:rFonts w:hint="eastAsia" w:cs="宋体"/>
                <w:color w:val="auto"/>
              </w:rPr>
            </w:pPr>
            <w:r>
              <w:rPr>
                <w:rFonts w:hint="eastAsia" w:cs="宋体"/>
                <w:color w:val="auto"/>
              </w:rPr>
              <w:t>15</w:t>
            </w:r>
          </w:p>
        </w:tc>
        <w:tc>
          <w:tcPr>
            <w:tcW w:w="1114" w:type="dxa"/>
            <w:vAlign w:val="center"/>
          </w:tcPr>
          <w:p w14:paraId="216F86C4">
            <w:pPr>
              <w:pStyle w:val="296"/>
              <w:adjustRightInd w:val="0"/>
              <w:snapToGrid w:val="0"/>
              <w:spacing w:line="300" w:lineRule="exact"/>
              <w:rPr>
                <w:rFonts w:hint="eastAsia" w:cs="宋体"/>
                <w:color w:val="auto"/>
              </w:rPr>
            </w:pPr>
            <w:r>
              <w:rPr>
                <w:rFonts w:hint="eastAsia" w:cs="宋体"/>
                <w:color w:val="auto"/>
              </w:rPr>
              <w:t>44</w:t>
            </w:r>
          </w:p>
        </w:tc>
        <w:tc>
          <w:tcPr>
            <w:tcW w:w="2075" w:type="dxa"/>
            <w:vAlign w:val="center"/>
          </w:tcPr>
          <w:p w14:paraId="4E91E34C">
            <w:pPr>
              <w:pStyle w:val="296"/>
              <w:adjustRightInd w:val="0"/>
              <w:snapToGrid w:val="0"/>
              <w:spacing w:line="300" w:lineRule="exact"/>
              <w:rPr>
                <w:rFonts w:hint="eastAsia" w:cs="宋体"/>
                <w:color w:val="auto"/>
              </w:rPr>
            </w:pPr>
            <w:r>
              <w:rPr>
                <w:rFonts w:hint="eastAsia" w:cs="宋体"/>
                <w:color w:val="auto"/>
              </w:rPr>
              <w:t>茚并〔1,2,3-cd〕 芘</w:t>
            </w:r>
          </w:p>
        </w:tc>
        <w:tc>
          <w:tcPr>
            <w:tcW w:w="1453" w:type="dxa"/>
            <w:vAlign w:val="center"/>
          </w:tcPr>
          <w:p w14:paraId="4DC9A922">
            <w:pPr>
              <w:pStyle w:val="296"/>
              <w:adjustRightInd w:val="0"/>
              <w:snapToGrid w:val="0"/>
              <w:spacing w:line="300" w:lineRule="exact"/>
              <w:rPr>
                <w:rFonts w:hint="eastAsia" w:cs="宋体"/>
                <w:color w:val="auto"/>
              </w:rPr>
            </w:pPr>
            <w:r>
              <w:rPr>
                <w:rFonts w:hint="eastAsia" w:cs="宋体"/>
                <w:color w:val="auto"/>
              </w:rPr>
              <w:t>15</w:t>
            </w:r>
          </w:p>
        </w:tc>
      </w:tr>
      <w:tr w14:paraId="429C27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28B0ACAE">
            <w:pPr>
              <w:pStyle w:val="296"/>
              <w:adjustRightInd w:val="0"/>
              <w:snapToGrid w:val="0"/>
              <w:spacing w:line="300" w:lineRule="exact"/>
              <w:rPr>
                <w:rFonts w:hint="eastAsia" w:cs="宋体"/>
                <w:color w:val="auto"/>
              </w:rPr>
            </w:pPr>
            <w:r>
              <w:rPr>
                <w:rFonts w:hint="eastAsia" w:cs="宋体"/>
                <w:color w:val="auto"/>
              </w:rPr>
              <w:t>39</w:t>
            </w:r>
          </w:p>
        </w:tc>
        <w:tc>
          <w:tcPr>
            <w:tcW w:w="1950" w:type="dxa"/>
            <w:vAlign w:val="center"/>
          </w:tcPr>
          <w:p w14:paraId="1CDD4B3B">
            <w:pPr>
              <w:pStyle w:val="296"/>
              <w:adjustRightInd w:val="0"/>
              <w:snapToGrid w:val="0"/>
              <w:spacing w:line="300" w:lineRule="exact"/>
              <w:rPr>
                <w:rFonts w:hint="eastAsia" w:cs="宋体"/>
                <w:color w:val="auto"/>
              </w:rPr>
            </w:pPr>
            <w:r>
              <w:rPr>
                <w:rFonts w:hint="eastAsia" w:cs="宋体"/>
                <w:color w:val="auto"/>
              </w:rPr>
              <w:t>苯并〔a〕芘</w:t>
            </w:r>
          </w:p>
        </w:tc>
        <w:tc>
          <w:tcPr>
            <w:tcW w:w="1531" w:type="dxa"/>
            <w:vAlign w:val="center"/>
          </w:tcPr>
          <w:p w14:paraId="709BDCDD">
            <w:pPr>
              <w:pStyle w:val="296"/>
              <w:adjustRightInd w:val="0"/>
              <w:snapToGrid w:val="0"/>
              <w:spacing w:line="300" w:lineRule="exact"/>
              <w:rPr>
                <w:rFonts w:hint="eastAsia" w:cs="宋体"/>
                <w:color w:val="auto"/>
              </w:rPr>
            </w:pPr>
            <w:r>
              <w:rPr>
                <w:rFonts w:hint="eastAsia" w:cs="宋体"/>
                <w:color w:val="auto"/>
              </w:rPr>
              <w:t>1.5</w:t>
            </w:r>
          </w:p>
        </w:tc>
        <w:tc>
          <w:tcPr>
            <w:tcW w:w="1114" w:type="dxa"/>
            <w:vAlign w:val="center"/>
          </w:tcPr>
          <w:p w14:paraId="26750099">
            <w:pPr>
              <w:pStyle w:val="296"/>
              <w:adjustRightInd w:val="0"/>
              <w:snapToGrid w:val="0"/>
              <w:spacing w:line="300" w:lineRule="exact"/>
              <w:rPr>
                <w:rFonts w:hint="eastAsia" w:cs="宋体"/>
                <w:color w:val="auto"/>
              </w:rPr>
            </w:pPr>
            <w:r>
              <w:rPr>
                <w:rFonts w:hint="eastAsia" w:cs="宋体"/>
                <w:color w:val="auto"/>
              </w:rPr>
              <w:t>45</w:t>
            </w:r>
          </w:p>
        </w:tc>
        <w:tc>
          <w:tcPr>
            <w:tcW w:w="2075" w:type="dxa"/>
            <w:vAlign w:val="center"/>
          </w:tcPr>
          <w:p w14:paraId="71A4C03A">
            <w:pPr>
              <w:pStyle w:val="296"/>
              <w:adjustRightInd w:val="0"/>
              <w:snapToGrid w:val="0"/>
              <w:spacing w:line="300" w:lineRule="exact"/>
              <w:rPr>
                <w:rFonts w:hint="eastAsia" w:cs="宋体"/>
                <w:color w:val="auto"/>
              </w:rPr>
            </w:pPr>
            <w:r>
              <w:rPr>
                <w:rFonts w:hint="eastAsia" w:cs="宋体"/>
                <w:color w:val="auto"/>
              </w:rPr>
              <w:t>萘</w:t>
            </w:r>
          </w:p>
        </w:tc>
        <w:tc>
          <w:tcPr>
            <w:tcW w:w="1453" w:type="dxa"/>
            <w:vAlign w:val="center"/>
          </w:tcPr>
          <w:p w14:paraId="586F5852">
            <w:pPr>
              <w:pStyle w:val="296"/>
              <w:adjustRightInd w:val="0"/>
              <w:snapToGrid w:val="0"/>
              <w:spacing w:line="300" w:lineRule="exact"/>
              <w:rPr>
                <w:rFonts w:hint="eastAsia" w:cs="宋体"/>
                <w:color w:val="auto"/>
              </w:rPr>
            </w:pPr>
            <w:r>
              <w:rPr>
                <w:rFonts w:hint="eastAsia" w:cs="宋体"/>
                <w:color w:val="auto"/>
              </w:rPr>
              <w:t>70</w:t>
            </w:r>
          </w:p>
        </w:tc>
      </w:tr>
      <w:tr w14:paraId="5AF357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7B9D2CFB">
            <w:pPr>
              <w:pStyle w:val="296"/>
              <w:adjustRightInd w:val="0"/>
              <w:snapToGrid w:val="0"/>
              <w:spacing w:line="300" w:lineRule="exact"/>
              <w:rPr>
                <w:rFonts w:hint="eastAsia" w:cs="宋体"/>
                <w:color w:val="auto"/>
              </w:rPr>
            </w:pPr>
            <w:r>
              <w:rPr>
                <w:rFonts w:hint="eastAsia" w:cs="宋体"/>
                <w:color w:val="auto"/>
              </w:rPr>
              <w:t>40</w:t>
            </w:r>
          </w:p>
        </w:tc>
        <w:tc>
          <w:tcPr>
            <w:tcW w:w="1950" w:type="dxa"/>
            <w:vAlign w:val="center"/>
          </w:tcPr>
          <w:p w14:paraId="57D3A23A">
            <w:pPr>
              <w:pStyle w:val="296"/>
              <w:adjustRightInd w:val="0"/>
              <w:snapToGrid w:val="0"/>
              <w:spacing w:line="300" w:lineRule="exact"/>
              <w:rPr>
                <w:rFonts w:hint="eastAsia" w:cs="宋体"/>
                <w:color w:val="auto"/>
              </w:rPr>
            </w:pPr>
            <w:r>
              <w:rPr>
                <w:rFonts w:hint="eastAsia" w:cs="宋体"/>
                <w:color w:val="auto"/>
              </w:rPr>
              <w:t>苯并〔b〕荧蒽</w:t>
            </w:r>
          </w:p>
        </w:tc>
        <w:tc>
          <w:tcPr>
            <w:tcW w:w="1531" w:type="dxa"/>
            <w:vAlign w:val="center"/>
          </w:tcPr>
          <w:p w14:paraId="6D036D73">
            <w:pPr>
              <w:pStyle w:val="296"/>
              <w:adjustRightInd w:val="0"/>
              <w:snapToGrid w:val="0"/>
              <w:spacing w:line="300" w:lineRule="exact"/>
              <w:rPr>
                <w:rFonts w:hint="eastAsia" w:cs="宋体"/>
                <w:color w:val="auto"/>
              </w:rPr>
            </w:pPr>
            <w:r>
              <w:rPr>
                <w:rFonts w:hint="eastAsia" w:cs="宋体"/>
                <w:color w:val="auto"/>
              </w:rPr>
              <w:t>15</w:t>
            </w:r>
          </w:p>
        </w:tc>
        <w:tc>
          <w:tcPr>
            <w:tcW w:w="1114" w:type="dxa"/>
            <w:vAlign w:val="center"/>
          </w:tcPr>
          <w:p w14:paraId="378AC193">
            <w:pPr>
              <w:pStyle w:val="296"/>
              <w:adjustRightInd w:val="0"/>
              <w:snapToGrid w:val="0"/>
              <w:spacing w:line="300" w:lineRule="exact"/>
              <w:rPr>
                <w:rFonts w:hint="eastAsia" w:cs="宋体"/>
                <w:color w:val="auto"/>
              </w:rPr>
            </w:pPr>
          </w:p>
        </w:tc>
        <w:tc>
          <w:tcPr>
            <w:tcW w:w="2075" w:type="dxa"/>
            <w:vAlign w:val="center"/>
          </w:tcPr>
          <w:p w14:paraId="6130F459">
            <w:pPr>
              <w:pStyle w:val="296"/>
              <w:adjustRightInd w:val="0"/>
              <w:snapToGrid w:val="0"/>
              <w:spacing w:line="300" w:lineRule="exact"/>
              <w:rPr>
                <w:rFonts w:hint="eastAsia" w:cs="宋体"/>
                <w:color w:val="auto"/>
              </w:rPr>
            </w:pPr>
          </w:p>
        </w:tc>
        <w:tc>
          <w:tcPr>
            <w:tcW w:w="1453" w:type="dxa"/>
            <w:vAlign w:val="center"/>
          </w:tcPr>
          <w:p w14:paraId="2E1AF345">
            <w:pPr>
              <w:pStyle w:val="296"/>
              <w:adjustRightInd w:val="0"/>
              <w:snapToGrid w:val="0"/>
              <w:spacing w:line="300" w:lineRule="exact"/>
              <w:rPr>
                <w:rFonts w:hint="eastAsia" w:cs="宋体"/>
                <w:color w:val="auto"/>
              </w:rPr>
            </w:pPr>
          </w:p>
        </w:tc>
      </w:tr>
      <w:tr w14:paraId="7B6FC4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86" w:type="dxa"/>
            <w:gridSpan w:val="6"/>
            <w:vAlign w:val="center"/>
          </w:tcPr>
          <w:p w14:paraId="4483480C">
            <w:pPr>
              <w:pStyle w:val="296"/>
              <w:adjustRightInd w:val="0"/>
              <w:snapToGrid w:val="0"/>
              <w:spacing w:line="300" w:lineRule="exact"/>
              <w:rPr>
                <w:rFonts w:hint="eastAsia" w:cs="宋体"/>
                <w:color w:val="auto"/>
              </w:rPr>
            </w:pPr>
            <w:r>
              <w:rPr>
                <w:rFonts w:hint="eastAsia" w:cs="宋体"/>
                <w:color w:val="auto"/>
              </w:rPr>
              <w:t>其他项目（特征污染因子）</w:t>
            </w:r>
          </w:p>
        </w:tc>
      </w:tr>
      <w:tr w14:paraId="4ECC84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63" w:type="dxa"/>
            <w:vAlign w:val="center"/>
          </w:tcPr>
          <w:p w14:paraId="09D65CC2">
            <w:pPr>
              <w:pStyle w:val="296"/>
              <w:adjustRightInd w:val="0"/>
              <w:snapToGrid w:val="0"/>
              <w:spacing w:line="300" w:lineRule="exact"/>
              <w:rPr>
                <w:rFonts w:hint="eastAsia" w:cs="宋体"/>
                <w:color w:val="auto"/>
              </w:rPr>
            </w:pPr>
            <w:r>
              <w:rPr>
                <w:rFonts w:hint="eastAsia" w:cs="宋体"/>
                <w:color w:val="auto"/>
              </w:rPr>
              <w:t>46</w:t>
            </w:r>
          </w:p>
        </w:tc>
        <w:tc>
          <w:tcPr>
            <w:tcW w:w="1950" w:type="dxa"/>
            <w:vAlign w:val="center"/>
          </w:tcPr>
          <w:p w14:paraId="7FB1280F">
            <w:pPr>
              <w:pStyle w:val="296"/>
              <w:adjustRightInd w:val="0"/>
              <w:snapToGrid w:val="0"/>
              <w:spacing w:line="300" w:lineRule="exact"/>
              <w:rPr>
                <w:rFonts w:hint="eastAsia" w:cs="宋体"/>
                <w:color w:val="auto"/>
              </w:rPr>
            </w:pPr>
            <w:r>
              <w:rPr>
                <w:rFonts w:hint="eastAsia" w:cs="宋体"/>
                <w:color w:val="auto"/>
              </w:rPr>
              <w:t>石油烃（C</w:t>
            </w:r>
            <w:r>
              <w:rPr>
                <w:rFonts w:hint="eastAsia" w:cs="宋体"/>
                <w:color w:val="auto"/>
                <w:vertAlign w:val="subscript"/>
              </w:rPr>
              <w:t>10</w:t>
            </w:r>
            <w:r>
              <w:rPr>
                <w:rFonts w:hint="eastAsia" w:cs="宋体"/>
                <w:color w:val="auto"/>
              </w:rPr>
              <w:t>～C</w:t>
            </w:r>
            <w:r>
              <w:rPr>
                <w:rFonts w:hint="eastAsia" w:cs="宋体"/>
                <w:color w:val="auto"/>
                <w:vertAlign w:val="subscript"/>
              </w:rPr>
              <w:t>40</w:t>
            </w:r>
            <w:r>
              <w:rPr>
                <w:rFonts w:hint="eastAsia" w:cs="宋体"/>
                <w:color w:val="auto"/>
              </w:rPr>
              <w:t>)</w:t>
            </w:r>
          </w:p>
        </w:tc>
        <w:tc>
          <w:tcPr>
            <w:tcW w:w="1531" w:type="dxa"/>
            <w:vAlign w:val="center"/>
          </w:tcPr>
          <w:p w14:paraId="4A5AC062">
            <w:pPr>
              <w:pStyle w:val="296"/>
              <w:adjustRightInd w:val="0"/>
              <w:snapToGrid w:val="0"/>
              <w:spacing w:line="300" w:lineRule="exact"/>
              <w:rPr>
                <w:rFonts w:hint="eastAsia" w:cs="宋体"/>
                <w:color w:val="auto"/>
              </w:rPr>
            </w:pPr>
            <w:r>
              <w:rPr>
                <w:rFonts w:hint="eastAsia" w:cs="宋体"/>
                <w:color w:val="auto"/>
              </w:rPr>
              <w:t>4500</w:t>
            </w:r>
          </w:p>
        </w:tc>
        <w:tc>
          <w:tcPr>
            <w:tcW w:w="1114" w:type="dxa"/>
            <w:vAlign w:val="center"/>
          </w:tcPr>
          <w:p w14:paraId="1693500A">
            <w:pPr>
              <w:pStyle w:val="296"/>
              <w:adjustRightInd w:val="0"/>
              <w:snapToGrid w:val="0"/>
              <w:spacing w:line="300" w:lineRule="exact"/>
              <w:rPr>
                <w:rFonts w:hint="eastAsia" w:cs="宋体"/>
                <w:color w:val="auto"/>
              </w:rPr>
            </w:pPr>
          </w:p>
        </w:tc>
        <w:tc>
          <w:tcPr>
            <w:tcW w:w="2075" w:type="dxa"/>
            <w:vAlign w:val="center"/>
          </w:tcPr>
          <w:p w14:paraId="2C723A58">
            <w:pPr>
              <w:pStyle w:val="296"/>
              <w:adjustRightInd w:val="0"/>
              <w:snapToGrid w:val="0"/>
              <w:spacing w:line="300" w:lineRule="exact"/>
              <w:rPr>
                <w:rFonts w:hint="eastAsia" w:cs="宋体"/>
                <w:color w:val="auto"/>
              </w:rPr>
            </w:pPr>
          </w:p>
        </w:tc>
        <w:tc>
          <w:tcPr>
            <w:tcW w:w="1453" w:type="dxa"/>
            <w:vAlign w:val="center"/>
          </w:tcPr>
          <w:p w14:paraId="353509FA">
            <w:pPr>
              <w:pStyle w:val="296"/>
              <w:adjustRightInd w:val="0"/>
              <w:snapToGrid w:val="0"/>
              <w:spacing w:line="300" w:lineRule="exact"/>
              <w:rPr>
                <w:rFonts w:hint="eastAsia" w:cs="宋体"/>
                <w:color w:val="auto"/>
              </w:rPr>
            </w:pPr>
          </w:p>
        </w:tc>
      </w:tr>
    </w:tbl>
    <w:p w14:paraId="1709C36D">
      <w:pPr>
        <w:pStyle w:val="86"/>
        <w:spacing w:line="480" w:lineRule="exact"/>
        <w:ind w:firstLine="480"/>
        <w:rPr>
          <w:rFonts w:hint="eastAsia"/>
          <w:color w:val="auto"/>
        </w:rPr>
      </w:pPr>
      <w:bookmarkStart w:id="101" w:name="_Hlk160374526"/>
      <w:r>
        <w:rPr>
          <w:rFonts w:hint="eastAsia"/>
          <w:color w:val="auto"/>
        </w:rPr>
        <w:t>（2）</w:t>
      </w:r>
      <w:r>
        <w:rPr>
          <w:color w:val="auto"/>
        </w:rPr>
        <w:t>污染物排放标准</w:t>
      </w:r>
    </w:p>
    <w:bookmarkEnd w:id="101"/>
    <w:p w14:paraId="6C9AEE62">
      <w:pPr>
        <w:pStyle w:val="86"/>
        <w:spacing w:line="480" w:lineRule="exact"/>
        <w:ind w:firstLine="480"/>
        <w:rPr>
          <w:rFonts w:hint="eastAsia"/>
          <w:color w:val="auto"/>
        </w:rPr>
      </w:pPr>
      <w:bookmarkStart w:id="102" w:name="_Hlk177303159"/>
      <w:r>
        <w:rPr>
          <w:rFonts w:hint="eastAsia"/>
          <w:color w:val="auto"/>
        </w:rPr>
        <w:t>①废气</w:t>
      </w:r>
    </w:p>
    <w:p w14:paraId="0EB811E0">
      <w:pPr>
        <w:pStyle w:val="86"/>
        <w:spacing w:line="480" w:lineRule="exact"/>
        <w:ind w:firstLine="480"/>
        <w:rPr>
          <w:rFonts w:hint="eastAsia"/>
          <w:color w:val="auto"/>
        </w:rPr>
      </w:pPr>
      <w:r>
        <w:rPr>
          <w:rFonts w:hint="eastAsia"/>
          <w:color w:val="auto"/>
        </w:rPr>
        <w:t>伴生气中硫化氢未检出，故废气中没有硫化氢产生；采油井场厂界非甲烷总烃执行《陆上石油天然气开采工业大气污染物排放标准》（GB39728-2020）中</w:t>
      </w:r>
      <w:r>
        <w:rPr>
          <w:color w:val="auto"/>
        </w:rPr>
        <w:t>企业边界污染物控制要求</w:t>
      </w:r>
      <w:r>
        <w:rPr>
          <w:rFonts w:hint="eastAsia" w:cs="宋体"/>
          <w:color w:val="auto"/>
        </w:rPr>
        <w:t>（厂</w:t>
      </w:r>
      <w:r>
        <w:rPr>
          <w:rFonts w:cs="宋体"/>
          <w:color w:val="auto"/>
        </w:rPr>
        <w:t>界非甲烷总烃浓度不应超过4.0mg/m</w:t>
      </w:r>
      <w:r>
        <w:rPr>
          <w:rFonts w:cs="宋体"/>
          <w:color w:val="auto"/>
          <w:vertAlign w:val="superscript"/>
        </w:rPr>
        <w:t>3</w:t>
      </w:r>
      <w:r>
        <w:rPr>
          <w:rFonts w:hint="eastAsia" w:cs="宋体"/>
          <w:color w:val="auto"/>
        </w:rPr>
        <w:t>）</w:t>
      </w:r>
      <w:r>
        <w:rPr>
          <w:rFonts w:hint="eastAsia"/>
          <w:color w:val="auto"/>
        </w:rPr>
        <w:t>。</w:t>
      </w:r>
      <w:bookmarkStart w:id="103" w:name="_Hlk35962026"/>
      <w:r>
        <w:rPr>
          <w:rFonts w:hint="eastAsia"/>
          <w:color w:val="auto"/>
        </w:rPr>
        <w:t>目前国家尚未颁布燃气发电机燃烧烟气的污染物排放标准，根据</w:t>
      </w:r>
      <w:r>
        <w:rPr>
          <w:color w:val="auto"/>
        </w:rPr>
        <w:t>国家环境保护总局</w:t>
      </w:r>
      <w:r>
        <w:rPr>
          <w:rFonts w:hint="eastAsia"/>
          <w:color w:val="auto"/>
        </w:rPr>
        <w:t>《关于柴油发电机排气执行标准的复函》（</w:t>
      </w:r>
      <w:r>
        <w:rPr>
          <w:color w:val="auto"/>
        </w:rPr>
        <w:t>环函</w:t>
      </w:r>
      <w:r>
        <w:rPr>
          <w:rFonts w:hint="eastAsia"/>
          <w:color w:val="auto"/>
        </w:rPr>
        <w:t>〔</w:t>
      </w:r>
      <w:r>
        <w:rPr>
          <w:color w:val="auto"/>
        </w:rPr>
        <w:t>2005</w:t>
      </w:r>
      <w:r>
        <w:rPr>
          <w:rFonts w:hint="eastAsia"/>
          <w:color w:val="auto"/>
        </w:rPr>
        <w:t>〕</w:t>
      </w:r>
      <w:r>
        <w:rPr>
          <w:color w:val="auto"/>
        </w:rPr>
        <w:t>350号</w:t>
      </w:r>
      <w:r>
        <w:rPr>
          <w:rFonts w:hint="eastAsia"/>
          <w:color w:val="auto"/>
        </w:rPr>
        <w:t>）及部长信箱2017年1月11日《关于〈大气污染物综合排放标准〉（GB16297-1996）的适用范围的回复》，柴油发电机污染物排放浓度按照《大气污染物综合排放标准》（</w:t>
      </w:r>
      <w:r>
        <w:rPr>
          <w:color w:val="auto"/>
        </w:rPr>
        <w:t>GB16297-1996</w:t>
      </w:r>
      <w:r>
        <w:rPr>
          <w:rFonts w:hint="eastAsia"/>
          <w:color w:val="auto"/>
        </w:rPr>
        <w:t>）</w:t>
      </w:r>
      <w:r>
        <w:rPr>
          <w:color w:val="auto"/>
        </w:rPr>
        <w:t>中的最高允许排放浓度指标进行控制，对排气筒高度和排放速率暂不作要求。</w:t>
      </w:r>
      <w:r>
        <w:rPr>
          <w:rFonts w:hint="eastAsia"/>
          <w:color w:val="auto"/>
        </w:rPr>
        <w:t>燃气发电机与柴油发电机工作原理相同，因此也适用于此条解释。综上所述，</w:t>
      </w:r>
      <w:bookmarkStart w:id="104" w:name="_Hlk134055817"/>
      <w:r>
        <w:rPr>
          <w:rFonts w:hint="eastAsia"/>
          <w:color w:val="auto"/>
        </w:rPr>
        <w:t>燃气发电机中各污染物执行</w:t>
      </w:r>
      <w:bookmarkStart w:id="105" w:name="_Hlk132997970"/>
      <w:r>
        <w:rPr>
          <w:rFonts w:hint="eastAsia"/>
          <w:color w:val="auto"/>
        </w:rPr>
        <w:t>《大气污染物综合排放标准》（GB16297-1996）表2限值</w:t>
      </w:r>
      <w:bookmarkEnd w:id="104"/>
      <w:bookmarkEnd w:id="105"/>
      <w:r>
        <w:rPr>
          <w:rFonts w:hint="eastAsia"/>
          <w:color w:val="auto"/>
        </w:rPr>
        <w:t>要求</w:t>
      </w:r>
      <w:bookmarkEnd w:id="102"/>
      <w:r>
        <w:rPr>
          <w:rFonts w:hint="eastAsia"/>
          <w:color w:val="auto"/>
        </w:rPr>
        <w:t>。具体限值见表2.5-6。</w:t>
      </w:r>
    </w:p>
    <w:p w14:paraId="469283FC">
      <w:pPr>
        <w:pStyle w:val="15"/>
        <w:rPr>
          <w:rFonts w:hint="eastAsia"/>
          <w:color w:val="auto"/>
        </w:rPr>
      </w:pPr>
      <w:r>
        <w:rPr>
          <w:rFonts w:hint="eastAsia"/>
          <w:color w:val="auto"/>
        </w:rPr>
        <w:t>表</w:t>
      </w:r>
      <w:r>
        <w:rPr>
          <w:color w:val="auto"/>
        </w:rPr>
        <w:t>2.5</w:t>
      </w:r>
      <w:r>
        <w:rPr>
          <w:rFonts w:hint="eastAsia"/>
          <w:color w:val="auto"/>
        </w:rPr>
        <w:t>-</w:t>
      </w:r>
      <w:r>
        <w:rPr>
          <w:color w:val="auto"/>
        </w:rPr>
        <w:t xml:space="preserve">6  </w:t>
      </w:r>
      <w:r>
        <w:rPr>
          <w:rFonts w:hint="eastAsia"/>
          <w:color w:val="auto"/>
        </w:rPr>
        <w:t>大气</w:t>
      </w:r>
      <w:r>
        <w:rPr>
          <w:color w:val="auto"/>
        </w:rPr>
        <w:t>污染物排放标准</w:t>
      </w:r>
    </w:p>
    <w:tbl>
      <w:tblPr>
        <w:tblStyle w:val="51"/>
        <w:tblW w:w="500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1452"/>
        <w:gridCol w:w="869"/>
        <w:gridCol w:w="2324"/>
        <w:gridCol w:w="4305"/>
      </w:tblGrid>
      <w:tr w14:paraId="59A91D1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40" w:hRule="atLeast"/>
          <w:tblHeader/>
          <w:jc w:val="center"/>
        </w:trPr>
        <w:tc>
          <w:tcPr>
            <w:tcW w:w="811" w:type="pct"/>
            <w:tcBorders>
              <w:right w:val="single" w:color="auto" w:sz="4" w:space="0"/>
            </w:tcBorders>
            <w:vAlign w:val="center"/>
          </w:tcPr>
          <w:p w14:paraId="7DDE2A91">
            <w:pPr>
              <w:adjustRightInd w:val="0"/>
              <w:snapToGrid w:val="0"/>
              <w:spacing w:line="300" w:lineRule="atLeast"/>
              <w:jc w:val="center"/>
              <w:rPr>
                <w:rFonts w:hint="eastAsia" w:ascii="宋体" w:hAnsi="宋体" w:cs="宋体"/>
                <w:color w:val="auto"/>
                <w:szCs w:val="21"/>
              </w:rPr>
            </w:pPr>
            <w:r>
              <w:rPr>
                <w:rFonts w:hint="eastAsia" w:ascii="宋体" w:hAnsi="宋体" w:cs="宋体"/>
                <w:color w:val="auto"/>
                <w:szCs w:val="21"/>
              </w:rPr>
              <w:t>污染源</w:t>
            </w:r>
          </w:p>
        </w:tc>
        <w:tc>
          <w:tcPr>
            <w:tcW w:w="485" w:type="pct"/>
            <w:tcBorders>
              <w:left w:val="single" w:color="auto" w:sz="4" w:space="0"/>
            </w:tcBorders>
            <w:vAlign w:val="center"/>
          </w:tcPr>
          <w:p w14:paraId="4F13FC94">
            <w:pPr>
              <w:adjustRightInd w:val="0"/>
              <w:snapToGrid w:val="0"/>
              <w:spacing w:line="300" w:lineRule="atLeast"/>
              <w:jc w:val="center"/>
              <w:rPr>
                <w:rFonts w:hint="eastAsia" w:ascii="宋体" w:hAnsi="宋体" w:cs="宋体"/>
                <w:color w:val="auto"/>
                <w:szCs w:val="21"/>
              </w:rPr>
            </w:pPr>
            <w:r>
              <w:rPr>
                <w:rFonts w:hint="eastAsia" w:ascii="宋体" w:hAnsi="宋体" w:cs="宋体"/>
                <w:color w:val="auto"/>
                <w:szCs w:val="21"/>
              </w:rPr>
              <w:t>污染物</w:t>
            </w:r>
          </w:p>
        </w:tc>
        <w:tc>
          <w:tcPr>
            <w:tcW w:w="1298" w:type="pct"/>
            <w:vAlign w:val="center"/>
          </w:tcPr>
          <w:p w14:paraId="4CCD9600">
            <w:pPr>
              <w:adjustRightInd w:val="0"/>
              <w:snapToGrid w:val="0"/>
              <w:spacing w:line="300" w:lineRule="atLeast"/>
              <w:jc w:val="center"/>
              <w:rPr>
                <w:rFonts w:hint="eastAsia" w:ascii="宋体" w:hAnsi="宋体" w:cs="宋体"/>
                <w:color w:val="auto"/>
                <w:szCs w:val="21"/>
              </w:rPr>
            </w:pPr>
            <w:r>
              <w:rPr>
                <w:rFonts w:hint="eastAsia" w:ascii="宋体" w:hAnsi="宋体" w:cs="宋体"/>
                <w:color w:val="auto"/>
                <w:szCs w:val="21"/>
              </w:rPr>
              <w:t>排放限值（mg/m</w:t>
            </w:r>
            <w:r>
              <w:rPr>
                <w:rFonts w:hint="eastAsia" w:ascii="宋体" w:hAnsi="宋体" w:cs="宋体"/>
                <w:color w:val="auto"/>
                <w:szCs w:val="21"/>
                <w:vertAlign w:val="superscript"/>
              </w:rPr>
              <w:t>3</w:t>
            </w:r>
            <w:r>
              <w:rPr>
                <w:rFonts w:hint="eastAsia" w:ascii="宋体" w:hAnsi="宋体" w:cs="宋体"/>
                <w:color w:val="auto"/>
                <w:szCs w:val="21"/>
              </w:rPr>
              <w:t>）</w:t>
            </w:r>
          </w:p>
        </w:tc>
        <w:tc>
          <w:tcPr>
            <w:tcW w:w="2404" w:type="pct"/>
            <w:vAlign w:val="center"/>
          </w:tcPr>
          <w:p w14:paraId="06006ED9">
            <w:pPr>
              <w:adjustRightInd w:val="0"/>
              <w:snapToGrid w:val="0"/>
              <w:spacing w:line="300" w:lineRule="atLeast"/>
              <w:jc w:val="center"/>
              <w:rPr>
                <w:rFonts w:hint="eastAsia" w:ascii="宋体" w:hAnsi="宋体" w:cs="宋体"/>
                <w:color w:val="auto"/>
                <w:szCs w:val="21"/>
              </w:rPr>
            </w:pPr>
            <w:r>
              <w:rPr>
                <w:rFonts w:hint="eastAsia" w:ascii="宋体" w:hAnsi="宋体" w:cs="宋体"/>
                <w:color w:val="auto"/>
                <w:szCs w:val="21"/>
              </w:rPr>
              <w:t>标准来源</w:t>
            </w:r>
          </w:p>
        </w:tc>
      </w:tr>
      <w:tr w14:paraId="19CFBBA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40" w:hRule="atLeast"/>
          <w:jc w:val="center"/>
        </w:trPr>
        <w:tc>
          <w:tcPr>
            <w:tcW w:w="811" w:type="pct"/>
            <w:tcBorders>
              <w:right w:val="single" w:color="auto" w:sz="4" w:space="0"/>
            </w:tcBorders>
            <w:vAlign w:val="center"/>
          </w:tcPr>
          <w:p w14:paraId="47CD3C1E">
            <w:pPr>
              <w:adjustRightInd w:val="0"/>
              <w:snapToGrid w:val="0"/>
              <w:spacing w:line="300" w:lineRule="atLeast"/>
              <w:jc w:val="center"/>
              <w:rPr>
                <w:rFonts w:hint="eastAsia" w:ascii="宋体" w:hAnsi="宋体" w:cs="宋体"/>
                <w:color w:val="auto"/>
                <w:szCs w:val="21"/>
              </w:rPr>
            </w:pPr>
            <w:r>
              <w:rPr>
                <w:rFonts w:hint="eastAsia" w:ascii="宋体" w:hAnsi="宋体" w:cs="宋体"/>
                <w:color w:val="auto"/>
                <w:szCs w:val="21"/>
              </w:rPr>
              <w:t>井场边界</w:t>
            </w:r>
          </w:p>
        </w:tc>
        <w:tc>
          <w:tcPr>
            <w:tcW w:w="485" w:type="pct"/>
            <w:tcBorders>
              <w:left w:val="single" w:color="auto" w:sz="4" w:space="0"/>
            </w:tcBorders>
            <w:vAlign w:val="center"/>
          </w:tcPr>
          <w:p w14:paraId="2788190D">
            <w:pPr>
              <w:adjustRightInd w:val="0"/>
              <w:snapToGrid w:val="0"/>
              <w:spacing w:line="300" w:lineRule="atLeast"/>
              <w:jc w:val="center"/>
              <w:rPr>
                <w:rFonts w:hint="eastAsia" w:ascii="宋体" w:hAnsi="宋体" w:cs="宋体"/>
                <w:color w:val="auto"/>
                <w:szCs w:val="21"/>
              </w:rPr>
            </w:pPr>
            <w:r>
              <w:rPr>
                <w:rFonts w:hint="eastAsia" w:ascii="宋体" w:hAnsi="宋体" w:cs="宋体"/>
                <w:color w:val="auto"/>
                <w:szCs w:val="21"/>
              </w:rPr>
              <w:t>NMHC</w:t>
            </w:r>
          </w:p>
        </w:tc>
        <w:tc>
          <w:tcPr>
            <w:tcW w:w="1298" w:type="pct"/>
            <w:vAlign w:val="center"/>
          </w:tcPr>
          <w:p w14:paraId="2B35CC82">
            <w:pPr>
              <w:adjustRightInd w:val="0"/>
              <w:snapToGrid w:val="0"/>
              <w:spacing w:line="300" w:lineRule="atLeast"/>
              <w:jc w:val="center"/>
              <w:rPr>
                <w:rFonts w:hint="eastAsia" w:ascii="宋体" w:hAnsi="宋体" w:cs="宋体"/>
                <w:color w:val="auto"/>
                <w:szCs w:val="21"/>
              </w:rPr>
            </w:pPr>
            <w:r>
              <w:rPr>
                <w:rFonts w:hint="eastAsia" w:ascii="宋体" w:hAnsi="宋体" w:cs="宋体"/>
                <w:color w:val="auto"/>
                <w:szCs w:val="21"/>
              </w:rPr>
              <w:t>4</w:t>
            </w:r>
          </w:p>
        </w:tc>
        <w:tc>
          <w:tcPr>
            <w:tcW w:w="2404" w:type="pct"/>
            <w:vAlign w:val="center"/>
          </w:tcPr>
          <w:p w14:paraId="49F36753">
            <w:pPr>
              <w:adjustRightInd w:val="0"/>
              <w:snapToGrid w:val="0"/>
              <w:spacing w:line="300" w:lineRule="atLeast"/>
              <w:jc w:val="center"/>
              <w:rPr>
                <w:rFonts w:hint="eastAsia" w:ascii="宋体" w:hAnsi="宋体" w:cs="宋体"/>
                <w:color w:val="auto"/>
                <w:szCs w:val="21"/>
              </w:rPr>
            </w:pPr>
            <w:r>
              <w:rPr>
                <w:rFonts w:hint="eastAsia" w:ascii="宋体" w:hAnsi="宋体" w:cs="宋体"/>
                <w:color w:val="auto"/>
                <w:szCs w:val="21"/>
              </w:rPr>
              <w:t>《陆上石油天然气开采工业大气污染物排放标准》（GB39728—2020）</w:t>
            </w:r>
          </w:p>
        </w:tc>
      </w:tr>
      <w:tr w14:paraId="79C24ED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40" w:hRule="atLeast"/>
          <w:jc w:val="center"/>
        </w:trPr>
        <w:tc>
          <w:tcPr>
            <w:tcW w:w="811" w:type="pct"/>
            <w:vMerge w:val="restart"/>
            <w:tcBorders>
              <w:right w:val="single" w:color="auto" w:sz="4" w:space="0"/>
            </w:tcBorders>
            <w:vAlign w:val="center"/>
          </w:tcPr>
          <w:p w14:paraId="515F1A6F">
            <w:pPr>
              <w:adjustRightInd w:val="0"/>
              <w:snapToGrid w:val="0"/>
              <w:spacing w:line="300" w:lineRule="atLeast"/>
              <w:jc w:val="center"/>
              <w:rPr>
                <w:rFonts w:hint="eastAsia" w:ascii="宋体" w:hAnsi="宋体" w:cs="宋体"/>
                <w:color w:val="auto"/>
                <w:szCs w:val="21"/>
              </w:rPr>
            </w:pPr>
            <w:r>
              <w:rPr>
                <w:rFonts w:hint="eastAsia" w:ascii="宋体" w:hAnsi="宋体" w:cs="宋体"/>
                <w:color w:val="auto"/>
                <w:szCs w:val="21"/>
              </w:rPr>
              <w:t>燃气发电机燃烧烟气</w:t>
            </w:r>
          </w:p>
        </w:tc>
        <w:tc>
          <w:tcPr>
            <w:tcW w:w="485" w:type="pct"/>
            <w:tcBorders>
              <w:left w:val="single" w:color="auto" w:sz="4" w:space="0"/>
            </w:tcBorders>
            <w:vAlign w:val="center"/>
          </w:tcPr>
          <w:p w14:paraId="4885FE93">
            <w:pPr>
              <w:adjustRightInd w:val="0"/>
              <w:snapToGrid w:val="0"/>
              <w:spacing w:line="300" w:lineRule="atLeast"/>
              <w:jc w:val="center"/>
              <w:rPr>
                <w:rFonts w:hint="eastAsia" w:ascii="宋体" w:hAnsi="宋体" w:cs="宋体"/>
                <w:color w:val="auto"/>
                <w:szCs w:val="21"/>
              </w:rPr>
            </w:pPr>
            <w:r>
              <w:rPr>
                <w:rFonts w:hint="eastAsia" w:ascii="宋体" w:hAnsi="宋体" w:cs="宋体"/>
                <w:color w:val="auto"/>
                <w:szCs w:val="21"/>
              </w:rPr>
              <w:t>NO</w:t>
            </w:r>
            <w:r>
              <w:rPr>
                <w:rFonts w:hint="eastAsia" w:ascii="宋体" w:hAnsi="宋体" w:cs="宋体"/>
                <w:color w:val="auto"/>
                <w:szCs w:val="21"/>
                <w:vertAlign w:val="subscript"/>
              </w:rPr>
              <w:t>x</w:t>
            </w:r>
          </w:p>
        </w:tc>
        <w:tc>
          <w:tcPr>
            <w:tcW w:w="1298" w:type="pct"/>
            <w:vAlign w:val="center"/>
          </w:tcPr>
          <w:p w14:paraId="5784169B">
            <w:pPr>
              <w:adjustRightInd w:val="0"/>
              <w:snapToGrid w:val="0"/>
              <w:spacing w:line="300" w:lineRule="atLeast"/>
              <w:jc w:val="center"/>
              <w:rPr>
                <w:rFonts w:hint="eastAsia" w:ascii="宋体" w:hAnsi="宋体" w:cs="宋体"/>
                <w:color w:val="auto"/>
                <w:szCs w:val="21"/>
              </w:rPr>
            </w:pPr>
            <w:r>
              <w:rPr>
                <w:rFonts w:hint="eastAsia" w:ascii="宋体" w:hAnsi="宋体" w:cs="宋体"/>
                <w:color w:val="auto"/>
                <w:szCs w:val="21"/>
              </w:rPr>
              <w:t>240</w:t>
            </w:r>
          </w:p>
        </w:tc>
        <w:tc>
          <w:tcPr>
            <w:tcW w:w="2404" w:type="pct"/>
            <w:vMerge w:val="restart"/>
            <w:vAlign w:val="center"/>
          </w:tcPr>
          <w:p w14:paraId="016423E9">
            <w:pPr>
              <w:adjustRightInd w:val="0"/>
              <w:snapToGrid w:val="0"/>
              <w:spacing w:line="300" w:lineRule="atLeast"/>
              <w:jc w:val="center"/>
              <w:rPr>
                <w:rFonts w:hint="eastAsia" w:ascii="宋体" w:hAnsi="宋体" w:cs="宋体"/>
                <w:color w:val="auto"/>
                <w:szCs w:val="21"/>
              </w:rPr>
            </w:pPr>
            <w:bookmarkStart w:id="106" w:name="OLE_LINK44"/>
            <w:r>
              <w:rPr>
                <w:rFonts w:hint="eastAsia" w:ascii="宋体" w:hAnsi="宋体" w:cs="宋体"/>
                <w:color w:val="auto"/>
              </w:rPr>
              <w:t>《大气污染物综合排放标准》（GB16297-1996）</w:t>
            </w:r>
            <w:bookmarkEnd w:id="106"/>
            <w:r>
              <w:rPr>
                <w:rFonts w:hint="eastAsia" w:ascii="宋体" w:hAnsi="宋体" w:cs="宋体"/>
                <w:color w:val="auto"/>
              </w:rPr>
              <w:t>表2限值要求</w:t>
            </w:r>
          </w:p>
        </w:tc>
      </w:tr>
      <w:tr w14:paraId="4133D1C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40" w:hRule="atLeast"/>
          <w:jc w:val="center"/>
        </w:trPr>
        <w:tc>
          <w:tcPr>
            <w:tcW w:w="811" w:type="pct"/>
            <w:vMerge w:val="continue"/>
            <w:tcBorders>
              <w:right w:val="single" w:color="auto" w:sz="4" w:space="0"/>
            </w:tcBorders>
            <w:vAlign w:val="center"/>
          </w:tcPr>
          <w:p w14:paraId="2E56E2CD">
            <w:pPr>
              <w:adjustRightInd w:val="0"/>
              <w:snapToGrid w:val="0"/>
              <w:spacing w:line="300" w:lineRule="atLeast"/>
              <w:jc w:val="center"/>
              <w:rPr>
                <w:rFonts w:hint="eastAsia" w:ascii="宋体" w:hAnsi="宋体" w:cs="宋体"/>
                <w:color w:val="auto"/>
                <w:szCs w:val="21"/>
              </w:rPr>
            </w:pPr>
          </w:p>
        </w:tc>
        <w:tc>
          <w:tcPr>
            <w:tcW w:w="485" w:type="pct"/>
            <w:tcBorders>
              <w:left w:val="single" w:color="auto" w:sz="4" w:space="0"/>
            </w:tcBorders>
            <w:vAlign w:val="center"/>
          </w:tcPr>
          <w:p w14:paraId="564791F0">
            <w:pPr>
              <w:adjustRightInd w:val="0"/>
              <w:snapToGrid w:val="0"/>
              <w:spacing w:line="300" w:lineRule="atLeast"/>
              <w:jc w:val="center"/>
              <w:rPr>
                <w:rFonts w:hint="eastAsia" w:ascii="宋体" w:hAnsi="宋体" w:cs="宋体"/>
                <w:color w:val="auto"/>
                <w:szCs w:val="21"/>
              </w:rPr>
            </w:pPr>
            <w:r>
              <w:rPr>
                <w:rFonts w:hint="eastAsia" w:ascii="宋体" w:hAnsi="宋体" w:cs="宋体"/>
                <w:color w:val="auto"/>
                <w:szCs w:val="21"/>
              </w:rPr>
              <w:t>SO</w:t>
            </w:r>
            <w:r>
              <w:rPr>
                <w:rFonts w:hint="eastAsia" w:ascii="宋体" w:hAnsi="宋体" w:cs="宋体"/>
                <w:color w:val="auto"/>
                <w:szCs w:val="21"/>
                <w:vertAlign w:val="subscript"/>
              </w:rPr>
              <w:t>2</w:t>
            </w:r>
          </w:p>
        </w:tc>
        <w:tc>
          <w:tcPr>
            <w:tcW w:w="1298" w:type="pct"/>
            <w:vAlign w:val="center"/>
          </w:tcPr>
          <w:p w14:paraId="12B67843">
            <w:pPr>
              <w:adjustRightInd w:val="0"/>
              <w:snapToGrid w:val="0"/>
              <w:spacing w:line="300" w:lineRule="atLeast"/>
              <w:jc w:val="center"/>
              <w:rPr>
                <w:rFonts w:hint="eastAsia" w:ascii="宋体" w:hAnsi="宋体" w:cs="宋体"/>
                <w:color w:val="auto"/>
                <w:szCs w:val="21"/>
              </w:rPr>
            </w:pPr>
            <w:r>
              <w:rPr>
                <w:rFonts w:hint="eastAsia" w:ascii="宋体" w:hAnsi="宋体" w:cs="宋体"/>
                <w:color w:val="auto"/>
                <w:szCs w:val="21"/>
              </w:rPr>
              <w:t>550</w:t>
            </w:r>
          </w:p>
        </w:tc>
        <w:tc>
          <w:tcPr>
            <w:tcW w:w="2404" w:type="pct"/>
            <w:vMerge w:val="continue"/>
            <w:vAlign w:val="center"/>
          </w:tcPr>
          <w:p w14:paraId="7D304E2B">
            <w:pPr>
              <w:adjustRightInd w:val="0"/>
              <w:snapToGrid w:val="0"/>
              <w:spacing w:line="300" w:lineRule="atLeast"/>
              <w:jc w:val="center"/>
              <w:rPr>
                <w:rFonts w:hint="eastAsia" w:ascii="宋体" w:hAnsi="宋体" w:cs="宋体"/>
                <w:color w:val="auto"/>
                <w:szCs w:val="21"/>
              </w:rPr>
            </w:pPr>
          </w:p>
        </w:tc>
      </w:tr>
      <w:tr w14:paraId="1F227DA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40" w:hRule="atLeast"/>
          <w:jc w:val="center"/>
        </w:trPr>
        <w:tc>
          <w:tcPr>
            <w:tcW w:w="811" w:type="pct"/>
            <w:vMerge w:val="continue"/>
            <w:tcBorders>
              <w:right w:val="single" w:color="auto" w:sz="4" w:space="0"/>
            </w:tcBorders>
            <w:vAlign w:val="center"/>
          </w:tcPr>
          <w:p w14:paraId="7C040A1F">
            <w:pPr>
              <w:adjustRightInd w:val="0"/>
              <w:snapToGrid w:val="0"/>
              <w:spacing w:line="300" w:lineRule="atLeast"/>
              <w:jc w:val="center"/>
              <w:rPr>
                <w:rFonts w:hint="eastAsia" w:ascii="宋体" w:hAnsi="宋体" w:cs="宋体"/>
                <w:color w:val="auto"/>
                <w:szCs w:val="21"/>
              </w:rPr>
            </w:pPr>
          </w:p>
        </w:tc>
        <w:tc>
          <w:tcPr>
            <w:tcW w:w="485" w:type="pct"/>
            <w:tcBorders>
              <w:left w:val="single" w:color="auto" w:sz="4" w:space="0"/>
            </w:tcBorders>
            <w:vAlign w:val="center"/>
          </w:tcPr>
          <w:p w14:paraId="42053C00">
            <w:pPr>
              <w:adjustRightInd w:val="0"/>
              <w:snapToGrid w:val="0"/>
              <w:spacing w:line="300" w:lineRule="atLeast"/>
              <w:jc w:val="center"/>
              <w:rPr>
                <w:rFonts w:hint="eastAsia" w:ascii="宋体" w:hAnsi="宋体" w:cs="宋体"/>
                <w:color w:val="auto"/>
                <w:szCs w:val="21"/>
              </w:rPr>
            </w:pPr>
            <w:r>
              <w:rPr>
                <w:rFonts w:hint="eastAsia" w:ascii="宋体" w:hAnsi="宋体" w:cs="宋体"/>
                <w:color w:val="auto"/>
                <w:szCs w:val="21"/>
              </w:rPr>
              <w:t>颗粒物</w:t>
            </w:r>
          </w:p>
        </w:tc>
        <w:tc>
          <w:tcPr>
            <w:tcW w:w="1298" w:type="pct"/>
            <w:vAlign w:val="center"/>
          </w:tcPr>
          <w:p w14:paraId="5DDBA5D6">
            <w:pPr>
              <w:adjustRightInd w:val="0"/>
              <w:snapToGrid w:val="0"/>
              <w:spacing w:line="300" w:lineRule="atLeast"/>
              <w:jc w:val="center"/>
              <w:rPr>
                <w:rFonts w:hint="eastAsia" w:ascii="宋体" w:hAnsi="宋体" w:cs="宋体"/>
                <w:color w:val="auto"/>
                <w:szCs w:val="21"/>
              </w:rPr>
            </w:pPr>
            <w:r>
              <w:rPr>
                <w:rFonts w:hint="eastAsia" w:ascii="宋体" w:hAnsi="宋体" w:cs="宋体"/>
                <w:color w:val="auto"/>
                <w:szCs w:val="21"/>
              </w:rPr>
              <w:t>120</w:t>
            </w:r>
          </w:p>
        </w:tc>
        <w:tc>
          <w:tcPr>
            <w:tcW w:w="2404" w:type="pct"/>
            <w:vMerge w:val="continue"/>
            <w:vAlign w:val="center"/>
          </w:tcPr>
          <w:p w14:paraId="4E75FAC7">
            <w:pPr>
              <w:adjustRightInd w:val="0"/>
              <w:snapToGrid w:val="0"/>
              <w:spacing w:line="300" w:lineRule="atLeast"/>
              <w:jc w:val="center"/>
              <w:rPr>
                <w:rFonts w:hint="eastAsia" w:ascii="宋体" w:hAnsi="宋体" w:cs="宋体"/>
                <w:color w:val="auto"/>
                <w:szCs w:val="21"/>
              </w:rPr>
            </w:pPr>
          </w:p>
        </w:tc>
      </w:tr>
    </w:tbl>
    <w:p w14:paraId="093C70CE">
      <w:pPr>
        <w:pStyle w:val="86"/>
        <w:spacing w:line="480" w:lineRule="exact"/>
        <w:ind w:firstLine="480"/>
        <w:rPr>
          <w:rFonts w:hint="eastAsia"/>
          <w:color w:val="auto"/>
        </w:rPr>
      </w:pPr>
      <w:r>
        <w:rPr>
          <w:rFonts w:hint="eastAsia"/>
          <w:color w:val="auto"/>
        </w:rPr>
        <w:t>②</w:t>
      </w:r>
      <w:bookmarkEnd w:id="103"/>
      <w:r>
        <w:rPr>
          <w:color w:val="auto"/>
        </w:rPr>
        <w:t>噪声</w:t>
      </w:r>
    </w:p>
    <w:p w14:paraId="6EC03439">
      <w:pPr>
        <w:pStyle w:val="86"/>
        <w:spacing w:line="480" w:lineRule="exact"/>
        <w:ind w:firstLine="480"/>
        <w:rPr>
          <w:rFonts w:hint="eastAsia"/>
          <w:color w:val="auto"/>
        </w:rPr>
      </w:pPr>
      <w:r>
        <w:rPr>
          <w:color w:val="auto"/>
        </w:rPr>
        <w:t>施工</w:t>
      </w:r>
      <w:r>
        <w:rPr>
          <w:rFonts w:hint="eastAsia"/>
          <w:color w:val="auto"/>
        </w:rPr>
        <w:t>场界环境噪声</w:t>
      </w:r>
      <w:r>
        <w:rPr>
          <w:color w:val="auto"/>
        </w:rPr>
        <w:t>执行</w:t>
      </w:r>
      <w:r>
        <w:rPr>
          <w:rFonts w:hint="eastAsia"/>
          <w:color w:val="auto"/>
        </w:rPr>
        <w:t>《建筑施工噪声排放标准》（GB12523-2025）相</w:t>
      </w:r>
      <w:r>
        <w:rPr>
          <w:color w:val="auto"/>
        </w:rPr>
        <w:t>关标准</w:t>
      </w:r>
      <w:r>
        <w:rPr>
          <w:rFonts w:hint="eastAsia"/>
          <w:color w:val="auto"/>
        </w:rPr>
        <w:t>；</w:t>
      </w:r>
      <w:r>
        <w:rPr>
          <w:color w:val="auto"/>
        </w:rPr>
        <w:t>运营期各</w:t>
      </w:r>
      <w:r>
        <w:rPr>
          <w:rFonts w:hint="eastAsia"/>
          <w:color w:val="auto"/>
        </w:rPr>
        <w:t>井场厂界</w:t>
      </w:r>
      <w:r>
        <w:rPr>
          <w:color w:val="auto"/>
        </w:rPr>
        <w:t>噪声</w:t>
      </w:r>
      <w:r>
        <w:rPr>
          <w:rFonts w:hint="eastAsia"/>
          <w:color w:val="auto"/>
        </w:rPr>
        <w:t>执行</w:t>
      </w:r>
      <w:r>
        <w:rPr>
          <w:color w:val="auto"/>
        </w:rPr>
        <w:t>《工业企业厂界</w:t>
      </w:r>
      <w:r>
        <w:rPr>
          <w:rFonts w:hint="eastAsia"/>
          <w:color w:val="auto"/>
        </w:rPr>
        <w:t>环境</w:t>
      </w:r>
      <w:r>
        <w:rPr>
          <w:color w:val="auto"/>
        </w:rPr>
        <w:t>噪声排放标准》（GB12348-2008）中2类</w:t>
      </w:r>
      <w:r>
        <w:rPr>
          <w:rFonts w:hint="eastAsia"/>
          <w:color w:val="auto"/>
        </w:rPr>
        <w:t>限值</w:t>
      </w:r>
      <w:r>
        <w:rPr>
          <w:color w:val="auto"/>
        </w:rPr>
        <w:t>，</w:t>
      </w:r>
      <w:r>
        <w:rPr>
          <w:rFonts w:hint="eastAsia"/>
          <w:color w:val="auto"/>
        </w:rPr>
        <w:t>具体</w:t>
      </w:r>
      <w:r>
        <w:rPr>
          <w:color w:val="auto"/>
        </w:rPr>
        <w:t>见</w:t>
      </w:r>
      <w:r>
        <w:rPr>
          <w:rFonts w:hint="eastAsia"/>
          <w:color w:val="auto"/>
        </w:rPr>
        <w:t>表</w:t>
      </w:r>
      <w:r>
        <w:rPr>
          <w:color w:val="auto"/>
        </w:rPr>
        <w:t>2.5</w:t>
      </w:r>
      <w:r>
        <w:rPr>
          <w:rFonts w:hint="eastAsia"/>
          <w:color w:val="auto"/>
        </w:rPr>
        <w:t>-7。</w:t>
      </w:r>
    </w:p>
    <w:p w14:paraId="5EA0610C">
      <w:pPr>
        <w:pStyle w:val="15"/>
        <w:rPr>
          <w:rFonts w:hint="eastAsia"/>
          <w:color w:val="auto"/>
        </w:rPr>
      </w:pPr>
      <w:r>
        <w:rPr>
          <w:rFonts w:hint="eastAsia"/>
          <w:color w:val="auto"/>
        </w:rPr>
        <w:t>表</w:t>
      </w:r>
      <w:r>
        <w:rPr>
          <w:color w:val="auto"/>
        </w:rPr>
        <w:t>2.5</w:t>
      </w:r>
      <w:r>
        <w:rPr>
          <w:rFonts w:hint="eastAsia"/>
          <w:color w:val="auto"/>
        </w:rPr>
        <w:t>-7</w:t>
      </w:r>
      <w:r>
        <w:rPr>
          <w:color w:val="auto"/>
        </w:rPr>
        <w:t xml:space="preserve">  噪声排放标准</w:t>
      </w:r>
      <w:r>
        <w:rPr>
          <w:rFonts w:hint="eastAsia"/>
          <w:color w:val="auto"/>
        </w:rPr>
        <w:t>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228"/>
        <w:gridCol w:w="1702"/>
        <w:gridCol w:w="1651"/>
        <w:gridCol w:w="2365"/>
      </w:tblGrid>
      <w:tr w14:paraId="100F13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04" w:type="pct"/>
            <w:vAlign w:val="center"/>
          </w:tcPr>
          <w:p w14:paraId="49B7EA64">
            <w:pPr>
              <w:pStyle w:val="296"/>
              <w:adjustRightInd w:val="0"/>
              <w:snapToGrid w:val="0"/>
              <w:rPr>
                <w:rFonts w:hint="eastAsia"/>
                <w:color w:val="auto"/>
              </w:rPr>
            </w:pPr>
            <w:r>
              <w:rPr>
                <w:rFonts w:hint="eastAsia"/>
                <w:color w:val="auto"/>
              </w:rPr>
              <w:t>执行地点</w:t>
            </w:r>
          </w:p>
        </w:tc>
        <w:tc>
          <w:tcPr>
            <w:tcW w:w="951" w:type="pct"/>
            <w:vAlign w:val="center"/>
          </w:tcPr>
          <w:p w14:paraId="2FA7E0C9">
            <w:pPr>
              <w:pStyle w:val="296"/>
              <w:adjustRightInd w:val="0"/>
              <w:snapToGrid w:val="0"/>
              <w:rPr>
                <w:rFonts w:hint="eastAsia"/>
                <w:color w:val="auto"/>
              </w:rPr>
            </w:pPr>
            <w:r>
              <w:rPr>
                <w:rFonts w:hint="eastAsia"/>
                <w:color w:val="auto"/>
              </w:rPr>
              <w:t>昼间</w:t>
            </w:r>
            <w:r>
              <w:rPr>
                <w:rFonts w:hint="eastAsia"/>
                <w:bCs/>
                <w:color w:val="auto"/>
              </w:rPr>
              <w:t>[</w:t>
            </w:r>
            <w:r>
              <w:rPr>
                <w:bCs/>
                <w:color w:val="auto"/>
              </w:rPr>
              <w:t>dB（A）</w:t>
            </w:r>
            <w:r>
              <w:rPr>
                <w:rFonts w:hint="eastAsia"/>
                <w:bCs/>
                <w:color w:val="auto"/>
              </w:rPr>
              <w:t>]</w:t>
            </w:r>
          </w:p>
        </w:tc>
        <w:tc>
          <w:tcPr>
            <w:tcW w:w="923" w:type="pct"/>
            <w:vAlign w:val="center"/>
          </w:tcPr>
          <w:p w14:paraId="56674C6B">
            <w:pPr>
              <w:pStyle w:val="296"/>
              <w:adjustRightInd w:val="0"/>
              <w:snapToGrid w:val="0"/>
              <w:rPr>
                <w:rFonts w:hint="eastAsia"/>
                <w:color w:val="auto"/>
              </w:rPr>
            </w:pPr>
            <w:r>
              <w:rPr>
                <w:rFonts w:hint="eastAsia"/>
                <w:color w:val="auto"/>
              </w:rPr>
              <w:t>夜间</w:t>
            </w:r>
            <w:r>
              <w:rPr>
                <w:rFonts w:hint="eastAsia"/>
                <w:bCs/>
                <w:color w:val="auto"/>
              </w:rPr>
              <w:t>[</w:t>
            </w:r>
            <w:r>
              <w:rPr>
                <w:bCs/>
                <w:color w:val="auto"/>
              </w:rPr>
              <w:t>dB（A）</w:t>
            </w:r>
            <w:r>
              <w:rPr>
                <w:rFonts w:hint="eastAsia"/>
                <w:bCs/>
                <w:color w:val="auto"/>
              </w:rPr>
              <w:t>]</w:t>
            </w:r>
          </w:p>
        </w:tc>
        <w:tc>
          <w:tcPr>
            <w:tcW w:w="1322" w:type="pct"/>
            <w:vAlign w:val="center"/>
          </w:tcPr>
          <w:p w14:paraId="53EB9710">
            <w:pPr>
              <w:pStyle w:val="296"/>
              <w:adjustRightInd w:val="0"/>
              <w:snapToGrid w:val="0"/>
              <w:rPr>
                <w:rFonts w:hint="eastAsia"/>
                <w:color w:val="auto"/>
              </w:rPr>
            </w:pPr>
            <w:r>
              <w:rPr>
                <w:rFonts w:hint="eastAsia"/>
                <w:color w:val="auto"/>
              </w:rPr>
              <w:t>标准来源</w:t>
            </w:r>
          </w:p>
        </w:tc>
      </w:tr>
      <w:tr w14:paraId="52AC3A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04" w:type="pct"/>
            <w:vAlign w:val="center"/>
          </w:tcPr>
          <w:p w14:paraId="2D75D63D">
            <w:pPr>
              <w:pStyle w:val="296"/>
              <w:adjustRightInd w:val="0"/>
              <w:snapToGrid w:val="0"/>
              <w:rPr>
                <w:rFonts w:hint="eastAsia"/>
                <w:color w:val="auto"/>
              </w:rPr>
            </w:pPr>
            <w:r>
              <w:rPr>
                <w:rFonts w:hint="eastAsia"/>
                <w:color w:val="auto"/>
                <w:szCs w:val="18"/>
              </w:rPr>
              <w:t>建筑施工场界</w:t>
            </w:r>
          </w:p>
        </w:tc>
        <w:tc>
          <w:tcPr>
            <w:tcW w:w="951" w:type="pct"/>
            <w:vAlign w:val="center"/>
          </w:tcPr>
          <w:p w14:paraId="1CA8B70E">
            <w:pPr>
              <w:pStyle w:val="296"/>
              <w:adjustRightInd w:val="0"/>
              <w:snapToGrid w:val="0"/>
              <w:rPr>
                <w:rFonts w:hint="eastAsia"/>
                <w:color w:val="auto"/>
              </w:rPr>
            </w:pPr>
            <w:r>
              <w:rPr>
                <w:rFonts w:hint="eastAsia"/>
                <w:color w:val="auto"/>
                <w:szCs w:val="18"/>
              </w:rPr>
              <w:t>70</w:t>
            </w:r>
          </w:p>
        </w:tc>
        <w:tc>
          <w:tcPr>
            <w:tcW w:w="923" w:type="pct"/>
            <w:vAlign w:val="center"/>
          </w:tcPr>
          <w:p w14:paraId="0F836636">
            <w:pPr>
              <w:pStyle w:val="296"/>
              <w:adjustRightInd w:val="0"/>
              <w:snapToGrid w:val="0"/>
              <w:rPr>
                <w:rFonts w:hint="eastAsia"/>
                <w:color w:val="auto"/>
              </w:rPr>
            </w:pPr>
            <w:r>
              <w:rPr>
                <w:rFonts w:hint="eastAsia"/>
                <w:color w:val="auto"/>
                <w:szCs w:val="18"/>
              </w:rPr>
              <w:t>55</w:t>
            </w:r>
          </w:p>
        </w:tc>
        <w:tc>
          <w:tcPr>
            <w:tcW w:w="1322" w:type="pct"/>
            <w:vAlign w:val="center"/>
          </w:tcPr>
          <w:p w14:paraId="3EF4DC17">
            <w:pPr>
              <w:pStyle w:val="296"/>
              <w:adjustRightInd w:val="0"/>
              <w:snapToGrid w:val="0"/>
              <w:rPr>
                <w:rFonts w:hint="eastAsia"/>
                <w:color w:val="auto"/>
              </w:rPr>
            </w:pPr>
            <w:r>
              <w:rPr>
                <w:rFonts w:hint="eastAsia"/>
                <w:color w:val="auto"/>
                <w:szCs w:val="18"/>
              </w:rPr>
              <w:t>GB12523-2025</w:t>
            </w:r>
          </w:p>
        </w:tc>
      </w:tr>
      <w:tr w14:paraId="66D8A1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04" w:type="pct"/>
            <w:vAlign w:val="center"/>
          </w:tcPr>
          <w:p w14:paraId="34424458">
            <w:pPr>
              <w:pStyle w:val="296"/>
              <w:adjustRightInd w:val="0"/>
              <w:snapToGrid w:val="0"/>
              <w:rPr>
                <w:rFonts w:hint="eastAsia"/>
                <w:color w:val="auto"/>
              </w:rPr>
            </w:pPr>
            <w:r>
              <w:rPr>
                <w:color w:val="auto"/>
              </w:rPr>
              <w:t>各</w:t>
            </w:r>
            <w:r>
              <w:rPr>
                <w:rFonts w:hint="eastAsia"/>
                <w:color w:val="auto"/>
              </w:rPr>
              <w:t>站场边</w:t>
            </w:r>
            <w:r>
              <w:rPr>
                <w:color w:val="auto"/>
              </w:rPr>
              <w:t>界</w:t>
            </w:r>
          </w:p>
        </w:tc>
        <w:tc>
          <w:tcPr>
            <w:tcW w:w="951" w:type="pct"/>
            <w:vAlign w:val="center"/>
          </w:tcPr>
          <w:p w14:paraId="6D44C12D">
            <w:pPr>
              <w:pStyle w:val="296"/>
              <w:adjustRightInd w:val="0"/>
              <w:snapToGrid w:val="0"/>
              <w:rPr>
                <w:rFonts w:hint="eastAsia"/>
                <w:color w:val="auto"/>
              </w:rPr>
            </w:pPr>
            <w:r>
              <w:rPr>
                <w:rFonts w:hint="eastAsia"/>
                <w:color w:val="auto"/>
              </w:rPr>
              <w:t>6</w:t>
            </w:r>
            <w:r>
              <w:rPr>
                <w:color w:val="auto"/>
              </w:rPr>
              <w:t>0</w:t>
            </w:r>
          </w:p>
        </w:tc>
        <w:tc>
          <w:tcPr>
            <w:tcW w:w="923" w:type="pct"/>
            <w:vAlign w:val="center"/>
          </w:tcPr>
          <w:p w14:paraId="01B3DA0E">
            <w:pPr>
              <w:pStyle w:val="296"/>
              <w:adjustRightInd w:val="0"/>
              <w:snapToGrid w:val="0"/>
              <w:rPr>
                <w:rFonts w:hint="eastAsia"/>
                <w:color w:val="auto"/>
              </w:rPr>
            </w:pPr>
            <w:r>
              <w:rPr>
                <w:rFonts w:hint="eastAsia"/>
                <w:color w:val="auto"/>
              </w:rPr>
              <w:t>5</w:t>
            </w:r>
            <w:r>
              <w:rPr>
                <w:color w:val="auto"/>
              </w:rPr>
              <w:t>0</w:t>
            </w:r>
          </w:p>
        </w:tc>
        <w:tc>
          <w:tcPr>
            <w:tcW w:w="1322" w:type="pct"/>
            <w:vAlign w:val="center"/>
          </w:tcPr>
          <w:p w14:paraId="6BC1048E">
            <w:pPr>
              <w:pStyle w:val="296"/>
              <w:adjustRightInd w:val="0"/>
              <w:snapToGrid w:val="0"/>
              <w:rPr>
                <w:rFonts w:hint="eastAsia"/>
                <w:color w:val="auto"/>
              </w:rPr>
            </w:pPr>
            <w:r>
              <w:rPr>
                <w:rFonts w:hint="eastAsia"/>
                <w:color w:val="auto"/>
              </w:rPr>
              <w:t xml:space="preserve">GB12348-2008  </w:t>
            </w:r>
            <w:r>
              <w:rPr>
                <w:color w:val="auto"/>
              </w:rPr>
              <w:t>2</w:t>
            </w:r>
            <w:r>
              <w:rPr>
                <w:rFonts w:hint="eastAsia"/>
                <w:color w:val="auto"/>
              </w:rPr>
              <w:t>类</w:t>
            </w:r>
          </w:p>
        </w:tc>
      </w:tr>
    </w:tbl>
    <w:p w14:paraId="1FBDEA45">
      <w:pPr>
        <w:pStyle w:val="86"/>
        <w:ind w:firstLine="480"/>
        <w:rPr>
          <w:rFonts w:hint="eastAsia"/>
          <w:color w:val="auto"/>
        </w:rPr>
      </w:pPr>
      <w:bookmarkStart w:id="107" w:name="_Toc445996330"/>
      <w:bookmarkStart w:id="108" w:name="_Toc459026556"/>
      <w:bookmarkStart w:id="109" w:name="_Toc475624462"/>
      <w:r>
        <w:rPr>
          <w:rFonts w:hint="eastAsia"/>
          <w:color w:val="auto"/>
        </w:rPr>
        <w:t>③废水</w:t>
      </w:r>
    </w:p>
    <w:p w14:paraId="53D11CCD">
      <w:pPr>
        <w:pStyle w:val="86"/>
        <w:ind w:left="105" w:leftChars="50" w:firstLine="360" w:firstLineChars="150"/>
        <w:rPr>
          <w:rFonts w:hint="eastAsia"/>
          <w:color w:val="auto"/>
        </w:rPr>
      </w:pPr>
      <w:r>
        <w:rPr>
          <w:rFonts w:hint="eastAsia"/>
          <w:color w:val="auto"/>
        </w:rPr>
        <w:t>井下作业废液由罐车拉运至莫北转油站采出水处理系统处理，出水水质达到《碎屑岩油藏注水水质指标技术要求及分析方法》（SY/T5329-</w:t>
      </w:r>
      <w:r>
        <w:rPr>
          <w:color w:val="auto"/>
        </w:rPr>
        <w:t>2022</w:t>
      </w:r>
      <w:r>
        <w:rPr>
          <w:rFonts w:hint="eastAsia"/>
          <w:color w:val="auto"/>
        </w:rPr>
        <w:t>）</w:t>
      </w:r>
      <w:bookmarkStart w:id="110" w:name="OLE_LINK105"/>
      <w:bookmarkStart w:id="111" w:name="OLE_LINK113"/>
      <w:r>
        <w:rPr>
          <w:rFonts w:hint="eastAsia"/>
          <w:color w:val="auto"/>
        </w:rPr>
        <w:t>Ⅲ级标准</w:t>
      </w:r>
      <w:bookmarkEnd w:id="110"/>
      <w:r>
        <w:rPr>
          <w:rFonts w:hint="eastAsia"/>
          <w:color w:val="auto"/>
        </w:rPr>
        <w:t>要求后回注地层，不外排。</w:t>
      </w:r>
    </w:p>
    <w:bookmarkEnd w:id="111"/>
    <w:p w14:paraId="184AC61B">
      <w:pPr>
        <w:pStyle w:val="86"/>
        <w:spacing w:line="480" w:lineRule="exact"/>
        <w:ind w:firstLine="480"/>
        <w:rPr>
          <w:rFonts w:hint="eastAsia"/>
          <w:color w:val="auto"/>
          <w:lang w:val="zh-CN"/>
        </w:rPr>
      </w:pPr>
      <w:r>
        <w:rPr>
          <w:rFonts w:hint="eastAsia"/>
          <w:color w:val="auto"/>
          <w:lang w:val="zh-CN"/>
        </w:rPr>
        <w:t>（3）污染物控制标准</w:t>
      </w:r>
    </w:p>
    <w:p w14:paraId="079EC74A">
      <w:pPr>
        <w:pStyle w:val="86"/>
        <w:spacing w:line="480" w:lineRule="exact"/>
        <w:ind w:firstLine="480"/>
        <w:rPr>
          <w:rFonts w:hint="eastAsia"/>
          <w:color w:val="auto"/>
          <w:lang w:val="zh-CN"/>
        </w:rPr>
      </w:pPr>
      <w:r>
        <w:rPr>
          <w:rFonts w:hint="eastAsia"/>
          <w:color w:val="auto"/>
          <w:lang w:val="zh-CN"/>
        </w:rPr>
        <w:t>危险废物收集、贮存和运输过程的污染控制执行《危险废物贮存污染控制标准》（</w:t>
      </w:r>
      <w:r>
        <w:rPr>
          <w:color w:val="auto"/>
          <w:lang w:val="zh-CN"/>
        </w:rPr>
        <w:t>GB18597-2023</w:t>
      </w:r>
      <w:r>
        <w:rPr>
          <w:rFonts w:hint="eastAsia"/>
          <w:color w:val="auto"/>
          <w:lang w:val="zh-CN"/>
        </w:rPr>
        <w:t>）、《危险废物收集贮存运输技术规范》（</w:t>
      </w:r>
      <w:r>
        <w:rPr>
          <w:color w:val="auto"/>
          <w:lang w:val="zh-CN"/>
        </w:rPr>
        <w:t>HJ2025-2012</w:t>
      </w:r>
      <w:r>
        <w:rPr>
          <w:rFonts w:hint="eastAsia"/>
          <w:color w:val="auto"/>
          <w:lang w:val="zh-CN"/>
        </w:rPr>
        <w:t>）中的相关要求</w:t>
      </w:r>
      <w:bookmarkStart w:id="112" w:name="_Hlk177305924"/>
      <w:r>
        <w:rPr>
          <w:rFonts w:hint="eastAsia"/>
          <w:color w:val="auto"/>
          <w:lang w:val="zh-CN"/>
        </w:rPr>
        <w:t>。</w:t>
      </w:r>
    </w:p>
    <w:bookmarkEnd w:id="112"/>
    <w:p w14:paraId="71500E50">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113" w:name="_Toc224405920"/>
      <w:r>
        <w:rPr>
          <w:rFonts w:hint="eastAsia" w:ascii="黑体" w:hAnsi="黑体" w:eastAsia="黑体" w:cs="Times New Roman"/>
          <w:bCs/>
          <w:color w:val="auto"/>
          <w:sz w:val="28"/>
          <w:szCs w:val="32"/>
          <w14:ligatures w14:val="none"/>
        </w:rPr>
        <w:t>评价等级与评价范围</w:t>
      </w:r>
      <w:bookmarkEnd w:id="107"/>
      <w:bookmarkEnd w:id="108"/>
      <w:bookmarkEnd w:id="109"/>
      <w:bookmarkEnd w:id="113"/>
    </w:p>
    <w:p w14:paraId="27420841">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114" w:name="_Toc445996331"/>
      <w:r>
        <w:rPr>
          <w:rFonts w:hint="eastAsia" w:ascii="黑体" w:hAnsi="黑体" w:eastAsia="黑体" w:cs="Times New Roman"/>
          <w:color w:val="auto"/>
          <w:sz w:val="24"/>
          <w:szCs w:val="21"/>
          <w:lang w:val="zh-CN"/>
          <w14:ligatures w14:val="none"/>
        </w:rPr>
        <w:t>评价等级</w:t>
      </w:r>
      <w:bookmarkEnd w:id="114"/>
    </w:p>
    <w:p w14:paraId="2B435C63">
      <w:pPr>
        <w:pStyle w:val="86"/>
        <w:spacing w:line="480" w:lineRule="exact"/>
        <w:ind w:firstLine="480"/>
        <w:rPr>
          <w:rFonts w:hint="eastAsia"/>
          <w:color w:val="auto"/>
        </w:rPr>
      </w:pPr>
      <w:bookmarkStart w:id="115" w:name="_Toc16125"/>
      <w:bookmarkStart w:id="116" w:name="_Toc445841974"/>
      <w:bookmarkStart w:id="117" w:name="_Hlk177302999"/>
      <w:r>
        <w:rPr>
          <w:rFonts w:hint="eastAsia"/>
          <w:color w:val="auto"/>
        </w:rPr>
        <w:t>（1）环境空气评价等级</w:t>
      </w:r>
      <w:bookmarkEnd w:id="115"/>
      <w:bookmarkEnd w:id="116"/>
    </w:p>
    <w:p w14:paraId="523C1356">
      <w:pPr>
        <w:pStyle w:val="86"/>
        <w:spacing w:line="480" w:lineRule="exact"/>
        <w:ind w:firstLine="480"/>
        <w:rPr>
          <w:rFonts w:hint="eastAsia"/>
          <w:color w:val="auto"/>
        </w:rPr>
      </w:pPr>
      <w:bookmarkStart w:id="118" w:name="_Hlk511383418"/>
      <w:r>
        <w:rPr>
          <w:rFonts w:hint="eastAsia"/>
          <w:color w:val="auto"/>
        </w:rPr>
        <w:t>根据试油期伴生气组分分析可知，伴生气中不含硫化氢，根据工程特点和污染特征，本次评价选取N</w:t>
      </w:r>
      <w:r>
        <w:rPr>
          <w:color w:val="auto"/>
        </w:rPr>
        <w:t>MHC</w:t>
      </w:r>
      <w:r>
        <w:rPr>
          <w:rFonts w:hint="eastAsia"/>
          <w:color w:val="auto"/>
        </w:rPr>
        <w:t>、二氧化硫、氮氧化物和颗粒物为预测因子，采用《环境影响评价技术导则  大气环境》（HJ2.2-2018）中推荐的AERSCREEN估算模式来计算污染物的最大地面空气质量浓度占标率（P</w:t>
      </w:r>
      <w:r>
        <w:rPr>
          <w:rFonts w:hint="eastAsia"/>
          <w:color w:val="auto"/>
          <w:vertAlign w:val="subscript"/>
        </w:rPr>
        <w:t>i</w:t>
      </w:r>
      <w:r>
        <w:rPr>
          <w:rFonts w:hint="eastAsia"/>
          <w:color w:val="auto"/>
        </w:rPr>
        <w:t>），P</w:t>
      </w:r>
      <w:r>
        <w:rPr>
          <w:rFonts w:hint="eastAsia"/>
          <w:color w:val="auto"/>
          <w:vertAlign w:val="subscript"/>
        </w:rPr>
        <w:t>i</w:t>
      </w:r>
      <w:r>
        <w:rPr>
          <w:rFonts w:hint="eastAsia"/>
          <w:color w:val="auto"/>
        </w:rPr>
        <w:t>定义如下：</w:t>
      </w:r>
    </w:p>
    <w:p w14:paraId="65BEAE1F">
      <w:pPr>
        <w:adjustRightInd w:val="0"/>
        <w:snapToGrid w:val="0"/>
        <w:spacing w:line="360" w:lineRule="auto"/>
        <w:ind w:firstLine="480" w:firstLineChars="200"/>
        <w:jc w:val="center"/>
        <w:textAlignment w:val="baseline"/>
        <w:rPr>
          <w:color w:val="auto"/>
          <w:kern w:val="0"/>
          <w:sz w:val="24"/>
          <w:szCs w:val="24"/>
        </w:rPr>
      </w:pPr>
      <w:r>
        <w:rPr>
          <w:color w:val="auto"/>
          <w:kern w:val="0"/>
          <w:position w:val="-30"/>
          <w:sz w:val="24"/>
          <w:szCs w:val="24"/>
          <w:lang w:bidi="ar"/>
        </w:rPr>
        <w:drawing>
          <wp:inline distT="0" distB="0" distL="0" distR="0">
            <wp:extent cx="1015365" cy="448945"/>
            <wp:effectExtent l="0" t="0" r="0" b="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1015365" cy="448945"/>
                    </a:xfrm>
                    <a:prstGeom prst="rect">
                      <a:avLst/>
                    </a:prstGeom>
                    <a:noFill/>
                    <a:ln>
                      <a:noFill/>
                    </a:ln>
                  </pic:spPr>
                </pic:pic>
              </a:graphicData>
            </a:graphic>
          </wp:inline>
        </w:drawing>
      </w:r>
    </w:p>
    <w:p w14:paraId="5F2AB9F8">
      <w:pPr>
        <w:pStyle w:val="209"/>
        <w:adjustRightInd w:val="0"/>
        <w:snapToGrid w:val="0"/>
        <w:ind w:firstLine="480"/>
        <w:rPr>
          <w:rFonts w:hint="eastAsia" w:eastAsia="宋体"/>
          <w:color w:val="auto"/>
        </w:rPr>
      </w:pPr>
      <w:r>
        <w:rPr>
          <w:rFonts w:hint="eastAsia"/>
          <w:color w:val="auto"/>
          <w:lang w:bidi="ar"/>
        </w:rPr>
        <w:t xml:space="preserve">  </w:t>
      </w:r>
      <w:r>
        <w:rPr>
          <w:rFonts w:hint="eastAsia" w:eastAsia="宋体"/>
          <w:color w:val="auto"/>
          <w:lang w:bidi="ar"/>
        </w:rPr>
        <w:t xml:space="preserve">  其中：</w:t>
      </w:r>
      <w:r>
        <w:rPr>
          <w:rFonts w:hint="eastAsia" w:eastAsia="宋体"/>
          <w:i/>
          <w:color w:val="auto"/>
          <w:lang w:bidi="ar"/>
        </w:rPr>
        <w:t>P</w:t>
      </w:r>
      <w:r>
        <w:rPr>
          <w:rFonts w:hint="eastAsia" w:eastAsia="宋体"/>
          <w:i/>
          <w:color w:val="auto"/>
          <w:vertAlign w:val="subscript"/>
          <w:lang w:bidi="ar"/>
        </w:rPr>
        <w:t>i</w:t>
      </w:r>
      <w:r>
        <w:rPr>
          <w:rFonts w:hint="eastAsia" w:eastAsia="宋体"/>
          <w:color w:val="auto"/>
          <w:lang w:bidi="ar"/>
        </w:rPr>
        <w:t>——第i种污染物的最大地面空气质量浓度占标率，%；</w:t>
      </w:r>
    </w:p>
    <w:p w14:paraId="052D4FB7">
      <w:pPr>
        <w:adjustRightInd w:val="0"/>
        <w:snapToGrid w:val="0"/>
        <w:spacing w:line="500" w:lineRule="exact"/>
        <w:ind w:firstLine="480" w:firstLineChars="200"/>
        <w:rPr>
          <w:rFonts w:hint="eastAsia" w:ascii="宋体" w:hAnsi="宋体" w:cs="宋体"/>
          <w:color w:val="auto"/>
          <w:kern w:val="0"/>
          <w:sz w:val="24"/>
          <w:szCs w:val="24"/>
          <w:lang w:val="zh-CN" w:bidi="ar"/>
        </w:rPr>
      </w:pPr>
      <w:r>
        <w:rPr>
          <w:rFonts w:hint="eastAsia" w:ascii="宋体" w:hAnsi="宋体" w:cs="宋体"/>
          <w:color w:val="auto"/>
          <w:kern w:val="0"/>
          <w:sz w:val="24"/>
          <w:szCs w:val="24"/>
          <w:lang w:val="zh-CN" w:bidi="ar"/>
        </w:rPr>
        <w:t xml:space="preserve">          C</w:t>
      </w:r>
      <w:r>
        <w:rPr>
          <w:rFonts w:hint="eastAsia" w:ascii="宋体" w:hAnsi="宋体" w:cs="宋体"/>
          <w:color w:val="auto"/>
          <w:kern w:val="0"/>
          <w:sz w:val="24"/>
          <w:szCs w:val="24"/>
          <w:vertAlign w:val="subscript"/>
          <w:lang w:val="zh-CN" w:bidi="ar"/>
        </w:rPr>
        <w:t>i</w:t>
      </w:r>
      <w:r>
        <w:rPr>
          <w:rFonts w:hint="eastAsia" w:ascii="宋体" w:hAnsi="宋体" w:cs="宋体"/>
          <w:color w:val="auto"/>
          <w:kern w:val="0"/>
          <w:sz w:val="24"/>
          <w:szCs w:val="24"/>
          <w:lang w:val="zh-CN" w:bidi="ar"/>
        </w:rPr>
        <w:t>——采用估算模型计算出的第i个污染物的最大1h地面空气质量</w:t>
      </w:r>
    </w:p>
    <w:p w14:paraId="3657D32F">
      <w:pPr>
        <w:adjustRightInd w:val="0"/>
        <w:snapToGrid w:val="0"/>
        <w:spacing w:line="500" w:lineRule="exact"/>
        <w:ind w:firstLine="2400" w:firstLineChars="1000"/>
        <w:rPr>
          <w:rFonts w:hint="eastAsia" w:ascii="宋体" w:hAnsi="宋体" w:cs="宋体"/>
          <w:color w:val="auto"/>
          <w:kern w:val="0"/>
          <w:sz w:val="24"/>
          <w:szCs w:val="24"/>
          <w:lang w:val="zh-CN"/>
        </w:rPr>
      </w:pPr>
      <w:r>
        <w:rPr>
          <w:rFonts w:hint="eastAsia" w:ascii="宋体" w:hAnsi="宋体" w:cs="宋体"/>
          <w:color w:val="auto"/>
          <w:kern w:val="0"/>
          <w:sz w:val="24"/>
          <w:szCs w:val="24"/>
          <w:lang w:val="zh-CN" w:bidi="ar"/>
        </w:rPr>
        <w:t>浓度，μg/m</w:t>
      </w:r>
      <w:r>
        <w:rPr>
          <w:rFonts w:hint="eastAsia" w:ascii="宋体" w:hAnsi="宋体" w:cs="宋体"/>
          <w:color w:val="auto"/>
          <w:kern w:val="0"/>
          <w:sz w:val="24"/>
          <w:szCs w:val="24"/>
          <w:vertAlign w:val="superscript"/>
          <w:lang w:val="zh-CN" w:bidi="ar"/>
        </w:rPr>
        <w:t>3</w:t>
      </w:r>
      <w:r>
        <w:rPr>
          <w:rFonts w:hint="eastAsia" w:ascii="宋体" w:hAnsi="宋体" w:cs="宋体"/>
          <w:color w:val="auto"/>
          <w:kern w:val="0"/>
          <w:sz w:val="24"/>
          <w:szCs w:val="24"/>
          <w:lang w:val="zh-CN" w:bidi="ar"/>
        </w:rPr>
        <w:t>；</w:t>
      </w:r>
    </w:p>
    <w:p w14:paraId="624D7249">
      <w:pPr>
        <w:pStyle w:val="209"/>
        <w:adjustRightInd w:val="0"/>
        <w:snapToGrid w:val="0"/>
        <w:ind w:firstLine="480"/>
        <w:rPr>
          <w:rFonts w:hint="eastAsia" w:eastAsia="宋体"/>
          <w:color w:val="auto"/>
        </w:rPr>
      </w:pPr>
      <w:r>
        <w:rPr>
          <w:rFonts w:hint="eastAsia" w:eastAsia="宋体"/>
          <w:i/>
          <w:color w:val="auto"/>
          <w:lang w:bidi="ar"/>
        </w:rPr>
        <w:t xml:space="preserve">          C</w:t>
      </w:r>
      <w:r>
        <w:rPr>
          <w:rFonts w:hint="eastAsia" w:eastAsia="宋体"/>
          <w:i/>
          <w:color w:val="auto"/>
          <w:vertAlign w:val="subscript"/>
          <w:lang w:bidi="ar"/>
        </w:rPr>
        <w:t>0i</w:t>
      </w:r>
      <w:r>
        <w:rPr>
          <w:rFonts w:hint="eastAsia" w:eastAsia="宋体"/>
          <w:color w:val="auto"/>
          <w:lang w:bidi="ar"/>
        </w:rPr>
        <w:t>——第i个污染物的环境空气质量浓度标准，μg/m</w:t>
      </w:r>
      <w:r>
        <w:rPr>
          <w:rFonts w:hint="eastAsia" w:eastAsia="宋体"/>
          <w:color w:val="auto"/>
          <w:vertAlign w:val="superscript"/>
          <w:lang w:bidi="ar"/>
        </w:rPr>
        <w:t>3</w:t>
      </w:r>
      <w:r>
        <w:rPr>
          <w:rFonts w:hint="eastAsia" w:eastAsia="宋体"/>
          <w:color w:val="auto"/>
          <w:lang w:bidi="ar"/>
        </w:rPr>
        <w:t>。</w:t>
      </w:r>
    </w:p>
    <w:bookmarkEnd w:id="117"/>
    <w:p w14:paraId="50264DE9">
      <w:pPr>
        <w:pStyle w:val="86"/>
        <w:spacing w:line="480" w:lineRule="exact"/>
        <w:ind w:firstLine="480"/>
        <w:rPr>
          <w:rFonts w:hint="eastAsia"/>
          <w:color w:val="auto"/>
        </w:rPr>
      </w:pPr>
      <w:r>
        <w:rPr>
          <w:rFonts w:hint="eastAsia"/>
          <w:color w:val="auto"/>
        </w:rPr>
        <w:t>源强参数见大气环境影响分析章节，计算结果见表2</w:t>
      </w:r>
      <w:r>
        <w:rPr>
          <w:color w:val="auto"/>
        </w:rPr>
        <w:t>.</w:t>
      </w:r>
      <w:r>
        <w:rPr>
          <w:rFonts w:hint="eastAsia"/>
          <w:color w:val="auto"/>
        </w:rPr>
        <w:t>6</w:t>
      </w:r>
      <w:r>
        <w:rPr>
          <w:color w:val="auto"/>
        </w:rPr>
        <w:t>-1</w:t>
      </w:r>
      <w:r>
        <w:rPr>
          <w:rFonts w:hint="eastAsia"/>
          <w:color w:val="auto"/>
        </w:rPr>
        <w:t>。</w:t>
      </w:r>
    </w:p>
    <w:p w14:paraId="6887B2FE">
      <w:pPr>
        <w:pStyle w:val="209"/>
        <w:adjustRightInd w:val="0"/>
        <w:snapToGrid w:val="0"/>
        <w:ind w:firstLine="0" w:firstLineChars="0"/>
        <w:jc w:val="center"/>
        <w:rPr>
          <w:rFonts w:hint="eastAsia" w:ascii="黑体" w:hAnsi="黑体" w:eastAsia="黑体"/>
          <w:color w:val="auto"/>
          <w:sz w:val="21"/>
          <w:szCs w:val="21"/>
        </w:rPr>
      </w:pPr>
      <w:r>
        <w:rPr>
          <w:rFonts w:hint="eastAsia" w:ascii="黑体" w:hAnsi="黑体" w:eastAsia="黑体"/>
          <w:color w:val="auto"/>
          <w:sz w:val="21"/>
          <w:szCs w:val="21"/>
        </w:rPr>
        <w:t>表2.</w:t>
      </w:r>
      <w:r>
        <w:rPr>
          <w:rFonts w:ascii="黑体" w:hAnsi="黑体" w:eastAsia="黑体"/>
          <w:color w:val="auto"/>
          <w:sz w:val="21"/>
          <w:szCs w:val="21"/>
        </w:rPr>
        <w:t>6</w:t>
      </w:r>
      <w:r>
        <w:rPr>
          <w:rFonts w:hint="eastAsia" w:ascii="黑体" w:hAnsi="黑体" w:eastAsia="黑体"/>
          <w:color w:val="auto"/>
          <w:sz w:val="21"/>
          <w:szCs w:val="21"/>
        </w:rPr>
        <w:t>-1  大气污染物最大落地浓度及占标率估算结果一览表</w:t>
      </w:r>
    </w:p>
    <w:tbl>
      <w:tblPr>
        <w:tblStyle w:val="4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08"/>
        <w:gridCol w:w="1888"/>
        <w:gridCol w:w="1249"/>
        <w:gridCol w:w="1512"/>
        <w:gridCol w:w="1426"/>
        <w:gridCol w:w="1563"/>
      </w:tblGrid>
      <w:tr w14:paraId="5DF982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786" w:type="pct"/>
            <w:gridSpan w:val="2"/>
            <w:vAlign w:val="center"/>
          </w:tcPr>
          <w:p w14:paraId="38EAA1D3">
            <w:pPr>
              <w:adjustRightInd w:val="0"/>
              <w:snapToGrid w:val="0"/>
              <w:spacing w:line="300" w:lineRule="exact"/>
              <w:jc w:val="center"/>
              <w:textAlignment w:val="baseline"/>
              <w:rPr>
                <w:rFonts w:hint="eastAsia" w:ascii="宋体" w:hAnsi="宋体"/>
                <w:color w:val="auto"/>
                <w:kern w:val="0"/>
                <w:szCs w:val="21"/>
              </w:rPr>
            </w:pPr>
            <w:r>
              <w:rPr>
                <w:rFonts w:hint="eastAsia" w:ascii="宋体" w:hAnsi="宋体"/>
                <w:color w:val="auto"/>
                <w:kern w:val="0"/>
                <w:szCs w:val="21"/>
              </w:rPr>
              <w:t>污染源</w:t>
            </w:r>
          </w:p>
        </w:tc>
        <w:tc>
          <w:tcPr>
            <w:tcW w:w="698" w:type="pct"/>
            <w:vAlign w:val="center"/>
          </w:tcPr>
          <w:p w14:paraId="1C4EF68B">
            <w:pPr>
              <w:adjustRightInd w:val="0"/>
              <w:snapToGrid w:val="0"/>
              <w:spacing w:line="300" w:lineRule="exact"/>
              <w:jc w:val="center"/>
              <w:textAlignment w:val="baseline"/>
              <w:rPr>
                <w:rFonts w:hint="eastAsia" w:ascii="宋体" w:hAnsi="宋体"/>
                <w:color w:val="auto"/>
                <w:kern w:val="0"/>
                <w:szCs w:val="21"/>
              </w:rPr>
            </w:pPr>
            <w:r>
              <w:rPr>
                <w:rFonts w:hint="eastAsia" w:ascii="宋体" w:hAnsi="宋体"/>
                <w:color w:val="auto"/>
                <w:kern w:val="0"/>
                <w:szCs w:val="21"/>
              </w:rPr>
              <w:t>污染因子</w:t>
            </w:r>
          </w:p>
        </w:tc>
        <w:tc>
          <w:tcPr>
            <w:tcW w:w="845" w:type="pct"/>
            <w:vAlign w:val="center"/>
          </w:tcPr>
          <w:p w14:paraId="1C54F2A3">
            <w:pPr>
              <w:adjustRightInd w:val="0"/>
              <w:snapToGrid w:val="0"/>
              <w:spacing w:line="300" w:lineRule="exact"/>
              <w:jc w:val="center"/>
              <w:textAlignment w:val="baseline"/>
              <w:rPr>
                <w:rFonts w:hint="eastAsia" w:ascii="宋体" w:hAnsi="宋体"/>
                <w:color w:val="auto"/>
                <w:kern w:val="0"/>
                <w:szCs w:val="21"/>
              </w:rPr>
            </w:pPr>
            <w:r>
              <w:rPr>
                <w:rFonts w:hint="eastAsia" w:ascii="宋体" w:hAnsi="宋体"/>
                <w:color w:val="auto"/>
                <w:kern w:val="0"/>
                <w:szCs w:val="21"/>
              </w:rPr>
              <w:t>最大落地浓度（μg/m</w:t>
            </w:r>
            <w:r>
              <w:rPr>
                <w:rFonts w:hint="eastAsia" w:ascii="宋体" w:hAnsi="宋体"/>
                <w:color w:val="auto"/>
                <w:kern w:val="0"/>
                <w:szCs w:val="21"/>
                <w:vertAlign w:val="superscript"/>
              </w:rPr>
              <w:t>3</w:t>
            </w:r>
            <w:r>
              <w:rPr>
                <w:rFonts w:hint="eastAsia" w:ascii="宋体" w:hAnsi="宋体"/>
                <w:color w:val="auto"/>
                <w:kern w:val="0"/>
                <w:szCs w:val="21"/>
              </w:rPr>
              <w:t>）</w:t>
            </w:r>
          </w:p>
        </w:tc>
        <w:tc>
          <w:tcPr>
            <w:tcW w:w="797" w:type="pct"/>
            <w:vAlign w:val="center"/>
          </w:tcPr>
          <w:p w14:paraId="01ED1D47">
            <w:pPr>
              <w:adjustRightInd w:val="0"/>
              <w:snapToGrid w:val="0"/>
              <w:spacing w:line="300" w:lineRule="exact"/>
              <w:jc w:val="center"/>
              <w:textAlignment w:val="baseline"/>
              <w:rPr>
                <w:rFonts w:hint="eastAsia" w:ascii="宋体" w:hAnsi="宋体"/>
                <w:color w:val="auto"/>
                <w:kern w:val="0"/>
                <w:szCs w:val="21"/>
              </w:rPr>
            </w:pPr>
            <w:r>
              <w:rPr>
                <w:rFonts w:hint="eastAsia" w:ascii="宋体" w:hAnsi="宋体"/>
                <w:color w:val="auto"/>
                <w:kern w:val="0"/>
                <w:szCs w:val="21"/>
              </w:rPr>
              <w:t>最大浓度占标率（%</w:t>
            </w:r>
            <w:r>
              <w:rPr>
                <w:rFonts w:ascii="宋体" w:hAnsi="宋体"/>
                <w:color w:val="auto"/>
                <w:kern w:val="0"/>
                <w:szCs w:val="21"/>
              </w:rPr>
              <w:t>）</w:t>
            </w:r>
          </w:p>
        </w:tc>
        <w:tc>
          <w:tcPr>
            <w:tcW w:w="873" w:type="pct"/>
            <w:vAlign w:val="center"/>
          </w:tcPr>
          <w:p w14:paraId="0088D9E7">
            <w:pPr>
              <w:adjustRightInd w:val="0"/>
              <w:snapToGrid w:val="0"/>
              <w:spacing w:line="300" w:lineRule="exact"/>
              <w:jc w:val="center"/>
              <w:textAlignment w:val="baseline"/>
              <w:rPr>
                <w:rFonts w:hint="eastAsia" w:ascii="宋体" w:hAnsi="宋体"/>
                <w:color w:val="auto"/>
                <w:kern w:val="0"/>
                <w:szCs w:val="21"/>
              </w:rPr>
            </w:pPr>
            <w:r>
              <w:rPr>
                <w:rFonts w:hint="eastAsia" w:ascii="宋体" w:hAnsi="宋体"/>
                <w:color w:val="auto"/>
                <w:kern w:val="0"/>
                <w:szCs w:val="21"/>
              </w:rPr>
              <w:t>最大落地浓度</w:t>
            </w:r>
          </w:p>
          <w:p w14:paraId="1D1C33BC">
            <w:pPr>
              <w:adjustRightInd w:val="0"/>
              <w:snapToGrid w:val="0"/>
              <w:spacing w:line="300" w:lineRule="exact"/>
              <w:jc w:val="center"/>
              <w:textAlignment w:val="baseline"/>
              <w:rPr>
                <w:rFonts w:hint="eastAsia" w:ascii="宋体" w:hAnsi="宋体"/>
                <w:color w:val="auto"/>
                <w:kern w:val="0"/>
                <w:szCs w:val="21"/>
              </w:rPr>
            </w:pPr>
            <w:r>
              <w:rPr>
                <w:rFonts w:hint="eastAsia" w:ascii="宋体" w:hAnsi="宋体"/>
                <w:color w:val="auto"/>
                <w:kern w:val="0"/>
                <w:szCs w:val="21"/>
              </w:rPr>
              <w:t>对应距离（m）</w:t>
            </w:r>
          </w:p>
        </w:tc>
      </w:tr>
      <w:tr w14:paraId="292254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31" w:type="pct"/>
            <w:vMerge w:val="restart"/>
            <w:vAlign w:val="center"/>
          </w:tcPr>
          <w:p w14:paraId="480A2281">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无组织废气</w:t>
            </w:r>
          </w:p>
        </w:tc>
        <w:tc>
          <w:tcPr>
            <w:tcW w:w="1055" w:type="pct"/>
            <w:vMerge w:val="restart"/>
            <w:vAlign w:val="center"/>
          </w:tcPr>
          <w:p w14:paraId="47DA7765">
            <w:pPr>
              <w:adjustRightInd w:val="0"/>
              <w:snapToGrid w:val="0"/>
              <w:spacing w:line="300" w:lineRule="exact"/>
              <w:jc w:val="center"/>
              <w:textAlignment w:val="baseline"/>
              <w:rPr>
                <w:rFonts w:hint="eastAsia" w:ascii="宋体" w:hAnsi="宋体" w:cs="宋体"/>
                <w:snapToGrid w:val="0"/>
                <w:color w:val="auto"/>
                <w:kern w:val="0"/>
                <w:szCs w:val="21"/>
              </w:rPr>
            </w:pPr>
            <w:r>
              <w:rPr>
                <w:rFonts w:hint="eastAsia" w:ascii="宋体" w:hAnsi="宋体" w:cs="宋体"/>
                <w:bCs/>
                <w:color w:val="auto"/>
                <w:kern w:val="0"/>
                <w:szCs w:val="21"/>
              </w:rPr>
              <w:t>莫172H井（包括浅冷处理装置和充装区）</w:t>
            </w:r>
          </w:p>
        </w:tc>
        <w:tc>
          <w:tcPr>
            <w:tcW w:w="698" w:type="pct"/>
            <w:vAlign w:val="center"/>
          </w:tcPr>
          <w:p w14:paraId="232330F0">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NMHC</w:t>
            </w:r>
          </w:p>
        </w:tc>
        <w:tc>
          <w:tcPr>
            <w:tcW w:w="845" w:type="pct"/>
            <w:vAlign w:val="center"/>
          </w:tcPr>
          <w:p w14:paraId="18193976">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13.6962</w:t>
            </w:r>
          </w:p>
        </w:tc>
        <w:tc>
          <w:tcPr>
            <w:tcW w:w="797" w:type="pct"/>
            <w:vAlign w:val="center"/>
          </w:tcPr>
          <w:p w14:paraId="1ABE2848">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0.68</w:t>
            </w:r>
          </w:p>
        </w:tc>
        <w:tc>
          <w:tcPr>
            <w:tcW w:w="873" w:type="pct"/>
            <w:vMerge w:val="restart"/>
            <w:vAlign w:val="center"/>
          </w:tcPr>
          <w:p w14:paraId="0C1BFF6B">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289</w:t>
            </w:r>
          </w:p>
        </w:tc>
      </w:tr>
      <w:tr w14:paraId="5D9E7E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31" w:type="pct"/>
            <w:vMerge w:val="continue"/>
            <w:vAlign w:val="center"/>
          </w:tcPr>
          <w:p w14:paraId="25073E25">
            <w:pPr>
              <w:adjustRightInd w:val="0"/>
              <w:snapToGrid w:val="0"/>
              <w:spacing w:line="300" w:lineRule="exact"/>
              <w:jc w:val="center"/>
              <w:textAlignment w:val="baseline"/>
              <w:rPr>
                <w:rFonts w:hint="eastAsia" w:ascii="宋体" w:hAnsi="宋体" w:cs="宋体"/>
                <w:bCs/>
                <w:color w:val="auto"/>
                <w:kern w:val="0"/>
                <w:szCs w:val="21"/>
              </w:rPr>
            </w:pPr>
          </w:p>
        </w:tc>
        <w:tc>
          <w:tcPr>
            <w:tcW w:w="1055" w:type="pct"/>
            <w:vMerge w:val="continue"/>
            <w:vAlign w:val="center"/>
          </w:tcPr>
          <w:p w14:paraId="21E7E6F0">
            <w:pPr>
              <w:adjustRightInd w:val="0"/>
              <w:snapToGrid w:val="0"/>
              <w:spacing w:line="300" w:lineRule="exact"/>
              <w:jc w:val="center"/>
              <w:textAlignment w:val="baseline"/>
              <w:rPr>
                <w:rFonts w:hint="eastAsia" w:ascii="宋体" w:hAnsi="宋体" w:cs="宋体"/>
                <w:bCs/>
                <w:color w:val="auto"/>
                <w:kern w:val="0"/>
                <w:szCs w:val="21"/>
              </w:rPr>
            </w:pPr>
          </w:p>
        </w:tc>
        <w:tc>
          <w:tcPr>
            <w:tcW w:w="698" w:type="pct"/>
            <w:vAlign w:val="center"/>
          </w:tcPr>
          <w:p w14:paraId="58934254">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SO</w:t>
            </w:r>
            <w:r>
              <w:rPr>
                <w:rFonts w:hint="eastAsia" w:ascii="宋体" w:hAnsi="宋体" w:cs="宋体"/>
                <w:bCs/>
                <w:color w:val="auto"/>
                <w:kern w:val="0"/>
                <w:szCs w:val="21"/>
                <w:vertAlign w:val="subscript"/>
              </w:rPr>
              <w:t>2</w:t>
            </w:r>
          </w:p>
        </w:tc>
        <w:tc>
          <w:tcPr>
            <w:tcW w:w="845" w:type="pct"/>
            <w:vAlign w:val="center"/>
          </w:tcPr>
          <w:p w14:paraId="246472C0">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1.6921</w:t>
            </w:r>
          </w:p>
        </w:tc>
        <w:tc>
          <w:tcPr>
            <w:tcW w:w="797" w:type="pct"/>
            <w:vAlign w:val="center"/>
          </w:tcPr>
          <w:p w14:paraId="3C92E83F">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0.34</w:t>
            </w:r>
          </w:p>
        </w:tc>
        <w:tc>
          <w:tcPr>
            <w:tcW w:w="873" w:type="pct"/>
            <w:vMerge w:val="continue"/>
            <w:vAlign w:val="center"/>
          </w:tcPr>
          <w:p w14:paraId="6AE49113">
            <w:pPr>
              <w:adjustRightInd w:val="0"/>
              <w:snapToGrid w:val="0"/>
              <w:spacing w:line="300" w:lineRule="exact"/>
              <w:jc w:val="center"/>
              <w:textAlignment w:val="baseline"/>
              <w:rPr>
                <w:rFonts w:hint="eastAsia" w:ascii="宋体" w:hAnsi="宋体" w:cs="宋体"/>
                <w:bCs/>
                <w:color w:val="auto"/>
                <w:kern w:val="0"/>
                <w:szCs w:val="21"/>
              </w:rPr>
            </w:pPr>
          </w:p>
        </w:tc>
      </w:tr>
      <w:tr w14:paraId="74463BD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31" w:type="pct"/>
            <w:vMerge w:val="continue"/>
            <w:vAlign w:val="center"/>
          </w:tcPr>
          <w:p w14:paraId="2457F952">
            <w:pPr>
              <w:adjustRightInd w:val="0"/>
              <w:snapToGrid w:val="0"/>
              <w:spacing w:line="300" w:lineRule="exact"/>
              <w:jc w:val="center"/>
              <w:textAlignment w:val="baseline"/>
              <w:rPr>
                <w:rFonts w:hint="eastAsia" w:ascii="宋体" w:hAnsi="宋体" w:cs="宋体"/>
                <w:bCs/>
                <w:color w:val="auto"/>
                <w:kern w:val="0"/>
                <w:szCs w:val="21"/>
              </w:rPr>
            </w:pPr>
          </w:p>
        </w:tc>
        <w:tc>
          <w:tcPr>
            <w:tcW w:w="1055" w:type="pct"/>
            <w:vMerge w:val="continue"/>
            <w:vAlign w:val="center"/>
          </w:tcPr>
          <w:p w14:paraId="5E0484C5">
            <w:pPr>
              <w:adjustRightInd w:val="0"/>
              <w:snapToGrid w:val="0"/>
              <w:spacing w:line="300" w:lineRule="exact"/>
              <w:jc w:val="center"/>
              <w:textAlignment w:val="baseline"/>
              <w:rPr>
                <w:rFonts w:hint="eastAsia" w:ascii="宋体" w:hAnsi="宋体" w:cs="宋体"/>
                <w:bCs/>
                <w:color w:val="auto"/>
                <w:kern w:val="0"/>
                <w:szCs w:val="21"/>
              </w:rPr>
            </w:pPr>
          </w:p>
        </w:tc>
        <w:tc>
          <w:tcPr>
            <w:tcW w:w="698" w:type="pct"/>
            <w:vAlign w:val="center"/>
          </w:tcPr>
          <w:p w14:paraId="6E666C6E">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NOx</w:t>
            </w:r>
          </w:p>
        </w:tc>
        <w:tc>
          <w:tcPr>
            <w:tcW w:w="845" w:type="pct"/>
            <w:vAlign w:val="center"/>
          </w:tcPr>
          <w:p w14:paraId="6A5AA342">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16.1853</w:t>
            </w:r>
          </w:p>
        </w:tc>
        <w:tc>
          <w:tcPr>
            <w:tcW w:w="797" w:type="pct"/>
            <w:vAlign w:val="center"/>
          </w:tcPr>
          <w:p w14:paraId="3235F903">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
                <w:color w:val="auto"/>
                <w:kern w:val="0"/>
                <w:szCs w:val="21"/>
              </w:rPr>
              <w:t>6.47</w:t>
            </w:r>
          </w:p>
        </w:tc>
        <w:tc>
          <w:tcPr>
            <w:tcW w:w="873" w:type="pct"/>
            <w:vMerge w:val="continue"/>
            <w:vAlign w:val="center"/>
          </w:tcPr>
          <w:p w14:paraId="5B9EC05B">
            <w:pPr>
              <w:adjustRightInd w:val="0"/>
              <w:snapToGrid w:val="0"/>
              <w:spacing w:line="300" w:lineRule="exact"/>
              <w:jc w:val="center"/>
              <w:textAlignment w:val="baseline"/>
              <w:rPr>
                <w:rFonts w:hint="eastAsia" w:ascii="宋体" w:hAnsi="宋体" w:cs="宋体"/>
                <w:bCs/>
                <w:color w:val="auto"/>
                <w:kern w:val="0"/>
                <w:szCs w:val="21"/>
              </w:rPr>
            </w:pPr>
          </w:p>
        </w:tc>
      </w:tr>
      <w:tr w14:paraId="3EA2B1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31" w:type="pct"/>
            <w:vMerge w:val="continue"/>
            <w:vAlign w:val="center"/>
          </w:tcPr>
          <w:p w14:paraId="4572D709">
            <w:pPr>
              <w:adjustRightInd w:val="0"/>
              <w:snapToGrid w:val="0"/>
              <w:spacing w:line="300" w:lineRule="exact"/>
              <w:jc w:val="center"/>
              <w:textAlignment w:val="baseline"/>
              <w:rPr>
                <w:rFonts w:hint="eastAsia" w:ascii="宋体" w:hAnsi="宋体" w:cs="宋体"/>
                <w:bCs/>
                <w:color w:val="auto"/>
                <w:kern w:val="0"/>
                <w:szCs w:val="21"/>
              </w:rPr>
            </w:pPr>
          </w:p>
        </w:tc>
        <w:tc>
          <w:tcPr>
            <w:tcW w:w="1055" w:type="pct"/>
            <w:vMerge w:val="continue"/>
            <w:vAlign w:val="center"/>
          </w:tcPr>
          <w:p w14:paraId="61B060FD">
            <w:pPr>
              <w:adjustRightInd w:val="0"/>
              <w:snapToGrid w:val="0"/>
              <w:spacing w:line="300" w:lineRule="exact"/>
              <w:jc w:val="center"/>
              <w:textAlignment w:val="baseline"/>
              <w:rPr>
                <w:rFonts w:hint="eastAsia" w:ascii="宋体" w:hAnsi="宋体" w:cs="宋体"/>
                <w:bCs/>
                <w:color w:val="auto"/>
                <w:kern w:val="0"/>
                <w:szCs w:val="21"/>
              </w:rPr>
            </w:pPr>
          </w:p>
        </w:tc>
        <w:tc>
          <w:tcPr>
            <w:tcW w:w="698" w:type="pct"/>
            <w:vAlign w:val="center"/>
          </w:tcPr>
          <w:p w14:paraId="4685B941">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颗粒物</w:t>
            </w:r>
          </w:p>
        </w:tc>
        <w:tc>
          <w:tcPr>
            <w:tcW w:w="845" w:type="pct"/>
            <w:vAlign w:val="center"/>
          </w:tcPr>
          <w:p w14:paraId="1320C94F">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1.3243</w:t>
            </w:r>
          </w:p>
        </w:tc>
        <w:tc>
          <w:tcPr>
            <w:tcW w:w="797" w:type="pct"/>
            <w:vAlign w:val="center"/>
          </w:tcPr>
          <w:p w14:paraId="6BD7953E">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0.15</w:t>
            </w:r>
          </w:p>
        </w:tc>
        <w:tc>
          <w:tcPr>
            <w:tcW w:w="873" w:type="pct"/>
            <w:vMerge w:val="continue"/>
            <w:vAlign w:val="center"/>
          </w:tcPr>
          <w:p w14:paraId="4885588B">
            <w:pPr>
              <w:adjustRightInd w:val="0"/>
              <w:snapToGrid w:val="0"/>
              <w:spacing w:line="300" w:lineRule="exact"/>
              <w:jc w:val="center"/>
              <w:textAlignment w:val="baseline"/>
              <w:rPr>
                <w:rFonts w:hint="eastAsia" w:ascii="宋体" w:hAnsi="宋体" w:cs="宋体"/>
                <w:bCs/>
                <w:color w:val="auto"/>
                <w:kern w:val="0"/>
                <w:szCs w:val="21"/>
              </w:rPr>
            </w:pPr>
          </w:p>
        </w:tc>
      </w:tr>
      <w:tr w14:paraId="793083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31" w:type="pct"/>
            <w:vMerge w:val="continue"/>
            <w:vAlign w:val="center"/>
          </w:tcPr>
          <w:p w14:paraId="027D6FC7">
            <w:pPr>
              <w:adjustRightInd w:val="0"/>
              <w:snapToGrid w:val="0"/>
              <w:spacing w:line="300" w:lineRule="exact"/>
              <w:jc w:val="center"/>
              <w:textAlignment w:val="baseline"/>
              <w:rPr>
                <w:rFonts w:hint="eastAsia" w:ascii="宋体" w:hAnsi="宋体" w:cs="宋体"/>
                <w:bCs/>
                <w:color w:val="auto"/>
                <w:kern w:val="0"/>
                <w:szCs w:val="21"/>
              </w:rPr>
            </w:pPr>
          </w:p>
        </w:tc>
        <w:tc>
          <w:tcPr>
            <w:tcW w:w="1055" w:type="pct"/>
            <w:vMerge w:val="restart"/>
            <w:vAlign w:val="center"/>
          </w:tcPr>
          <w:p w14:paraId="2135DC38">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莫174H井（包括浅冷处理装置）</w:t>
            </w:r>
          </w:p>
        </w:tc>
        <w:tc>
          <w:tcPr>
            <w:tcW w:w="698" w:type="pct"/>
            <w:vAlign w:val="center"/>
          </w:tcPr>
          <w:p w14:paraId="2A4E094B">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NMHC</w:t>
            </w:r>
          </w:p>
        </w:tc>
        <w:tc>
          <w:tcPr>
            <w:tcW w:w="845" w:type="pct"/>
            <w:vAlign w:val="center"/>
          </w:tcPr>
          <w:p w14:paraId="0EC74E87">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12.9822</w:t>
            </w:r>
          </w:p>
        </w:tc>
        <w:tc>
          <w:tcPr>
            <w:tcW w:w="797" w:type="pct"/>
            <w:vAlign w:val="center"/>
          </w:tcPr>
          <w:p w14:paraId="0F1C4113">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0.65</w:t>
            </w:r>
          </w:p>
        </w:tc>
        <w:tc>
          <w:tcPr>
            <w:tcW w:w="873" w:type="pct"/>
            <w:vMerge w:val="restart"/>
            <w:vAlign w:val="center"/>
          </w:tcPr>
          <w:p w14:paraId="49F939F0">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89</w:t>
            </w:r>
          </w:p>
        </w:tc>
      </w:tr>
      <w:tr w14:paraId="5E4173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31" w:type="pct"/>
            <w:vMerge w:val="continue"/>
            <w:vAlign w:val="center"/>
          </w:tcPr>
          <w:p w14:paraId="552B10DF">
            <w:pPr>
              <w:adjustRightInd w:val="0"/>
              <w:snapToGrid w:val="0"/>
              <w:spacing w:line="300" w:lineRule="exact"/>
              <w:jc w:val="center"/>
              <w:textAlignment w:val="baseline"/>
              <w:rPr>
                <w:rFonts w:hint="eastAsia" w:ascii="宋体" w:hAnsi="宋体" w:cs="宋体"/>
                <w:bCs/>
                <w:color w:val="auto"/>
                <w:kern w:val="0"/>
                <w:szCs w:val="21"/>
              </w:rPr>
            </w:pPr>
          </w:p>
        </w:tc>
        <w:tc>
          <w:tcPr>
            <w:tcW w:w="1055" w:type="pct"/>
            <w:vMerge w:val="continue"/>
            <w:vAlign w:val="center"/>
          </w:tcPr>
          <w:p w14:paraId="70330F74">
            <w:pPr>
              <w:adjustRightInd w:val="0"/>
              <w:snapToGrid w:val="0"/>
              <w:spacing w:line="300" w:lineRule="exact"/>
              <w:jc w:val="center"/>
              <w:textAlignment w:val="baseline"/>
              <w:rPr>
                <w:rFonts w:hint="eastAsia" w:ascii="宋体" w:hAnsi="宋体" w:cs="宋体"/>
                <w:bCs/>
                <w:color w:val="auto"/>
                <w:kern w:val="0"/>
                <w:szCs w:val="21"/>
              </w:rPr>
            </w:pPr>
          </w:p>
        </w:tc>
        <w:tc>
          <w:tcPr>
            <w:tcW w:w="698" w:type="pct"/>
            <w:vAlign w:val="center"/>
          </w:tcPr>
          <w:p w14:paraId="71E4CA2D">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SO</w:t>
            </w:r>
            <w:r>
              <w:rPr>
                <w:rFonts w:hint="eastAsia" w:ascii="宋体" w:hAnsi="宋体" w:cs="宋体"/>
                <w:bCs/>
                <w:color w:val="auto"/>
                <w:kern w:val="0"/>
                <w:szCs w:val="21"/>
                <w:vertAlign w:val="subscript"/>
              </w:rPr>
              <w:t>2</w:t>
            </w:r>
          </w:p>
        </w:tc>
        <w:tc>
          <w:tcPr>
            <w:tcW w:w="845" w:type="pct"/>
            <w:vAlign w:val="center"/>
          </w:tcPr>
          <w:p w14:paraId="712D160F">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1.267</w:t>
            </w:r>
          </w:p>
        </w:tc>
        <w:tc>
          <w:tcPr>
            <w:tcW w:w="797" w:type="pct"/>
            <w:vAlign w:val="center"/>
          </w:tcPr>
          <w:p w14:paraId="69B42513">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0.25</w:t>
            </w:r>
          </w:p>
        </w:tc>
        <w:tc>
          <w:tcPr>
            <w:tcW w:w="873" w:type="pct"/>
            <w:vMerge w:val="continue"/>
            <w:vAlign w:val="center"/>
          </w:tcPr>
          <w:p w14:paraId="3EFF2BD6">
            <w:pPr>
              <w:adjustRightInd w:val="0"/>
              <w:snapToGrid w:val="0"/>
              <w:spacing w:line="300" w:lineRule="exact"/>
              <w:jc w:val="center"/>
              <w:textAlignment w:val="baseline"/>
              <w:rPr>
                <w:rFonts w:hint="eastAsia" w:ascii="宋体" w:hAnsi="宋体" w:cs="宋体"/>
                <w:bCs/>
                <w:color w:val="auto"/>
                <w:kern w:val="0"/>
                <w:szCs w:val="21"/>
              </w:rPr>
            </w:pPr>
          </w:p>
        </w:tc>
      </w:tr>
      <w:tr w14:paraId="08E781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31" w:type="pct"/>
            <w:vMerge w:val="continue"/>
            <w:vAlign w:val="center"/>
          </w:tcPr>
          <w:p w14:paraId="10018F40">
            <w:pPr>
              <w:adjustRightInd w:val="0"/>
              <w:snapToGrid w:val="0"/>
              <w:spacing w:line="300" w:lineRule="exact"/>
              <w:jc w:val="center"/>
              <w:textAlignment w:val="baseline"/>
              <w:rPr>
                <w:rFonts w:hint="eastAsia" w:ascii="宋体" w:hAnsi="宋体" w:cs="宋体"/>
                <w:bCs/>
                <w:color w:val="auto"/>
                <w:kern w:val="0"/>
                <w:szCs w:val="21"/>
              </w:rPr>
            </w:pPr>
          </w:p>
        </w:tc>
        <w:tc>
          <w:tcPr>
            <w:tcW w:w="1055" w:type="pct"/>
            <w:vMerge w:val="continue"/>
            <w:vAlign w:val="center"/>
          </w:tcPr>
          <w:p w14:paraId="26E13436">
            <w:pPr>
              <w:adjustRightInd w:val="0"/>
              <w:snapToGrid w:val="0"/>
              <w:spacing w:line="300" w:lineRule="exact"/>
              <w:jc w:val="center"/>
              <w:textAlignment w:val="baseline"/>
              <w:rPr>
                <w:rFonts w:hint="eastAsia" w:ascii="宋体" w:hAnsi="宋体" w:cs="宋体"/>
                <w:bCs/>
                <w:color w:val="auto"/>
                <w:kern w:val="0"/>
                <w:szCs w:val="21"/>
              </w:rPr>
            </w:pPr>
          </w:p>
        </w:tc>
        <w:tc>
          <w:tcPr>
            <w:tcW w:w="698" w:type="pct"/>
            <w:vAlign w:val="center"/>
          </w:tcPr>
          <w:p w14:paraId="289CCAAB">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NOx</w:t>
            </w:r>
          </w:p>
        </w:tc>
        <w:tc>
          <w:tcPr>
            <w:tcW w:w="845" w:type="pct"/>
            <w:vAlign w:val="center"/>
          </w:tcPr>
          <w:p w14:paraId="2217CDCD">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12.1191</w:t>
            </w:r>
          </w:p>
        </w:tc>
        <w:tc>
          <w:tcPr>
            <w:tcW w:w="797" w:type="pct"/>
            <w:vAlign w:val="center"/>
          </w:tcPr>
          <w:p w14:paraId="063EF67C">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4.85</w:t>
            </w:r>
          </w:p>
        </w:tc>
        <w:tc>
          <w:tcPr>
            <w:tcW w:w="873" w:type="pct"/>
            <w:vMerge w:val="continue"/>
            <w:vAlign w:val="center"/>
          </w:tcPr>
          <w:p w14:paraId="3882B1B0">
            <w:pPr>
              <w:adjustRightInd w:val="0"/>
              <w:snapToGrid w:val="0"/>
              <w:spacing w:line="300" w:lineRule="exact"/>
              <w:jc w:val="center"/>
              <w:textAlignment w:val="baseline"/>
              <w:rPr>
                <w:rFonts w:hint="eastAsia" w:ascii="宋体" w:hAnsi="宋体" w:cs="宋体"/>
                <w:bCs/>
                <w:color w:val="auto"/>
                <w:kern w:val="0"/>
                <w:szCs w:val="21"/>
              </w:rPr>
            </w:pPr>
          </w:p>
        </w:tc>
      </w:tr>
      <w:tr w14:paraId="01640E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31" w:type="pct"/>
            <w:vMerge w:val="continue"/>
            <w:vAlign w:val="center"/>
          </w:tcPr>
          <w:p w14:paraId="344FDBCB">
            <w:pPr>
              <w:adjustRightInd w:val="0"/>
              <w:snapToGrid w:val="0"/>
              <w:spacing w:line="300" w:lineRule="exact"/>
              <w:jc w:val="center"/>
              <w:textAlignment w:val="baseline"/>
              <w:rPr>
                <w:rFonts w:hint="eastAsia" w:ascii="宋体" w:hAnsi="宋体" w:cs="宋体"/>
                <w:bCs/>
                <w:color w:val="auto"/>
                <w:kern w:val="0"/>
                <w:szCs w:val="21"/>
              </w:rPr>
            </w:pPr>
          </w:p>
        </w:tc>
        <w:tc>
          <w:tcPr>
            <w:tcW w:w="1055" w:type="pct"/>
            <w:vMerge w:val="continue"/>
            <w:vAlign w:val="center"/>
          </w:tcPr>
          <w:p w14:paraId="76AFDA6D">
            <w:pPr>
              <w:adjustRightInd w:val="0"/>
              <w:snapToGrid w:val="0"/>
              <w:spacing w:line="300" w:lineRule="exact"/>
              <w:jc w:val="center"/>
              <w:textAlignment w:val="baseline"/>
              <w:rPr>
                <w:rFonts w:hint="eastAsia" w:ascii="宋体" w:hAnsi="宋体" w:cs="宋体"/>
                <w:bCs/>
                <w:color w:val="auto"/>
                <w:kern w:val="0"/>
                <w:szCs w:val="21"/>
              </w:rPr>
            </w:pPr>
          </w:p>
        </w:tc>
        <w:tc>
          <w:tcPr>
            <w:tcW w:w="698" w:type="pct"/>
            <w:vAlign w:val="center"/>
          </w:tcPr>
          <w:p w14:paraId="535B8613">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颗粒物</w:t>
            </w:r>
          </w:p>
        </w:tc>
        <w:tc>
          <w:tcPr>
            <w:tcW w:w="845" w:type="pct"/>
            <w:vAlign w:val="center"/>
          </w:tcPr>
          <w:p w14:paraId="7933781E">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0.9916</w:t>
            </w:r>
          </w:p>
        </w:tc>
        <w:tc>
          <w:tcPr>
            <w:tcW w:w="797" w:type="pct"/>
            <w:vAlign w:val="center"/>
          </w:tcPr>
          <w:p w14:paraId="46940258">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0.11</w:t>
            </w:r>
          </w:p>
        </w:tc>
        <w:tc>
          <w:tcPr>
            <w:tcW w:w="873" w:type="pct"/>
            <w:vMerge w:val="continue"/>
            <w:vAlign w:val="center"/>
          </w:tcPr>
          <w:p w14:paraId="372AD617">
            <w:pPr>
              <w:adjustRightInd w:val="0"/>
              <w:snapToGrid w:val="0"/>
              <w:spacing w:line="300" w:lineRule="exact"/>
              <w:jc w:val="center"/>
              <w:textAlignment w:val="baseline"/>
              <w:rPr>
                <w:rFonts w:hint="eastAsia" w:ascii="宋体" w:hAnsi="宋体" w:cs="宋体"/>
                <w:bCs/>
                <w:color w:val="auto"/>
                <w:kern w:val="0"/>
                <w:szCs w:val="21"/>
              </w:rPr>
            </w:pPr>
          </w:p>
        </w:tc>
      </w:tr>
      <w:tr w14:paraId="0E6A32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31" w:type="pct"/>
            <w:vMerge w:val="continue"/>
            <w:vAlign w:val="center"/>
          </w:tcPr>
          <w:p w14:paraId="76860AB8">
            <w:pPr>
              <w:adjustRightInd w:val="0"/>
              <w:snapToGrid w:val="0"/>
              <w:spacing w:line="300" w:lineRule="exact"/>
              <w:jc w:val="center"/>
              <w:textAlignment w:val="baseline"/>
              <w:rPr>
                <w:rFonts w:hint="eastAsia" w:ascii="宋体" w:hAnsi="宋体" w:cs="宋体"/>
                <w:bCs/>
                <w:color w:val="auto"/>
                <w:kern w:val="0"/>
                <w:szCs w:val="21"/>
              </w:rPr>
            </w:pPr>
          </w:p>
        </w:tc>
        <w:tc>
          <w:tcPr>
            <w:tcW w:w="1055" w:type="pct"/>
            <w:vAlign w:val="center"/>
          </w:tcPr>
          <w:p w14:paraId="0F56381F">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莫27井</w:t>
            </w:r>
          </w:p>
        </w:tc>
        <w:tc>
          <w:tcPr>
            <w:tcW w:w="698" w:type="pct"/>
            <w:vAlign w:val="center"/>
          </w:tcPr>
          <w:p w14:paraId="79B3C544">
            <w:pPr>
              <w:adjustRightInd w:val="0"/>
              <w:snapToGrid w:val="0"/>
              <w:spacing w:line="300" w:lineRule="exact"/>
              <w:jc w:val="center"/>
              <w:textAlignment w:val="baseline"/>
              <w:rPr>
                <w:rFonts w:hint="eastAsia" w:ascii="宋体" w:hAnsi="宋体"/>
                <w:color w:val="auto"/>
                <w:kern w:val="0"/>
                <w:szCs w:val="21"/>
              </w:rPr>
            </w:pPr>
            <w:r>
              <w:rPr>
                <w:rFonts w:hint="eastAsia" w:ascii="宋体" w:hAnsi="宋体" w:cs="宋体"/>
                <w:color w:val="auto"/>
                <w:kern w:val="0"/>
                <w:szCs w:val="21"/>
              </w:rPr>
              <w:t>NMHC</w:t>
            </w:r>
          </w:p>
        </w:tc>
        <w:tc>
          <w:tcPr>
            <w:tcW w:w="845" w:type="pct"/>
            <w:vAlign w:val="center"/>
          </w:tcPr>
          <w:p w14:paraId="00A3B0E7">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1.3529</w:t>
            </w:r>
          </w:p>
        </w:tc>
        <w:tc>
          <w:tcPr>
            <w:tcW w:w="797" w:type="pct"/>
            <w:vAlign w:val="center"/>
          </w:tcPr>
          <w:p w14:paraId="22C63050">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0.07</w:t>
            </w:r>
          </w:p>
        </w:tc>
        <w:tc>
          <w:tcPr>
            <w:tcW w:w="873" w:type="pct"/>
            <w:vAlign w:val="center"/>
          </w:tcPr>
          <w:p w14:paraId="28382EDA">
            <w:pPr>
              <w:adjustRightInd w:val="0"/>
              <w:snapToGrid w:val="0"/>
              <w:spacing w:line="300" w:lineRule="exact"/>
              <w:jc w:val="center"/>
              <w:textAlignment w:val="baseline"/>
              <w:rPr>
                <w:rFonts w:hint="eastAsia" w:ascii="宋体" w:hAnsi="宋体" w:cs="宋体"/>
                <w:bCs/>
                <w:color w:val="auto"/>
                <w:kern w:val="0"/>
                <w:szCs w:val="21"/>
              </w:rPr>
            </w:pPr>
            <w:r>
              <w:rPr>
                <w:rFonts w:hint="eastAsia" w:ascii="宋体" w:hAnsi="宋体" w:cs="宋体"/>
                <w:bCs/>
                <w:color w:val="auto"/>
                <w:kern w:val="0"/>
                <w:szCs w:val="21"/>
              </w:rPr>
              <w:t>78</w:t>
            </w:r>
          </w:p>
        </w:tc>
      </w:tr>
    </w:tbl>
    <w:p w14:paraId="1B24387E">
      <w:pPr>
        <w:pStyle w:val="86"/>
        <w:spacing w:line="480" w:lineRule="exact"/>
        <w:ind w:firstLine="480"/>
        <w:rPr>
          <w:rFonts w:hint="eastAsia"/>
          <w:color w:val="auto"/>
        </w:rPr>
      </w:pPr>
      <w:bookmarkStart w:id="119" w:name="_Hlk14624692"/>
      <w:bookmarkStart w:id="120" w:name="_Hlk19211933"/>
      <w:r>
        <w:rPr>
          <w:rFonts w:hint="eastAsia"/>
          <w:color w:val="auto"/>
        </w:rPr>
        <w:t>由表2.</w:t>
      </w:r>
      <w:r>
        <w:rPr>
          <w:color w:val="auto"/>
        </w:rPr>
        <w:t>6</w:t>
      </w:r>
      <w:r>
        <w:rPr>
          <w:rFonts w:hint="eastAsia"/>
          <w:color w:val="auto"/>
        </w:rPr>
        <w:t>-1可知：各污染物最大落地浓度占标率最高为6.47%，根据《环境影响评价技术导则  大气环境》（HJ2.2-2018）分级判据（表2.</w:t>
      </w:r>
      <w:r>
        <w:rPr>
          <w:color w:val="auto"/>
        </w:rPr>
        <w:t>6</w:t>
      </w:r>
      <w:r>
        <w:rPr>
          <w:rFonts w:hint="eastAsia"/>
          <w:color w:val="auto"/>
        </w:rPr>
        <w:t>-5），评价等级判定为二级。</w:t>
      </w:r>
      <w:bookmarkEnd w:id="119"/>
    </w:p>
    <w:p w14:paraId="5798033D">
      <w:pPr>
        <w:adjustRightInd w:val="0"/>
        <w:snapToGrid w:val="0"/>
        <w:spacing w:line="500" w:lineRule="exact"/>
        <w:ind w:firstLine="420" w:firstLineChars="200"/>
        <w:jc w:val="center"/>
        <w:rPr>
          <w:rFonts w:hint="eastAsia" w:ascii="黑体" w:hAnsi="黑体" w:eastAsia="黑体"/>
          <w:color w:val="auto"/>
          <w:kern w:val="0"/>
          <w:szCs w:val="21"/>
        </w:rPr>
      </w:pPr>
      <w:r>
        <w:rPr>
          <w:rFonts w:hint="eastAsia" w:ascii="黑体" w:hAnsi="黑体" w:eastAsia="黑体"/>
          <w:color w:val="auto"/>
          <w:kern w:val="0"/>
          <w:szCs w:val="21"/>
        </w:rPr>
        <w:t>表2.</w:t>
      </w:r>
      <w:r>
        <w:rPr>
          <w:rFonts w:ascii="黑体" w:hAnsi="黑体" w:eastAsia="黑体"/>
          <w:color w:val="auto"/>
          <w:kern w:val="0"/>
          <w:szCs w:val="21"/>
        </w:rPr>
        <w:t>6</w:t>
      </w:r>
      <w:r>
        <w:rPr>
          <w:rFonts w:hint="eastAsia" w:ascii="黑体" w:hAnsi="黑体" w:eastAsia="黑体"/>
          <w:color w:val="auto"/>
          <w:kern w:val="0"/>
          <w:szCs w:val="21"/>
        </w:rPr>
        <w:t>-2  评价工作等级判定依据表</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60"/>
        <w:gridCol w:w="6888"/>
      </w:tblGrid>
      <w:tr w14:paraId="513B61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0" w:type="dxa"/>
            <w:vAlign w:val="center"/>
          </w:tcPr>
          <w:p w14:paraId="7DC12BF6">
            <w:pPr>
              <w:widowControl/>
              <w:spacing w:line="300" w:lineRule="exact"/>
              <w:jc w:val="center"/>
              <w:rPr>
                <w:rFonts w:hint="eastAsia" w:ascii="宋体" w:hAnsi="宋体" w:cs="宋体"/>
                <w:color w:val="auto"/>
                <w:kern w:val="0"/>
                <w:szCs w:val="21"/>
              </w:rPr>
            </w:pPr>
            <w:r>
              <w:rPr>
                <w:rFonts w:hint="eastAsia" w:ascii="宋体" w:hAnsi="宋体" w:cs="宋体"/>
                <w:color w:val="auto"/>
                <w:kern w:val="0"/>
                <w:szCs w:val="21"/>
                <w:lang w:bidi="ar"/>
              </w:rPr>
              <w:t>评价工作等级</w:t>
            </w:r>
          </w:p>
        </w:tc>
        <w:tc>
          <w:tcPr>
            <w:tcW w:w="6888" w:type="dxa"/>
            <w:vAlign w:val="center"/>
          </w:tcPr>
          <w:p w14:paraId="76C07AFE">
            <w:pPr>
              <w:widowControl/>
              <w:spacing w:line="300" w:lineRule="exact"/>
              <w:jc w:val="center"/>
              <w:rPr>
                <w:rFonts w:hint="eastAsia" w:ascii="宋体" w:hAnsi="宋体" w:cs="宋体"/>
                <w:color w:val="auto"/>
                <w:kern w:val="0"/>
                <w:szCs w:val="21"/>
              </w:rPr>
            </w:pPr>
            <w:r>
              <w:rPr>
                <w:rFonts w:hint="eastAsia" w:ascii="宋体" w:hAnsi="宋体" w:cs="宋体"/>
                <w:color w:val="auto"/>
                <w:kern w:val="0"/>
                <w:szCs w:val="21"/>
                <w:lang w:bidi="ar"/>
              </w:rPr>
              <w:t>评价工作分级判据</w:t>
            </w:r>
          </w:p>
        </w:tc>
      </w:tr>
      <w:tr w14:paraId="7A861F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0" w:type="dxa"/>
            <w:vAlign w:val="center"/>
          </w:tcPr>
          <w:p w14:paraId="6E1B359E">
            <w:pPr>
              <w:widowControl/>
              <w:spacing w:line="300" w:lineRule="exact"/>
              <w:jc w:val="center"/>
              <w:rPr>
                <w:rFonts w:hint="eastAsia" w:ascii="宋体" w:hAnsi="宋体" w:cs="宋体"/>
                <w:color w:val="auto"/>
                <w:kern w:val="0"/>
                <w:szCs w:val="21"/>
              </w:rPr>
            </w:pPr>
            <w:r>
              <w:rPr>
                <w:rFonts w:hint="eastAsia" w:ascii="宋体" w:hAnsi="宋体" w:cs="宋体"/>
                <w:color w:val="auto"/>
                <w:kern w:val="0"/>
                <w:szCs w:val="21"/>
                <w:lang w:bidi="ar"/>
              </w:rPr>
              <w:t>一级</w:t>
            </w:r>
          </w:p>
        </w:tc>
        <w:tc>
          <w:tcPr>
            <w:tcW w:w="6888" w:type="dxa"/>
            <w:vAlign w:val="center"/>
          </w:tcPr>
          <w:p w14:paraId="24E4D9D9">
            <w:pPr>
              <w:widowControl/>
              <w:spacing w:line="300" w:lineRule="exact"/>
              <w:jc w:val="center"/>
              <w:rPr>
                <w:rFonts w:hint="eastAsia" w:ascii="宋体" w:hAnsi="宋体" w:cs="宋体"/>
                <w:color w:val="auto"/>
                <w:kern w:val="0"/>
                <w:szCs w:val="21"/>
              </w:rPr>
            </w:pPr>
            <w:r>
              <w:rPr>
                <w:rFonts w:hint="eastAsia" w:ascii="宋体" w:hAnsi="宋体" w:cs="宋体"/>
                <w:color w:val="auto"/>
                <w:kern w:val="0"/>
                <w:szCs w:val="21"/>
                <w:lang w:bidi="ar"/>
              </w:rPr>
              <w:t>P</w:t>
            </w:r>
            <w:r>
              <w:rPr>
                <w:rFonts w:hint="eastAsia" w:ascii="宋体" w:hAnsi="宋体" w:cs="宋体"/>
                <w:color w:val="auto"/>
                <w:kern w:val="0"/>
                <w:szCs w:val="21"/>
                <w:vertAlign w:val="subscript"/>
                <w:lang w:bidi="ar"/>
              </w:rPr>
              <w:t>max</w:t>
            </w:r>
            <w:r>
              <w:rPr>
                <w:rFonts w:hint="eastAsia" w:ascii="宋体" w:hAnsi="宋体" w:cs="宋体"/>
                <w:color w:val="auto"/>
                <w:kern w:val="0"/>
                <w:szCs w:val="21"/>
                <w:lang w:bidi="ar"/>
              </w:rPr>
              <w:t>≥10%</w:t>
            </w:r>
          </w:p>
        </w:tc>
      </w:tr>
      <w:tr w14:paraId="461067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0" w:type="dxa"/>
            <w:vAlign w:val="center"/>
          </w:tcPr>
          <w:p w14:paraId="0676C1D2">
            <w:pPr>
              <w:widowControl/>
              <w:spacing w:line="300" w:lineRule="exact"/>
              <w:jc w:val="center"/>
              <w:rPr>
                <w:rFonts w:hint="eastAsia" w:ascii="宋体" w:hAnsi="宋体" w:cs="宋体"/>
                <w:color w:val="auto"/>
                <w:kern w:val="0"/>
                <w:szCs w:val="21"/>
              </w:rPr>
            </w:pPr>
            <w:r>
              <w:rPr>
                <w:rFonts w:hint="eastAsia" w:ascii="宋体" w:hAnsi="宋体" w:cs="宋体"/>
                <w:color w:val="auto"/>
                <w:kern w:val="0"/>
                <w:szCs w:val="21"/>
                <w:lang w:bidi="ar"/>
              </w:rPr>
              <w:t>二级</w:t>
            </w:r>
          </w:p>
        </w:tc>
        <w:tc>
          <w:tcPr>
            <w:tcW w:w="6888" w:type="dxa"/>
            <w:vAlign w:val="center"/>
          </w:tcPr>
          <w:p w14:paraId="14F64060">
            <w:pPr>
              <w:widowControl/>
              <w:spacing w:line="300" w:lineRule="exact"/>
              <w:jc w:val="center"/>
              <w:rPr>
                <w:rFonts w:hint="eastAsia" w:ascii="宋体" w:hAnsi="宋体" w:cs="宋体"/>
                <w:color w:val="auto"/>
                <w:kern w:val="0"/>
                <w:szCs w:val="21"/>
              </w:rPr>
            </w:pPr>
            <w:r>
              <w:rPr>
                <w:rFonts w:hint="eastAsia" w:ascii="宋体" w:hAnsi="宋体" w:cs="宋体"/>
                <w:color w:val="auto"/>
                <w:kern w:val="0"/>
                <w:szCs w:val="21"/>
                <w:lang w:bidi="ar"/>
              </w:rPr>
              <w:t>1%≤P</w:t>
            </w:r>
            <w:r>
              <w:rPr>
                <w:rFonts w:hint="eastAsia" w:ascii="宋体" w:hAnsi="宋体" w:cs="宋体"/>
                <w:color w:val="auto"/>
                <w:kern w:val="0"/>
                <w:szCs w:val="21"/>
                <w:vertAlign w:val="subscript"/>
                <w:lang w:bidi="ar"/>
              </w:rPr>
              <w:t>max</w:t>
            </w:r>
            <w:r>
              <w:rPr>
                <w:rFonts w:hint="eastAsia" w:ascii="宋体" w:hAnsi="宋体" w:cs="宋体"/>
                <w:color w:val="auto"/>
                <w:kern w:val="0"/>
                <w:szCs w:val="21"/>
                <w:lang w:bidi="ar"/>
              </w:rPr>
              <w:t>＜10%</w:t>
            </w:r>
          </w:p>
        </w:tc>
      </w:tr>
      <w:tr w14:paraId="48CE59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60" w:type="dxa"/>
            <w:vAlign w:val="center"/>
          </w:tcPr>
          <w:p w14:paraId="7E5A0F02">
            <w:pPr>
              <w:widowControl/>
              <w:spacing w:line="300" w:lineRule="exact"/>
              <w:jc w:val="center"/>
              <w:rPr>
                <w:rFonts w:hint="eastAsia" w:ascii="宋体" w:hAnsi="宋体" w:cs="宋体"/>
                <w:color w:val="auto"/>
                <w:kern w:val="0"/>
                <w:szCs w:val="21"/>
              </w:rPr>
            </w:pPr>
            <w:r>
              <w:rPr>
                <w:rFonts w:hint="eastAsia" w:ascii="宋体" w:hAnsi="宋体" w:cs="宋体"/>
                <w:color w:val="auto"/>
                <w:kern w:val="0"/>
                <w:szCs w:val="21"/>
                <w:lang w:bidi="ar"/>
              </w:rPr>
              <w:t>三级</w:t>
            </w:r>
          </w:p>
        </w:tc>
        <w:tc>
          <w:tcPr>
            <w:tcW w:w="6888" w:type="dxa"/>
            <w:vAlign w:val="center"/>
          </w:tcPr>
          <w:p w14:paraId="5FFEB0B8">
            <w:pPr>
              <w:widowControl/>
              <w:spacing w:line="300" w:lineRule="exact"/>
              <w:jc w:val="center"/>
              <w:rPr>
                <w:rFonts w:hint="eastAsia" w:ascii="宋体" w:hAnsi="宋体" w:cs="宋体"/>
                <w:color w:val="auto"/>
                <w:kern w:val="0"/>
                <w:szCs w:val="21"/>
              </w:rPr>
            </w:pPr>
            <w:r>
              <w:rPr>
                <w:rFonts w:hint="eastAsia" w:ascii="宋体" w:hAnsi="宋体" w:cs="宋体"/>
                <w:color w:val="auto"/>
                <w:kern w:val="0"/>
                <w:szCs w:val="21"/>
                <w:lang w:bidi="ar"/>
              </w:rPr>
              <w:t>P</w:t>
            </w:r>
            <w:r>
              <w:rPr>
                <w:rFonts w:hint="eastAsia" w:ascii="宋体" w:hAnsi="宋体" w:cs="宋体"/>
                <w:color w:val="auto"/>
                <w:kern w:val="0"/>
                <w:szCs w:val="21"/>
                <w:vertAlign w:val="subscript"/>
                <w:lang w:bidi="ar"/>
              </w:rPr>
              <w:t>max</w:t>
            </w:r>
            <w:r>
              <w:rPr>
                <w:rFonts w:hint="eastAsia" w:ascii="宋体" w:hAnsi="宋体" w:cs="宋体"/>
                <w:color w:val="auto"/>
                <w:kern w:val="0"/>
                <w:szCs w:val="21"/>
                <w:lang w:bidi="ar"/>
              </w:rPr>
              <w:t xml:space="preserve">＜1% </w:t>
            </w:r>
          </w:p>
        </w:tc>
      </w:tr>
      <w:bookmarkEnd w:id="120"/>
    </w:tbl>
    <w:p w14:paraId="2F47FCF0">
      <w:pPr>
        <w:pStyle w:val="86"/>
        <w:spacing w:line="480" w:lineRule="exact"/>
        <w:ind w:firstLine="480"/>
        <w:rPr>
          <w:rFonts w:hint="eastAsia"/>
          <w:color w:val="auto"/>
        </w:rPr>
      </w:pPr>
      <w:r>
        <w:rPr>
          <w:rFonts w:hint="eastAsia"/>
          <w:color w:val="auto"/>
        </w:rPr>
        <w:t>（2）地表水评价等级</w:t>
      </w:r>
    </w:p>
    <w:p w14:paraId="77BF5215">
      <w:pPr>
        <w:pStyle w:val="86"/>
        <w:spacing w:line="480" w:lineRule="exact"/>
        <w:ind w:firstLine="480"/>
        <w:rPr>
          <w:rFonts w:hint="eastAsia"/>
          <w:color w:val="auto"/>
        </w:rPr>
      </w:pPr>
      <w:r>
        <w:rPr>
          <w:rFonts w:hint="eastAsia"/>
          <w:color w:val="auto"/>
        </w:rPr>
        <w:t>本项目周边无地表水，且与地表水无水力联系，含油污水和井下作业废液送至莫北转油站采出水处理系统处理达标后回注地层，生活污水收集后送至玛纳斯县生活污水处理厂处理；</w:t>
      </w:r>
      <w:r>
        <w:rPr>
          <w:color w:val="auto"/>
        </w:rPr>
        <w:t>根据</w:t>
      </w:r>
      <w:r>
        <w:rPr>
          <w:rFonts w:hint="eastAsia"/>
          <w:color w:val="auto"/>
        </w:rPr>
        <w:t>《环境影响评价技术导则 陆地石油天然气开发建设项目》（H</w:t>
      </w:r>
      <w:r>
        <w:rPr>
          <w:color w:val="auto"/>
        </w:rPr>
        <w:t>J349</w:t>
      </w:r>
      <w:r>
        <w:rPr>
          <w:rFonts w:hint="eastAsia"/>
          <w:color w:val="auto"/>
        </w:rPr>
        <w:t>-</w:t>
      </w:r>
      <w:r>
        <w:rPr>
          <w:color w:val="auto"/>
        </w:rPr>
        <w:t>2023</w:t>
      </w:r>
      <w:r>
        <w:rPr>
          <w:rFonts w:hint="eastAsia"/>
          <w:color w:val="auto"/>
        </w:rPr>
        <w:t>）规定：“废水处理后进行回注且无废水直接排入地表水体的建设项目，评价等级按照三级B开展评价”</w:t>
      </w:r>
      <w:r>
        <w:rPr>
          <w:color w:val="auto"/>
        </w:rPr>
        <w:t>，</w:t>
      </w:r>
      <w:r>
        <w:rPr>
          <w:rFonts w:hint="eastAsia"/>
          <w:color w:val="auto"/>
        </w:rPr>
        <w:t>本项目</w:t>
      </w:r>
      <w:r>
        <w:rPr>
          <w:color w:val="auto"/>
        </w:rPr>
        <w:t>地表水环境影响评价等级为三级B。</w:t>
      </w:r>
    </w:p>
    <w:bookmarkEnd w:id="118"/>
    <w:p w14:paraId="01BCFA1A">
      <w:pPr>
        <w:pStyle w:val="86"/>
        <w:spacing w:line="480" w:lineRule="exact"/>
        <w:ind w:firstLine="480"/>
        <w:rPr>
          <w:rFonts w:hint="eastAsia"/>
          <w:color w:val="auto"/>
        </w:rPr>
      </w:pPr>
      <w:r>
        <w:rPr>
          <w:rFonts w:hint="eastAsia"/>
          <w:color w:val="auto"/>
        </w:rPr>
        <w:t>（</w:t>
      </w:r>
      <w:r>
        <w:rPr>
          <w:color w:val="auto"/>
        </w:rPr>
        <w:t>3</w:t>
      </w:r>
      <w:r>
        <w:rPr>
          <w:rFonts w:hint="eastAsia"/>
          <w:color w:val="auto"/>
        </w:rPr>
        <w:t>）</w:t>
      </w:r>
      <w:r>
        <w:rPr>
          <w:color w:val="auto"/>
        </w:rPr>
        <w:t>地下水评价等级</w:t>
      </w:r>
    </w:p>
    <w:p w14:paraId="49D35E55">
      <w:pPr>
        <w:pStyle w:val="86"/>
        <w:spacing w:line="480" w:lineRule="exact"/>
        <w:ind w:firstLine="480"/>
        <w:rPr>
          <w:rFonts w:hint="eastAsia"/>
          <w:color w:val="auto"/>
        </w:rPr>
      </w:pPr>
      <w:bookmarkStart w:id="121" w:name="_Hlk80048561"/>
      <w:r>
        <w:rPr>
          <w:rFonts w:hint="eastAsia"/>
          <w:color w:val="auto"/>
        </w:rPr>
        <w:t>根据《环境影响评价技术导则 地下水环境》（H</w:t>
      </w:r>
      <w:r>
        <w:rPr>
          <w:color w:val="auto"/>
        </w:rPr>
        <w:t>J610-2016</w:t>
      </w:r>
      <w:r>
        <w:rPr>
          <w:rFonts w:hint="eastAsia"/>
          <w:color w:val="auto"/>
        </w:rPr>
        <w:t>）</w:t>
      </w:r>
      <w:bookmarkEnd w:id="121"/>
      <w:r>
        <w:rPr>
          <w:rFonts w:hint="eastAsia"/>
          <w:color w:val="auto"/>
        </w:rPr>
        <w:t>中的评价工作等级划分，建设项目的地下水环境敏感程度可分为敏感、较敏感，不敏感三级，分级原则见表2.</w:t>
      </w:r>
      <w:r>
        <w:rPr>
          <w:color w:val="auto"/>
        </w:rPr>
        <w:t>6</w:t>
      </w:r>
      <w:r>
        <w:rPr>
          <w:rFonts w:hint="eastAsia"/>
          <w:color w:val="auto"/>
        </w:rPr>
        <w:t>-3，评价工作等级分级表见表2.</w:t>
      </w:r>
      <w:r>
        <w:rPr>
          <w:color w:val="auto"/>
        </w:rPr>
        <w:t>6</w:t>
      </w:r>
      <w:r>
        <w:rPr>
          <w:rFonts w:hint="eastAsia"/>
          <w:color w:val="auto"/>
        </w:rPr>
        <w:t>-4。</w:t>
      </w:r>
    </w:p>
    <w:p w14:paraId="4CD6C723">
      <w:pPr>
        <w:adjustRightInd w:val="0"/>
        <w:snapToGrid w:val="0"/>
        <w:spacing w:line="500" w:lineRule="exact"/>
        <w:ind w:firstLine="420" w:firstLineChars="200"/>
        <w:jc w:val="center"/>
        <w:rPr>
          <w:rFonts w:hint="eastAsia" w:ascii="黑体" w:hAnsi="黑体" w:eastAsia="黑体"/>
          <w:color w:val="auto"/>
          <w:kern w:val="0"/>
          <w:szCs w:val="21"/>
        </w:rPr>
      </w:pPr>
      <w:r>
        <w:rPr>
          <w:rFonts w:hint="eastAsia" w:ascii="黑体" w:hAnsi="黑体" w:eastAsia="黑体"/>
          <w:color w:val="auto"/>
          <w:kern w:val="0"/>
          <w:szCs w:val="21"/>
        </w:rPr>
        <w:t>表2.</w:t>
      </w:r>
      <w:r>
        <w:rPr>
          <w:rFonts w:ascii="黑体" w:hAnsi="黑体" w:eastAsia="黑体"/>
          <w:color w:val="auto"/>
          <w:kern w:val="0"/>
          <w:szCs w:val="21"/>
        </w:rPr>
        <w:t>6</w:t>
      </w:r>
      <w:r>
        <w:rPr>
          <w:rFonts w:hint="eastAsia" w:ascii="黑体" w:hAnsi="黑体" w:eastAsia="黑体"/>
          <w:color w:val="auto"/>
          <w:kern w:val="0"/>
          <w:szCs w:val="21"/>
        </w:rPr>
        <w:t>-3</w:t>
      </w:r>
      <w:r>
        <w:rPr>
          <w:rFonts w:ascii="黑体" w:hAnsi="黑体" w:eastAsia="黑体"/>
          <w:color w:val="auto"/>
          <w:kern w:val="0"/>
          <w:szCs w:val="21"/>
        </w:rPr>
        <w:t xml:space="preserve">  </w:t>
      </w:r>
      <w:r>
        <w:rPr>
          <w:rFonts w:hint="eastAsia" w:ascii="黑体" w:hAnsi="黑体" w:eastAsia="黑体"/>
          <w:color w:val="auto"/>
          <w:kern w:val="0"/>
          <w:szCs w:val="21"/>
        </w:rPr>
        <w:t>地下水环境敏感程度分级表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0"/>
        <w:gridCol w:w="7846"/>
      </w:tblGrid>
      <w:tr w14:paraId="4E5733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5" w:type="pct"/>
            <w:vAlign w:val="center"/>
          </w:tcPr>
          <w:p w14:paraId="66A2558A">
            <w:pPr>
              <w:pStyle w:val="225"/>
              <w:adjustRightInd w:val="0"/>
              <w:snapToGrid w:val="0"/>
              <w:spacing w:line="300" w:lineRule="exact"/>
              <w:rPr>
                <w:rFonts w:hint="eastAsia"/>
                <w:color w:val="auto"/>
                <w:szCs w:val="21"/>
              </w:rPr>
            </w:pPr>
            <w:r>
              <w:rPr>
                <w:rFonts w:hint="eastAsia"/>
                <w:color w:val="auto"/>
                <w:szCs w:val="21"/>
              </w:rPr>
              <w:t>敏感程度</w:t>
            </w:r>
          </w:p>
        </w:tc>
        <w:tc>
          <w:tcPr>
            <w:tcW w:w="4385" w:type="pct"/>
            <w:vAlign w:val="center"/>
          </w:tcPr>
          <w:p w14:paraId="7CB88870">
            <w:pPr>
              <w:pStyle w:val="225"/>
              <w:adjustRightInd w:val="0"/>
              <w:snapToGrid w:val="0"/>
              <w:spacing w:line="300" w:lineRule="exact"/>
              <w:rPr>
                <w:rFonts w:hint="eastAsia"/>
                <w:color w:val="auto"/>
                <w:szCs w:val="21"/>
              </w:rPr>
            </w:pPr>
            <w:r>
              <w:rPr>
                <w:rFonts w:hint="eastAsia"/>
                <w:color w:val="auto"/>
                <w:szCs w:val="21"/>
              </w:rPr>
              <w:t>地下水环境敏感特征</w:t>
            </w:r>
          </w:p>
        </w:tc>
      </w:tr>
      <w:tr w14:paraId="552C5B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5" w:type="pct"/>
            <w:vAlign w:val="center"/>
          </w:tcPr>
          <w:p w14:paraId="026B879C">
            <w:pPr>
              <w:pStyle w:val="225"/>
              <w:adjustRightInd w:val="0"/>
              <w:snapToGrid w:val="0"/>
              <w:spacing w:line="300" w:lineRule="exact"/>
              <w:rPr>
                <w:rFonts w:hint="eastAsia"/>
                <w:color w:val="auto"/>
                <w:szCs w:val="21"/>
              </w:rPr>
            </w:pPr>
            <w:r>
              <w:rPr>
                <w:rFonts w:hint="eastAsia"/>
                <w:color w:val="auto"/>
                <w:szCs w:val="21"/>
              </w:rPr>
              <w:t>敏感</w:t>
            </w:r>
          </w:p>
        </w:tc>
        <w:tc>
          <w:tcPr>
            <w:tcW w:w="4385" w:type="pct"/>
            <w:vAlign w:val="center"/>
          </w:tcPr>
          <w:p w14:paraId="723E255D">
            <w:pPr>
              <w:pStyle w:val="225"/>
              <w:adjustRightInd w:val="0"/>
              <w:snapToGrid w:val="0"/>
              <w:spacing w:line="300" w:lineRule="exact"/>
              <w:jc w:val="left"/>
              <w:rPr>
                <w:rFonts w:hint="eastAsia"/>
                <w:color w:val="auto"/>
                <w:szCs w:val="21"/>
              </w:rPr>
            </w:pPr>
            <w:r>
              <w:rPr>
                <w:rFonts w:hint="eastAsia"/>
                <w:color w:val="auto"/>
                <w:szCs w:val="21"/>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4FEAD6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5" w:type="pct"/>
            <w:vAlign w:val="center"/>
          </w:tcPr>
          <w:p w14:paraId="21C87BA4">
            <w:pPr>
              <w:pStyle w:val="225"/>
              <w:adjustRightInd w:val="0"/>
              <w:snapToGrid w:val="0"/>
              <w:spacing w:line="300" w:lineRule="exact"/>
              <w:rPr>
                <w:rFonts w:hint="eastAsia"/>
                <w:color w:val="auto"/>
                <w:szCs w:val="21"/>
              </w:rPr>
            </w:pPr>
            <w:r>
              <w:rPr>
                <w:rFonts w:hint="eastAsia"/>
                <w:color w:val="auto"/>
                <w:szCs w:val="21"/>
              </w:rPr>
              <w:t>较敏感</w:t>
            </w:r>
          </w:p>
        </w:tc>
        <w:tc>
          <w:tcPr>
            <w:tcW w:w="4385" w:type="pct"/>
            <w:vAlign w:val="center"/>
          </w:tcPr>
          <w:p w14:paraId="233C0079">
            <w:pPr>
              <w:pStyle w:val="225"/>
              <w:adjustRightInd w:val="0"/>
              <w:snapToGrid w:val="0"/>
              <w:spacing w:line="300" w:lineRule="exact"/>
              <w:jc w:val="left"/>
              <w:rPr>
                <w:rFonts w:hint="eastAsia"/>
                <w:color w:val="auto"/>
                <w:szCs w:val="21"/>
              </w:rPr>
            </w:pPr>
            <w:r>
              <w:rPr>
                <w:rFonts w:hint="eastAsia"/>
                <w:color w:val="auto"/>
                <w:szCs w:val="21"/>
              </w:rPr>
              <w:t>集中式饮用水源（包括已建成的在用、备用、应急水源，在建和规划的饮用水水源）准保护区以外的补给径流区；未划定准保护区的集中式饮用水水源，其他保护区以外的补给径流区；分散式饮用水水源地；特殊地下水资源（如矿泉水、温泉等）保护区以外的分布区等其他未列入上述敏感分级的环境敏感区</w:t>
            </w:r>
            <w:r>
              <w:rPr>
                <w:rFonts w:hint="eastAsia"/>
                <w:color w:val="auto"/>
                <w:szCs w:val="21"/>
                <w:vertAlign w:val="superscript"/>
              </w:rPr>
              <w:t>a</w:t>
            </w:r>
            <w:r>
              <w:rPr>
                <w:rFonts w:hint="eastAsia"/>
                <w:color w:val="auto"/>
                <w:szCs w:val="21"/>
              </w:rPr>
              <w:t>。</w:t>
            </w:r>
          </w:p>
        </w:tc>
      </w:tr>
      <w:tr w14:paraId="365CC2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5" w:type="pct"/>
            <w:vAlign w:val="center"/>
          </w:tcPr>
          <w:p w14:paraId="7F3E92AA">
            <w:pPr>
              <w:pStyle w:val="225"/>
              <w:adjustRightInd w:val="0"/>
              <w:snapToGrid w:val="0"/>
              <w:spacing w:line="300" w:lineRule="exact"/>
              <w:rPr>
                <w:rFonts w:hint="eastAsia"/>
                <w:color w:val="auto"/>
                <w:szCs w:val="21"/>
              </w:rPr>
            </w:pPr>
            <w:r>
              <w:rPr>
                <w:rFonts w:hint="eastAsia"/>
                <w:color w:val="auto"/>
                <w:szCs w:val="21"/>
              </w:rPr>
              <w:t>不敏感</w:t>
            </w:r>
          </w:p>
        </w:tc>
        <w:tc>
          <w:tcPr>
            <w:tcW w:w="4385" w:type="pct"/>
            <w:vAlign w:val="center"/>
          </w:tcPr>
          <w:p w14:paraId="1E8D860F">
            <w:pPr>
              <w:pStyle w:val="225"/>
              <w:adjustRightInd w:val="0"/>
              <w:snapToGrid w:val="0"/>
              <w:spacing w:line="300" w:lineRule="exact"/>
              <w:jc w:val="left"/>
              <w:rPr>
                <w:rFonts w:hint="eastAsia"/>
                <w:color w:val="auto"/>
                <w:szCs w:val="21"/>
              </w:rPr>
            </w:pPr>
            <w:r>
              <w:rPr>
                <w:rFonts w:hint="eastAsia"/>
                <w:color w:val="auto"/>
                <w:szCs w:val="21"/>
              </w:rPr>
              <w:t>上述地区之外的其它地区</w:t>
            </w:r>
          </w:p>
        </w:tc>
      </w:tr>
      <w:tr w14:paraId="146A2E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2"/>
            <w:vAlign w:val="center"/>
          </w:tcPr>
          <w:p w14:paraId="1F9E3BD5">
            <w:pPr>
              <w:pStyle w:val="225"/>
              <w:adjustRightInd w:val="0"/>
              <w:snapToGrid w:val="0"/>
              <w:spacing w:line="300" w:lineRule="exact"/>
              <w:jc w:val="left"/>
              <w:rPr>
                <w:rFonts w:hint="eastAsia"/>
                <w:color w:val="auto"/>
                <w:szCs w:val="21"/>
              </w:rPr>
            </w:pPr>
            <w:r>
              <w:rPr>
                <w:rFonts w:hint="eastAsia"/>
                <w:color w:val="auto"/>
                <w:szCs w:val="21"/>
              </w:rPr>
              <w:t>注：a“环境敏感区”是指《建设项目环境影响分类管理名录》中所界定的涉及地下水的环境敏感区</w:t>
            </w:r>
          </w:p>
        </w:tc>
      </w:tr>
    </w:tbl>
    <w:p w14:paraId="4898E311">
      <w:pPr>
        <w:adjustRightInd w:val="0"/>
        <w:snapToGrid w:val="0"/>
        <w:spacing w:line="500" w:lineRule="exact"/>
        <w:ind w:firstLine="420" w:firstLineChars="200"/>
        <w:jc w:val="center"/>
        <w:rPr>
          <w:rFonts w:hint="eastAsia" w:ascii="黑体" w:hAnsi="黑体" w:eastAsia="黑体"/>
          <w:color w:val="auto"/>
          <w:kern w:val="0"/>
          <w:szCs w:val="21"/>
        </w:rPr>
      </w:pPr>
      <w:r>
        <w:rPr>
          <w:rFonts w:hint="eastAsia" w:ascii="黑体" w:hAnsi="黑体" w:eastAsia="黑体"/>
          <w:color w:val="auto"/>
          <w:kern w:val="0"/>
          <w:szCs w:val="21"/>
        </w:rPr>
        <w:t>表2.</w:t>
      </w:r>
      <w:r>
        <w:rPr>
          <w:rFonts w:ascii="黑体" w:hAnsi="黑体" w:eastAsia="黑体"/>
          <w:color w:val="auto"/>
          <w:kern w:val="0"/>
          <w:szCs w:val="21"/>
        </w:rPr>
        <w:t>6</w:t>
      </w:r>
      <w:r>
        <w:rPr>
          <w:rFonts w:hint="eastAsia" w:ascii="黑体" w:hAnsi="黑体" w:eastAsia="黑体"/>
          <w:color w:val="auto"/>
          <w:kern w:val="0"/>
          <w:szCs w:val="21"/>
        </w:rPr>
        <w:t>-4  建设项目评价工作等级分级表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50"/>
        <w:gridCol w:w="2151"/>
        <w:gridCol w:w="2036"/>
        <w:gridCol w:w="1909"/>
      </w:tblGrid>
      <w:tr w14:paraId="48C0DF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3" w:type="pct"/>
            <w:tcBorders>
              <w:tl2br w:val="single" w:color="auto" w:sz="4" w:space="0"/>
            </w:tcBorders>
            <w:vAlign w:val="center"/>
          </w:tcPr>
          <w:p w14:paraId="2C4BF07F">
            <w:pPr>
              <w:pStyle w:val="296"/>
              <w:jc w:val="right"/>
              <w:rPr>
                <w:rFonts w:hint="eastAsia"/>
                <w:color w:val="auto"/>
              </w:rPr>
            </w:pPr>
            <w:r>
              <w:rPr>
                <w:rFonts w:hint="eastAsia"/>
                <w:color w:val="auto"/>
              </w:rPr>
              <w:t>项目类别</w:t>
            </w:r>
          </w:p>
          <w:p w14:paraId="7856127F">
            <w:pPr>
              <w:pStyle w:val="296"/>
              <w:jc w:val="left"/>
              <w:rPr>
                <w:rFonts w:hint="eastAsia"/>
                <w:color w:val="auto"/>
              </w:rPr>
            </w:pPr>
            <w:r>
              <w:rPr>
                <w:rFonts w:hint="eastAsia"/>
                <w:color w:val="auto"/>
              </w:rPr>
              <w:t>环境敏感程度</w:t>
            </w:r>
          </w:p>
        </w:tc>
        <w:tc>
          <w:tcPr>
            <w:tcW w:w="1202" w:type="pct"/>
            <w:vAlign w:val="center"/>
          </w:tcPr>
          <w:p w14:paraId="19109497">
            <w:pPr>
              <w:pStyle w:val="296"/>
              <w:rPr>
                <w:rFonts w:hint="eastAsia"/>
                <w:color w:val="auto"/>
              </w:rPr>
            </w:pPr>
            <w:r>
              <w:rPr>
                <w:rFonts w:hint="eastAsia"/>
                <w:color w:val="auto"/>
              </w:rPr>
              <w:t>Ⅰ类项目</w:t>
            </w:r>
          </w:p>
        </w:tc>
        <w:tc>
          <w:tcPr>
            <w:tcW w:w="1138" w:type="pct"/>
            <w:vAlign w:val="center"/>
          </w:tcPr>
          <w:p w14:paraId="2C212179">
            <w:pPr>
              <w:pStyle w:val="296"/>
              <w:rPr>
                <w:rFonts w:hint="eastAsia"/>
                <w:color w:val="auto"/>
              </w:rPr>
            </w:pPr>
            <w:r>
              <w:rPr>
                <w:rFonts w:hint="eastAsia"/>
                <w:color w:val="auto"/>
              </w:rPr>
              <w:t>Ⅱ类项目</w:t>
            </w:r>
          </w:p>
        </w:tc>
        <w:tc>
          <w:tcPr>
            <w:tcW w:w="1067" w:type="pct"/>
            <w:vAlign w:val="center"/>
          </w:tcPr>
          <w:p w14:paraId="0E0DF6C7">
            <w:pPr>
              <w:pStyle w:val="296"/>
              <w:rPr>
                <w:rFonts w:hint="eastAsia"/>
                <w:color w:val="auto"/>
              </w:rPr>
            </w:pPr>
            <w:r>
              <w:rPr>
                <w:rFonts w:hint="eastAsia"/>
                <w:color w:val="auto"/>
              </w:rPr>
              <w:t>Ⅲ类项目</w:t>
            </w:r>
          </w:p>
        </w:tc>
      </w:tr>
      <w:tr w14:paraId="3C21CF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3" w:type="pct"/>
            <w:vAlign w:val="center"/>
          </w:tcPr>
          <w:p w14:paraId="2A425600">
            <w:pPr>
              <w:pStyle w:val="296"/>
              <w:rPr>
                <w:rFonts w:hint="eastAsia"/>
                <w:color w:val="auto"/>
              </w:rPr>
            </w:pPr>
            <w:r>
              <w:rPr>
                <w:rFonts w:hint="eastAsia"/>
                <w:color w:val="auto"/>
              </w:rPr>
              <w:t>敏感</w:t>
            </w:r>
          </w:p>
        </w:tc>
        <w:tc>
          <w:tcPr>
            <w:tcW w:w="1202" w:type="pct"/>
            <w:vAlign w:val="center"/>
          </w:tcPr>
          <w:p w14:paraId="4DEA021C">
            <w:pPr>
              <w:pStyle w:val="296"/>
              <w:rPr>
                <w:rFonts w:hint="eastAsia"/>
                <w:color w:val="auto"/>
              </w:rPr>
            </w:pPr>
            <w:r>
              <w:rPr>
                <w:rFonts w:hint="eastAsia"/>
                <w:color w:val="auto"/>
              </w:rPr>
              <w:t>一</w:t>
            </w:r>
          </w:p>
        </w:tc>
        <w:tc>
          <w:tcPr>
            <w:tcW w:w="1138" w:type="pct"/>
            <w:vAlign w:val="center"/>
          </w:tcPr>
          <w:p w14:paraId="255FCA49">
            <w:pPr>
              <w:pStyle w:val="296"/>
              <w:rPr>
                <w:rFonts w:hint="eastAsia"/>
                <w:color w:val="auto"/>
              </w:rPr>
            </w:pPr>
            <w:r>
              <w:rPr>
                <w:rFonts w:hint="eastAsia"/>
                <w:color w:val="auto"/>
              </w:rPr>
              <w:t>一</w:t>
            </w:r>
          </w:p>
        </w:tc>
        <w:tc>
          <w:tcPr>
            <w:tcW w:w="1067" w:type="pct"/>
            <w:vAlign w:val="center"/>
          </w:tcPr>
          <w:p w14:paraId="66E00B63">
            <w:pPr>
              <w:pStyle w:val="296"/>
              <w:rPr>
                <w:rFonts w:hint="eastAsia"/>
                <w:color w:val="auto"/>
              </w:rPr>
            </w:pPr>
            <w:r>
              <w:rPr>
                <w:rFonts w:hint="eastAsia"/>
                <w:color w:val="auto"/>
              </w:rPr>
              <w:t>二</w:t>
            </w:r>
          </w:p>
        </w:tc>
      </w:tr>
      <w:tr w14:paraId="2BE3D9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3" w:type="pct"/>
            <w:vAlign w:val="center"/>
          </w:tcPr>
          <w:p w14:paraId="78354D37">
            <w:pPr>
              <w:pStyle w:val="296"/>
              <w:rPr>
                <w:rFonts w:hint="eastAsia"/>
                <w:color w:val="auto"/>
              </w:rPr>
            </w:pPr>
            <w:r>
              <w:rPr>
                <w:rFonts w:hint="eastAsia"/>
                <w:color w:val="auto"/>
              </w:rPr>
              <w:t>较敏感</w:t>
            </w:r>
          </w:p>
        </w:tc>
        <w:tc>
          <w:tcPr>
            <w:tcW w:w="1202" w:type="pct"/>
            <w:vAlign w:val="center"/>
          </w:tcPr>
          <w:p w14:paraId="2FE0202E">
            <w:pPr>
              <w:pStyle w:val="296"/>
              <w:rPr>
                <w:rFonts w:hint="eastAsia"/>
                <w:color w:val="auto"/>
              </w:rPr>
            </w:pPr>
            <w:r>
              <w:rPr>
                <w:rFonts w:hint="eastAsia"/>
                <w:color w:val="auto"/>
              </w:rPr>
              <w:t>一</w:t>
            </w:r>
          </w:p>
        </w:tc>
        <w:tc>
          <w:tcPr>
            <w:tcW w:w="1138" w:type="pct"/>
            <w:vAlign w:val="center"/>
          </w:tcPr>
          <w:p w14:paraId="443F5F73">
            <w:pPr>
              <w:pStyle w:val="296"/>
              <w:rPr>
                <w:rFonts w:hint="eastAsia"/>
                <w:color w:val="auto"/>
              </w:rPr>
            </w:pPr>
            <w:r>
              <w:rPr>
                <w:rFonts w:hint="eastAsia"/>
                <w:color w:val="auto"/>
              </w:rPr>
              <w:t>二</w:t>
            </w:r>
          </w:p>
        </w:tc>
        <w:tc>
          <w:tcPr>
            <w:tcW w:w="1067" w:type="pct"/>
            <w:vAlign w:val="center"/>
          </w:tcPr>
          <w:p w14:paraId="4E3D9758">
            <w:pPr>
              <w:pStyle w:val="296"/>
              <w:rPr>
                <w:rFonts w:hint="eastAsia"/>
                <w:color w:val="auto"/>
              </w:rPr>
            </w:pPr>
            <w:r>
              <w:rPr>
                <w:rFonts w:hint="eastAsia"/>
                <w:color w:val="auto"/>
              </w:rPr>
              <w:t>三</w:t>
            </w:r>
          </w:p>
        </w:tc>
      </w:tr>
      <w:tr w14:paraId="61924C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3" w:type="pct"/>
            <w:vAlign w:val="center"/>
          </w:tcPr>
          <w:p w14:paraId="5F12FEC9">
            <w:pPr>
              <w:pStyle w:val="296"/>
              <w:rPr>
                <w:rFonts w:hint="eastAsia"/>
                <w:color w:val="auto"/>
              </w:rPr>
            </w:pPr>
            <w:r>
              <w:rPr>
                <w:rFonts w:hint="eastAsia"/>
                <w:color w:val="auto"/>
              </w:rPr>
              <w:t>不敏感</w:t>
            </w:r>
          </w:p>
        </w:tc>
        <w:tc>
          <w:tcPr>
            <w:tcW w:w="1202" w:type="pct"/>
            <w:vAlign w:val="center"/>
          </w:tcPr>
          <w:p w14:paraId="76C5533C">
            <w:pPr>
              <w:pStyle w:val="296"/>
              <w:rPr>
                <w:rFonts w:hint="eastAsia"/>
                <w:color w:val="auto"/>
              </w:rPr>
            </w:pPr>
            <w:r>
              <w:rPr>
                <w:rFonts w:hint="eastAsia"/>
                <w:color w:val="auto"/>
              </w:rPr>
              <w:t>二</w:t>
            </w:r>
          </w:p>
        </w:tc>
        <w:tc>
          <w:tcPr>
            <w:tcW w:w="1138" w:type="pct"/>
            <w:vAlign w:val="center"/>
          </w:tcPr>
          <w:p w14:paraId="0B172C6C">
            <w:pPr>
              <w:pStyle w:val="296"/>
              <w:rPr>
                <w:rFonts w:hint="eastAsia"/>
                <w:color w:val="auto"/>
              </w:rPr>
            </w:pPr>
            <w:r>
              <w:rPr>
                <w:rFonts w:hint="eastAsia"/>
                <w:color w:val="auto"/>
              </w:rPr>
              <w:t>三</w:t>
            </w:r>
          </w:p>
        </w:tc>
        <w:tc>
          <w:tcPr>
            <w:tcW w:w="1067" w:type="pct"/>
            <w:vAlign w:val="center"/>
          </w:tcPr>
          <w:p w14:paraId="130FD606">
            <w:pPr>
              <w:pStyle w:val="296"/>
              <w:rPr>
                <w:rFonts w:hint="eastAsia"/>
                <w:color w:val="auto"/>
              </w:rPr>
            </w:pPr>
            <w:r>
              <w:rPr>
                <w:rFonts w:hint="eastAsia"/>
                <w:color w:val="auto"/>
              </w:rPr>
              <w:t>三</w:t>
            </w:r>
          </w:p>
        </w:tc>
      </w:tr>
    </w:tbl>
    <w:p w14:paraId="4498CC75">
      <w:pPr>
        <w:pStyle w:val="86"/>
        <w:spacing w:line="480" w:lineRule="exact"/>
        <w:ind w:firstLine="480"/>
        <w:rPr>
          <w:rFonts w:hint="eastAsia"/>
          <w:color w:val="auto"/>
        </w:rPr>
      </w:pPr>
      <w:r>
        <w:rPr>
          <w:rFonts w:hint="eastAsia"/>
          <w:color w:val="auto"/>
        </w:rPr>
        <w:t>项目周边无“集中式水源区的准保护区、除集中水源地的国家或地方政府设定的地下水环境相关的保护区”，也无“集中式水源区的准保护区以外的补给径流区、分散式饮用水水源地、特殊地下水资源保护区”，敏感程度为“不敏感”。</w:t>
      </w:r>
    </w:p>
    <w:p w14:paraId="34E86DA3">
      <w:pPr>
        <w:pStyle w:val="86"/>
        <w:ind w:firstLine="480"/>
        <w:rPr>
          <w:rFonts w:hint="eastAsia"/>
          <w:color w:val="auto"/>
        </w:rPr>
      </w:pPr>
      <w:bookmarkStart w:id="122" w:name="_Toc445841977"/>
      <w:bookmarkStart w:id="123" w:name="_Toc25869"/>
      <w:bookmarkStart w:id="124" w:name="_Hlk92203563"/>
      <w:r>
        <w:rPr>
          <w:rFonts w:hint="eastAsia"/>
          <w:color w:val="auto"/>
        </w:rPr>
        <w:t>本项目属于陆地石油开采行业，根据《环境影响评价技术导则 陆地石油天然气开发建设项目》（H</w:t>
      </w:r>
      <w:r>
        <w:rPr>
          <w:color w:val="auto"/>
        </w:rPr>
        <w:t>J349</w:t>
      </w:r>
      <w:r>
        <w:rPr>
          <w:rFonts w:hint="eastAsia"/>
          <w:color w:val="auto"/>
        </w:rPr>
        <w:t>-</w:t>
      </w:r>
      <w:r>
        <w:rPr>
          <w:color w:val="auto"/>
        </w:rPr>
        <w:t>2023</w:t>
      </w:r>
      <w:r>
        <w:rPr>
          <w:rFonts w:hint="eastAsia"/>
          <w:color w:val="auto"/>
        </w:rPr>
        <w:t>）规定采油井场为Ⅰ类建设项目，单井采油管线为Ⅱ类建设项目，</w:t>
      </w:r>
      <w:bookmarkStart w:id="125" w:name="_Hlk41317454"/>
      <w:r>
        <w:rPr>
          <w:rFonts w:hint="eastAsia"/>
          <w:color w:val="auto"/>
        </w:rPr>
        <w:t>根据表2.</w:t>
      </w:r>
      <w:r>
        <w:rPr>
          <w:color w:val="auto"/>
        </w:rPr>
        <w:t>6</w:t>
      </w:r>
      <w:r>
        <w:rPr>
          <w:rFonts w:hint="eastAsia"/>
          <w:color w:val="auto"/>
        </w:rPr>
        <w:t>-4判定采油井场地下水评价等级为二级</w:t>
      </w:r>
      <w:bookmarkEnd w:id="125"/>
      <w:r>
        <w:rPr>
          <w:rFonts w:hint="eastAsia"/>
          <w:color w:val="auto"/>
        </w:rPr>
        <w:t>，单井采油管线地下水评价等级为三级。</w:t>
      </w:r>
    </w:p>
    <w:p w14:paraId="53C2C47B">
      <w:pPr>
        <w:pStyle w:val="86"/>
        <w:spacing w:line="480" w:lineRule="exact"/>
        <w:ind w:firstLine="480"/>
        <w:rPr>
          <w:rFonts w:hint="eastAsia"/>
          <w:color w:val="auto"/>
        </w:rPr>
      </w:pPr>
      <w:r>
        <w:rPr>
          <w:rFonts w:hint="eastAsia"/>
          <w:color w:val="auto"/>
        </w:rPr>
        <w:t>（</w:t>
      </w:r>
      <w:r>
        <w:rPr>
          <w:color w:val="auto"/>
        </w:rPr>
        <w:t>4</w:t>
      </w:r>
      <w:r>
        <w:rPr>
          <w:rFonts w:hint="eastAsia"/>
          <w:color w:val="auto"/>
        </w:rPr>
        <w:t>）声环境评价等级</w:t>
      </w:r>
      <w:bookmarkEnd w:id="122"/>
      <w:bookmarkEnd w:id="123"/>
    </w:p>
    <w:p w14:paraId="71F87A59">
      <w:pPr>
        <w:pStyle w:val="86"/>
        <w:spacing w:line="480" w:lineRule="exact"/>
        <w:ind w:firstLine="480"/>
        <w:rPr>
          <w:rFonts w:hint="eastAsia"/>
          <w:color w:val="auto"/>
        </w:rPr>
      </w:pPr>
      <w:r>
        <w:rPr>
          <w:rFonts w:hint="eastAsia"/>
          <w:color w:val="auto"/>
        </w:rPr>
        <w:t>项目区属于《声环境质量标准》（GB3096-2008）中的</w:t>
      </w:r>
      <w:r>
        <w:rPr>
          <w:color w:val="auto"/>
        </w:rPr>
        <w:t>2</w:t>
      </w:r>
      <w:r>
        <w:rPr>
          <w:rFonts w:hint="eastAsia"/>
          <w:color w:val="auto"/>
        </w:rPr>
        <w:t>类功能区，评价范围内无声环境敏感目标，受影响人口数量变化不大。根据《环境影响评价技术导则 声环境》（HJ2.4-20</w:t>
      </w:r>
      <w:r>
        <w:rPr>
          <w:color w:val="auto"/>
        </w:rPr>
        <w:t>21</w:t>
      </w:r>
      <w:r>
        <w:rPr>
          <w:rFonts w:hint="eastAsia"/>
          <w:color w:val="auto"/>
        </w:rPr>
        <w:t>）的有关要求可判定，本项目声环境评价等级为二级。</w:t>
      </w:r>
    </w:p>
    <w:bookmarkEnd w:id="124"/>
    <w:p w14:paraId="647A961A">
      <w:pPr>
        <w:pStyle w:val="86"/>
        <w:spacing w:line="480" w:lineRule="exact"/>
        <w:ind w:firstLine="480"/>
        <w:rPr>
          <w:rFonts w:hint="eastAsia"/>
          <w:color w:val="auto"/>
        </w:rPr>
      </w:pPr>
      <w:bookmarkStart w:id="126" w:name="_Toc31988"/>
      <w:bookmarkStart w:id="127" w:name="_Toc445841975"/>
      <w:bookmarkStart w:id="128" w:name="_Hlk92203596"/>
      <w:r>
        <w:rPr>
          <w:rFonts w:hint="eastAsia"/>
          <w:color w:val="auto"/>
        </w:rPr>
        <w:t>（</w:t>
      </w:r>
      <w:r>
        <w:rPr>
          <w:color w:val="auto"/>
        </w:rPr>
        <w:t>5</w:t>
      </w:r>
      <w:r>
        <w:rPr>
          <w:rFonts w:hint="eastAsia"/>
          <w:color w:val="auto"/>
        </w:rPr>
        <w:t>）生态环境评价等级</w:t>
      </w:r>
      <w:bookmarkEnd w:id="126"/>
      <w:bookmarkEnd w:id="127"/>
    </w:p>
    <w:bookmarkEnd w:id="128"/>
    <w:p w14:paraId="4DDD4154">
      <w:pPr>
        <w:pStyle w:val="86"/>
        <w:spacing w:line="480" w:lineRule="exact"/>
        <w:ind w:firstLine="480"/>
        <w:rPr>
          <w:rFonts w:hint="eastAsia"/>
          <w:color w:val="auto"/>
        </w:rPr>
      </w:pPr>
      <w:bookmarkStart w:id="129" w:name="_Hlk80048150"/>
      <w:r>
        <w:rPr>
          <w:color w:val="auto"/>
        </w:rPr>
        <w:t>《环境影响评价技术导则  生态影响》（</w:t>
      </w:r>
      <w:r>
        <w:rPr>
          <w:color w:val="auto"/>
        </w:rPr>
        <w:fldChar w:fldCharType="begin"/>
      </w:r>
      <w:r>
        <w:rPr>
          <w:color w:val="auto"/>
        </w:rPr>
        <w:instrText xml:space="preserve"> HYPERLINK "http://www.360doc.com/content/10/1102/08/4330919_65871295.shtml" \t "C:UsersAdministratorDesktop环评补充克拉美丽气田环评报告-报批稿_blank" </w:instrText>
      </w:r>
      <w:r>
        <w:rPr>
          <w:color w:val="auto"/>
        </w:rPr>
        <w:fldChar w:fldCharType="separate"/>
      </w:r>
      <w:r>
        <w:rPr>
          <w:color w:val="auto"/>
        </w:rPr>
        <w:t>HJ19-2022</w:t>
      </w:r>
      <w:r>
        <w:rPr>
          <w:color w:val="auto"/>
        </w:rPr>
        <w:fldChar w:fldCharType="end"/>
      </w:r>
      <w:r>
        <w:rPr>
          <w:color w:val="auto"/>
        </w:rPr>
        <w:t>）</w:t>
      </w:r>
      <w:r>
        <w:rPr>
          <w:rFonts w:hint="eastAsia"/>
          <w:color w:val="auto"/>
        </w:rPr>
        <w:t>依据建设项目影响区域的生态敏感性和影响程度，评价等级划分为一级、二级和三级，具体判定情况见表</w:t>
      </w:r>
      <w:r>
        <w:rPr>
          <w:color w:val="auto"/>
        </w:rPr>
        <w:t>2.6</w:t>
      </w:r>
      <w:r>
        <w:rPr>
          <w:rFonts w:hint="eastAsia"/>
          <w:color w:val="auto"/>
        </w:rPr>
        <w:t>-5。</w:t>
      </w:r>
      <w:bookmarkEnd w:id="129"/>
    </w:p>
    <w:p w14:paraId="3C202435">
      <w:pPr>
        <w:adjustRightInd w:val="0"/>
        <w:snapToGrid w:val="0"/>
        <w:spacing w:line="500" w:lineRule="exact"/>
        <w:ind w:firstLine="420" w:firstLineChars="200"/>
        <w:jc w:val="center"/>
        <w:rPr>
          <w:rFonts w:hint="eastAsia" w:ascii="黑体" w:hAnsi="黑体" w:eastAsia="黑体"/>
          <w:color w:val="auto"/>
          <w:kern w:val="0"/>
          <w:szCs w:val="21"/>
          <w:lang w:val="zh-CN"/>
        </w:rPr>
      </w:pPr>
      <w:r>
        <w:rPr>
          <w:rFonts w:hint="eastAsia" w:ascii="黑体" w:hAnsi="黑体" w:eastAsia="黑体"/>
          <w:color w:val="auto"/>
          <w:kern w:val="0"/>
          <w:szCs w:val="21"/>
          <w:lang w:val="zh-CN"/>
        </w:rPr>
        <w:t>表2.</w:t>
      </w:r>
      <w:r>
        <w:rPr>
          <w:rFonts w:ascii="黑体" w:hAnsi="黑体" w:eastAsia="黑体"/>
          <w:color w:val="auto"/>
          <w:kern w:val="0"/>
          <w:szCs w:val="21"/>
        </w:rPr>
        <w:t>6</w:t>
      </w:r>
      <w:r>
        <w:rPr>
          <w:rFonts w:hint="eastAsia" w:ascii="黑体" w:hAnsi="黑体" w:eastAsia="黑体"/>
          <w:color w:val="auto"/>
          <w:kern w:val="0"/>
          <w:szCs w:val="21"/>
        </w:rPr>
        <w:t>-5  生态环境影响评价等级判定</w:t>
      </w:r>
      <w:r>
        <w:rPr>
          <w:rFonts w:hint="eastAsia" w:ascii="黑体" w:hAnsi="黑体" w:eastAsia="黑体"/>
          <w:color w:val="auto"/>
          <w:kern w:val="0"/>
          <w:szCs w:val="21"/>
          <w:lang w:val="zh-CN"/>
        </w:rPr>
        <w:t>一览表</w:t>
      </w:r>
    </w:p>
    <w:tbl>
      <w:tblPr>
        <w:tblStyle w:val="51"/>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4678"/>
        <w:gridCol w:w="4052"/>
      </w:tblGrid>
      <w:tr w14:paraId="4129243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blHeader/>
          <w:jc w:val="center"/>
        </w:trPr>
        <w:tc>
          <w:tcPr>
            <w:tcW w:w="2679" w:type="pct"/>
            <w:vAlign w:val="center"/>
          </w:tcPr>
          <w:p w14:paraId="3819E649">
            <w:pPr>
              <w:adjustRightInd w:val="0"/>
              <w:snapToGrid w:val="0"/>
              <w:jc w:val="center"/>
              <w:textAlignment w:val="center"/>
              <w:rPr>
                <w:rFonts w:hint="eastAsia" w:ascii="宋体" w:hAnsi="宋体" w:cs="宋体"/>
                <w:bCs/>
                <w:color w:val="auto"/>
                <w:kern w:val="0"/>
                <w:szCs w:val="21"/>
              </w:rPr>
            </w:pPr>
            <w:r>
              <w:rPr>
                <w:rFonts w:hint="eastAsia" w:ascii="宋体" w:hAnsi="宋体" w:cs="宋体"/>
                <w:bCs/>
                <w:color w:val="auto"/>
                <w:kern w:val="0"/>
                <w:szCs w:val="21"/>
              </w:rPr>
              <w:t>判定原则</w:t>
            </w:r>
          </w:p>
        </w:tc>
        <w:tc>
          <w:tcPr>
            <w:tcW w:w="2321" w:type="pct"/>
            <w:vAlign w:val="center"/>
          </w:tcPr>
          <w:p w14:paraId="54A460F9">
            <w:pPr>
              <w:adjustRightInd w:val="0"/>
              <w:snapToGrid w:val="0"/>
              <w:jc w:val="center"/>
              <w:textAlignment w:val="center"/>
              <w:rPr>
                <w:rFonts w:hint="eastAsia" w:ascii="宋体" w:hAnsi="宋体" w:cs="宋体"/>
                <w:bCs/>
                <w:color w:val="auto"/>
                <w:kern w:val="0"/>
                <w:szCs w:val="21"/>
              </w:rPr>
            </w:pPr>
            <w:r>
              <w:rPr>
                <w:rFonts w:hint="eastAsia" w:ascii="宋体" w:hAnsi="宋体" w:cs="宋体"/>
                <w:bCs/>
                <w:color w:val="auto"/>
                <w:kern w:val="0"/>
                <w:szCs w:val="21"/>
              </w:rPr>
              <w:t>判定结果</w:t>
            </w:r>
          </w:p>
        </w:tc>
      </w:tr>
      <w:tr w14:paraId="2DCE353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679" w:type="pct"/>
            <w:vAlign w:val="center"/>
          </w:tcPr>
          <w:p w14:paraId="625F6A88">
            <w:pPr>
              <w:adjustRightInd w:val="0"/>
              <w:snapToGrid w:val="0"/>
              <w:jc w:val="left"/>
              <w:textAlignment w:val="center"/>
              <w:rPr>
                <w:rFonts w:hint="eastAsia" w:ascii="宋体" w:hAnsi="宋体" w:cs="宋体"/>
                <w:bCs/>
                <w:color w:val="auto"/>
                <w:kern w:val="0"/>
                <w:szCs w:val="21"/>
                <w:lang w:val="zh-CN"/>
              </w:rPr>
            </w:pPr>
            <w:r>
              <w:rPr>
                <w:rFonts w:hint="eastAsia" w:ascii="宋体" w:hAnsi="宋体" w:cs="宋体"/>
                <w:color w:val="auto"/>
                <w:szCs w:val="21"/>
              </w:rPr>
              <w:t>a）涉及国家公园、自然保护区、世界自然遗产、重要生境时，评价等级为一级</w:t>
            </w:r>
          </w:p>
        </w:tc>
        <w:tc>
          <w:tcPr>
            <w:tcW w:w="2321" w:type="pct"/>
            <w:vAlign w:val="center"/>
          </w:tcPr>
          <w:p w14:paraId="0186DCB8">
            <w:pPr>
              <w:adjustRightInd w:val="0"/>
              <w:snapToGrid w:val="0"/>
              <w:jc w:val="center"/>
              <w:textAlignment w:val="center"/>
              <w:rPr>
                <w:rFonts w:hint="eastAsia" w:ascii="宋体" w:hAnsi="宋体" w:cs="宋体"/>
                <w:bCs/>
                <w:color w:val="auto"/>
                <w:kern w:val="0"/>
                <w:szCs w:val="21"/>
              </w:rPr>
            </w:pPr>
            <w:r>
              <w:rPr>
                <w:rFonts w:hint="eastAsia" w:ascii="宋体" w:hAnsi="宋体" w:cs="宋体"/>
                <w:bCs/>
                <w:color w:val="auto"/>
                <w:kern w:val="0"/>
                <w:szCs w:val="21"/>
              </w:rPr>
              <w:t>占地范围内不涉及</w:t>
            </w:r>
          </w:p>
        </w:tc>
      </w:tr>
      <w:tr w14:paraId="2673BB3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679" w:type="pct"/>
            <w:vAlign w:val="center"/>
          </w:tcPr>
          <w:p w14:paraId="5ADD606B">
            <w:pPr>
              <w:adjustRightInd w:val="0"/>
              <w:snapToGrid w:val="0"/>
              <w:jc w:val="left"/>
              <w:textAlignment w:val="center"/>
              <w:rPr>
                <w:rFonts w:hint="eastAsia" w:ascii="宋体" w:hAnsi="宋体" w:cs="宋体"/>
                <w:bCs/>
                <w:color w:val="auto"/>
                <w:kern w:val="0"/>
                <w:szCs w:val="21"/>
                <w:lang w:val="zh-CN"/>
              </w:rPr>
            </w:pPr>
            <w:r>
              <w:rPr>
                <w:rFonts w:hint="eastAsia" w:ascii="宋体" w:hAnsi="宋体" w:cs="宋体"/>
                <w:color w:val="auto"/>
                <w:szCs w:val="21"/>
              </w:rPr>
              <w:t>b）涉及自然公园时，评价等级为二级</w:t>
            </w:r>
          </w:p>
        </w:tc>
        <w:tc>
          <w:tcPr>
            <w:tcW w:w="2321" w:type="pct"/>
            <w:vAlign w:val="center"/>
          </w:tcPr>
          <w:p w14:paraId="79C8C67E">
            <w:pPr>
              <w:adjustRightInd w:val="0"/>
              <w:snapToGrid w:val="0"/>
              <w:jc w:val="center"/>
              <w:textAlignment w:val="center"/>
              <w:rPr>
                <w:rFonts w:hint="eastAsia" w:ascii="宋体" w:hAnsi="宋体" w:cs="宋体"/>
                <w:bCs/>
                <w:color w:val="auto"/>
                <w:kern w:val="0"/>
                <w:szCs w:val="21"/>
              </w:rPr>
            </w:pPr>
            <w:r>
              <w:rPr>
                <w:rFonts w:hint="eastAsia" w:ascii="宋体" w:hAnsi="宋体" w:cs="宋体"/>
                <w:bCs/>
                <w:color w:val="auto"/>
                <w:kern w:val="0"/>
                <w:szCs w:val="21"/>
              </w:rPr>
              <w:t>占地范围内不涉及</w:t>
            </w:r>
          </w:p>
        </w:tc>
      </w:tr>
      <w:tr w14:paraId="7EF3A71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679" w:type="pct"/>
            <w:vAlign w:val="center"/>
          </w:tcPr>
          <w:p w14:paraId="40E23F77">
            <w:pPr>
              <w:adjustRightInd w:val="0"/>
              <w:snapToGrid w:val="0"/>
              <w:jc w:val="left"/>
              <w:textAlignment w:val="center"/>
              <w:rPr>
                <w:rFonts w:hint="eastAsia" w:ascii="宋体" w:hAnsi="宋体" w:cs="宋体"/>
                <w:bCs/>
                <w:color w:val="auto"/>
                <w:kern w:val="0"/>
                <w:szCs w:val="21"/>
                <w:lang w:val="zh-CN"/>
              </w:rPr>
            </w:pPr>
            <w:r>
              <w:rPr>
                <w:rFonts w:hint="eastAsia" w:ascii="宋体" w:hAnsi="宋体" w:cs="宋体"/>
                <w:color w:val="auto"/>
                <w:szCs w:val="21"/>
              </w:rPr>
              <w:t>c）涉及生态保护红线时，评价等级不低于二级</w:t>
            </w:r>
          </w:p>
        </w:tc>
        <w:tc>
          <w:tcPr>
            <w:tcW w:w="2321" w:type="pct"/>
            <w:vAlign w:val="center"/>
          </w:tcPr>
          <w:p w14:paraId="42A99631">
            <w:pPr>
              <w:adjustRightInd w:val="0"/>
              <w:snapToGrid w:val="0"/>
              <w:jc w:val="center"/>
              <w:textAlignment w:val="center"/>
              <w:rPr>
                <w:rFonts w:hint="eastAsia" w:ascii="宋体" w:hAnsi="宋体" w:cs="宋体"/>
                <w:bCs/>
                <w:color w:val="auto"/>
                <w:kern w:val="0"/>
                <w:szCs w:val="21"/>
              </w:rPr>
            </w:pPr>
            <w:r>
              <w:rPr>
                <w:rFonts w:hint="eastAsia" w:ascii="宋体" w:hAnsi="宋体" w:cs="宋体"/>
                <w:bCs/>
                <w:color w:val="auto"/>
                <w:kern w:val="0"/>
                <w:szCs w:val="21"/>
              </w:rPr>
              <w:t>占地范围内不涉及，管线评价范围内涉及</w:t>
            </w:r>
            <w:r>
              <w:rPr>
                <w:rFonts w:hint="eastAsia"/>
                <w:color w:val="auto"/>
              </w:rPr>
              <w:t>玛纳斯县土地沙化生态保护红线区，二级。</w:t>
            </w:r>
          </w:p>
        </w:tc>
      </w:tr>
      <w:tr w14:paraId="2E5812B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679" w:type="pct"/>
            <w:vAlign w:val="center"/>
          </w:tcPr>
          <w:p w14:paraId="645E46FE">
            <w:pPr>
              <w:adjustRightInd w:val="0"/>
              <w:snapToGrid w:val="0"/>
              <w:jc w:val="left"/>
              <w:textAlignment w:val="center"/>
              <w:rPr>
                <w:rFonts w:hint="eastAsia" w:ascii="宋体" w:hAnsi="宋体" w:cs="宋体"/>
                <w:bCs/>
                <w:color w:val="auto"/>
                <w:kern w:val="0"/>
                <w:szCs w:val="21"/>
                <w:lang w:val="zh-CN"/>
              </w:rPr>
            </w:pPr>
            <w:r>
              <w:rPr>
                <w:rFonts w:hint="eastAsia" w:ascii="宋体" w:hAnsi="宋体" w:cs="宋体"/>
                <w:color w:val="auto"/>
                <w:szCs w:val="21"/>
              </w:rPr>
              <w:t>d）根据HJ2.3判断属于水文要素影响型且地表水评价等级不低于二级的建设项目，生态影响评价等级不低于二级</w:t>
            </w:r>
          </w:p>
        </w:tc>
        <w:tc>
          <w:tcPr>
            <w:tcW w:w="2321" w:type="pct"/>
            <w:vAlign w:val="center"/>
          </w:tcPr>
          <w:p w14:paraId="0FD6611B">
            <w:pPr>
              <w:adjustRightInd w:val="0"/>
              <w:snapToGrid w:val="0"/>
              <w:jc w:val="center"/>
              <w:textAlignment w:val="center"/>
              <w:rPr>
                <w:rFonts w:hint="eastAsia" w:ascii="宋体" w:hAnsi="宋体" w:cs="宋体"/>
                <w:bCs/>
                <w:color w:val="auto"/>
                <w:kern w:val="0"/>
                <w:szCs w:val="21"/>
              </w:rPr>
            </w:pPr>
            <w:r>
              <w:rPr>
                <w:rFonts w:hint="eastAsia" w:ascii="宋体" w:hAnsi="宋体"/>
                <w:color w:val="auto"/>
                <w:szCs w:val="21"/>
              </w:rPr>
              <w:t>不属于水文要素影响型建设项目</w:t>
            </w:r>
          </w:p>
        </w:tc>
      </w:tr>
      <w:tr w14:paraId="314ADDA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679" w:type="pct"/>
            <w:vAlign w:val="center"/>
          </w:tcPr>
          <w:p w14:paraId="03D1C787">
            <w:pPr>
              <w:adjustRightInd w:val="0"/>
              <w:snapToGrid w:val="0"/>
              <w:jc w:val="left"/>
              <w:textAlignment w:val="center"/>
              <w:rPr>
                <w:rFonts w:hint="eastAsia" w:ascii="宋体" w:hAnsi="宋体" w:cs="宋体"/>
                <w:bCs/>
                <w:color w:val="auto"/>
                <w:kern w:val="0"/>
                <w:szCs w:val="21"/>
                <w:lang w:val="zh-CN"/>
              </w:rPr>
            </w:pPr>
            <w:r>
              <w:rPr>
                <w:rFonts w:hint="eastAsia" w:ascii="宋体" w:hAnsi="宋体" w:cs="宋体"/>
                <w:color w:val="auto"/>
                <w:szCs w:val="21"/>
              </w:rPr>
              <w:t>e）根据HJ610、HJ964判断地下水水位或土壤影响范围内分布有天然林、公益林、湿地等生态保护目标的建设项目，生态影响评价等级不低于二级</w:t>
            </w:r>
          </w:p>
        </w:tc>
        <w:tc>
          <w:tcPr>
            <w:tcW w:w="2321" w:type="pct"/>
            <w:vAlign w:val="center"/>
          </w:tcPr>
          <w:p w14:paraId="21E03480">
            <w:pPr>
              <w:adjustRightInd w:val="0"/>
              <w:snapToGrid w:val="0"/>
              <w:jc w:val="center"/>
              <w:textAlignment w:val="center"/>
              <w:rPr>
                <w:rFonts w:hint="eastAsia" w:ascii="宋体" w:hAnsi="宋体" w:cs="宋体"/>
                <w:bCs/>
                <w:color w:val="auto"/>
                <w:kern w:val="0"/>
                <w:szCs w:val="21"/>
              </w:rPr>
            </w:pPr>
            <w:r>
              <w:rPr>
                <w:rFonts w:hint="eastAsia" w:ascii="宋体" w:hAnsi="宋体" w:cs="宋体"/>
                <w:bCs/>
                <w:color w:val="auto"/>
                <w:kern w:val="0"/>
                <w:szCs w:val="21"/>
              </w:rPr>
              <w:t>占地范围内不涉及天然林、公益林和湿地</w:t>
            </w:r>
          </w:p>
        </w:tc>
      </w:tr>
      <w:tr w14:paraId="2E8F698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679" w:type="pct"/>
            <w:vAlign w:val="center"/>
          </w:tcPr>
          <w:p w14:paraId="202630A1">
            <w:pPr>
              <w:adjustRightInd w:val="0"/>
              <w:snapToGrid w:val="0"/>
              <w:jc w:val="left"/>
              <w:textAlignment w:val="center"/>
              <w:rPr>
                <w:rFonts w:hint="eastAsia" w:ascii="宋体" w:hAnsi="宋体" w:cs="宋体"/>
                <w:bCs/>
                <w:color w:val="auto"/>
                <w:kern w:val="0"/>
                <w:szCs w:val="21"/>
                <w:lang w:val="zh-CN"/>
              </w:rPr>
            </w:pPr>
            <w:r>
              <w:rPr>
                <w:rFonts w:hint="eastAsia" w:ascii="宋体" w:hAnsi="宋体" w:cs="宋体"/>
                <w:color w:val="auto"/>
                <w:szCs w:val="21"/>
              </w:rPr>
              <w:t>f）当工程占地规模大于20km</w:t>
            </w:r>
            <w:r>
              <w:rPr>
                <w:rFonts w:hint="eastAsia" w:ascii="宋体" w:hAnsi="宋体" w:cs="宋体"/>
                <w:color w:val="auto"/>
                <w:szCs w:val="21"/>
                <w:vertAlign w:val="superscript"/>
              </w:rPr>
              <w:t>2</w:t>
            </w:r>
            <w:r>
              <w:rPr>
                <w:rFonts w:hint="eastAsia" w:ascii="宋体" w:hAnsi="宋体" w:cs="宋体"/>
                <w:color w:val="auto"/>
                <w:szCs w:val="21"/>
              </w:rPr>
              <w:t>时（包括永久和临时占用陆域和水域），评价等级不低于二级；改扩建项目的占地范围以新增占地（包括陆域和水域）确定</w:t>
            </w:r>
          </w:p>
        </w:tc>
        <w:tc>
          <w:tcPr>
            <w:tcW w:w="2321" w:type="pct"/>
            <w:vAlign w:val="center"/>
          </w:tcPr>
          <w:p w14:paraId="7424459C">
            <w:pPr>
              <w:adjustRightInd w:val="0"/>
              <w:snapToGrid w:val="0"/>
              <w:jc w:val="center"/>
              <w:textAlignment w:val="center"/>
              <w:rPr>
                <w:rFonts w:hint="eastAsia" w:ascii="宋体" w:hAnsi="宋体" w:cs="宋体"/>
                <w:bCs/>
                <w:color w:val="auto"/>
                <w:kern w:val="0"/>
                <w:szCs w:val="21"/>
              </w:rPr>
            </w:pPr>
            <w:r>
              <w:rPr>
                <w:rFonts w:hint="eastAsia" w:ascii="宋体" w:hAnsi="宋体" w:cs="宋体"/>
                <w:bCs/>
                <w:color w:val="auto"/>
                <w:kern w:val="0"/>
                <w:szCs w:val="21"/>
              </w:rPr>
              <w:t>新增占地</w:t>
            </w:r>
            <w:r>
              <w:rPr>
                <w:rFonts w:ascii="宋体" w:hAnsi="宋体" w:cs="宋体"/>
                <w:bCs/>
                <w:color w:val="auto"/>
                <w:kern w:val="0"/>
                <w:szCs w:val="21"/>
              </w:rPr>
              <w:t>0.</w:t>
            </w:r>
            <w:r>
              <w:rPr>
                <w:rFonts w:hint="eastAsia" w:ascii="宋体" w:hAnsi="宋体" w:cs="宋体"/>
                <w:bCs/>
                <w:color w:val="auto"/>
                <w:kern w:val="0"/>
                <w:szCs w:val="21"/>
              </w:rPr>
              <w:t>031</w:t>
            </w:r>
            <w:r>
              <w:rPr>
                <w:rFonts w:ascii="宋体" w:hAnsi="宋体" w:cs="宋体"/>
                <w:bCs/>
                <w:color w:val="auto"/>
                <w:kern w:val="0"/>
                <w:szCs w:val="21"/>
              </w:rPr>
              <w:t>km</w:t>
            </w:r>
            <w:r>
              <w:rPr>
                <w:rFonts w:ascii="宋体" w:hAnsi="宋体" w:cs="宋体"/>
                <w:bCs/>
                <w:color w:val="auto"/>
                <w:kern w:val="0"/>
                <w:szCs w:val="21"/>
                <w:vertAlign w:val="superscript"/>
              </w:rPr>
              <w:t>2</w:t>
            </w:r>
            <w:r>
              <w:rPr>
                <w:rFonts w:hint="eastAsia" w:ascii="宋体" w:hAnsi="宋体" w:cs="宋体"/>
                <w:bCs/>
                <w:color w:val="auto"/>
                <w:kern w:val="0"/>
                <w:szCs w:val="21"/>
              </w:rPr>
              <w:t>，小于2</w:t>
            </w:r>
            <w:r>
              <w:rPr>
                <w:rFonts w:ascii="宋体" w:hAnsi="宋体" w:cs="宋体"/>
                <w:bCs/>
                <w:color w:val="auto"/>
                <w:kern w:val="0"/>
                <w:szCs w:val="21"/>
              </w:rPr>
              <w:t>0</w:t>
            </w:r>
            <w:r>
              <w:rPr>
                <w:rFonts w:hint="eastAsia" w:ascii="宋体" w:hAnsi="宋体" w:cs="宋体"/>
                <w:color w:val="auto"/>
                <w:szCs w:val="21"/>
              </w:rPr>
              <w:t>km</w:t>
            </w:r>
            <w:r>
              <w:rPr>
                <w:rFonts w:hint="eastAsia" w:ascii="宋体" w:hAnsi="宋体" w:cs="宋体"/>
                <w:color w:val="auto"/>
                <w:szCs w:val="21"/>
                <w:vertAlign w:val="superscript"/>
              </w:rPr>
              <w:t>2</w:t>
            </w:r>
          </w:p>
        </w:tc>
      </w:tr>
      <w:tr w14:paraId="3D7AAE7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679" w:type="pct"/>
            <w:vAlign w:val="center"/>
          </w:tcPr>
          <w:p w14:paraId="4ED15E67">
            <w:pPr>
              <w:adjustRightInd w:val="0"/>
              <w:snapToGrid w:val="0"/>
              <w:jc w:val="left"/>
              <w:textAlignment w:val="center"/>
              <w:rPr>
                <w:rFonts w:hint="eastAsia" w:ascii="宋体" w:hAnsi="宋体" w:cs="宋体"/>
                <w:bCs/>
                <w:color w:val="auto"/>
                <w:kern w:val="0"/>
                <w:szCs w:val="21"/>
                <w:lang w:val="zh-CN"/>
              </w:rPr>
            </w:pPr>
            <w:r>
              <w:rPr>
                <w:rFonts w:hint="eastAsia" w:ascii="宋体" w:hAnsi="宋体" w:cs="宋体"/>
                <w:color w:val="auto"/>
                <w:szCs w:val="21"/>
              </w:rPr>
              <w:t>g）除本条a）、b）、c）、d）、e）、f）以外的情况，评价等级为三级</w:t>
            </w:r>
          </w:p>
        </w:tc>
        <w:tc>
          <w:tcPr>
            <w:tcW w:w="2321" w:type="pct"/>
            <w:vAlign w:val="center"/>
          </w:tcPr>
          <w:p w14:paraId="511F6BE2">
            <w:pPr>
              <w:adjustRightInd w:val="0"/>
              <w:snapToGrid w:val="0"/>
              <w:jc w:val="center"/>
              <w:textAlignment w:val="center"/>
              <w:rPr>
                <w:rFonts w:hint="eastAsia" w:ascii="宋体" w:hAnsi="宋体" w:cs="宋体"/>
                <w:bCs/>
                <w:color w:val="auto"/>
                <w:kern w:val="0"/>
                <w:szCs w:val="21"/>
              </w:rPr>
            </w:pPr>
            <w:r>
              <w:rPr>
                <w:rFonts w:hint="eastAsia" w:ascii="宋体" w:hAnsi="宋体"/>
                <w:color w:val="auto"/>
                <w:szCs w:val="21"/>
              </w:rPr>
              <w:t>属于《环境影响评价技术导则 生态影响》（HJ19-2022）6.1.2评价等级确定原则a）、b）、c）、d）、e）、f）以外的情况，评价等级为三级</w:t>
            </w:r>
          </w:p>
        </w:tc>
      </w:tr>
      <w:tr w14:paraId="0FBBD5F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679" w:type="pct"/>
            <w:vAlign w:val="center"/>
          </w:tcPr>
          <w:p w14:paraId="2684049E">
            <w:pPr>
              <w:adjustRightInd w:val="0"/>
              <w:snapToGrid w:val="0"/>
              <w:jc w:val="left"/>
              <w:textAlignment w:val="center"/>
              <w:rPr>
                <w:rFonts w:hint="eastAsia" w:ascii="宋体" w:hAnsi="宋体" w:cs="宋体"/>
                <w:bCs/>
                <w:color w:val="auto"/>
                <w:kern w:val="0"/>
                <w:szCs w:val="21"/>
                <w:lang w:val="zh-CN"/>
              </w:rPr>
            </w:pPr>
            <w:r>
              <w:rPr>
                <w:rFonts w:hint="eastAsia" w:ascii="宋体" w:hAnsi="宋体" w:cs="宋体"/>
                <w:color w:val="auto"/>
                <w:szCs w:val="21"/>
              </w:rPr>
              <w:t>h）当评价等级判定同时符合上述多种情况时，应采用其中最高的评价等级</w:t>
            </w:r>
          </w:p>
        </w:tc>
        <w:tc>
          <w:tcPr>
            <w:tcW w:w="2321" w:type="pct"/>
            <w:vAlign w:val="center"/>
          </w:tcPr>
          <w:p w14:paraId="31B1DEC4">
            <w:pPr>
              <w:adjustRightInd w:val="0"/>
              <w:snapToGrid w:val="0"/>
              <w:jc w:val="center"/>
              <w:textAlignment w:val="center"/>
              <w:rPr>
                <w:rFonts w:hint="eastAsia" w:ascii="宋体" w:hAnsi="宋体" w:cs="宋体"/>
                <w:bCs/>
                <w:color w:val="auto"/>
                <w:kern w:val="0"/>
                <w:szCs w:val="21"/>
              </w:rPr>
            </w:pPr>
            <w:r>
              <w:rPr>
                <w:rFonts w:hint="eastAsia" w:ascii="宋体" w:hAnsi="宋体" w:cs="宋体"/>
                <w:bCs/>
                <w:color w:val="auto"/>
                <w:kern w:val="0"/>
                <w:szCs w:val="21"/>
              </w:rPr>
              <w:t>仅符合上述g条，评价等级为三级</w:t>
            </w:r>
          </w:p>
        </w:tc>
      </w:tr>
      <w:tr w14:paraId="3618464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679" w:type="pct"/>
            <w:vAlign w:val="center"/>
          </w:tcPr>
          <w:p w14:paraId="340CAA51">
            <w:pPr>
              <w:autoSpaceDE w:val="0"/>
              <w:autoSpaceDN w:val="0"/>
              <w:adjustRightInd w:val="0"/>
              <w:snapToGrid w:val="0"/>
              <w:jc w:val="center"/>
              <w:rPr>
                <w:rFonts w:hint="eastAsia" w:ascii="宋体" w:hAnsi="宋体" w:cs="宋体"/>
                <w:color w:val="auto"/>
                <w:szCs w:val="21"/>
              </w:rPr>
            </w:pPr>
            <w:r>
              <w:rPr>
                <w:rFonts w:hint="eastAsia" w:ascii="宋体" w:hAnsi="宋体"/>
                <w:color w:val="auto"/>
                <w:szCs w:val="21"/>
              </w:rPr>
              <w:t>建设项目涉及经论证对保护生物多样性具有重要意义的区域时，可适当上调评价等级。</w:t>
            </w:r>
          </w:p>
        </w:tc>
        <w:tc>
          <w:tcPr>
            <w:tcW w:w="2321" w:type="pct"/>
            <w:vAlign w:val="center"/>
          </w:tcPr>
          <w:p w14:paraId="64EEBEBD">
            <w:pPr>
              <w:adjustRightInd w:val="0"/>
              <w:snapToGrid w:val="0"/>
              <w:jc w:val="center"/>
              <w:textAlignment w:val="center"/>
              <w:rPr>
                <w:rFonts w:hint="eastAsia" w:ascii="宋体" w:hAnsi="宋体" w:cs="宋体"/>
                <w:bCs/>
                <w:color w:val="auto"/>
                <w:kern w:val="0"/>
                <w:szCs w:val="21"/>
              </w:rPr>
            </w:pPr>
            <w:r>
              <w:rPr>
                <w:rFonts w:hint="eastAsia" w:ascii="宋体" w:hAnsi="宋体"/>
                <w:color w:val="auto"/>
                <w:szCs w:val="21"/>
              </w:rPr>
              <w:t>占地范围内不涉及对保护生物多样性具有重要意义的区域，无需上调评价等级</w:t>
            </w:r>
          </w:p>
        </w:tc>
      </w:tr>
    </w:tbl>
    <w:p w14:paraId="5C4D0807">
      <w:pPr>
        <w:pStyle w:val="86"/>
        <w:spacing w:line="480" w:lineRule="exact"/>
        <w:ind w:firstLine="480"/>
        <w:rPr>
          <w:rFonts w:hint="eastAsia"/>
          <w:color w:val="auto"/>
        </w:rPr>
      </w:pPr>
      <w:r>
        <w:rPr>
          <w:rFonts w:hint="eastAsia"/>
          <w:color w:val="auto"/>
        </w:rPr>
        <w:t>由表</w:t>
      </w:r>
      <w:r>
        <w:rPr>
          <w:color w:val="auto"/>
        </w:rPr>
        <w:t>2.6</w:t>
      </w:r>
      <w:r>
        <w:rPr>
          <w:rFonts w:hint="eastAsia"/>
          <w:color w:val="auto"/>
        </w:rPr>
        <w:t>-5可知，生态影响评价等级为二级。</w:t>
      </w:r>
    </w:p>
    <w:p w14:paraId="1239E683">
      <w:pPr>
        <w:pStyle w:val="86"/>
        <w:spacing w:line="480" w:lineRule="exact"/>
        <w:ind w:firstLine="480"/>
        <w:rPr>
          <w:rFonts w:hint="eastAsia"/>
          <w:color w:val="auto"/>
        </w:rPr>
      </w:pPr>
      <w:bookmarkStart w:id="130" w:name="_Hlk177302294"/>
      <w:r>
        <w:rPr>
          <w:rFonts w:hint="eastAsia"/>
          <w:color w:val="auto"/>
        </w:rPr>
        <w:t>（6）土壤环境评价等级</w:t>
      </w:r>
    </w:p>
    <w:p w14:paraId="524CEDA1">
      <w:pPr>
        <w:pStyle w:val="86"/>
        <w:spacing w:line="480" w:lineRule="exact"/>
        <w:ind w:firstLine="480"/>
        <w:rPr>
          <w:rFonts w:hint="eastAsia"/>
          <w:color w:val="auto"/>
        </w:rPr>
      </w:pPr>
      <w:r>
        <w:rPr>
          <w:rFonts w:hint="eastAsia"/>
          <w:color w:val="auto"/>
        </w:rPr>
        <w:t xml:space="preserve">根据全盐量监测数据可知，区域土壤盐分含量为1.0g/kg～1.4g/kg，小于2g/kg，pH值最大为8.03，根据《环境影响评价技术导则 土壤环境（试行）》（HJ964-2018）可知，项目所在区域属于非土壤盐化、酸化和碱化地区，根据《环境影响评价技术导则 </w:t>
      </w:r>
      <w:r>
        <w:rPr>
          <w:color w:val="auto"/>
        </w:rPr>
        <w:t xml:space="preserve"> </w:t>
      </w:r>
      <w:r>
        <w:rPr>
          <w:rFonts w:hint="eastAsia"/>
          <w:color w:val="auto"/>
        </w:rPr>
        <w:t>陆地石油天然气开发建设项目》（H</w:t>
      </w:r>
      <w:r>
        <w:rPr>
          <w:color w:val="auto"/>
        </w:rPr>
        <w:t>J349-2023</w:t>
      </w:r>
      <w:r>
        <w:rPr>
          <w:rFonts w:hint="eastAsia"/>
          <w:color w:val="auto"/>
        </w:rPr>
        <w:t>）7.4中规定：“非土壤盐化、酸化和碱化地区，按照土壤污染影响型，按相应等级开展评价工作”，故本项目仅考虑项目实施对土壤的污染影响，不考虑对土壤的生态影响，本次按照土壤污染影响型开展评价工作。</w:t>
      </w:r>
    </w:p>
    <w:bookmarkEnd w:id="130"/>
    <w:p w14:paraId="6C45229C">
      <w:pPr>
        <w:pStyle w:val="86"/>
        <w:spacing w:line="480" w:lineRule="exact"/>
        <w:ind w:firstLine="480"/>
        <w:rPr>
          <w:rFonts w:hint="eastAsia"/>
          <w:color w:val="auto"/>
        </w:rPr>
      </w:pPr>
      <w:r>
        <w:rPr>
          <w:rFonts w:hint="eastAsia"/>
          <w:color w:val="auto"/>
          <w:lang w:val="zh-CN"/>
        </w:rPr>
        <w:t>土壤污染影响型项目根据评价类别、占地规模与敏感程度划分评价等级，见表</w:t>
      </w:r>
      <w:r>
        <w:rPr>
          <w:rFonts w:hint="eastAsia"/>
          <w:color w:val="auto"/>
        </w:rPr>
        <w:t>2.</w:t>
      </w:r>
      <w:r>
        <w:rPr>
          <w:color w:val="auto"/>
        </w:rPr>
        <w:t>6</w:t>
      </w:r>
      <w:r>
        <w:rPr>
          <w:rFonts w:hint="eastAsia"/>
          <w:color w:val="auto"/>
        </w:rPr>
        <w:t>-6</w:t>
      </w:r>
      <w:r>
        <w:rPr>
          <w:rFonts w:hint="eastAsia"/>
          <w:color w:val="auto"/>
          <w:lang w:val="zh-CN"/>
        </w:rPr>
        <w:t>。</w:t>
      </w:r>
    </w:p>
    <w:p w14:paraId="334DB4CE">
      <w:pPr>
        <w:pStyle w:val="15"/>
        <w:rPr>
          <w:rFonts w:hint="eastAsia"/>
          <w:color w:val="auto"/>
        </w:rPr>
      </w:pPr>
      <w:r>
        <w:rPr>
          <w:rFonts w:hint="eastAsia"/>
          <w:color w:val="auto"/>
        </w:rPr>
        <w:t>表2.</w:t>
      </w:r>
      <w:r>
        <w:rPr>
          <w:color w:val="auto"/>
        </w:rPr>
        <w:t>6</w:t>
      </w:r>
      <w:r>
        <w:rPr>
          <w:rFonts w:hint="eastAsia"/>
          <w:color w:val="auto"/>
        </w:rPr>
        <w:t>-6  污染影响型评价工作等级划分表</w:t>
      </w:r>
      <w:r>
        <w:rPr>
          <w:rFonts w:hint="eastAsia" w:cs="Arial"/>
          <w:color w:val="auto"/>
        </w:rPr>
        <mc:AlternateContent>
          <mc:Choice Requires="wps">
            <w:drawing>
              <wp:anchor distT="0" distB="0" distL="114300" distR="114300" simplePos="0" relativeHeight="251661312" behindDoc="0" locked="0" layoutInCell="1" allowOverlap="1">
                <wp:simplePos x="0" y="0"/>
                <wp:positionH relativeFrom="column">
                  <wp:posOffset>-111760</wp:posOffset>
                </wp:positionH>
                <wp:positionV relativeFrom="paragraph">
                  <wp:posOffset>668020</wp:posOffset>
                </wp:positionV>
                <wp:extent cx="1570355" cy="358775"/>
                <wp:effectExtent l="10795" t="12700" r="9525" b="9525"/>
                <wp:wrapNone/>
                <wp:docPr id="42" name="自选图形 364"/>
                <wp:cNvGraphicFramePr/>
                <a:graphic xmlns:a="http://schemas.openxmlformats.org/drawingml/2006/main">
                  <a:graphicData uri="http://schemas.microsoft.com/office/word/2010/wordprocessingShape">
                    <wps:wsp>
                      <wps:cNvCnPr>
                        <a:cxnSpLocks noChangeShapeType="1"/>
                      </wps:cNvCnPr>
                      <wps:spPr bwMode="auto">
                        <a:xfrm>
                          <a:off x="0" y="0"/>
                          <a:ext cx="1570355" cy="358775"/>
                        </a:xfrm>
                        <a:prstGeom prst="straightConnector1">
                          <a:avLst/>
                        </a:prstGeom>
                        <a:noFill/>
                        <a:ln w="6350">
                          <a:solidFill>
                            <a:srgbClr val="0D0D0D"/>
                          </a:solidFill>
                          <a:round/>
                        </a:ln>
                      </wps:spPr>
                      <wps:bodyPr/>
                    </wps:wsp>
                  </a:graphicData>
                </a:graphic>
              </wp:anchor>
            </w:drawing>
          </mc:Choice>
          <mc:Fallback>
            <w:pict>
              <v:shape id="自选图形 364" o:spid="_x0000_s1026" o:spt="32" type="#_x0000_t32" style="position:absolute;left:0pt;margin-left:-8.8pt;margin-top:52.6pt;height:28.25pt;width:123.65pt;z-index:251661312;mso-width-relative:page;mso-height-relative:page;" filled="f" stroked="t" coordsize="21600,21600" o:gfxdata="UEsDBAoAAAAAAIdO4kAAAAAAAAAAAAAAAAAEAAAAZHJzL1BLAwQUAAAACACHTuJAcMsIK9oAAAAL&#10;AQAADwAAAGRycy9kb3ducmV2LnhtbE2PwUrDQBCG74LvsIzgrd1N0ERjNgWFIoIeGkupt22yZoPZ&#10;mZDdpvXtHU96nPk//vmmXJ39IGY7hZ5QQ7JUICw21PbYadi+rxd3IEI02JqB0Gr4tgFW1eVFaYqW&#10;Trixcx07wSUYCqPBxTgWUobGWW/CkkaLnH3S5E3kcepkO5kTl/tBpkpl0pse+YIzo31ytvmqj15D&#10;Pj/O24+9enOvVK9p83zz0uxI6+urRD2AiPYc/2D41Wd1qNjpQEdsgxg0LJI8Y5QDdZuCYCJN73MQ&#10;B95kSQ6yKuX/H6ofUEsDBBQAAAAIAIdO4kBcG6Fs9wEAAL0DAAAOAAAAZHJzL2Uyb0RvYy54bWyt&#10;U0tu2zAQ3RfoHQjua8l2ZAeC5SxspJu0NZD0ADRFSURJDkHSlr3rrugZuuuyd2hvE6C9RYb0J026&#10;yaIQQHA4M2/mvRnNrnZaka1wXoKp6HCQUyIMh1qatqIf767fXFLiAzM1U2BERffC06v561ez3pZi&#10;BB2oWjiCIMaXva1oF4Its8zzTmjmB2CFQWcDTrOApmuz2rEe0bXKRnk+yXpwtXXAhff4ujw46RHR&#10;vQQQmkZysQS+0cKEA6oTigWk5DtpPZ2nbptG8PChabwIRFUUmYZ0YhG8r+OZzWesbB2zneTHFthL&#10;WnjGSTNpsOgZaskCIxsn/4HSkjvw0IQBB50diCRFkMUwf6bNbcesSFxQam/Povv/B8vfb1eOyLqi&#10;FyNKDNM48d9ffvz5/PX+26/7n9/JeHIRReqtLzF2YVYu0uQ7c2tvgH/yxMCiY6YVqdm7vUWAYczI&#10;nqREw1sste7fQY0xbBMgKbZrnI6QqAXZpcHsz4MRu0A4Pg6LaT4uCko4+sbF5XRapBKsPGVb58Nb&#10;AZrES0V9cEy2XViAMbgD4IapFtve+BB7Y+UpIZY2cC2VSqugDOkrOhkXeUrwoGQdnTHMu3a9UI5s&#10;WVymZfyOXTwJc7Ax9aGIMkcdIvWDiGuo9yt30genmro5bmBcm7/tlP34180f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HDLCCvaAAAACwEAAA8AAAAAAAAAAQAgAAAAIgAAAGRycy9kb3ducmV2Lnht&#10;bFBLAQIUABQAAAAIAIdO4kBcG6Fs9wEAAL0DAAAOAAAAAAAAAAEAIAAAACkBAABkcnMvZTJvRG9j&#10;LnhtbFBLBQYAAAAABgAGAFkBAACSBQAAAAA=&#10;">
                <v:fill on="f" focussize="0,0"/>
                <v:stroke weight="0.5pt" color="#0D0D0D" joinstyle="round"/>
                <v:imagedata o:title=""/>
                <o:lock v:ext="edit" aspectratio="f"/>
              </v:shape>
            </w:pict>
          </mc:Fallback>
        </mc:AlternateContent>
      </w:r>
      <w:r>
        <w:rPr>
          <w:rFonts w:hint="eastAsia"/>
          <w:color w:val="auto"/>
        </w:rPr>
        <mc:AlternateContent>
          <mc:Choice Requires="wps">
            <w:drawing>
              <wp:anchor distT="0" distB="0" distL="114300" distR="114300" simplePos="0" relativeHeight="251660288" behindDoc="0" locked="0" layoutInCell="1" allowOverlap="1">
                <wp:simplePos x="0" y="0"/>
                <wp:positionH relativeFrom="column">
                  <wp:posOffset>661035</wp:posOffset>
                </wp:positionH>
                <wp:positionV relativeFrom="paragraph">
                  <wp:posOffset>328295</wp:posOffset>
                </wp:positionV>
                <wp:extent cx="805180" cy="698500"/>
                <wp:effectExtent l="12065" t="6350" r="11430" b="9525"/>
                <wp:wrapNone/>
                <wp:docPr id="41" name="自选图形 363"/>
                <wp:cNvGraphicFramePr/>
                <a:graphic xmlns:a="http://schemas.openxmlformats.org/drawingml/2006/main">
                  <a:graphicData uri="http://schemas.microsoft.com/office/word/2010/wordprocessingShape">
                    <wps:wsp>
                      <wps:cNvCnPr>
                        <a:cxnSpLocks noChangeShapeType="1"/>
                      </wps:cNvCnPr>
                      <wps:spPr bwMode="auto">
                        <a:xfrm>
                          <a:off x="0" y="0"/>
                          <a:ext cx="805180" cy="698500"/>
                        </a:xfrm>
                        <a:prstGeom prst="straightConnector1">
                          <a:avLst/>
                        </a:prstGeom>
                        <a:noFill/>
                        <a:ln w="6350">
                          <a:solidFill>
                            <a:srgbClr val="0D0D0D"/>
                          </a:solidFill>
                          <a:round/>
                        </a:ln>
                      </wps:spPr>
                      <wps:bodyPr/>
                    </wps:wsp>
                  </a:graphicData>
                </a:graphic>
              </wp:anchor>
            </w:drawing>
          </mc:Choice>
          <mc:Fallback>
            <w:pict>
              <v:shape id="自选图形 363" o:spid="_x0000_s1026" o:spt="32" type="#_x0000_t32" style="position:absolute;left:0pt;margin-left:52.05pt;margin-top:25.85pt;height:55pt;width:63.4pt;z-index:251660288;mso-width-relative:page;mso-height-relative:page;" filled="f" stroked="t" coordsize="21600,21600" o:gfxdata="UEsDBAoAAAAAAIdO4kAAAAAAAAAAAAAAAAAEAAAAZHJzL1BLAwQUAAAACACHTuJAbsFhjNkAAAAK&#10;AQAADwAAAGRycy9kb3ducmV2LnhtbE2PwU7DMBBE70j8g7VI3KidUtoS4lQCqUJI9NBQoXJzYxNH&#10;xLtR7Kbl71lOcJydp9mZYnUOnRjdEFtCDdlEgXBYk22x0bB7W98sQcRk0JqO0Gn4dhFW5eVFYXJL&#10;J9y6sUqN4BCMudHgU+pzKWPtXTBxQr1D9j5pCCaxHBppB3Pi8NDJqVJzGUyL/MGb3j15V39Vx6Bh&#10;MT6Ou4+92vhXqta0fZ691O+k9fVVph5AJHdOfzD81ufqUHKnAx3RRtGxVrOMUQ132QIEA9NbdQ/i&#10;wM6cL7Is5P8J5Q9QSwMEFAAAAAgAh07iQLb7Lj/1AQAAvAMAAA4AAABkcnMvZTJvRG9jLnhtbK1T&#10;zY7TMBC+I/EOlu80yZZWJWq6h1bLZYGVdnkA13ESC8djjd2mvXFDPAM3jrwDvM1K8BaM3R+W5bIH&#10;FMnyeGa+me+byfxy1xu2Veg12IoXo5wzZSXU2rYVf3939WLGmQ/C1sKAVRXfK88vF8+fzQdXqgvo&#10;wNQKGYFYXw6u4l0IrswyLzvVCz8Cpyw5G8BeBDKxzWoUA6H3JrvI82k2ANYOQSrv6XV1cPIjIj4F&#10;EJpGS7UCuemVDQdUVEYEouQ77TxfpG6bRsnwrmm8CsxUnJiGdFIRuq/jmS3momxRuE7LYwviKS08&#10;4tQLbanoGWolgmAb1P9A9VoieGjCSEKfHYgkRYhFkT/S5rYTTiUuJLV3Z9H9/4OVb7c3yHRd8ZcF&#10;Z1b0NPGfn779+vj5/suP++9f2Xg6jiINzpcUu7Q3GGnKnb111yA/eGZh2QnbqtTs3d4RQBEzsr9S&#10;ouEdlVoPb6CmGLEJkBTbNdhHSNKC7dJg9ufBqF1gkh5n+aSY0cgkuaavZpM8DS4T5SnZoQ+vFfQs&#10;XiruAwrddmEJ1tIKABaplNhe+xBbE+UpIVa2cKWNSZtgLBuoxHiSpwQPRtfRGcM8tuulQbYVcZdW&#10;8Us8yfMwDGFj60MRY48yROYHDddQ72/wJA8NNXVzXMC4NQ/tlP3np1v8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G7BYYzZAAAACgEAAA8AAAAAAAAAAQAgAAAAIgAAAGRycy9kb3ducmV2LnhtbFBL&#10;AQIUABQAAAAIAIdO4kC2+y4/9QEAALwDAAAOAAAAAAAAAAEAIAAAACgBAABkcnMvZTJvRG9jLnht&#10;bFBLBQYAAAAABgAGAFkBAACPBQAAAAA=&#10;">
                <v:fill on="f" focussize="0,0"/>
                <v:stroke weight="0.5pt" color="#0D0D0D" joinstyle="round"/>
                <v:imagedata o:title=""/>
                <o:lock v:ext="edit" aspectratio="f"/>
              </v:shape>
            </w:pict>
          </mc:Fallback>
        </mc:AlternateConten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13"/>
        <w:gridCol w:w="724"/>
        <w:gridCol w:w="725"/>
        <w:gridCol w:w="726"/>
        <w:gridCol w:w="725"/>
        <w:gridCol w:w="725"/>
        <w:gridCol w:w="728"/>
        <w:gridCol w:w="725"/>
        <w:gridCol w:w="725"/>
        <w:gridCol w:w="730"/>
      </w:tblGrid>
      <w:tr w14:paraId="122F82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9" w:type="pct"/>
            <w:vMerge w:val="restart"/>
            <w:vAlign w:val="center"/>
          </w:tcPr>
          <w:p w14:paraId="471E1FAC">
            <w:pPr>
              <w:snapToGrid w:val="0"/>
              <w:spacing w:line="300" w:lineRule="exact"/>
              <w:jc w:val="right"/>
              <w:rPr>
                <w:rFonts w:hint="eastAsia" w:ascii="宋体" w:hAnsi="宋体" w:cs="Arial"/>
                <w:color w:val="auto"/>
                <w:szCs w:val="21"/>
              </w:rPr>
            </w:pPr>
            <w:bookmarkStart w:id="131" w:name="_Hlk78386782"/>
            <w:r>
              <w:rPr>
                <w:rFonts w:hint="eastAsia" w:ascii="宋体" w:hAnsi="宋体" w:cs="Arial"/>
                <w:color w:val="auto"/>
                <w:szCs w:val="21"/>
              </w:rPr>
              <w:t>占地规模</w:t>
            </w:r>
          </w:p>
          <w:p w14:paraId="69B1E558">
            <w:pPr>
              <w:snapToGrid w:val="0"/>
              <w:spacing w:line="300" w:lineRule="exact"/>
              <w:jc w:val="center"/>
              <w:rPr>
                <w:rFonts w:hint="eastAsia" w:ascii="宋体" w:hAnsi="宋体" w:cs="Arial"/>
                <w:color w:val="auto"/>
                <w:szCs w:val="21"/>
              </w:rPr>
            </w:pPr>
            <w:r>
              <w:rPr>
                <w:rFonts w:hint="eastAsia" w:ascii="宋体" w:hAnsi="宋体" w:cs="Arial"/>
                <w:color w:val="auto"/>
                <w:szCs w:val="21"/>
              </w:rPr>
              <w:t>敏感程度</w:t>
            </w:r>
          </w:p>
          <w:p w14:paraId="68B85555">
            <w:pPr>
              <w:snapToGrid w:val="0"/>
              <w:spacing w:line="300" w:lineRule="exact"/>
              <w:jc w:val="left"/>
              <w:rPr>
                <w:rFonts w:hint="eastAsia" w:ascii="宋体" w:hAnsi="宋体" w:cs="Arial"/>
                <w:color w:val="auto"/>
                <w:szCs w:val="21"/>
              </w:rPr>
            </w:pPr>
            <w:r>
              <w:rPr>
                <w:rFonts w:hint="eastAsia" w:ascii="宋体" w:hAnsi="宋体" w:cs="Arial"/>
                <w:color w:val="auto"/>
                <w:szCs w:val="21"/>
              </w:rPr>
              <w:t>评价等级</w:t>
            </w:r>
          </w:p>
        </w:tc>
        <w:tc>
          <w:tcPr>
            <w:tcW w:w="1216" w:type="pct"/>
            <w:gridSpan w:val="3"/>
            <w:tcBorders>
              <w:right w:val="single" w:color="000000" w:sz="2" w:space="0"/>
            </w:tcBorders>
            <w:vAlign w:val="center"/>
          </w:tcPr>
          <w:p w14:paraId="02AE7B18">
            <w:pPr>
              <w:spacing w:line="300" w:lineRule="exact"/>
              <w:jc w:val="center"/>
              <w:rPr>
                <w:rFonts w:hint="eastAsia" w:ascii="宋体" w:hAnsi="宋体" w:cs="Arial"/>
                <w:color w:val="auto"/>
                <w:szCs w:val="21"/>
              </w:rPr>
            </w:pPr>
            <w:r>
              <w:rPr>
                <w:rFonts w:hint="eastAsia" w:ascii="宋体" w:hAnsi="宋体" w:cs="Arial"/>
                <w:color w:val="auto"/>
                <w:szCs w:val="21"/>
              </w:rPr>
              <w:t>Ⅰ类</w:t>
            </w:r>
          </w:p>
        </w:tc>
        <w:tc>
          <w:tcPr>
            <w:tcW w:w="1217" w:type="pct"/>
            <w:gridSpan w:val="3"/>
            <w:tcBorders>
              <w:left w:val="single" w:color="000000" w:sz="2" w:space="0"/>
              <w:right w:val="single" w:color="000000" w:sz="2" w:space="0"/>
            </w:tcBorders>
            <w:vAlign w:val="center"/>
          </w:tcPr>
          <w:p w14:paraId="7AB4F9B1">
            <w:pPr>
              <w:spacing w:line="300" w:lineRule="exact"/>
              <w:jc w:val="center"/>
              <w:rPr>
                <w:rFonts w:hint="eastAsia" w:ascii="宋体" w:hAnsi="宋体" w:cs="Arial"/>
                <w:color w:val="auto"/>
                <w:szCs w:val="21"/>
              </w:rPr>
            </w:pPr>
            <w:r>
              <w:rPr>
                <w:rFonts w:hint="eastAsia" w:ascii="宋体" w:hAnsi="宋体" w:cs="Arial"/>
                <w:color w:val="auto"/>
                <w:szCs w:val="21"/>
              </w:rPr>
              <w:t>Ⅱ类</w:t>
            </w:r>
          </w:p>
        </w:tc>
        <w:tc>
          <w:tcPr>
            <w:tcW w:w="1218" w:type="pct"/>
            <w:gridSpan w:val="3"/>
            <w:tcBorders>
              <w:left w:val="single" w:color="000000" w:sz="2" w:space="0"/>
            </w:tcBorders>
            <w:vAlign w:val="center"/>
          </w:tcPr>
          <w:p w14:paraId="0BDC016E">
            <w:pPr>
              <w:spacing w:line="300" w:lineRule="exact"/>
              <w:jc w:val="center"/>
              <w:rPr>
                <w:rFonts w:hint="eastAsia" w:ascii="宋体" w:hAnsi="宋体" w:cs="Arial"/>
                <w:color w:val="auto"/>
                <w:szCs w:val="21"/>
              </w:rPr>
            </w:pPr>
            <w:r>
              <w:rPr>
                <w:rFonts w:hint="eastAsia" w:ascii="宋体" w:hAnsi="宋体" w:cs="Arial"/>
                <w:color w:val="auto"/>
                <w:szCs w:val="21"/>
              </w:rPr>
              <w:t>Ⅲ类</w:t>
            </w:r>
          </w:p>
        </w:tc>
      </w:tr>
      <w:tr w14:paraId="6F04B8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1349" w:type="pct"/>
            <w:vMerge w:val="continue"/>
            <w:vAlign w:val="center"/>
          </w:tcPr>
          <w:p w14:paraId="43AA47B0">
            <w:pPr>
              <w:spacing w:line="300" w:lineRule="exact"/>
              <w:jc w:val="center"/>
              <w:rPr>
                <w:rFonts w:hint="eastAsia" w:ascii="宋体" w:hAnsi="宋体" w:cs="Arial"/>
                <w:color w:val="auto"/>
                <w:sz w:val="20"/>
                <w:szCs w:val="21"/>
              </w:rPr>
            </w:pPr>
          </w:p>
        </w:tc>
        <w:tc>
          <w:tcPr>
            <w:tcW w:w="405" w:type="pct"/>
            <w:tcBorders>
              <w:right w:val="single" w:color="000000" w:sz="2" w:space="0"/>
            </w:tcBorders>
            <w:vAlign w:val="center"/>
          </w:tcPr>
          <w:p w14:paraId="768D1376">
            <w:pPr>
              <w:spacing w:line="300" w:lineRule="exact"/>
              <w:jc w:val="center"/>
              <w:rPr>
                <w:rFonts w:hint="eastAsia" w:ascii="宋体" w:hAnsi="宋体" w:cs="Arial"/>
                <w:color w:val="auto"/>
                <w:szCs w:val="21"/>
              </w:rPr>
            </w:pPr>
            <w:r>
              <w:rPr>
                <w:rFonts w:hint="eastAsia" w:ascii="宋体" w:hAnsi="宋体" w:cs="Arial"/>
                <w:color w:val="auto"/>
                <w:szCs w:val="21"/>
              </w:rPr>
              <w:t>大</w:t>
            </w:r>
          </w:p>
        </w:tc>
        <w:tc>
          <w:tcPr>
            <w:tcW w:w="405" w:type="pct"/>
            <w:tcBorders>
              <w:left w:val="single" w:color="000000" w:sz="2" w:space="0"/>
              <w:right w:val="single" w:color="000000" w:sz="2" w:space="0"/>
            </w:tcBorders>
            <w:vAlign w:val="center"/>
          </w:tcPr>
          <w:p w14:paraId="1D307E9F">
            <w:pPr>
              <w:spacing w:line="300" w:lineRule="exact"/>
              <w:jc w:val="center"/>
              <w:rPr>
                <w:rFonts w:hint="eastAsia" w:ascii="宋体" w:hAnsi="宋体" w:cs="Arial"/>
                <w:color w:val="auto"/>
                <w:szCs w:val="21"/>
              </w:rPr>
            </w:pPr>
            <w:r>
              <w:rPr>
                <w:rFonts w:hint="eastAsia" w:ascii="宋体" w:hAnsi="宋体" w:cs="Arial"/>
                <w:color w:val="auto"/>
                <w:szCs w:val="21"/>
              </w:rPr>
              <w:t>中</w:t>
            </w:r>
          </w:p>
        </w:tc>
        <w:tc>
          <w:tcPr>
            <w:tcW w:w="406" w:type="pct"/>
            <w:tcBorders>
              <w:left w:val="single" w:color="000000" w:sz="2" w:space="0"/>
            </w:tcBorders>
            <w:vAlign w:val="center"/>
          </w:tcPr>
          <w:p w14:paraId="68764AD6">
            <w:pPr>
              <w:spacing w:line="300" w:lineRule="exact"/>
              <w:jc w:val="center"/>
              <w:rPr>
                <w:rFonts w:hint="eastAsia" w:ascii="宋体" w:hAnsi="宋体" w:cs="Arial"/>
                <w:color w:val="auto"/>
                <w:szCs w:val="21"/>
              </w:rPr>
            </w:pPr>
            <w:r>
              <w:rPr>
                <w:rFonts w:hint="eastAsia" w:ascii="宋体" w:hAnsi="宋体" w:cs="Arial"/>
                <w:color w:val="auto"/>
                <w:szCs w:val="21"/>
              </w:rPr>
              <w:t>小</w:t>
            </w:r>
          </w:p>
        </w:tc>
        <w:tc>
          <w:tcPr>
            <w:tcW w:w="405" w:type="pct"/>
            <w:tcBorders>
              <w:right w:val="single" w:color="000000" w:sz="2" w:space="0"/>
            </w:tcBorders>
            <w:vAlign w:val="center"/>
          </w:tcPr>
          <w:p w14:paraId="1D21F2F9">
            <w:pPr>
              <w:spacing w:line="300" w:lineRule="exact"/>
              <w:jc w:val="center"/>
              <w:rPr>
                <w:rFonts w:hint="eastAsia" w:ascii="宋体" w:hAnsi="宋体" w:cs="Arial"/>
                <w:color w:val="auto"/>
                <w:szCs w:val="21"/>
              </w:rPr>
            </w:pPr>
            <w:r>
              <w:rPr>
                <w:rFonts w:hint="eastAsia" w:ascii="宋体" w:hAnsi="宋体" w:cs="Arial"/>
                <w:color w:val="auto"/>
                <w:szCs w:val="21"/>
              </w:rPr>
              <w:t>大</w:t>
            </w:r>
          </w:p>
        </w:tc>
        <w:tc>
          <w:tcPr>
            <w:tcW w:w="405" w:type="pct"/>
            <w:tcBorders>
              <w:left w:val="single" w:color="000000" w:sz="2" w:space="0"/>
              <w:right w:val="single" w:color="000000" w:sz="2" w:space="0"/>
            </w:tcBorders>
            <w:vAlign w:val="center"/>
          </w:tcPr>
          <w:p w14:paraId="3A72FE45">
            <w:pPr>
              <w:spacing w:line="300" w:lineRule="exact"/>
              <w:jc w:val="center"/>
              <w:rPr>
                <w:rFonts w:hint="eastAsia" w:ascii="宋体" w:hAnsi="宋体" w:cs="Arial"/>
                <w:color w:val="auto"/>
                <w:szCs w:val="21"/>
              </w:rPr>
            </w:pPr>
            <w:r>
              <w:rPr>
                <w:rFonts w:hint="eastAsia" w:ascii="宋体" w:hAnsi="宋体" w:cs="Arial"/>
                <w:color w:val="auto"/>
                <w:szCs w:val="21"/>
              </w:rPr>
              <w:t>中</w:t>
            </w:r>
          </w:p>
        </w:tc>
        <w:tc>
          <w:tcPr>
            <w:tcW w:w="407" w:type="pct"/>
            <w:tcBorders>
              <w:left w:val="single" w:color="000000" w:sz="2" w:space="0"/>
            </w:tcBorders>
            <w:vAlign w:val="center"/>
          </w:tcPr>
          <w:p w14:paraId="68915F4D">
            <w:pPr>
              <w:spacing w:line="300" w:lineRule="exact"/>
              <w:jc w:val="center"/>
              <w:rPr>
                <w:rFonts w:hint="eastAsia" w:ascii="宋体" w:hAnsi="宋体" w:cs="Arial"/>
                <w:color w:val="auto"/>
                <w:szCs w:val="21"/>
              </w:rPr>
            </w:pPr>
            <w:r>
              <w:rPr>
                <w:rFonts w:hint="eastAsia" w:ascii="宋体" w:hAnsi="宋体" w:cs="Arial"/>
                <w:color w:val="auto"/>
                <w:szCs w:val="21"/>
              </w:rPr>
              <w:t>小</w:t>
            </w:r>
          </w:p>
        </w:tc>
        <w:tc>
          <w:tcPr>
            <w:tcW w:w="405" w:type="pct"/>
            <w:tcBorders>
              <w:right w:val="single" w:color="000000" w:sz="2" w:space="0"/>
            </w:tcBorders>
            <w:vAlign w:val="center"/>
          </w:tcPr>
          <w:p w14:paraId="2C01FCB1">
            <w:pPr>
              <w:spacing w:line="300" w:lineRule="exact"/>
              <w:jc w:val="center"/>
              <w:rPr>
                <w:rFonts w:hint="eastAsia" w:ascii="宋体" w:hAnsi="宋体" w:cs="Arial"/>
                <w:color w:val="auto"/>
                <w:szCs w:val="21"/>
              </w:rPr>
            </w:pPr>
            <w:r>
              <w:rPr>
                <w:rFonts w:hint="eastAsia" w:ascii="宋体" w:hAnsi="宋体" w:cs="Arial"/>
                <w:color w:val="auto"/>
                <w:szCs w:val="21"/>
              </w:rPr>
              <w:t>大</w:t>
            </w:r>
          </w:p>
        </w:tc>
        <w:tc>
          <w:tcPr>
            <w:tcW w:w="405" w:type="pct"/>
            <w:tcBorders>
              <w:left w:val="single" w:color="000000" w:sz="2" w:space="0"/>
              <w:right w:val="single" w:color="000000" w:sz="2" w:space="0"/>
            </w:tcBorders>
            <w:vAlign w:val="center"/>
          </w:tcPr>
          <w:p w14:paraId="6347E578">
            <w:pPr>
              <w:spacing w:line="300" w:lineRule="exact"/>
              <w:jc w:val="center"/>
              <w:rPr>
                <w:rFonts w:hint="eastAsia" w:ascii="宋体" w:hAnsi="宋体" w:cs="Arial"/>
                <w:color w:val="auto"/>
                <w:szCs w:val="21"/>
              </w:rPr>
            </w:pPr>
            <w:r>
              <w:rPr>
                <w:rFonts w:hint="eastAsia" w:ascii="宋体" w:hAnsi="宋体" w:cs="Arial"/>
                <w:color w:val="auto"/>
                <w:szCs w:val="21"/>
              </w:rPr>
              <w:t>中</w:t>
            </w:r>
          </w:p>
        </w:tc>
        <w:tc>
          <w:tcPr>
            <w:tcW w:w="408" w:type="pct"/>
            <w:tcBorders>
              <w:left w:val="single" w:color="000000" w:sz="2" w:space="0"/>
            </w:tcBorders>
            <w:vAlign w:val="center"/>
          </w:tcPr>
          <w:p w14:paraId="583B1E42">
            <w:pPr>
              <w:spacing w:line="300" w:lineRule="exact"/>
              <w:jc w:val="center"/>
              <w:rPr>
                <w:rFonts w:hint="eastAsia" w:ascii="宋体" w:hAnsi="宋体" w:cs="Arial"/>
                <w:color w:val="auto"/>
                <w:szCs w:val="21"/>
              </w:rPr>
            </w:pPr>
            <w:r>
              <w:rPr>
                <w:rFonts w:hint="eastAsia" w:ascii="宋体" w:hAnsi="宋体" w:cs="Arial"/>
                <w:color w:val="auto"/>
                <w:szCs w:val="21"/>
              </w:rPr>
              <w:t>小</w:t>
            </w:r>
          </w:p>
        </w:tc>
      </w:tr>
      <w:tr w14:paraId="3CA1ED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9" w:type="pct"/>
            <w:vAlign w:val="center"/>
          </w:tcPr>
          <w:p w14:paraId="23351642">
            <w:pPr>
              <w:spacing w:line="300" w:lineRule="exact"/>
              <w:jc w:val="center"/>
              <w:rPr>
                <w:rFonts w:hint="eastAsia" w:ascii="宋体" w:hAnsi="宋体" w:cs="Arial"/>
                <w:color w:val="auto"/>
                <w:szCs w:val="21"/>
              </w:rPr>
            </w:pPr>
            <w:r>
              <w:rPr>
                <w:rFonts w:hint="eastAsia" w:ascii="宋体" w:hAnsi="宋体" w:cs="Arial"/>
                <w:color w:val="auto"/>
                <w:szCs w:val="21"/>
              </w:rPr>
              <w:t>敏感</w:t>
            </w:r>
          </w:p>
        </w:tc>
        <w:tc>
          <w:tcPr>
            <w:tcW w:w="405" w:type="pct"/>
            <w:tcBorders>
              <w:right w:val="single" w:color="000000" w:sz="2" w:space="0"/>
            </w:tcBorders>
            <w:vAlign w:val="center"/>
          </w:tcPr>
          <w:p w14:paraId="46A3B453">
            <w:pPr>
              <w:spacing w:line="300" w:lineRule="exact"/>
              <w:jc w:val="center"/>
              <w:rPr>
                <w:rFonts w:hint="eastAsia" w:ascii="宋体" w:hAnsi="宋体" w:cs="Arial"/>
                <w:color w:val="auto"/>
                <w:szCs w:val="21"/>
              </w:rPr>
            </w:pPr>
            <w:r>
              <w:rPr>
                <w:rFonts w:hint="eastAsia" w:ascii="宋体" w:hAnsi="宋体" w:cs="Arial"/>
                <w:color w:val="auto"/>
                <w:szCs w:val="21"/>
              </w:rPr>
              <w:t>一级</w:t>
            </w:r>
          </w:p>
        </w:tc>
        <w:tc>
          <w:tcPr>
            <w:tcW w:w="405" w:type="pct"/>
            <w:tcBorders>
              <w:left w:val="single" w:color="000000" w:sz="2" w:space="0"/>
              <w:right w:val="single" w:color="000000" w:sz="2" w:space="0"/>
            </w:tcBorders>
            <w:vAlign w:val="center"/>
          </w:tcPr>
          <w:p w14:paraId="11499F89">
            <w:pPr>
              <w:spacing w:line="300" w:lineRule="exact"/>
              <w:jc w:val="center"/>
              <w:rPr>
                <w:rFonts w:hint="eastAsia" w:ascii="宋体" w:hAnsi="宋体" w:cs="Arial"/>
                <w:color w:val="auto"/>
                <w:szCs w:val="21"/>
              </w:rPr>
            </w:pPr>
            <w:r>
              <w:rPr>
                <w:rFonts w:hint="eastAsia" w:ascii="宋体" w:hAnsi="宋体" w:cs="Arial"/>
                <w:color w:val="auto"/>
                <w:szCs w:val="21"/>
              </w:rPr>
              <w:t>一级</w:t>
            </w:r>
          </w:p>
        </w:tc>
        <w:tc>
          <w:tcPr>
            <w:tcW w:w="406" w:type="pct"/>
            <w:tcBorders>
              <w:left w:val="single" w:color="000000" w:sz="2" w:space="0"/>
            </w:tcBorders>
            <w:vAlign w:val="center"/>
          </w:tcPr>
          <w:p w14:paraId="5079F3E8">
            <w:pPr>
              <w:spacing w:line="300" w:lineRule="exact"/>
              <w:jc w:val="center"/>
              <w:rPr>
                <w:rFonts w:hint="eastAsia" w:ascii="宋体" w:hAnsi="宋体" w:cs="Arial"/>
                <w:color w:val="auto"/>
                <w:szCs w:val="21"/>
              </w:rPr>
            </w:pPr>
            <w:r>
              <w:rPr>
                <w:rFonts w:hint="eastAsia" w:ascii="宋体" w:hAnsi="宋体" w:cs="Arial"/>
                <w:color w:val="auto"/>
                <w:szCs w:val="21"/>
              </w:rPr>
              <w:t>一级</w:t>
            </w:r>
          </w:p>
        </w:tc>
        <w:tc>
          <w:tcPr>
            <w:tcW w:w="405" w:type="pct"/>
            <w:tcBorders>
              <w:right w:val="single" w:color="000000" w:sz="2" w:space="0"/>
            </w:tcBorders>
            <w:vAlign w:val="center"/>
          </w:tcPr>
          <w:p w14:paraId="718EDA67">
            <w:pPr>
              <w:spacing w:line="300" w:lineRule="exact"/>
              <w:jc w:val="center"/>
              <w:rPr>
                <w:rFonts w:hint="eastAsia" w:ascii="宋体" w:hAnsi="宋体" w:cs="Arial"/>
                <w:color w:val="auto"/>
                <w:szCs w:val="21"/>
              </w:rPr>
            </w:pPr>
            <w:r>
              <w:rPr>
                <w:rFonts w:hint="eastAsia" w:ascii="宋体" w:hAnsi="宋体" w:cs="Arial"/>
                <w:color w:val="auto"/>
                <w:szCs w:val="21"/>
              </w:rPr>
              <w:t>二级</w:t>
            </w:r>
          </w:p>
        </w:tc>
        <w:tc>
          <w:tcPr>
            <w:tcW w:w="405" w:type="pct"/>
            <w:tcBorders>
              <w:left w:val="single" w:color="000000" w:sz="2" w:space="0"/>
              <w:right w:val="single" w:color="000000" w:sz="2" w:space="0"/>
            </w:tcBorders>
            <w:vAlign w:val="center"/>
          </w:tcPr>
          <w:p w14:paraId="105D9A6E">
            <w:pPr>
              <w:spacing w:line="300" w:lineRule="exact"/>
              <w:jc w:val="center"/>
              <w:rPr>
                <w:rFonts w:hint="eastAsia" w:ascii="宋体" w:hAnsi="宋体" w:cs="Arial"/>
                <w:color w:val="auto"/>
                <w:szCs w:val="21"/>
              </w:rPr>
            </w:pPr>
            <w:r>
              <w:rPr>
                <w:rFonts w:hint="eastAsia" w:ascii="宋体" w:hAnsi="宋体" w:cs="Arial"/>
                <w:color w:val="auto"/>
                <w:szCs w:val="21"/>
              </w:rPr>
              <w:t>二级</w:t>
            </w:r>
          </w:p>
        </w:tc>
        <w:tc>
          <w:tcPr>
            <w:tcW w:w="407" w:type="pct"/>
            <w:tcBorders>
              <w:left w:val="single" w:color="000000" w:sz="2" w:space="0"/>
            </w:tcBorders>
            <w:vAlign w:val="center"/>
          </w:tcPr>
          <w:p w14:paraId="71FA2EEC">
            <w:pPr>
              <w:spacing w:line="300" w:lineRule="exact"/>
              <w:jc w:val="center"/>
              <w:rPr>
                <w:rFonts w:hint="eastAsia" w:ascii="宋体" w:hAnsi="宋体" w:cs="Arial"/>
                <w:color w:val="auto"/>
                <w:szCs w:val="21"/>
              </w:rPr>
            </w:pPr>
            <w:r>
              <w:rPr>
                <w:rFonts w:hint="eastAsia" w:ascii="宋体" w:hAnsi="宋体" w:cs="Arial"/>
                <w:color w:val="auto"/>
                <w:szCs w:val="21"/>
              </w:rPr>
              <w:t>二级</w:t>
            </w:r>
          </w:p>
        </w:tc>
        <w:tc>
          <w:tcPr>
            <w:tcW w:w="405" w:type="pct"/>
            <w:tcBorders>
              <w:right w:val="single" w:color="000000" w:sz="2" w:space="0"/>
            </w:tcBorders>
            <w:vAlign w:val="center"/>
          </w:tcPr>
          <w:p w14:paraId="25E70015">
            <w:pPr>
              <w:spacing w:line="300" w:lineRule="exact"/>
              <w:jc w:val="center"/>
              <w:rPr>
                <w:rFonts w:hint="eastAsia" w:ascii="宋体" w:hAnsi="宋体" w:cs="Arial"/>
                <w:color w:val="auto"/>
                <w:szCs w:val="21"/>
              </w:rPr>
            </w:pPr>
            <w:r>
              <w:rPr>
                <w:rFonts w:hint="eastAsia" w:ascii="宋体" w:hAnsi="宋体" w:cs="Arial"/>
                <w:color w:val="auto"/>
                <w:szCs w:val="21"/>
              </w:rPr>
              <w:t>三级</w:t>
            </w:r>
          </w:p>
        </w:tc>
        <w:tc>
          <w:tcPr>
            <w:tcW w:w="405" w:type="pct"/>
            <w:tcBorders>
              <w:left w:val="single" w:color="000000" w:sz="2" w:space="0"/>
              <w:right w:val="single" w:color="000000" w:sz="2" w:space="0"/>
            </w:tcBorders>
            <w:vAlign w:val="center"/>
          </w:tcPr>
          <w:p w14:paraId="29FAF248">
            <w:pPr>
              <w:spacing w:line="300" w:lineRule="exact"/>
              <w:jc w:val="center"/>
              <w:rPr>
                <w:rFonts w:hint="eastAsia" w:ascii="宋体" w:hAnsi="宋体" w:cs="Arial"/>
                <w:color w:val="auto"/>
                <w:szCs w:val="21"/>
              </w:rPr>
            </w:pPr>
            <w:r>
              <w:rPr>
                <w:rFonts w:hint="eastAsia" w:ascii="宋体" w:hAnsi="宋体" w:cs="Arial"/>
                <w:color w:val="auto"/>
                <w:szCs w:val="21"/>
              </w:rPr>
              <w:t>三级</w:t>
            </w:r>
          </w:p>
        </w:tc>
        <w:tc>
          <w:tcPr>
            <w:tcW w:w="408" w:type="pct"/>
            <w:tcBorders>
              <w:left w:val="single" w:color="000000" w:sz="2" w:space="0"/>
            </w:tcBorders>
            <w:vAlign w:val="center"/>
          </w:tcPr>
          <w:p w14:paraId="1B2D8708">
            <w:pPr>
              <w:spacing w:line="300" w:lineRule="exact"/>
              <w:jc w:val="center"/>
              <w:rPr>
                <w:rFonts w:hint="eastAsia" w:ascii="宋体" w:hAnsi="宋体" w:cs="Arial"/>
                <w:color w:val="auto"/>
                <w:szCs w:val="21"/>
              </w:rPr>
            </w:pPr>
            <w:r>
              <w:rPr>
                <w:rFonts w:hint="eastAsia" w:ascii="宋体" w:hAnsi="宋体" w:cs="Arial"/>
                <w:color w:val="auto"/>
                <w:szCs w:val="21"/>
              </w:rPr>
              <w:t>三级</w:t>
            </w:r>
          </w:p>
        </w:tc>
      </w:tr>
      <w:tr w14:paraId="741E35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9" w:type="pct"/>
            <w:vAlign w:val="center"/>
          </w:tcPr>
          <w:p w14:paraId="2B1AD542">
            <w:pPr>
              <w:spacing w:line="300" w:lineRule="exact"/>
              <w:jc w:val="center"/>
              <w:rPr>
                <w:rFonts w:hint="eastAsia" w:ascii="宋体" w:hAnsi="宋体" w:cs="Arial"/>
                <w:color w:val="auto"/>
                <w:szCs w:val="21"/>
              </w:rPr>
            </w:pPr>
            <w:r>
              <w:rPr>
                <w:rFonts w:hint="eastAsia" w:ascii="宋体" w:hAnsi="宋体" w:cs="Arial"/>
                <w:color w:val="auto"/>
                <w:szCs w:val="21"/>
              </w:rPr>
              <w:t>较敏感</w:t>
            </w:r>
          </w:p>
        </w:tc>
        <w:tc>
          <w:tcPr>
            <w:tcW w:w="405" w:type="pct"/>
            <w:tcBorders>
              <w:right w:val="single" w:color="000000" w:sz="2" w:space="0"/>
            </w:tcBorders>
            <w:vAlign w:val="center"/>
          </w:tcPr>
          <w:p w14:paraId="3F7416B9">
            <w:pPr>
              <w:spacing w:line="300" w:lineRule="exact"/>
              <w:jc w:val="center"/>
              <w:rPr>
                <w:rFonts w:hint="eastAsia" w:ascii="宋体" w:hAnsi="宋体" w:cs="Arial"/>
                <w:color w:val="auto"/>
                <w:szCs w:val="21"/>
              </w:rPr>
            </w:pPr>
            <w:r>
              <w:rPr>
                <w:rFonts w:hint="eastAsia" w:ascii="宋体" w:hAnsi="宋体" w:cs="Arial"/>
                <w:color w:val="auto"/>
                <w:szCs w:val="21"/>
              </w:rPr>
              <w:t>一级</w:t>
            </w:r>
          </w:p>
        </w:tc>
        <w:tc>
          <w:tcPr>
            <w:tcW w:w="405" w:type="pct"/>
            <w:tcBorders>
              <w:left w:val="single" w:color="000000" w:sz="2" w:space="0"/>
              <w:right w:val="single" w:color="000000" w:sz="2" w:space="0"/>
            </w:tcBorders>
            <w:vAlign w:val="center"/>
          </w:tcPr>
          <w:p w14:paraId="63989790">
            <w:pPr>
              <w:spacing w:line="300" w:lineRule="exact"/>
              <w:jc w:val="center"/>
              <w:rPr>
                <w:rFonts w:hint="eastAsia" w:ascii="宋体" w:hAnsi="宋体" w:cs="Arial"/>
                <w:color w:val="auto"/>
                <w:szCs w:val="21"/>
              </w:rPr>
            </w:pPr>
            <w:r>
              <w:rPr>
                <w:rFonts w:hint="eastAsia" w:ascii="宋体" w:hAnsi="宋体" w:cs="Arial"/>
                <w:color w:val="auto"/>
                <w:szCs w:val="21"/>
              </w:rPr>
              <w:t>一级</w:t>
            </w:r>
          </w:p>
        </w:tc>
        <w:tc>
          <w:tcPr>
            <w:tcW w:w="406" w:type="pct"/>
            <w:tcBorders>
              <w:left w:val="single" w:color="000000" w:sz="2" w:space="0"/>
            </w:tcBorders>
            <w:vAlign w:val="center"/>
          </w:tcPr>
          <w:p w14:paraId="6FFB5FC7">
            <w:pPr>
              <w:spacing w:line="300" w:lineRule="exact"/>
              <w:jc w:val="center"/>
              <w:rPr>
                <w:rFonts w:hint="eastAsia" w:ascii="宋体" w:hAnsi="宋体" w:cs="Arial"/>
                <w:color w:val="auto"/>
                <w:szCs w:val="21"/>
              </w:rPr>
            </w:pPr>
            <w:r>
              <w:rPr>
                <w:rFonts w:hint="eastAsia" w:ascii="宋体" w:hAnsi="宋体" w:cs="Arial"/>
                <w:color w:val="auto"/>
                <w:szCs w:val="21"/>
              </w:rPr>
              <w:t>二级</w:t>
            </w:r>
          </w:p>
        </w:tc>
        <w:tc>
          <w:tcPr>
            <w:tcW w:w="405" w:type="pct"/>
            <w:tcBorders>
              <w:right w:val="single" w:color="000000" w:sz="2" w:space="0"/>
            </w:tcBorders>
            <w:vAlign w:val="center"/>
          </w:tcPr>
          <w:p w14:paraId="199647C9">
            <w:pPr>
              <w:spacing w:line="300" w:lineRule="exact"/>
              <w:jc w:val="center"/>
              <w:rPr>
                <w:rFonts w:hint="eastAsia" w:ascii="宋体" w:hAnsi="宋体" w:cs="Arial"/>
                <w:color w:val="auto"/>
                <w:szCs w:val="21"/>
              </w:rPr>
            </w:pPr>
            <w:r>
              <w:rPr>
                <w:rFonts w:hint="eastAsia" w:ascii="宋体" w:hAnsi="宋体" w:cs="Arial"/>
                <w:color w:val="auto"/>
                <w:szCs w:val="21"/>
              </w:rPr>
              <w:t>二级</w:t>
            </w:r>
          </w:p>
        </w:tc>
        <w:tc>
          <w:tcPr>
            <w:tcW w:w="405" w:type="pct"/>
            <w:tcBorders>
              <w:left w:val="single" w:color="000000" w:sz="2" w:space="0"/>
              <w:right w:val="single" w:color="000000" w:sz="2" w:space="0"/>
            </w:tcBorders>
            <w:vAlign w:val="center"/>
          </w:tcPr>
          <w:p w14:paraId="354CB27A">
            <w:pPr>
              <w:spacing w:line="300" w:lineRule="exact"/>
              <w:jc w:val="center"/>
              <w:rPr>
                <w:rFonts w:hint="eastAsia" w:ascii="宋体" w:hAnsi="宋体" w:cs="Arial"/>
                <w:color w:val="auto"/>
                <w:szCs w:val="21"/>
              </w:rPr>
            </w:pPr>
            <w:r>
              <w:rPr>
                <w:rFonts w:hint="eastAsia" w:ascii="宋体" w:hAnsi="宋体" w:cs="Arial"/>
                <w:color w:val="auto"/>
                <w:szCs w:val="21"/>
              </w:rPr>
              <w:t>二级</w:t>
            </w:r>
          </w:p>
        </w:tc>
        <w:tc>
          <w:tcPr>
            <w:tcW w:w="407" w:type="pct"/>
            <w:tcBorders>
              <w:left w:val="single" w:color="000000" w:sz="2" w:space="0"/>
            </w:tcBorders>
            <w:vAlign w:val="center"/>
          </w:tcPr>
          <w:p w14:paraId="5A67BE99">
            <w:pPr>
              <w:spacing w:line="300" w:lineRule="exact"/>
              <w:jc w:val="center"/>
              <w:rPr>
                <w:rFonts w:hint="eastAsia" w:ascii="宋体" w:hAnsi="宋体" w:cs="Arial"/>
                <w:color w:val="auto"/>
                <w:szCs w:val="21"/>
              </w:rPr>
            </w:pPr>
            <w:r>
              <w:rPr>
                <w:rFonts w:hint="eastAsia" w:ascii="宋体" w:hAnsi="宋体" w:cs="Arial"/>
                <w:color w:val="auto"/>
                <w:szCs w:val="21"/>
              </w:rPr>
              <w:t>三级</w:t>
            </w:r>
          </w:p>
        </w:tc>
        <w:tc>
          <w:tcPr>
            <w:tcW w:w="405" w:type="pct"/>
            <w:tcBorders>
              <w:right w:val="single" w:color="000000" w:sz="2" w:space="0"/>
            </w:tcBorders>
            <w:vAlign w:val="center"/>
          </w:tcPr>
          <w:p w14:paraId="5907C9F9">
            <w:pPr>
              <w:spacing w:line="300" w:lineRule="exact"/>
              <w:jc w:val="center"/>
              <w:rPr>
                <w:rFonts w:hint="eastAsia" w:ascii="宋体" w:hAnsi="宋体" w:cs="Arial"/>
                <w:color w:val="auto"/>
                <w:szCs w:val="21"/>
              </w:rPr>
            </w:pPr>
            <w:r>
              <w:rPr>
                <w:rFonts w:hint="eastAsia" w:ascii="宋体" w:hAnsi="宋体" w:cs="Arial"/>
                <w:color w:val="auto"/>
                <w:szCs w:val="21"/>
              </w:rPr>
              <w:t>三级</w:t>
            </w:r>
          </w:p>
        </w:tc>
        <w:tc>
          <w:tcPr>
            <w:tcW w:w="405" w:type="pct"/>
            <w:tcBorders>
              <w:left w:val="single" w:color="000000" w:sz="2" w:space="0"/>
              <w:right w:val="single" w:color="000000" w:sz="2" w:space="0"/>
            </w:tcBorders>
            <w:vAlign w:val="center"/>
          </w:tcPr>
          <w:p w14:paraId="1ADC3FDC">
            <w:pPr>
              <w:spacing w:line="300" w:lineRule="exact"/>
              <w:jc w:val="center"/>
              <w:rPr>
                <w:rFonts w:hint="eastAsia" w:ascii="宋体" w:hAnsi="宋体" w:cs="Arial"/>
                <w:color w:val="auto"/>
                <w:szCs w:val="21"/>
              </w:rPr>
            </w:pPr>
            <w:r>
              <w:rPr>
                <w:rFonts w:hint="eastAsia" w:ascii="宋体" w:hAnsi="宋体" w:cs="Arial"/>
                <w:color w:val="auto"/>
                <w:szCs w:val="21"/>
              </w:rPr>
              <w:t>三级</w:t>
            </w:r>
          </w:p>
        </w:tc>
        <w:tc>
          <w:tcPr>
            <w:tcW w:w="408" w:type="pct"/>
            <w:tcBorders>
              <w:left w:val="single" w:color="000000" w:sz="2" w:space="0"/>
            </w:tcBorders>
            <w:vAlign w:val="center"/>
          </w:tcPr>
          <w:p w14:paraId="0E8A8BB4">
            <w:pPr>
              <w:spacing w:line="300" w:lineRule="exact"/>
              <w:jc w:val="center"/>
              <w:rPr>
                <w:rFonts w:hint="eastAsia" w:ascii="宋体" w:hAnsi="宋体" w:cs="Arial"/>
                <w:color w:val="auto"/>
                <w:szCs w:val="21"/>
              </w:rPr>
            </w:pPr>
            <w:r>
              <w:rPr>
                <w:rFonts w:hint="eastAsia" w:ascii="宋体" w:hAnsi="宋体" w:cs="Arial"/>
                <w:color w:val="auto"/>
                <w:szCs w:val="21"/>
              </w:rPr>
              <w:t>-</w:t>
            </w:r>
          </w:p>
        </w:tc>
      </w:tr>
      <w:tr w14:paraId="4C7DA8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9" w:type="pct"/>
            <w:vAlign w:val="center"/>
          </w:tcPr>
          <w:p w14:paraId="45F2C4E5">
            <w:pPr>
              <w:spacing w:line="300" w:lineRule="exact"/>
              <w:jc w:val="center"/>
              <w:rPr>
                <w:rFonts w:hint="eastAsia" w:ascii="宋体" w:hAnsi="宋体" w:cs="Arial"/>
                <w:color w:val="auto"/>
                <w:szCs w:val="21"/>
              </w:rPr>
            </w:pPr>
            <w:r>
              <w:rPr>
                <w:rFonts w:hint="eastAsia" w:ascii="宋体" w:hAnsi="宋体" w:cs="Arial"/>
                <w:color w:val="auto"/>
                <w:szCs w:val="21"/>
              </w:rPr>
              <w:t>不敏感</w:t>
            </w:r>
          </w:p>
        </w:tc>
        <w:tc>
          <w:tcPr>
            <w:tcW w:w="405" w:type="pct"/>
            <w:tcBorders>
              <w:right w:val="single" w:color="000000" w:sz="2" w:space="0"/>
            </w:tcBorders>
            <w:vAlign w:val="center"/>
          </w:tcPr>
          <w:p w14:paraId="0D786C5F">
            <w:pPr>
              <w:spacing w:line="300" w:lineRule="exact"/>
              <w:jc w:val="center"/>
              <w:rPr>
                <w:rFonts w:hint="eastAsia" w:ascii="宋体" w:hAnsi="宋体" w:cs="Arial"/>
                <w:color w:val="auto"/>
                <w:szCs w:val="21"/>
              </w:rPr>
            </w:pPr>
            <w:r>
              <w:rPr>
                <w:rFonts w:hint="eastAsia" w:ascii="宋体" w:hAnsi="宋体" w:cs="Arial"/>
                <w:color w:val="auto"/>
                <w:szCs w:val="21"/>
              </w:rPr>
              <w:t>一级</w:t>
            </w:r>
          </w:p>
        </w:tc>
        <w:tc>
          <w:tcPr>
            <w:tcW w:w="405" w:type="pct"/>
            <w:tcBorders>
              <w:left w:val="single" w:color="000000" w:sz="2" w:space="0"/>
              <w:right w:val="single" w:color="000000" w:sz="2" w:space="0"/>
            </w:tcBorders>
            <w:vAlign w:val="center"/>
          </w:tcPr>
          <w:p w14:paraId="5FE2308E">
            <w:pPr>
              <w:spacing w:line="300" w:lineRule="exact"/>
              <w:jc w:val="center"/>
              <w:rPr>
                <w:rFonts w:hint="eastAsia" w:ascii="宋体" w:hAnsi="宋体" w:cs="Arial"/>
                <w:color w:val="auto"/>
                <w:szCs w:val="21"/>
              </w:rPr>
            </w:pPr>
            <w:r>
              <w:rPr>
                <w:rFonts w:hint="eastAsia" w:ascii="宋体" w:hAnsi="宋体" w:cs="Arial"/>
                <w:color w:val="auto"/>
                <w:szCs w:val="21"/>
              </w:rPr>
              <w:t>二级</w:t>
            </w:r>
          </w:p>
        </w:tc>
        <w:tc>
          <w:tcPr>
            <w:tcW w:w="406" w:type="pct"/>
            <w:tcBorders>
              <w:left w:val="single" w:color="000000" w:sz="2" w:space="0"/>
            </w:tcBorders>
            <w:vAlign w:val="center"/>
          </w:tcPr>
          <w:p w14:paraId="036DB2B2">
            <w:pPr>
              <w:spacing w:line="300" w:lineRule="exact"/>
              <w:jc w:val="center"/>
              <w:rPr>
                <w:rFonts w:hint="eastAsia" w:ascii="宋体" w:hAnsi="宋体" w:cs="Arial"/>
                <w:color w:val="auto"/>
                <w:szCs w:val="21"/>
              </w:rPr>
            </w:pPr>
            <w:r>
              <w:rPr>
                <w:rFonts w:hint="eastAsia" w:ascii="宋体" w:hAnsi="宋体" w:cs="Arial"/>
                <w:color w:val="auto"/>
                <w:szCs w:val="21"/>
              </w:rPr>
              <w:t>二级</w:t>
            </w:r>
          </w:p>
        </w:tc>
        <w:tc>
          <w:tcPr>
            <w:tcW w:w="405" w:type="pct"/>
            <w:tcBorders>
              <w:right w:val="single" w:color="000000" w:sz="2" w:space="0"/>
            </w:tcBorders>
            <w:vAlign w:val="center"/>
          </w:tcPr>
          <w:p w14:paraId="226D1ADA">
            <w:pPr>
              <w:spacing w:line="300" w:lineRule="exact"/>
              <w:jc w:val="center"/>
              <w:rPr>
                <w:rFonts w:hint="eastAsia" w:ascii="宋体" w:hAnsi="宋体" w:cs="Arial"/>
                <w:color w:val="auto"/>
                <w:szCs w:val="21"/>
              </w:rPr>
            </w:pPr>
            <w:r>
              <w:rPr>
                <w:rFonts w:hint="eastAsia" w:ascii="宋体" w:hAnsi="宋体" w:cs="Arial"/>
                <w:color w:val="auto"/>
                <w:szCs w:val="21"/>
              </w:rPr>
              <w:t>二级</w:t>
            </w:r>
          </w:p>
        </w:tc>
        <w:tc>
          <w:tcPr>
            <w:tcW w:w="405" w:type="pct"/>
            <w:tcBorders>
              <w:left w:val="single" w:color="000000" w:sz="2" w:space="0"/>
              <w:right w:val="single" w:color="000000" w:sz="2" w:space="0"/>
            </w:tcBorders>
            <w:vAlign w:val="center"/>
          </w:tcPr>
          <w:p w14:paraId="4EABDBE9">
            <w:pPr>
              <w:spacing w:line="300" w:lineRule="exact"/>
              <w:jc w:val="center"/>
              <w:rPr>
                <w:rFonts w:hint="eastAsia" w:ascii="宋体" w:hAnsi="宋体" w:cs="Arial"/>
                <w:color w:val="auto"/>
                <w:szCs w:val="21"/>
              </w:rPr>
            </w:pPr>
            <w:r>
              <w:rPr>
                <w:rFonts w:hint="eastAsia" w:ascii="宋体" w:hAnsi="宋体" w:cs="Arial"/>
                <w:color w:val="auto"/>
                <w:szCs w:val="21"/>
              </w:rPr>
              <w:t>三级</w:t>
            </w:r>
          </w:p>
        </w:tc>
        <w:tc>
          <w:tcPr>
            <w:tcW w:w="407" w:type="pct"/>
            <w:tcBorders>
              <w:left w:val="single" w:color="000000" w:sz="2" w:space="0"/>
            </w:tcBorders>
            <w:vAlign w:val="center"/>
          </w:tcPr>
          <w:p w14:paraId="322054C2">
            <w:pPr>
              <w:spacing w:line="300" w:lineRule="exact"/>
              <w:jc w:val="center"/>
              <w:rPr>
                <w:rFonts w:hint="eastAsia" w:ascii="宋体" w:hAnsi="宋体" w:cs="Arial"/>
                <w:color w:val="auto"/>
                <w:szCs w:val="21"/>
              </w:rPr>
            </w:pPr>
            <w:r>
              <w:rPr>
                <w:rFonts w:hint="eastAsia" w:ascii="宋体" w:hAnsi="宋体" w:cs="Arial"/>
                <w:color w:val="auto"/>
                <w:szCs w:val="21"/>
              </w:rPr>
              <w:t>三级</w:t>
            </w:r>
          </w:p>
        </w:tc>
        <w:tc>
          <w:tcPr>
            <w:tcW w:w="405" w:type="pct"/>
            <w:tcBorders>
              <w:right w:val="single" w:color="000000" w:sz="2" w:space="0"/>
            </w:tcBorders>
            <w:vAlign w:val="center"/>
          </w:tcPr>
          <w:p w14:paraId="1D606B86">
            <w:pPr>
              <w:spacing w:line="300" w:lineRule="exact"/>
              <w:jc w:val="center"/>
              <w:rPr>
                <w:rFonts w:hint="eastAsia" w:ascii="宋体" w:hAnsi="宋体" w:cs="Arial"/>
                <w:color w:val="auto"/>
                <w:szCs w:val="21"/>
              </w:rPr>
            </w:pPr>
            <w:r>
              <w:rPr>
                <w:rFonts w:hint="eastAsia" w:ascii="宋体" w:hAnsi="宋体" w:cs="Arial"/>
                <w:color w:val="auto"/>
                <w:szCs w:val="21"/>
              </w:rPr>
              <w:t>三级</w:t>
            </w:r>
          </w:p>
        </w:tc>
        <w:tc>
          <w:tcPr>
            <w:tcW w:w="405" w:type="pct"/>
            <w:tcBorders>
              <w:left w:val="single" w:color="000000" w:sz="2" w:space="0"/>
              <w:right w:val="single" w:color="000000" w:sz="2" w:space="0"/>
            </w:tcBorders>
            <w:vAlign w:val="center"/>
          </w:tcPr>
          <w:p w14:paraId="1709AD61">
            <w:pPr>
              <w:spacing w:line="300" w:lineRule="exact"/>
              <w:jc w:val="center"/>
              <w:rPr>
                <w:rFonts w:hint="eastAsia" w:ascii="宋体" w:hAnsi="宋体" w:cs="Arial"/>
                <w:color w:val="auto"/>
                <w:szCs w:val="21"/>
              </w:rPr>
            </w:pPr>
            <w:r>
              <w:rPr>
                <w:rFonts w:hint="eastAsia" w:ascii="宋体" w:hAnsi="宋体" w:cs="Arial"/>
                <w:color w:val="auto"/>
                <w:szCs w:val="21"/>
              </w:rPr>
              <w:t>-</w:t>
            </w:r>
          </w:p>
        </w:tc>
        <w:tc>
          <w:tcPr>
            <w:tcW w:w="408" w:type="pct"/>
            <w:tcBorders>
              <w:left w:val="single" w:color="000000" w:sz="2" w:space="0"/>
            </w:tcBorders>
            <w:vAlign w:val="center"/>
          </w:tcPr>
          <w:p w14:paraId="694D1078">
            <w:pPr>
              <w:spacing w:line="300" w:lineRule="exact"/>
              <w:jc w:val="center"/>
              <w:rPr>
                <w:rFonts w:hint="eastAsia" w:ascii="宋体" w:hAnsi="宋体" w:cs="Arial"/>
                <w:color w:val="auto"/>
                <w:szCs w:val="21"/>
              </w:rPr>
            </w:pPr>
            <w:r>
              <w:rPr>
                <w:rFonts w:hint="eastAsia" w:ascii="宋体" w:hAnsi="宋体" w:cs="Arial"/>
                <w:color w:val="auto"/>
                <w:szCs w:val="21"/>
              </w:rPr>
              <w:t>-</w:t>
            </w:r>
          </w:p>
        </w:tc>
      </w:tr>
      <w:bookmarkEnd w:id="131"/>
    </w:tbl>
    <w:p w14:paraId="0BAAC037">
      <w:pPr>
        <w:pStyle w:val="86"/>
        <w:spacing w:line="480" w:lineRule="exact"/>
        <w:ind w:firstLine="480"/>
        <w:rPr>
          <w:rFonts w:hint="eastAsia"/>
          <w:color w:val="auto"/>
          <w:lang w:val="zh-CN"/>
        </w:rPr>
      </w:pPr>
      <w:r>
        <w:rPr>
          <w:rFonts w:hint="eastAsia"/>
          <w:color w:val="auto"/>
          <w:lang w:val="zh-CN"/>
        </w:rPr>
        <w:t>※占地规模</w:t>
      </w:r>
    </w:p>
    <w:p w14:paraId="309CB1FB">
      <w:pPr>
        <w:pStyle w:val="86"/>
        <w:spacing w:line="480" w:lineRule="exact"/>
        <w:ind w:firstLine="480"/>
        <w:rPr>
          <w:rFonts w:hint="eastAsia"/>
          <w:color w:val="auto"/>
          <w:lang w:val="zh-CN"/>
        </w:rPr>
      </w:pPr>
      <w:r>
        <w:rPr>
          <w:rFonts w:hint="eastAsia"/>
          <w:color w:val="auto"/>
          <w:lang w:val="zh-CN"/>
        </w:rPr>
        <w:t>永久占地面积约2.185</w:t>
      </w:r>
      <w:r>
        <w:rPr>
          <w:color w:val="auto"/>
          <w:lang w:val="zh-CN"/>
        </w:rPr>
        <w:t>hm</w:t>
      </w:r>
      <w:r>
        <w:rPr>
          <w:color w:val="auto"/>
          <w:vertAlign w:val="superscript"/>
          <w:lang w:val="zh-CN"/>
        </w:rPr>
        <w:t>2</w:t>
      </w:r>
      <w:r>
        <w:rPr>
          <w:rFonts w:hint="eastAsia"/>
          <w:color w:val="auto"/>
          <w:lang w:val="zh-CN"/>
        </w:rPr>
        <w:t>，占地规模为小型。</w:t>
      </w:r>
    </w:p>
    <w:p w14:paraId="0664C646">
      <w:pPr>
        <w:pStyle w:val="86"/>
        <w:spacing w:line="480" w:lineRule="exact"/>
        <w:ind w:firstLine="480"/>
        <w:rPr>
          <w:rFonts w:hint="eastAsia"/>
          <w:color w:val="auto"/>
          <w:lang w:val="zh-CN"/>
        </w:rPr>
      </w:pPr>
      <w:r>
        <w:rPr>
          <w:rFonts w:hint="eastAsia"/>
          <w:color w:val="auto"/>
          <w:lang w:val="zh-CN"/>
        </w:rPr>
        <w:t>※土壤环境敏感程度</w:t>
      </w:r>
    </w:p>
    <w:p w14:paraId="631727F8">
      <w:pPr>
        <w:pStyle w:val="86"/>
        <w:spacing w:line="480" w:lineRule="exact"/>
        <w:ind w:firstLine="480"/>
        <w:rPr>
          <w:rFonts w:hint="eastAsia"/>
          <w:color w:val="auto"/>
          <w:lang w:val="zh-CN"/>
        </w:rPr>
      </w:pPr>
      <w:r>
        <w:rPr>
          <w:rFonts w:hint="eastAsia"/>
          <w:color w:val="auto"/>
          <w:lang w:val="zh-CN"/>
        </w:rPr>
        <w:t>建设项目所在地周边的环境影响敏感程度分为敏感、较敏感、不敏感，判别依据详见表2.</w:t>
      </w:r>
      <w:r>
        <w:rPr>
          <w:color w:val="auto"/>
          <w:lang w:val="zh-CN"/>
        </w:rPr>
        <w:t>6</w:t>
      </w:r>
      <w:r>
        <w:rPr>
          <w:rFonts w:hint="eastAsia"/>
          <w:color w:val="auto"/>
          <w:lang w:val="zh-CN"/>
        </w:rPr>
        <w:t>-7。</w:t>
      </w:r>
    </w:p>
    <w:p w14:paraId="0A654C4F">
      <w:pPr>
        <w:pStyle w:val="15"/>
        <w:rPr>
          <w:rFonts w:hint="eastAsia"/>
          <w:color w:val="auto"/>
        </w:rPr>
      </w:pPr>
      <w:r>
        <w:rPr>
          <w:rFonts w:hint="eastAsia"/>
          <w:color w:val="auto"/>
        </w:rPr>
        <w:t>表2.</w:t>
      </w:r>
      <w:r>
        <w:rPr>
          <w:color w:val="auto"/>
        </w:rPr>
        <w:t>6</w:t>
      </w:r>
      <w:r>
        <w:rPr>
          <w:rFonts w:hint="eastAsia"/>
          <w:color w:val="auto"/>
        </w:rPr>
        <w:t>-7  污染影响型敏感程度分级表</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17"/>
        <w:gridCol w:w="7531"/>
      </w:tblGrid>
      <w:tr w14:paraId="06A9AD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7" w:type="dxa"/>
            <w:vAlign w:val="center"/>
          </w:tcPr>
          <w:p w14:paraId="6B2D25CC">
            <w:pPr>
              <w:spacing w:line="300" w:lineRule="exact"/>
              <w:jc w:val="center"/>
              <w:rPr>
                <w:rFonts w:hint="eastAsia" w:ascii="宋体" w:hAnsi="宋体"/>
                <w:color w:val="auto"/>
                <w:kern w:val="0"/>
                <w:szCs w:val="21"/>
              </w:rPr>
            </w:pPr>
            <w:r>
              <w:rPr>
                <w:rFonts w:hint="eastAsia" w:ascii="宋体" w:hAnsi="宋体"/>
                <w:color w:val="auto"/>
                <w:kern w:val="0"/>
                <w:szCs w:val="21"/>
              </w:rPr>
              <w:t>敏感程度</w:t>
            </w:r>
          </w:p>
        </w:tc>
        <w:tc>
          <w:tcPr>
            <w:tcW w:w="7531" w:type="dxa"/>
            <w:vAlign w:val="center"/>
          </w:tcPr>
          <w:p w14:paraId="3E0FFEAB">
            <w:pPr>
              <w:spacing w:line="300" w:lineRule="exact"/>
              <w:jc w:val="center"/>
              <w:rPr>
                <w:rFonts w:hint="eastAsia" w:ascii="宋体" w:hAnsi="宋体"/>
                <w:color w:val="auto"/>
                <w:kern w:val="0"/>
                <w:szCs w:val="21"/>
              </w:rPr>
            </w:pPr>
            <w:r>
              <w:rPr>
                <w:rFonts w:hint="eastAsia" w:ascii="宋体" w:hAnsi="宋体"/>
                <w:color w:val="auto"/>
                <w:kern w:val="0"/>
                <w:szCs w:val="21"/>
              </w:rPr>
              <w:t>判别依据</w:t>
            </w:r>
          </w:p>
        </w:tc>
      </w:tr>
      <w:tr w14:paraId="37145A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7" w:type="dxa"/>
            <w:vAlign w:val="center"/>
          </w:tcPr>
          <w:p w14:paraId="367E7156">
            <w:pPr>
              <w:spacing w:line="300" w:lineRule="exact"/>
              <w:jc w:val="center"/>
              <w:rPr>
                <w:rFonts w:hint="eastAsia" w:ascii="宋体" w:hAnsi="宋体"/>
                <w:color w:val="auto"/>
                <w:kern w:val="0"/>
                <w:szCs w:val="21"/>
              </w:rPr>
            </w:pPr>
            <w:r>
              <w:rPr>
                <w:rFonts w:hint="eastAsia" w:ascii="宋体" w:hAnsi="宋体"/>
                <w:color w:val="auto"/>
                <w:kern w:val="0"/>
                <w:szCs w:val="21"/>
              </w:rPr>
              <w:t>敏感</w:t>
            </w:r>
          </w:p>
        </w:tc>
        <w:tc>
          <w:tcPr>
            <w:tcW w:w="7531" w:type="dxa"/>
            <w:vAlign w:val="center"/>
          </w:tcPr>
          <w:p w14:paraId="2BCEC97C">
            <w:pPr>
              <w:spacing w:line="300" w:lineRule="exact"/>
              <w:jc w:val="left"/>
              <w:rPr>
                <w:rFonts w:hint="eastAsia" w:ascii="宋体" w:hAnsi="宋体"/>
                <w:color w:val="auto"/>
                <w:kern w:val="0"/>
                <w:szCs w:val="21"/>
              </w:rPr>
            </w:pPr>
            <w:r>
              <w:rPr>
                <w:rFonts w:hint="eastAsia" w:ascii="宋体" w:hAnsi="宋体"/>
                <w:color w:val="auto"/>
                <w:kern w:val="0"/>
                <w:szCs w:val="21"/>
              </w:rPr>
              <w:t>建设项目周边存在耕地、园地、牧草地、饮用水水源地或居民区、学校、医院、疗养院、养老院等土壤环境敏感目标的</w:t>
            </w:r>
          </w:p>
        </w:tc>
      </w:tr>
      <w:tr w14:paraId="278F01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7" w:type="dxa"/>
            <w:vAlign w:val="center"/>
          </w:tcPr>
          <w:p w14:paraId="22DA693D">
            <w:pPr>
              <w:spacing w:line="300" w:lineRule="exact"/>
              <w:jc w:val="center"/>
              <w:rPr>
                <w:rFonts w:hint="eastAsia" w:ascii="宋体" w:hAnsi="宋体"/>
                <w:color w:val="auto"/>
                <w:kern w:val="0"/>
                <w:szCs w:val="21"/>
              </w:rPr>
            </w:pPr>
            <w:r>
              <w:rPr>
                <w:rFonts w:hint="eastAsia" w:ascii="宋体" w:hAnsi="宋体"/>
                <w:color w:val="auto"/>
                <w:kern w:val="0"/>
                <w:szCs w:val="21"/>
              </w:rPr>
              <w:t>较敏感</w:t>
            </w:r>
          </w:p>
        </w:tc>
        <w:tc>
          <w:tcPr>
            <w:tcW w:w="7531" w:type="dxa"/>
            <w:vAlign w:val="center"/>
          </w:tcPr>
          <w:p w14:paraId="30041464">
            <w:pPr>
              <w:spacing w:line="300" w:lineRule="exact"/>
              <w:jc w:val="left"/>
              <w:rPr>
                <w:rFonts w:hint="eastAsia" w:ascii="宋体" w:hAnsi="宋体"/>
                <w:color w:val="auto"/>
                <w:kern w:val="0"/>
                <w:szCs w:val="21"/>
              </w:rPr>
            </w:pPr>
            <w:r>
              <w:rPr>
                <w:rFonts w:hint="eastAsia" w:ascii="宋体" w:hAnsi="宋体"/>
                <w:color w:val="auto"/>
                <w:kern w:val="0"/>
                <w:szCs w:val="21"/>
              </w:rPr>
              <w:t>建设项目周边存在其他土壤环境敏感目标的</w:t>
            </w:r>
          </w:p>
        </w:tc>
      </w:tr>
      <w:tr w14:paraId="5145D4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7" w:type="dxa"/>
            <w:vAlign w:val="center"/>
          </w:tcPr>
          <w:p w14:paraId="34485F32">
            <w:pPr>
              <w:spacing w:line="300" w:lineRule="exact"/>
              <w:jc w:val="center"/>
              <w:rPr>
                <w:rFonts w:hint="eastAsia" w:ascii="宋体" w:hAnsi="宋体"/>
                <w:color w:val="auto"/>
                <w:kern w:val="0"/>
                <w:szCs w:val="21"/>
              </w:rPr>
            </w:pPr>
            <w:r>
              <w:rPr>
                <w:rFonts w:hint="eastAsia" w:ascii="宋体" w:hAnsi="宋体"/>
                <w:color w:val="auto"/>
                <w:kern w:val="0"/>
                <w:szCs w:val="21"/>
              </w:rPr>
              <w:t>不敏感</w:t>
            </w:r>
          </w:p>
        </w:tc>
        <w:tc>
          <w:tcPr>
            <w:tcW w:w="7531" w:type="dxa"/>
            <w:vAlign w:val="center"/>
          </w:tcPr>
          <w:p w14:paraId="5778D30F">
            <w:pPr>
              <w:spacing w:line="300" w:lineRule="exact"/>
              <w:jc w:val="left"/>
              <w:rPr>
                <w:rFonts w:hint="eastAsia" w:ascii="宋体" w:hAnsi="宋体"/>
                <w:color w:val="auto"/>
                <w:kern w:val="0"/>
                <w:szCs w:val="21"/>
              </w:rPr>
            </w:pPr>
            <w:r>
              <w:rPr>
                <w:rFonts w:hint="eastAsia" w:ascii="宋体" w:hAnsi="宋体"/>
                <w:color w:val="auto"/>
                <w:kern w:val="0"/>
                <w:szCs w:val="21"/>
              </w:rPr>
              <w:t>其他情况</w:t>
            </w:r>
          </w:p>
        </w:tc>
      </w:tr>
    </w:tbl>
    <w:p w14:paraId="7EFF653F">
      <w:pPr>
        <w:pStyle w:val="86"/>
        <w:spacing w:line="480" w:lineRule="exact"/>
        <w:ind w:firstLine="480"/>
        <w:rPr>
          <w:rFonts w:hint="eastAsia"/>
          <w:color w:val="auto"/>
          <w:lang w:val="zh-CN"/>
        </w:rPr>
      </w:pPr>
      <w:r>
        <w:rPr>
          <w:rFonts w:hint="eastAsia"/>
          <w:color w:val="auto"/>
          <w:lang w:val="zh-CN"/>
        </w:rPr>
        <w:t>项目评价范围内无耕地、园地、饮用水源地、居民区、学校等环境敏感目标和其他土壤环境敏感目标，环境敏感程度为不敏感。</w:t>
      </w:r>
    </w:p>
    <w:p w14:paraId="26DC1521">
      <w:pPr>
        <w:pStyle w:val="86"/>
        <w:spacing w:line="480" w:lineRule="exact"/>
        <w:ind w:firstLine="480"/>
        <w:rPr>
          <w:rFonts w:hint="eastAsia"/>
          <w:color w:val="auto"/>
          <w:lang w:val="zh-CN"/>
        </w:rPr>
      </w:pPr>
      <w:bookmarkStart w:id="132" w:name="_Hlk92203632"/>
      <w:r>
        <w:rPr>
          <w:rFonts w:hint="eastAsia"/>
          <w:color w:val="auto"/>
          <w:lang w:val="zh-CN"/>
        </w:rPr>
        <w:t>本项目属于陆地石油开采行业，根据《环境影响评价技术导则 陆地石油天然气开发建设项目》（H</w:t>
      </w:r>
      <w:r>
        <w:rPr>
          <w:color w:val="auto"/>
          <w:lang w:val="zh-CN"/>
        </w:rPr>
        <w:t>J349</w:t>
      </w:r>
      <w:r>
        <w:rPr>
          <w:rFonts w:hint="eastAsia"/>
          <w:color w:val="auto"/>
          <w:lang w:val="zh-CN"/>
        </w:rPr>
        <w:t>-</w:t>
      </w:r>
      <w:r>
        <w:rPr>
          <w:color w:val="auto"/>
          <w:lang w:val="zh-CN"/>
        </w:rPr>
        <w:t>2023</w:t>
      </w:r>
      <w:r>
        <w:rPr>
          <w:rFonts w:hint="eastAsia"/>
          <w:color w:val="auto"/>
          <w:lang w:val="zh-CN"/>
        </w:rPr>
        <w:t>）规定采油井场为</w:t>
      </w:r>
      <w:r>
        <w:rPr>
          <w:color w:val="auto"/>
          <w:lang w:val="zh-CN"/>
        </w:rPr>
        <w:t>Ⅰ</w:t>
      </w:r>
      <w:r>
        <w:rPr>
          <w:rFonts w:hint="eastAsia"/>
          <w:color w:val="auto"/>
          <w:lang w:val="zh-CN"/>
        </w:rPr>
        <w:t>类建设项目，单井采油管线属于</w:t>
      </w:r>
      <w:r>
        <w:rPr>
          <w:rFonts w:hint="eastAsia"/>
          <w:color w:val="auto"/>
        </w:rPr>
        <w:t>Ⅱ</w:t>
      </w:r>
      <w:r>
        <w:rPr>
          <w:rFonts w:hint="eastAsia"/>
          <w:color w:val="auto"/>
          <w:lang w:val="zh-CN"/>
        </w:rPr>
        <w:t>类项目，根据表2</w:t>
      </w:r>
      <w:r>
        <w:rPr>
          <w:color w:val="auto"/>
          <w:lang w:val="zh-CN"/>
        </w:rPr>
        <w:t>.6</w:t>
      </w:r>
      <w:r>
        <w:rPr>
          <w:rFonts w:hint="eastAsia"/>
          <w:color w:val="auto"/>
          <w:lang w:val="zh-CN"/>
        </w:rPr>
        <w:t>-</w:t>
      </w:r>
      <w:r>
        <w:rPr>
          <w:color w:val="auto"/>
          <w:lang w:val="zh-CN"/>
        </w:rPr>
        <w:t>7</w:t>
      </w:r>
      <w:r>
        <w:rPr>
          <w:rFonts w:hint="eastAsia"/>
          <w:color w:val="auto"/>
          <w:lang w:val="zh-CN"/>
        </w:rPr>
        <w:t>可知，</w:t>
      </w:r>
      <w:r>
        <w:rPr>
          <w:rFonts w:hint="eastAsia"/>
          <w:color w:val="auto"/>
        </w:rPr>
        <w:t>采油井场土壤污染影响型评价等级为二级，单井采油管线土壤污染影响型评价等级为</w:t>
      </w:r>
      <w:r>
        <w:rPr>
          <w:rFonts w:hint="eastAsia" w:cs="Arial"/>
          <w:color w:val="auto"/>
          <w:szCs w:val="21"/>
        </w:rPr>
        <w:t>三级</w:t>
      </w:r>
      <w:r>
        <w:rPr>
          <w:rFonts w:hint="eastAsia"/>
          <w:color w:val="auto"/>
        </w:rPr>
        <w:t>。</w:t>
      </w:r>
    </w:p>
    <w:bookmarkEnd w:id="132"/>
    <w:p w14:paraId="6423548C">
      <w:pPr>
        <w:pStyle w:val="86"/>
        <w:spacing w:line="480" w:lineRule="exact"/>
        <w:ind w:firstLine="480"/>
        <w:rPr>
          <w:rFonts w:hint="eastAsia"/>
          <w:color w:val="auto"/>
        </w:rPr>
      </w:pPr>
      <w:r>
        <w:rPr>
          <w:rFonts w:hint="eastAsia"/>
          <w:color w:val="auto"/>
        </w:rPr>
        <w:t>（</w:t>
      </w:r>
      <w:r>
        <w:rPr>
          <w:color w:val="auto"/>
        </w:rPr>
        <w:t>7</w:t>
      </w:r>
      <w:r>
        <w:rPr>
          <w:rFonts w:hint="eastAsia"/>
          <w:color w:val="auto"/>
        </w:rPr>
        <w:t>）环境风险评价等级</w:t>
      </w:r>
    </w:p>
    <w:p w14:paraId="3A6F7C97">
      <w:pPr>
        <w:pStyle w:val="86"/>
        <w:spacing w:line="480" w:lineRule="exact"/>
        <w:ind w:firstLine="480"/>
        <w:rPr>
          <w:rFonts w:hint="eastAsia"/>
          <w:color w:val="auto"/>
        </w:rPr>
      </w:pPr>
      <w:r>
        <w:rPr>
          <w:color w:val="auto"/>
        </w:rPr>
        <w:t>依据《建设项目环境风险评价技术导则》（HJT169-20</w:t>
      </w:r>
      <w:r>
        <w:rPr>
          <w:rFonts w:hint="eastAsia"/>
          <w:color w:val="auto"/>
        </w:rPr>
        <w:t>18</w:t>
      </w:r>
      <w:r>
        <w:rPr>
          <w:color w:val="auto"/>
        </w:rPr>
        <w:t>），环境风险评价工作级别按</w:t>
      </w:r>
      <w:r>
        <w:rPr>
          <w:rFonts w:hint="eastAsia"/>
          <w:color w:val="auto"/>
        </w:rPr>
        <w:t>表2.</w:t>
      </w:r>
      <w:r>
        <w:rPr>
          <w:color w:val="auto"/>
        </w:rPr>
        <w:t>6</w:t>
      </w:r>
      <w:r>
        <w:rPr>
          <w:rFonts w:hint="eastAsia"/>
          <w:color w:val="auto"/>
        </w:rPr>
        <w:t>-8</w:t>
      </w:r>
      <w:r>
        <w:rPr>
          <w:color w:val="auto"/>
        </w:rPr>
        <w:t>进行划分。</w:t>
      </w:r>
    </w:p>
    <w:p w14:paraId="620B7EC0">
      <w:pPr>
        <w:pStyle w:val="15"/>
        <w:rPr>
          <w:rFonts w:hint="eastAsia"/>
          <w:color w:val="auto"/>
        </w:rPr>
      </w:pPr>
      <w:r>
        <w:rPr>
          <w:rFonts w:hint="eastAsia"/>
          <w:color w:val="auto"/>
        </w:rPr>
        <w:t>表2.</w:t>
      </w:r>
      <w:r>
        <w:rPr>
          <w:color w:val="auto"/>
        </w:rPr>
        <w:t>6</w:t>
      </w:r>
      <w:r>
        <w:rPr>
          <w:rFonts w:hint="eastAsia"/>
          <w:color w:val="auto"/>
        </w:rPr>
        <w:t>-8</w:t>
      </w:r>
      <w:r>
        <w:rPr>
          <w:color w:val="auto"/>
        </w:rPr>
        <w:t xml:space="preserve"> </w:t>
      </w:r>
      <w:r>
        <w:rPr>
          <w:rFonts w:hint="eastAsia"/>
          <w:color w:val="auto"/>
        </w:rPr>
        <w:t xml:space="preserve"> 环境风险评价工作级别划分表</w:t>
      </w:r>
    </w:p>
    <w:tbl>
      <w:tblPr>
        <w:tblStyle w:val="51"/>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630"/>
        <w:gridCol w:w="1642"/>
        <w:gridCol w:w="1897"/>
        <w:gridCol w:w="2149"/>
        <w:gridCol w:w="1628"/>
      </w:tblGrid>
      <w:tr w14:paraId="7B928F8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911" w:type="pct"/>
            <w:vAlign w:val="center"/>
          </w:tcPr>
          <w:p w14:paraId="6E0A7A0B">
            <w:pPr>
              <w:pStyle w:val="166"/>
              <w:adjustRightInd w:val="0"/>
              <w:snapToGrid w:val="0"/>
              <w:spacing w:before="0" w:line="300" w:lineRule="exact"/>
              <w:ind w:firstLine="0" w:firstLineChars="0"/>
              <w:jc w:val="center"/>
              <w:rPr>
                <w:rFonts w:hint="eastAsia" w:ascii="宋体" w:hAnsi="宋体"/>
                <w:bCs w:val="0"/>
                <w:caps/>
                <w:color w:val="auto"/>
                <w:sz w:val="21"/>
                <w:szCs w:val="21"/>
              </w:rPr>
            </w:pPr>
            <w:r>
              <w:rPr>
                <w:rFonts w:hint="eastAsia" w:ascii="宋体" w:hAnsi="宋体"/>
                <w:bCs w:val="0"/>
                <w:caps/>
                <w:color w:val="auto"/>
                <w:sz w:val="21"/>
                <w:szCs w:val="21"/>
              </w:rPr>
              <w:t>环境风险潜势</w:t>
            </w:r>
          </w:p>
        </w:tc>
        <w:tc>
          <w:tcPr>
            <w:tcW w:w="918" w:type="pct"/>
            <w:vAlign w:val="center"/>
          </w:tcPr>
          <w:p w14:paraId="22F8E039">
            <w:pPr>
              <w:pStyle w:val="166"/>
              <w:adjustRightInd w:val="0"/>
              <w:snapToGrid w:val="0"/>
              <w:spacing w:before="0" w:line="300" w:lineRule="exact"/>
              <w:ind w:firstLine="0" w:firstLineChars="0"/>
              <w:jc w:val="center"/>
              <w:rPr>
                <w:rFonts w:hint="eastAsia" w:ascii="宋体" w:hAnsi="宋体"/>
                <w:bCs w:val="0"/>
                <w:caps/>
                <w:color w:val="auto"/>
                <w:sz w:val="21"/>
                <w:szCs w:val="21"/>
              </w:rPr>
            </w:pPr>
            <w:r>
              <w:rPr>
                <w:rFonts w:hint="eastAsia" w:ascii="宋体" w:hAnsi="宋体"/>
                <w:bCs w:val="0"/>
                <w:caps/>
                <w:color w:val="auto"/>
                <w:sz w:val="21"/>
                <w:szCs w:val="21"/>
              </w:rPr>
              <w:t>Ⅳ、Ⅳ</w:t>
            </w:r>
            <w:r>
              <w:rPr>
                <w:rFonts w:hint="eastAsia" w:ascii="宋体" w:hAnsi="宋体"/>
                <w:bCs w:val="0"/>
                <w:caps/>
                <w:color w:val="auto"/>
                <w:sz w:val="21"/>
                <w:szCs w:val="21"/>
                <w:vertAlign w:val="superscript"/>
              </w:rPr>
              <w:t>+</w:t>
            </w:r>
          </w:p>
        </w:tc>
        <w:tc>
          <w:tcPr>
            <w:tcW w:w="1060" w:type="pct"/>
            <w:vAlign w:val="center"/>
          </w:tcPr>
          <w:p w14:paraId="40BEB7A9">
            <w:pPr>
              <w:pStyle w:val="166"/>
              <w:adjustRightInd w:val="0"/>
              <w:snapToGrid w:val="0"/>
              <w:spacing w:before="0" w:line="300" w:lineRule="exact"/>
              <w:ind w:firstLine="0" w:firstLineChars="0"/>
              <w:jc w:val="center"/>
              <w:rPr>
                <w:rFonts w:hint="eastAsia" w:ascii="宋体" w:hAnsi="宋体"/>
                <w:bCs w:val="0"/>
                <w:caps/>
                <w:color w:val="auto"/>
                <w:sz w:val="21"/>
                <w:szCs w:val="21"/>
              </w:rPr>
            </w:pPr>
            <w:r>
              <w:rPr>
                <w:rFonts w:hint="eastAsia" w:ascii="宋体" w:hAnsi="宋体"/>
                <w:bCs w:val="0"/>
                <w:caps/>
                <w:color w:val="auto"/>
                <w:sz w:val="21"/>
                <w:szCs w:val="21"/>
              </w:rPr>
              <w:t>Ⅲ</w:t>
            </w:r>
          </w:p>
        </w:tc>
        <w:tc>
          <w:tcPr>
            <w:tcW w:w="1201" w:type="pct"/>
            <w:vAlign w:val="center"/>
          </w:tcPr>
          <w:p w14:paraId="6F9896C6">
            <w:pPr>
              <w:pStyle w:val="166"/>
              <w:adjustRightInd w:val="0"/>
              <w:snapToGrid w:val="0"/>
              <w:spacing w:before="0" w:line="300" w:lineRule="exact"/>
              <w:ind w:firstLine="0" w:firstLineChars="0"/>
              <w:jc w:val="center"/>
              <w:rPr>
                <w:rFonts w:hint="eastAsia" w:ascii="宋体" w:hAnsi="宋体"/>
                <w:bCs w:val="0"/>
                <w:caps/>
                <w:color w:val="auto"/>
                <w:sz w:val="21"/>
                <w:szCs w:val="21"/>
              </w:rPr>
            </w:pPr>
            <w:r>
              <w:rPr>
                <w:rFonts w:hint="eastAsia" w:ascii="宋体" w:hAnsi="宋体"/>
                <w:bCs w:val="0"/>
                <w:caps/>
                <w:color w:val="auto"/>
                <w:sz w:val="21"/>
                <w:szCs w:val="21"/>
              </w:rPr>
              <w:t>Ⅱ</w:t>
            </w:r>
          </w:p>
        </w:tc>
        <w:tc>
          <w:tcPr>
            <w:tcW w:w="910" w:type="pct"/>
            <w:vAlign w:val="center"/>
          </w:tcPr>
          <w:p w14:paraId="4BDD159A">
            <w:pPr>
              <w:pStyle w:val="166"/>
              <w:adjustRightInd w:val="0"/>
              <w:snapToGrid w:val="0"/>
              <w:spacing w:before="0" w:line="300" w:lineRule="exact"/>
              <w:ind w:firstLine="0" w:firstLineChars="0"/>
              <w:jc w:val="center"/>
              <w:rPr>
                <w:rFonts w:hint="eastAsia" w:ascii="宋体" w:hAnsi="宋体"/>
                <w:bCs w:val="0"/>
                <w:caps/>
                <w:color w:val="auto"/>
                <w:sz w:val="21"/>
                <w:szCs w:val="21"/>
              </w:rPr>
            </w:pPr>
            <w:r>
              <w:rPr>
                <w:rFonts w:hint="eastAsia" w:ascii="宋体" w:hAnsi="宋体"/>
                <w:bCs w:val="0"/>
                <w:caps/>
                <w:color w:val="auto"/>
                <w:sz w:val="21"/>
                <w:szCs w:val="21"/>
              </w:rPr>
              <w:t>Ⅰ</w:t>
            </w:r>
          </w:p>
        </w:tc>
      </w:tr>
      <w:tr w14:paraId="7A65AB4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911" w:type="pct"/>
            <w:vAlign w:val="center"/>
          </w:tcPr>
          <w:p w14:paraId="40994566">
            <w:pPr>
              <w:pStyle w:val="166"/>
              <w:adjustRightInd w:val="0"/>
              <w:snapToGrid w:val="0"/>
              <w:spacing w:before="0" w:line="300" w:lineRule="exact"/>
              <w:ind w:firstLine="0" w:firstLineChars="0"/>
              <w:jc w:val="center"/>
              <w:rPr>
                <w:rFonts w:hint="eastAsia" w:ascii="宋体" w:hAnsi="宋体"/>
                <w:bCs w:val="0"/>
                <w:color w:val="auto"/>
                <w:sz w:val="21"/>
                <w:szCs w:val="21"/>
              </w:rPr>
            </w:pPr>
            <w:r>
              <w:rPr>
                <w:rFonts w:hint="eastAsia" w:ascii="宋体" w:hAnsi="宋体"/>
                <w:bCs w:val="0"/>
                <w:color w:val="auto"/>
                <w:sz w:val="21"/>
                <w:szCs w:val="21"/>
              </w:rPr>
              <w:t>评价工作等级</w:t>
            </w:r>
          </w:p>
        </w:tc>
        <w:tc>
          <w:tcPr>
            <w:tcW w:w="918" w:type="pct"/>
            <w:vAlign w:val="center"/>
          </w:tcPr>
          <w:p w14:paraId="53083099">
            <w:pPr>
              <w:pStyle w:val="166"/>
              <w:adjustRightInd w:val="0"/>
              <w:snapToGrid w:val="0"/>
              <w:spacing w:before="0" w:line="300" w:lineRule="exact"/>
              <w:ind w:firstLine="0" w:firstLineChars="0"/>
              <w:jc w:val="center"/>
              <w:rPr>
                <w:rFonts w:hint="eastAsia" w:ascii="宋体" w:hAnsi="宋体"/>
                <w:bCs w:val="0"/>
                <w:color w:val="auto"/>
                <w:sz w:val="21"/>
                <w:szCs w:val="21"/>
              </w:rPr>
            </w:pPr>
            <w:r>
              <w:rPr>
                <w:rFonts w:hint="eastAsia" w:ascii="宋体" w:hAnsi="宋体"/>
                <w:bCs w:val="0"/>
                <w:color w:val="auto"/>
                <w:sz w:val="21"/>
                <w:szCs w:val="21"/>
              </w:rPr>
              <w:t>一</w:t>
            </w:r>
          </w:p>
        </w:tc>
        <w:tc>
          <w:tcPr>
            <w:tcW w:w="1060" w:type="pct"/>
            <w:vAlign w:val="center"/>
          </w:tcPr>
          <w:p w14:paraId="7C3D2F8D">
            <w:pPr>
              <w:pStyle w:val="166"/>
              <w:adjustRightInd w:val="0"/>
              <w:snapToGrid w:val="0"/>
              <w:spacing w:before="0" w:line="300" w:lineRule="exact"/>
              <w:ind w:firstLine="0" w:firstLineChars="0"/>
              <w:jc w:val="center"/>
              <w:rPr>
                <w:rFonts w:hint="eastAsia" w:ascii="宋体" w:hAnsi="宋体"/>
                <w:bCs w:val="0"/>
                <w:color w:val="auto"/>
                <w:sz w:val="21"/>
                <w:szCs w:val="21"/>
              </w:rPr>
            </w:pPr>
            <w:r>
              <w:rPr>
                <w:rFonts w:hint="eastAsia" w:ascii="宋体" w:hAnsi="宋体"/>
                <w:bCs w:val="0"/>
                <w:color w:val="auto"/>
                <w:sz w:val="21"/>
                <w:szCs w:val="21"/>
              </w:rPr>
              <w:t>二</w:t>
            </w:r>
          </w:p>
        </w:tc>
        <w:tc>
          <w:tcPr>
            <w:tcW w:w="1201" w:type="pct"/>
            <w:vAlign w:val="center"/>
          </w:tcPr>
          <w:p w14:paraId="5256297C">
            <w:pPr>
              <w:pStyle w:val="166"/>
              <w:adjustRightInd w:val="0"/>
              <w:snapToGrid w:val="0"/>
              <w:spacing w:before="0" w:line="300" w:lineRule="exact"/>
              <w:ind w:firstLine="0" w:firstLineChars="0"/>
              <w:jc w:val="center"/>
              <w:rPr>
                <w:rFonts w:hint="eastAsia" w:ascii="宋体" w:hAnsi="宋体"/>
                <w:bCs w:val="0"/>
                <w:color w:val="auto"/>
                <w:sz w:val="21"/>
                <w:szCs w:val="21"/>
              </w:rPr>
            </w:pPr>
            <w:r>
              <w:rPr>
                <w:rFonts w:hint="eastAsia" w:ascii="宋体" w:hAnsi="宋体"/>
                <w:bCs w:val="0"/>
                <w:color w:val="auto"/>
                <w:sz w:val="21"/>
                <w:szCs w:val="21"/>
              </w:rPr>
              <w:t>三</w:t>
            </w:r>
          </w:p>
        </w:tc>
        <w:tc>
          <w:tcPr>
            <w:tcW w:w="910" w:type="pct"/>
            <w:vAlign w:val="center"/>
          </w:tcPr>
          <w:p w14:paraId="4E825E3A">
            <w:pPr>
              <w:pStyle w:val="166"/>
              <w:adjustRightInd w:val="0"/>
              <w:snapToGrid w:val="0"/>
              <w:spacing w:before="0" w:line="300" w:lineRule="exact"/>
              <w:ind w:firstLine="0" w:firstLineChars="0"/>
              <w:jc w:val="center"/>
              <w:rPr>
                <w:rFonts w:hint="eastAsia" w:ascii="宋体" w:hAnsi="宋体"/>
                <w:bCs w:val="0"/>
                <w:color w:val="auto"/>
                <w:sz w:val="21"/>
                <w:szCs w:val="21"/>
              </w:rPr>
            </w:pPr>
            <w:r>
              <w:rPr>
                <w:rFonts w:hint="eastAsia" w:ascii="宋体" w:hAnsi="宋体"/>
                <w:bCs w:val="0"/>
                <w:color w:val="auto"/>
                <w:sz w:val="21"/>
                <w:szCs w:val="21"/>
              </w:rPr>
              <w:t>简单分析</w:t>
            </w:r>
            <w:r>
              <w:rPr>
                <w:rFonts w:hint="eastAsia" w:ascii="宋体" w:hAnsi="宋体"/>
                <w:bCs w:val="0"/>
                <w:color w:val="auto"/>
                <w:sz w:val="21"/>
                <w:szCs w:val="21"/>
                <w:vertAlign w:val="superscript"/>
              </w:rPr>
              <w:t>a</w:t>
            </w:r>
          </w:p>
        </w:tc>
      </w:tr>
      <w:tr w14:paraId="3F7E731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5000" w:type="pct"/>
            <w:gridSpan w:val="5"/>
            <w:vAlign w:val="center"/>
          </w:tcPr>
          <w:p w14:paraId="29691604">
            <w:pPr>
              <w:pStyle w:val="166"/>
              <w:adjustRightInd w:val="0"/>
              <w:snapToGrid w:val="0"/>
              <w:spacing w:before="0" w:line="300" w:lineRule="exact"/>
              <w:ind w:firstLine="0" w:firstLineChars="0"/>
              <w:jc w:val="left"/>
              <w:rPr>
                <w:rFonts w:hint="eastAsia" w:ascii="宋体" w:hAnsi="宋体"/>
                <w:bCs w:val="0"/>
                <w:color w:val="auto"/>
                <w:sz w:val="21"/>
                <w:szCs w:val="21"/>
              </w:rPr>
            </w:pPr>
            <w:r>
              <w:rPr>
                <w:rFonts w:hint="eastAsia" w:ascii="宋体" w:hAnsi="宋体"/>
                <w:bCs w:val="0"/>
                <w:color w:val="auto"/>
                <w:sz w:val="21"/>
                <w:szCs w:val="21"/>
                <w:vertAlign w:val="superscript"/>
              </w:rPr>
              <w:t>a</w:t>
            </w:r>
            <w:r>
              <w:rPr>
                <w:rFonts w:hint="eastAsia" w:ascii="宋体" w:hAnsi="宋体"/>
                <w:bCs w:val="0"/>
                <w:color w:val="auto"/>
                <w:sz w:val="21"/>
                <w:szCs w:val="21"/>
              </w:rPr>
              <w:t>是相对于详细评价工作内容而言，在描述危险物质、环境影响途径、环境危害后果、风险防范措施等方面给出定性说明。</w:t>
            </w:r>
          </w:p>
        </w:tc>
      </w:tr>
    </w:tbl>
    <w:p w14:paraId="711218D0">
      <w:pPr>
        <w:pStyle w:val="86"/>
        <w:spacing w:line="480" w:lineRule="exact"/>
        <w:ind w:firstLine="480"/>
        <w:rPr>
          <w:rFonts w:hint="eastAsia"/>
          <w:color w:val="auto"/>
        </w:rPr>
      </w:pPr>
      <w:bookmarkStart w:id="133" w:name="_Hlk147580791"/>
      <w:r>
        <w:rPr>
          <w:rFonts w:hint="eastAsia"/>
          <w:color w:val="auto"/>
        </w:rPr>
        <w:t>运营期涉及的风险物质为原油、伴生气、废润滑油、废润滑油桶和沾油废防渗材料。</w:t>
      </w:r>
    </w:p>
    <w:p w14:paraId="5E4ECD23">
      <w:pPr>
        <w:pStyle w:val="86"/>
        <w:spacing w:line="480" w:lineRule="exact"/>
        <w:ind w:firstLine="480"/>
        <w:rPr>
          <w:rFonts w:hint="eastAsia"/>
          <w:color w:val="auto"/>
        </w:rPr>
      </w:pPr>
      <w:r>
        <w:rPr>
          <w:rFonts w:hint="eastAsia"/>
          <w:color w:val="auto"/>
        </w:rPr>
        <w:t>风险单元为单井采油管线、充装区和天然气橇装处理装置，则危险物质与临界量的比值（Q值）计算结果详见表2.6-9。</w:t>
      </w:r>
    </w:p>
    <w:p w14:paraId="10208F02">
      <w:pPr>
        <w:pStyle w:val="15"/>
        <w:rPr>
          <w:rFonts w:hint="eastAsia"/>
          <w:color w:val="auto"/>
        </w:rPr>
      </w:pPr>
      <w:r>
        <w:rPr>
          <w:rFonts w:hint="eastAsia"/>
          <w:color w:val="auto"/>
        </w:rPr>
        <w:t xml:space="preserve">表2.6-9  </w:t>
      </w:r>
      <w:r>
        <w:rPr>
          <w:color w:val="auto"/>
        </w:rPr>
        <w:t xml:space="preserve"> </w:t>
      </w:r>
      <w:r>
        <w:rPr>
          <w:rFonts w:hint="eastAsia"/>
          <w:color w:val="auto"/>
        </w:rPr>
        <w:t>各风险单元Q值一览表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87"/>
        <w:gridCol w:w="2296"/>
        <w:gridCol w:w="1233"/>
        <w:gridCol w:w="868"/>
        <w:gridCol w:w="1492"/>
        <w:gridCol w:w="1170"/>
      </w:tblGrid>
      <w:tr w14:paraId="234919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Align w:val="center"/>
          </w:tcPr>
          <w:p w14:paraId="4C1B0AA8">
            <w:pPr>
              <w:pStyle w:val="296"/>
              <w:spacing w:line="300" w:lineRule="exact"/>
              <w:rPr>
                <w:rFonts w:hint="eastAsia"/>
                <w:color w:val="auto"/>
              </w:rPr>
            </w:pPr>
            <w:r>
              <w:rPr>
                <w:rFonts w:hint="eastAsia"/>
                <w:color w:val="auto"/>
              </w:rPr>
              <w:t>风险单元</w:t>
            </w:r>
          </w:p>
        </w:tc>
        <w:tc>
          <w:tcPr>
            <w:tcW w:w="1283" w:type="pct"/>
            <w:vAlign w:val="center"/>
          </w:tcPr>
          <w:p w14:paraId="44749B15">
            <w:pPr>
              <w:pStyle w:val="296"/>
              <w:spacing w:line="300" w:lineRule="exact"/>
              <w:rPr>
                <w:rFonts w:hint="eastAsia"/>
                <w:color w:val="auto"/>
              </w:rPr>
            </w:pPr>
            <w:r>
              <w:rPr>
                <w:rFonts w:hint="eastAsia"/>
                <w:color w:val="auto"/>
              </w:rPr>
              <w:t>规格</w:t>
            </w:r>
          </w:p>
        </w:tc>
        <w:tc>
          <w:tcPr>
            <w:tcW w:w="1174" w:type="pct"/>
            <w:gridSpan w:val="2"/>
            <w:vAlign w:val="center"/>
          </w:tcPr>
          <w:p w14:paraId="486E5C7B">
            <w:pPr>
              <w:pStyle w:val="296"/>
              <w:spacing w:line="300" w:lineRule="exact"/>
              <w:rPr>
                <w:rFonts w:hint="eastAsia"/>
                <w:color w:val="auto"/>
              </w:rPr>
            </w:pPr>
            <w:r>
              <w:rPr>
                <w:rFonts w:hint="eastAsia"/>
                <w:color w:val="auto"/>
              </w:rPr>
              <w:t>风险物质在线量（t）</w:t>
            </w:r>
          </w:p>
        </w:tc>
        <w:tc>
          <w:tcPr>
            <w:tcW w:w="834" w:type="pct"/>
            <w:vAlign w:val="center"/>
          </w:tcPr>
          <w:p w14:paraId="4CDEAB15">
            <w:pPr>
              <w:pStyle w:val="296"/>
              <w:spacing w:line="300" w:lineRule="exact"/>
              <w:rPr>
                <w:rFonts w:hint="eastAsia"/>
                <w:color w:val="auto"/>
              </w:rPr>
            </w:pPr>
            <w:r>
              <w:rPr>
                <w:rFonts w:hint="eastAsia"/>
                <w:color w:val="auto"/>
              </w:rPr>
              <w:t>风险物质临界量（t）</w:t>
            </w:r>
          </w:p>
        </w:tc>
        <w:tc>
          <w:tcPr>
            <w:tcW w:w="654" w:type="pct"/>
            <w:vAlign w:val="center"/>
          </w:tcPr>
          <w:p w14:paraId="15561AA6">
            <w:pPr>
              <w:pStyle w:val="296"/>
              <w:spacing w:line="300" w:lineRule="exact"/>
              <w:rPr>
                <w:rFonts w:hint="eastAsia"/>
                <w:color w:val="auto"/>
              </w:rPr>
            </w:pPr>
            <w:r>
              <w:rPr>
                <w:rFonts w:hint="eastAsia"/>
                <w:color w:val="auto"/>
              </w:rPr>
              <w:t>Q值</w:t>
            </w:r>
          </w:p>
        </w:tc>
      </w:tr>
      <w:tr w14:paraId="77A0B9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restart"/>
            <w:vAlign w:val="center"/>
          </w:tcPr>
          <w:p w14:paraId="4671F8AB">
            <w:pPr>
              <w:pStyle w:val="296"/>
              <w:spacing w:line="300" w:lineRule="exact"/>
              <w:rPr>
                <w:rFonts w:hint="eastAsia"/>
                <w:color w:val="auto"/>
              </w:rPr>
            </w:pPr>
            <w:r>
              <w:rPr>
                <w:rFonts w:hint="eastAsia"/>
                <w:color w:val="auto"/>
              </w:rPr>
              <w:t>单井采油管线</w:t>
            </w:r>
          </w:p>
        </w:tc>
        <w:tc>
          <w:tcPr>
            <w:tcW w:w="1283" w:type="pct"/>
            <w:vMerge w:val="restart"/>
            <w:vAlign w:val="center"/>
          </w:tcPr>
          <w:p w14:paraId="1D5D999B">
            <w:pPr>
              <w:pStyle w:val="296"/>
              <w:spacing w:line="300" w:lineRule="exact"/>
              <w:rPr>
                <w:rFonts w:hint="eastAsia"/>
                <w:color w:val="auto"/>
              </w:rPr>
            </w:pPr>
            <w:r>
              <w:rPr>
                <w:rFonts w:hint="eastAsia"/>
                <w:color w:val="auto"/>
              </w:rPr>
              <w:t>长度1.9km</w:t>
            </w:r>
          </w:p>
          <w:p w14:paraId="2ADA8ED9">
            <w:pPr>
              <w:pStyle w:val="296"/>
              <w:spacing w:line="300" w:lineRule="exact"/>
              <w:rPr>
                <w:rFonts w:hint="eastAsia"/>
                <w:color w:val="auto"/>
              </w:rPr>
            </w:pPr>
            <w:r>
              <w:rPr>
                <w:rFonts w:hint="eastAsia"/>
                <w:color w:val="auto"/>
              </w:rPr>
              <w:t>DN50、12MPa</w:t>
            </w:r>
          </w:p>
        </w:tc>
        <w:tc>
          <w:tcPr>
            <w:tcW w:w="689" w:type="pct"/>
            <w:vAlign w:val="center"/>
          </w:tcPr>
          <w:p w14:paraId="1DA6F5DF">
            <w:pPr>
              <w:pStyle w:val="296"/>
              <w:spacing w:line="300" w:lineRule="exact"/>
              <w:rPr>
                <w:rFonts w:hint="eastAsia"/>
                <w:color w:val="auto"/>
              </w:rPr>
            </w:pPr>
            <w:r>
              <w:rPr>
                <w:rFonts w:hint="eastAsia"/>
                <w:color w:val="auto"/>
              </w:rPr>
              <w:t>伴生气</w:t>
            </w:r>
          </w:p>
        </w:tc>
        <w:tc>
          <w:tcPr>
            <w:tcW w:w="485" w:type="pct"/>
            <w:vAlign w:val="center"/>
          </w:tcPr>
          <w:p w14:paraId="29333A17">
            <w:pPr>
              <w:pStyle w:val="296"/>
              <w:spacing w:line="300" w:lineRule="exact"/>
              <w:rPr>
                <w:rFonts w:hint="eastAsia"/>
                <w:color w:val="auto"/>
              </w:rPr>
            </w:pPr>
            <w:r>
              <w:rPr>
                <w:rFonts w:hint="eastAsia"/>
                <w:color w:val="auto"/>
              </w:rPr>
              <w:t>0.267</w:t>
            </w:r>
          </w:p>
        </w:tc>
        <w:tc>
          <w:tcPr>
            <w:tcW w:w="834" w:type="pct"/>
            <w:vAlign w:val="center"/>
          </w:tcPr>
          <w:p w14:paraId="2D48422C">
            <w:pPr>
              <w:pStyle w:val="296"/>
              <w:spacing w:line="300" w:lineRule="exact"/>
              <w:rPr>
                <w:rFonts w:hint="eastAsia"/>
                <w:color w:val="auto"/>
              </w:rPr>
            </w:pPr>
            <w:r>
              <w:rPr>
                <w:rFonts w:hint="eastAsia"/>
                <w:color w:val="auto"/>
              </w:rPr>
              <w:t>10</w:t>
            </w:r>
          </w:p>
        </w:tc>
        <w:tc>
          <w:tcPr>
            <w:tcW w:w="654" w:type="pct"/>
            <w:vAlign w:val="center"/>
          </w:tcPr>
          <w:p w14:paraId="481F6634">
            <w:pPr>
              <w:pStyle w:val="296"/>
              <w:spacing w:line="300" w:lineRule="exact"/>
              <w:rPr>
                <w:rFonts w:hint="eastAsia"/>
                <w:color w:val="auto"/>
              </w:rPr>
            </w:pPr>
            <w:r>
              <w:rPr>
                <w:rFonts w:hint="eastAsia"/>
                <w:color w:val="auto"/>
              </w:rPr>
              <w:t>0.0267</w:t>
            </w:r>
          </w:p>
        </w:tc>
      </w:tr>
      <w:tr w14:paraId="4A58A6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6BE6F6BD">
            <w:pPr>
              <w:pStyle w:val="296"/>
              <w:spacing w:line="300" w:lineRule="exact"/>
              <w:rPr>
                <w:rFonts w:hint="eastAsia"/>
                <w:color w:val="auto"/>
              </w:rPr>
            </w:pPr>
          </w:p>
        </w:tc>
        <w:tc>
          <w:tcPr>
            <w:tcW w:w="1283" w:type="pct"/>
            <w:vMerge w:val="continue"/>
            <w:vAlign w:val="center"/>
          </w:tcPr>
          <w:p w14:paraId="1694AFAB">
            <w:pPr>
              <w:pStyle w:val="296"/>
              <w:spacing w:line="300" w:lineRule="exact"/>
              <w:rPr>
                <w:rFonts w:hint="eastAsia"/>
                <w:color w:val="auto"/>
              </w:rPr>
            </w:pPr>
          </w:p>
        </w:tc>
        <w:tc>
          <w:tcPr>
            <w:tcW w:w="689" w:type="pct"/>
            <w:vAlign w:val="center"/>
          </w:tcPr>
          <w:p w14:paraId="6123E219">
            <w:pPr>
              <w:pStyle w:val="296"/>
              <w:spacing w:line="300" w:lineRule="exact"/>
              <w:rPr>
                <w:rFonts w:hint="eastAsia"/>
                <w:color w:val="auto"/>
              </w:rPr>
            </w:pPr>
            <w:r>
              <w:rPr>
                <w:rFonts w:hint="eastAsia"/>
                <w:color w:val="auto"/>
              </w:rPr>
              <w:t>原油</w:t>
            </w:r>
          </w:p>
        </w:tc>
        <w:tc>
          <w:tcPr>
            <w:tcW w:w="485" w:type="pct"/>
            <w:vAlign w:val="center"/>
          </w:tcPr>
          <w:p w14:paraId="38A5D504">
            <w:pPr>
              <w:pStyle w:val="296"/>
              <w:spacing w:line="300" w:lineRule="exact"/>
              <w:rPr>
                <w:rFonts w:hint="eastAsia"/>
                <w:color w:val="auto"/>
              </w:rPr>
            </w:pPr>
            <w:r>
              <w:rPr>
                <w:rFonts w:hint="eastAsia"/>
                <w:color w:val="auto"/>
              </w:rPr>
              <w:t>80.58</w:t>
            </w:r>
          </w:p>
        </w:tc>
        <w:tc>
          <w:tcPr>
            <w:tcW w:w="834" w:type="pct"/>
            <w:vAlign w:val="center"/>
          </w:tcPr>
          <w:p w14:paraId="4CE9BE90">
            <w:pPr>
              <w:pStyle w:val="296"/>
              <w:spacing w:line="300" w:lineRule="exact"/>
              <w:rPr>
                <w:rFonts w:hint="eastAsia"/>
                <w:color w:val="auto"/>
              </w:rPr>
            </w:pPr>
            <w:r>
              <w:rPr>
                <w:rFonts w:hint="eastAsia"/>
                <w:color w:val="auto"/>
              </w:rPr>
              <w:t>2500</w:t>
            </w:r>
          </w:p>
        </w:tc>
        <w:tc>
          <w:tcPr>
            <w:tcW w:w="654" w:type="pct"/>
            <w:vAlign w:val="center"/>
          </w:tcPr>
          <w:p w14:paraId="3E40786C">
            <w:pPr>
              <w:pStyle w:val="296"/>
              <w:spacing w:line="300" w:lineRule="exact"/>
              <w:rPr>
                <w:rFonts w:hint="eastAsia"/>
                <w:color w:val="auto"/>
              </w:rPr>
            </w:pPr>
            <w:r>
              <w:rPr>
                <w:rFonts w:hint="eastAsia"/>
                <w:color w:val="auto"/>
              </w:rPr>
              <w:t>0.0322</w:t>
            </w:r>
          </w:p>
        </w:tc>
      </w:tr>
      <w:tr w14:paraId="4C9B06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45F71E43">
            <w:pPr>
              <w:pStyle w:val="296"/>
              <w:spacing w:line="300" w:lineRule="exact"/>
              <w:rPr>
                <w:rFonts w:hint="eastAsia"/>
                <w:color w:val="auto"/>
              </w:rPr>
            </w:pPr>
          </w:p>
        </w:tc>
        <w:tc>
          <w:tcPr>
            <w:tcW w:w="3291" w:type="pct"/>
            <w:gridSpan w:val="4"/>
            <w:vAlign w:val="center"/>
          </w:tcPr>
          <w:p w14:paraId="3450D3EC">
            <w:pPr>
              <w:pStyle w:val="296"/>
              <w:spacing w:line="300" w:lineRule="exact"/>
              <w:rPr>
                <w:rFonts w:hint="eastAsia"/>
                <w:color w:val="auto"/>
              </w:rPr>
            </w:pPr>
            <w:r>
              <w:rPr>
                <w:rFonts w:hint="eastAsia"/>
                <w:color w:val="auto"/>
              </w:rPr>
              <w:t>合计</w:t>
            </w:r>
          </w:p>
        </w:tc>
        <w:tc>
          <w:tcPr>
            <w:tcW w:w="654" w:type="pct"/>
            <w:vAlign w:val="center"/>
          </w:tcPr>
          <w:p w14:paraId="1BDEC793">
            <w:pPr>
              <w:pStyle w:val="296"/>
              <w:spacing w:line="300" w:lineRule="exact"/>
              <w:rPr>
                <w:rFonts w:hint="eastAsia"/>
                <w:color w:val="auto"/>
              </w:rPr>
            </w:pPr>
            <w:r>
              <w:rPr>
                <w:rFonts w:hint="eastAsia"/>
                <w:color w:val="auto"/>
              </w:rPr>
              <w:t>0.0589</w:t>
            </w:r>
          </w:p>
        </w:tc>
      </w:tr>
      <w:tr w14:paraId="7E550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restart"/>
            <w:vAlign w:val="center"/>
          </w:tcPr>
          <w:p w14:paraId="725FD8DB">
            <w:pPr>
              <w:pStyle w:val="296"/>
              <w:spacing w:line="300" w:lineRule="exact"/>
              <w:rPr>
                <w:rFonts w:hint="eastAsia"/>
                <w:color w:val="auto"/>
              </w:rPr>
            </w:pPr>
            <w:r>
              <w:rPr>
                <w:rFonts w:hint="eastAsia"/>
                <w:color w:val="auto"/>
              </w:rPr>
              <w:t>莫172H井（天然气橇装处理装置）</w:t>
            </w:r>
          </w:p>
        </w:tc>
        <w:tc>
          <w:tcPr>
            <w:tcW w:w="1283" w:type="pct"/>
            <w:vMerge w:val="restart"/>
            <w:vAlign w:val="center"/>
          </w:tcPr>
          <w:p w14:paraId="620F3E38">
            <w:pPr>
              <w:pStyle w:val="296"/>
              <w:spacing w:line="300" w:lineRule="exact"/>
              <w:rPr>
                <w:rFonts w:hint="eastAsia"/>
                <w:color w:val="auto"/>
              </w:rPr>
            </w:pPr>
            <w:r>
              <w:rPr>
                <w:rFonts w:hint="eastAsia"/>
                <w:color w:val="auto"/>
              </w:rPr>
              <w:t>/</w:t>
            </w:r>
          </w:p>
        </w:tc>
        <w:tc>
          <w:tcPr>
            <w:tcW w:w="689" w:type="pct"/>
            <w:vAlign w:val="center"/>
          </w:tcPr>
          <w:p w14:paraId="7DD2E380">
            <w:pPr>
              <w:pStyle w:val="296"/>
              <w:spacing w:line="300" w:lineRule="exact"/>
              <w:rPr>
                <w:rFonts w:hint="eastAsia"/>
                <w:color w:val="auto"/>
              </w:rPr>
            </w:pPr>
            <w:r>
              <w:rPr>
                <w:rFonts w:hint="eastAsia"/>
                <w:color w:val="auto"/>
              </w:rPr>
              <w:t>伴生气</w:t>
            </w:r>
          </w:p>
        </w:tc>
        <w:tc>
          <w:tcPr>
            <w:tcW w:w="485" w:type="pct"/>
            <w:vAlign w:val="center"/>
          </w:tcPr>
          <w:p w14:paraId="1E6E9AB1">
            <w:pPr>
              <w:pStyle w:val="296"/>
              <w:spacing w:line="300" w:lineRule="exact"/>
              <w:rPr>
                <w:rFonts w:hint="eastAsia"/>
                <w:color w:val="auto"/>
              </w:rPr>
            </w:pPr>
            <w:r>
              <w:rPr>
                <w:rFonts w:hint="eastAsia"/>
                <w:color w:val="auto"/>
              </w:rPr>
              <w:t>0.051</w:t>
            </w:r>
          </w:p>
        </w:tc>
        <w:tc>
          <w:tcPr>
            <w:tcW w:w="834" w:type="pct"/>
            <w:vAlign w:val="center"/>
          </w:tcPr>
          <w:p w14:paraId="14312F14">
            <w:pPr>
              <w:pStyle w:val="296"/>
              <w:spacing w:line="300" w:lineRule="exact"/>
              <w:rPr>
                <w:rFonts w:hint="eastAsia"/>
                <w:color w:val="auto"/>
              </w:rPr>
            </w:pPr>
            <w:r>
              <w:rPr>
                <w:rFonts w:hint="eastAsia"/>
                <w:color w:val="auto"/>
              </w:rPr>
              <w:t>10</w:t>
            </w:r>
          </w:p>
        </w:tc>
        <w:tc>
          <w:tcPr>
            <w:tcW w:w="654" w:type="pct"/>
            <w:vAlign w:val="center"/>
          </w:tcPr>
          <w:p w14:paraId="3DE7BD46">
            <w:pPr>
              <w:pStyle w:val="296"/>
              <w:spacing w:line="300" w:lineRule="exact"/>
              <w:rPr>
                <w:rFonts w:hint="eastAsia"/>
                <w:color w:val="auto"/>
              </w:rPr>
            </w:pPr>
            <w:r>
              <w:rPr>
                <w:rFonts w:hint="eastAsia"/>
                <w:color w:val="auto"/>
              </w:rPr>
              <w:t>0.0051</w:t>
            </w:r>
          </w:p>
        </w:tc>
      </w:tr>
      <w:tr w14:paraId="6BB301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1F795769">
            <w:pPr>
              <w:pStyle w:val="296"/>
              <w:spacing w:line="300" w:lineRule="exact"/>
              <w:rPr>
                <w:rFonts w:hint="eastAsia"/>
                <w:color w:val="auto"/>
              </w:rPr>
            </w:pPr>
          </w:p>
        </w:tc>
        <w:tc>
          <w:tcPr>
            <w:tcW w:w="1283" w:type="pct"/>
            <w:vMerge w:val="continue"/>
            <w:vAlign w:val="center"/>
          </w:tcPr>
          <w:p w14:paraId="0D1B2167">
            <w:pPr>
              <w:pStyle w:val="296"/>
              <w:spacing w:line="300" w:lineRule="exact"/>
              <w:rPr>
                <w:rFonts w:hint="eastAsia"/>
                <w:color w:val="auto"/>
              </w:rPr>
            </w:pPr>
          </w:p>
        </w:tc>
        <w:tc>
          <w:tcPr>
            <w:tcW w:w="689" w:type="pct"/>
            <w:vAlign w:val="center"/>
          </w:tcPr>
          <w:p w14:paraId="64DD201E">
            <w:pPr>
              <w:pStyle w:val="296"/>
              <w:spacing w:line="300" w:lineRule="exact"/>
              <w:rPr>
                <w:rFonts w:hint="eastAsia"/>
                <w:color w:val="auto"/>
              </w:rPr>
            </w:pPr>
            <w:r>
              <w:rPr>
                <w:rFonts w:hint="eastAsia"/>
                <w:color w:val="auto"/>
              </w:rPr>
              <w:t>原油</w:t>
            </w:r>
          </w:p>
        </w:tc>
        <w:tc>
          <w:tcPr>
            <w:tcW w:w="485" w:type="pct"/>
            <w:vAlign w:val="center"/>
          </w:tcPr>
          <w:p w14:paraId="1226057A">
            <w:pPr>
              <w:pStyle w:val="296"/>
              <w:spacing w:line="300" w:lineRule="exact"/>
              <w:rPr>
                <w:rFonts w:hint="eastAsia"/>
                <w:color w:val="auto"/>
              </w:rPr>
            </w:pPr>
            <w:r>
              <w:rPr>
                <w:rFonts w:hint="eastAsia"/>
                <w:color w:val="auto"/>
              </w:rPr>
              <w:t>61.51</w:t>
            </w:r>
          </w:p>
        </w:tc>
        <w:tc>
          <w:tcPr>
            <w:tcW w:w="834" w:type="pct"/>
            <w:vAlign w:val="center"/>
          </w:tcPr>
          <w:p w14:paraId="57ACE658">
            <w:pPr>
              <w:pStyle w:val="296"/>
              <w:spacing w:line="300" w:lineRule="exact"/>
              <w:rPr>
                <w:rFonts w:hint="eastAsia"/>
                <w:color w:val="auto"/>
              </w:rPr>
            </w:pPr>
            <w:r>
              <w:rPr>
                <w:rFonts w:hint="eastAsia"/>
                <w:color w:val="auto"/>
              </w:rPr>
              <w:t>2500</w:t>
            </w:r>
          </w:p>
        </w:tc>
        <w:tc>
          <w:tcPr>
            <w:tcW w:w="654" w:type="pct"/>
            <w:vAlign w:val="center"/>
          </w:tcPr>
          <w:p w14:paraId="1F0DB3AF">
            <w:pPr>
              <w:pStyle w:val="296"/>
              <w:spacing w:line="300" w:lineRule="exact"/>
              <w:rPr>
                <w:rFonts w:hint="eastAsia"/>
                <w:color w:val="auto"/>
              </w:rPr>
            </w:pPr>
            <w:r>
              <w:rPr>
                <w:rFonts w:hint="eastAsia"/>
                <w:color w:val="auto"/>
              </w:rPr>
              <w:t>0.0246</w:t>
            </w:r>
          </w:p>
        </w:tc>
      </w:tr>
      <w:tr w14:paraId="78FF26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4D5770BA">
            <w:pPr>
              <w:pStyle w:val="296"/>
              <w:spacing w:line="300" w:lineRule="exact"/>
              <w:rPr>
                <w:rFonts w:hint="eastAsia"/>
                <w:color w:val="auto"/>
              </w:rPr>
            </w:pPr>
          </w:p>
        </w:tc>
        <w:tc>
          <w:tcPr>
            <w:tcW w:w="3291" w:type="pct"/>
            <w:gridSpan w:val="4"/>
            <w:vAlign w:val="center"/>
          </w:tcPr>
          <w:p w14:paraId="2E8C7626">
            <w:pPr>
              <w:pStyle w:val="296"/>
              <w:spacing w:line="300" w:lineRule="exact"/>
              <w:rPr>
                <w:rFonts w:hint="eastAsia"/>
                <w:color w:val="auto"/>
              </w:rPr>
            </w:pPr>
            <w:r>
              <w:rPr>
                <w:rFonts w:hint="eastAsia"/>
                <w:color w:val="auto"/>
              </w:rPr>
              <w:t>合计</w:t>
            </w:r>
          </w:p>
        </w:tc>
        <w:tc>
          <w:tcPr>
            <w:tcW w:w="654" w:type="pct"/>
            <w:vAlign w:val="center"/>
          </w:tcPr>
          <w:p w14:paraId="5D9D5CD4">
            <w:pPr>
              <w:pStyle w:val="296"/>
              <w:spacing w:line="300" w:lineRule="exact"/>
              <w:rPr>
                <w:rFonts w:hint="eastAsia"/>
                <w:color w:val="auto"/>
              </w:rPr>
            </w:pPr>
            <w:r>
              <w:rPr>
                <w:rFonts w:hint="eastAsia"/>
                <w:color w:val="auto"/>
              </w:rPr>
              <w:t>0.0297</w:t>
            </w:r>
          </w:p>
        </w:tc>
      </w:tr>
      <w:tr w14:paraId="02771E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restart"/>
            <w:vAlign w:val="center"/>
          </w:tcPr>
          <w:p w14:paraId="6F7D951E">
            <w:pPr>
              <w:pStyle w:val="296"/>
              <w:spacing w:line="300" w:lineRule="exact"/>
              <w:rPr>
                <w:rFonts w:hint="eastAsia"/>
                <w:color w:val="auto"/>
              </w:rPr>
            </w:pPr>
            <w:r>
              <w:rPr>
                <w:rFonts w:hint="eastAsia"/>
                <w:color w:val="auto"/>
              </w:rPr>
              <w:t>莫174H井（天然气橇装处理装置）</w:t>
            </w:r>
          </w:p>
        </w:tc>
        <w:tc>
          <w:tcPr>
            <w:tcW w:w="1283" w:type="pct"/>
            <w:vMerge w:val="restart"/>
            <w:vAlign w:val="center"/>
          </w:tcPr>
          <w:p w14:paraId="3FCEA14D">
            <w:pPr>
              <w:pStyle w:val="296"/>
              <w:spacing w:line="300" w:lineRule="exact"/>
              <w:rPr>
                <w:rFonts w:hint="eastAsia"/>
                <w:color w:val="auto"/>
              </w:rPr>
            </w:pPr>
            <w:r>
              <w:rPr>
                <w:rFonts w:hint="eastAsia"/>
                <w:color w:val="auto"/>
              </w:rPr>
              <w:t>/</w:t>
            </w:r>
          </w:p>
        </w:tc>
        <w:tc>
          <w:tcPr>
            <w:tcW w:w="689" w:type="pct"/>
            <w:vAlign w:val="center"/>
          </w:tcPr>
          <w:p w14:paraId="750ED51F">
            <w:pPr>
              <w:pStyle w:val="296"/>
              <w:spacing w:line="300" w:lineRule="exact"/>
              <w:rPr>
                <w:rFonts w:hint="eastAsia"/>
                <w:color w:val="auto"/>
              </w:rPr>
            </w:pPr>
            <w:r>
              <w:rPr>
                <w:rFonts w:hint="eastAsia"/>
                <w:color w:val="auto"/>
              </w:rPr>
              <w:t>伴生气</w:t>
            </w:r>
          </w:p>
        </w:tc>
        <w:tc>
          <w:tcPr>
            <w:tcW w:w="485" w:type="pct"/>
            <w:vAlign w:val="center"/>
          </w:tcPr>
          <w:p w14:paraId="5512F169">
            <w:pPr>
              <w:pStyle w:val="296"/>
              <w:spacing w:line="300" w:lineRule="exact"/>
              <w:rPr>
                <w:rFonts w:hint="eastAsia"/>
                <w:color w:val="auto"/>
              </w:rPr>
            </w:pPr>
            <w:r>
              <w:rPr>
                <w:rFonts w:hint="eastAsia"/>
                <w:color w:val="auto"/>
              </w:rPr>
              <w:t>0.026</w:t>
            </w:r>
          </w:p>
        </w:tc>
        <w:tc>
          <w:tcPr>
            <w:tcW w:w="834" w:type="pct"/>
            <w:vAlign w:val="center"/>
          </w:tcPr>
          <w:p w14:paraId="52C41964">
            <w:pPr>
              <w:pStyle w:val="296"/>
              <w:spacing w:line="300" w:lineRule="exact"/>
              <w:rPr>
                <w:rFonts w:hint="eastAsia"/>
                <w:color w:val="auto"/>
              </w:rPr>
            </w:pPr>
            <w:r>
              <w:rPr>
                <w:rFonts w:hint="eastAsia"/>
                <w:color w:val="auto"/>
              </w:rPr>
              <w:t>10</w:t>
            </w:r>
          </w:p>
        </w:tc>
        <w:tc>
          <w:tcPr>
            <w:tcW w:w="654" w:type="pct"/>
            <w:vAlign w:val="center"/>
          </w:tcPr>
          <w:p w14:paraId="480EFFC6">
            <w:pPr>
              <w:pStyle w:val="296"/>
              <w:spacing w:line="300" w:lineRule="exact"/>
              <w:rPr>
                <w:rFonts w:hint="eastAsia"/>
                <w:color w:val="auto"/>
              </w:rPr>
            </w:pPr>
            <w:r>
              <w:rPr>
                <w:rFonts w:hint="eastAsia"/>
                <w:color w:val="auto"/>
              </w:rPr>
              <w:t>0.0026</w:t>
            </w:r>
          </w:p>
        </w:tc>
      </w:tr>
      <w:tr w14:paraId="6B7913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2EE2B092">
            <w:pPr>
              <w:pStyle w:val="296"/>
              <w:spacing w:line="300" w:lineRule="exact"/>
              <w:rPr>
                <w:rFonts w:hint="eastAsia"/>
                <w:color w:val="auto"/>
              </w:rPr>
            </w:pPr>
          </w:p>
        </w:tc>
        <w:tc>
          <w:tcPr>
            <w:tcW w:w="1283" w:type="pct"/>
            <w:vMerge w:val="continue"/>
            <w:vAlign w:val="center"/>
          </w:tcPr>
          <w:p w14:paraId="499C9334">
            <w:pPr>
              <w:pStyle w:val="296"/>
              <w:spacing w:line="300" w:lineRule="exact"/>
              <w:rPr>
                <w:rFonts w:hint="eastAsia"/>
                <w:color w:val="auto"/>
              </w:rPr>
            </w:pPr>
          </w:p>
        </w:tc>
        <w:tc>
          <w:tcPr>
            <w:tcW w:w="689" w:type="pct"/>
            <w:vAlign w:val="center"/>
          </w:tcPr>
          <w:p w14:paraId="16C80B48">
            <w:pPr>
              <w:pStyle w:val="296"/>
              <w:spacing w:line="300" w:lineRule="exact"/>
              <w:rPr>
                <w:rFonts w:hint="eastAsia"/>
                <w:color w:val="auto"/>
              </w:rPr>
            </w:pPr>
            <w:r>
              <w:rPr>
                <w:rFonts w:hint="eastAsia"/>
                <w:color w:val="auto"/>
              </w:rPr>
              <w:t>原油</w:t>
            </w:r>
          </w:p>
        </w:tc>
        <w:tc>
          <w:tcPr>
            <w:tcW w:w="485" w:type="pct"/>
            <w:vAlign w:val="center"/>
          </w:tcPr>
          <w:p w14:paraId="13659762">
            <w:pPr>
              <w:pStyle w:val="296"/>
              <w:spacing w:line="300" w:lineRule="exact"/>
              <w:rPr>
                <w:rFonts w:hint="eastAsia"/>
                <w:color w:val="auto"/>
              </w:rPr>
            </w:pPr>
            <w:r>
              <w:rPr>
                <w:rFonts w:hint="eastAsia"/>
                <w:color w:val="auto"/>
              </w:rPr>
              <w:t>122.18</w:t>
            </w:r>
          </w:p>
        </w:tc>
        <w:tc>
          <w:tcPr>
            <w:tcW w:w="834" w:type="pct"/>
            <w:vAlign w:val="center"/>
          </w:tcPr>
          <w:p w14:paraId="3B6D565B">
            <w:pPr>
              <w:pStyle w:val="296"/>
              <w:spacing w:line="300" w:lineRule="exact"/>
              <w:rPr>
                <w:rFonts w:hint="eastAsia"/>
                <w:color w:val="auto"/>
              </w:rPr>
            </w:pPr>
            <w:r>
              <w:rPr>
                <w:rFonts w:hint="eastAsia"/>
                <w:color w:val="auto"/>
              </w:rPr>
              <w:t>2500</w:t>
            </w:r>
          </w:p>
        </w:tc>
        <w:tc>
          <w:tcPr>
            <w:tcW w:w="654" w:type="pct"/>
            <w:vAlign w:val="center"/>
          </w:tcPr>
          <w:p w14:paraId="6C96AD09">
            <w:pPr>
              <w:pStyle w:val="296"/>
              <w:spacing w:line="300" w:lineRule="exact"/>
              <w:rPr>
                <w:rFonts w:hint="eastAsia"/>
                <w:color w:val="auto"/>
              </w:rPr>
            </w:pPr>
            <w:r>
              <w:rPr>
                <w:rFonts w:hint="eastAsia"/>
                <w:color w:val="auto"/>
              </w:rPr>
              <w:t>0.0489</w:t>
            </w:r>
          </w:p>
        </w:tc>
      </w:tr>
      <w:tr w14:paraId="511DBB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1EE093C4">
            <w:pPr>
              <w:pStyle w:val="296"/>
              <w:spacing w:line="300" w:lineRule="exact"/>
              <w:rPr>
                <w:rFonts w:hint="eastAsia"/>
                <w:color w:val="auto"/>
              </w:rPr>
            </w:pPr>
          </w:p>
        </w:tc>
        <w:tc>
          <w:tcPr>
            <w:tcW w:w="1283" w:type="pct"/>
            <w:vMerge w:val="continue"/>
            <w:vAlign w:val="center"/>
          </w:tcPr>
          <w:p w14:paraId="28917C87">
            <w:pPr>
              <w:pStyle w:val="296"/>
              <w:spacing w:line="300" w:lineRule="exact"/>
              <w:rPr>
                <w:rFonts w:hint="eastAsia"/>
                <w:color w:val="auto"/>
              </w:rPr>
            </w:pPr>
          </w:p>
        </w:tc>
        <w:tc>
          <w:tcPr>
            <w:tcW w:w="689" w:type="pct"/>
            <w:vAlign w:val="center"/>
          </w:tcPr>
          <w:p w14:paraId="706314F7">
            <w:pPr>
              <w:pStyle w:val="296"/>
              <w:spacing w:line="300" w:lineRule="exact"/>
              <w:rPr>
                <w:rFonts w:hint="eastAsia"/>
                <w:color w:val="auto"/>
              </w:rPr>
            </w:pPr>
            <w:r>
              <w:rPr>
                <w:rFonts w:hint="eastAsia"/>
                <w:color w:val="auto"/>
              </w:rPr>
              <w:t>混烃</w:t>
            </w:r>
          </w:p>
        </w:tc>
        <w:tc>
          <w:tcPr>
            <w:tcW w:w="485" w:type="pct"/>
            <w:vAlign w:val="center"/>
          </w:tcPr>
          <w:p w14:paraId="24284457">
            <w:pPr>
              <w:pStyle w:val="296"/>
              <w:spacing w:line="300" w:lineRule="exact"/>
              <w:rPr>
                <w:rFonts w:hint="eastAsia"/>
                <w:color w:val="auto"/>
              </w:rPr>
            </w:pPr>
            <w:r>
              <w:rPr>
                <w:rFonts w:hint="eastAsia"/>
                <w:color w:val="auto"/>
              </w:rPr>
              <w:t>16.35</w:t>
            </w:r>
          </w:p>
        </w:tc>
        <w:tc>
          <w:tcPr>
            <w:tcW w:w="834" w:type="pct"/>
            <w:vAlign w:val="center"/>
          </w:tcPr>
          <w:p w14:paraId="37D273C8">
            <w:pPr>
              <w:pStyle w:val="296"/>
              <w:spacing w:line="300" w:lineRule="exact"/>
              <w:rPr>
                <w:rFonts w:hint="eastAsia"/>
                <w:color w:val="auto"/>
              </w:rPr>
            </w:pPr>
            <w:r>
              <w:rPr>
                <w:rFonts w:hint="eastAsia"/>
                <w:color w:val="auto"/>
              </w:rPr>
              <w:t>2500</w:t>
            </w:r>
          </w:p>
        </w:tc>
        <w:tc>
          <w:tcPr>
            <w:tcW w:w="654" w:type="pct"/>
            <w:vAlign w:val="center"/>
          </w:tcPr>
          <w:p w14:paraId="1FB07FA6">
            <w:pPr>
              <w:pStyle w:val="296"/>
              <w:spacing w:line="300" w:lineRule="exact"/>
              <w:rPr>
                <w:rFonts w:hint="eastAsia"/>
                <w:color w:val="auto"/>
              </w:rPr>
            </w:pPr>
            <w:r>
              <w:rPr>
                <w:rFonts w:hint="eastAsia"/>
                <w:color w:val="auto"/>
              </w:rPr>
              <w:t>0.0065</w:t>
            </w:r>
          </w:p>
        </w:tc>
      </w:tr>
      <w:tr w14:paraId="3EC756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7CAC204E">
            <w:pPr>
              <w:pStyle w:val="296"/>
              <w:spacing w:line="300" w:lineRule="exact"/>
              <w:rPr>
                <w:rFonts w:hint="eastAsia"/>
                <w:color w:val="auto"/>
              </w:rPr>
            </w:pPr>
          </w:p>
        </w:tc>
        <w:tc>
          <w:tcPr>
            <w:tcW w:w="1283" w:type="pct"/>
            <w:vAlign w:val="center"/>
          </w:tcPr>
          <w:p w14:paraId="72605D20">
            <w:pPr>
              <w:pStyle w:val="296"/>
              <w:spacing w:line="300" w:lineRule="exact"/>
              <w:rPr>
                <w:rFonts w:hint="eastAsia"/>
                <w:color w:val="auto"/>
              </w:rPr>
            </w:pPr>
            <w:r>
              <w:rPr>
                <w:rFonts w:hint="eastAsia"/>
                <w:color w:val="auto"/>
              </w:rPr>
              <w:t>槽车</w:t>
            </w:r>
          </w:p>
        </w:tc>
        <w:tc>
          <w:tcPr>
            <w:tcW w:w="689" w:type="pct"/>
            <w:vAlign w:val="center"/>
          </w:tcPr>
          <w:p w14:paraId="75E17A26">
            <w:pPr>
              <w:pStyle w:val="296"/>
              <w:spacing w:line="300" w:lineRule="exact"/>
              <w:rPr>
                <w:rFonts w:hint="eastAsia"/>
                <w:color w:val="auto"/>
              </w:rPr>
            </w:pPr>
            <w:r>
              <w:rPr>
                <w:rFonts w:hint="eastAsia"/>
                <w:color w:val="auto"/>
              </w:rPr>
              <w:t>天然气</w:t>
            </w:r>
          </w:p>
        </w:tc>
        <w:tc>
          <w:tcPr>
            <w:tcW w:w="485" w:type="pct"/>
            <w:vAlign w:val="center"/>
          </w:tcPr>
          <w:p w14:paraId="661808CD">
            <w:pPr>
              <w:pStyle w:val="296"/>
              <w:spacing w:line="300" w:lineRule="exact"/>
              <w:rPr>
                <w:rFonts w:hint="eastAsia"/>
                <w:color w:val="auto"/>
              </w:rPr>
            </w:pPr>
            <w:r>
              <w:rPr>
                <w:rFonts w:hint="eastAsia"/>
                <w:color w:val="auto"/>
              </w:rPr>
              <w:t>4.3</w:t>
            </w:r>
          </w:p>
        </w:tc>
        <w:tc>
          <w:tcPr>
            <w:tcW w:w="834" w:type="pct"/>
            <w:vAlign w:val="center"/>
          </w:tcPr>
          <w:p w14:paraId="43168A32">
            <w:pPr>
              <w:pStyle w:val="296"/>
              <w:spacing w:line="300" w:lineRule="exact"/>
              <w:rPr>
                <w:rFonts w:hint="eastAsia"/>
                <w:color w:val="auto"/>
              </w:rPr>
            </w:pPr>
            <w:r>
              <w:rPr>
                <w:rFonts w:hint="eastAsia"/>
                <w:color w:val="auto"/>
              </w:rPr>
              <w:t>10</w:t>
            </w:r>
          </w:p>
        </w:tc>
        <w:tc>
          <w:tcPr>
            <w:tcW w:w="654" w:type="pct"/>
            <w:vAlign w:val="center"/>
          </w:tcPr>
          <w:p w14:paraId="52C08551">
            <w:pPr>
              <w:pStyle w:val="296"/>
              <w:spacing w:line="300" w:lineRule="exact"/>
              <w:rPr>
                <w:rFonts w:hint="eastAsia"/>
                <w:color w:val="auto"/>
              </w:rPr>
            </w:pPr>
            <w:r>
              <w:rPr>
                <w:rFonts w:hint="eastAsia"/>
                <w:color w:val="auto"/>
              </w:rPr>
              <w:t>0.43</w:t>
            </w:r>
          </w:p>
        </w:tc>
      </w:tr>
      <w:tr w14:paraId="352529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004E8A27">
            <w:pPr>
              <w:pStyle w:val="296"/>
              <w:spacing w:line="300" w:lineRule="exact"/>
              <w:rPr>
                <w:rFonts w:hint="eastAsia"/>
                <w:color w:val="auto"/>
              </w:rPr>
            </w:pPr>
          </w:p>
        </w:tc>
        <w:tc>
          <w:tcPr>
            <w:tcW w:w="3291" w:type="pct"/>
            <w:gridSpan w:val="4"/>
            <w:vAlign w:val="center"/>
          </w:tcPr>
          <w:p w14:paraId="6016B43C">
            <w:pPr>
              <w:pStyle w:val="296"/>
              <w:spacing w:line="300" w:lineRule="exact"/>
              <w:rPr>
                <w:rFonts w:hint="eastAsia"/>
                <w:color w:val="auto"/>
              </w:rPr>
            </w:pPr>
            <w:r>
              <w:rPr>
                <w:rFonts w:hint="eastAsia"/>
                <w:color w:val="auto"/>
              </w:rPr>
              <w:t>合计</w:t>
            </w:r>
          </w:p>
        </w:tc>
        <w:tc>
          <w:tcPr>
            <w:tcW w:w="654" w:type="pct"/>
            <w:vAlign w:val="center"/>
          </w:tcPr>
          <w:p w14:paraId="620D593B">
            <w:pPr>
              <w:pStyle w:val="296"/>
              <w:spacing w:line="300" w:lineRule="exact"/>
              <w:rPr>
                <w:rFonts w:hint="eastAsia"/>
                <w:color w:val="auto"/>
              </w:rPr>
            </w:pPr>
            <w:r>
              <w:rPr>
                <w:rFonts w:hint="eastAsia"/>
                <w:color w:val="auto"/>
              </w:rPr>
              <w:t>0.488</w:t>
            </w:r>
          </w:p>
        </w:tc>
      </w:tr>
      <w:tr w14:paraId="2515C8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restart"/>
            <w:vAlign w:val="center"/>
          </w:tcPr>
          <w:p w14:paraId="6DAA00D5">
            <w:pPr>
              <w:pStyle w:val="296"/>
              <w:spacing w:line="300" w:lineRule="exact"/>
              <w:rPr>
                <w:rFonts w:hint="eastAsia"/>
                <w:color w:val="auto"/>
              </w:rPr>
            </w:pPr>
            <w:r>
              <w:rPr>
                <w:rFonts w:hint="eastAsia"/>
                <w:color w:val="auto"/>
              </w:rPr>
              <w:t>充装区</w:t>
            </w:r>
          </w:p>
        </w:tc>
        <w:tc>
          <w:tcPr>
            <w:tcW w:w="1283" w:type="pct"/>
            <w:vAlign w:val="center"/>
          </w:tcPr>
          <w:p w14:paraId="2DEEE8E3">
            <w:pPr>
              <w:pStyle w:val="296"/>
              <w:spacing w:line="300" w:lineRule="exact"/>
              <w:rPr>
                <w:rFonts w:hint="eastAsia"/>
                <w:color w:val="auto"/>
              </w:rPr>
            </w:pPr>
            <w:r>
              <w:rPr>
                <w:rFonts w:hint="eastAsia"/>
                <w:color w:val="auto"/>
              </w:rPr>
              <w:t>槽车</w:t>
            </w:r>
          </w:p>
        </w:tc>
        <w:tc>
          <w:tcPr>
            <w:tcW w:w="689" w:type="pct"/>
            <w:vAlign w:val="center"/>
          </w:tcPr>
          <w:p w14:paraId="41690988">
            <w:pPr>
              <w:pStyle w:val="296"/>
              <w:spacing w:line="300" w:lineRule="exact"/>
              <w:rPr>
                <w:rFonts w:hint="eastAsia"/>
                <w:color w:val="auto"/>
              </w:rPr>
            </w:pPr>
            <w:r>
              <w:rPr>
                <w:rFonts w:hint="eastAsia"/>
                <w:color w:val="auto"/>
              </w:rPr>
              <w:t>天然气</w:t>
            </w:r>
          </w:p>
        </w:tc>
        <w:tc>
          <w:tcPr>
            <w:tcW w:w="485" w:type="pct"/>
            <w:vAlign w:val="center"/>
          </w:tcPr>
          <w:p w14:paraId="759F81AA">
            <w:pPr>
              <w:pStyle w:val="296"/>
              <w:spacing w:line="300" w:lineRule="exact"/>
              <w:rPr>
                <w:rFonts w:hint="eastAsia"/>
                <w:color w:val="auto"/>
              </w:rPr>
            </w:pPr>
            <w:r>
              <w:rPr>
                <w:rFonts w:hint="eastAsia"/>
                <w:color w:val="auto"/>
              </w:rPr>
              <w:t>4.42</w:t>
            </w:r>
          </w:p>
        </w:tc>
        <w:tc>
          <w:tcPr>
            <w:tcW w:w="834" w:type="pct"/>
            <w:vAlign w:val="center"/>
          </w:tcPr>
          <w:p w14:paraId="033E601B">
            <w:pPr>
              <w:pStyle w:val="296"/>
              <w:spacing w:line="300" w:lineRule="exact"/>
              <w:rPr>
                <w:rFonts w:hint="eastAsia"/>
                <w:color w:val="auto"/>
              </w:rPr>
            </w:pPr>
            <w:r>
              <w:rPr>
                <w:rFonts w:hint="eastAsia"/>
                <w:color w:val="auto"/>
              </w:rPr>
              <w:t>10</w:t>
            </w:r>
          </w:p>
        </w:tc>
        <w:tc>
          <w:tcPr>
            <w:tcW w:w="654" w:type="pct"/>
            <w:vAlign w:val="center"/>
          </w:tcPr>
          <w:p w14:paraId="0AF99D57">
            <w:pPr>
              <w:pStyle w:val="296"/>
              <w:spacing w:line="300" w:lineRule="exact"/>
              <w:rPr>
                <w:rFonts w:hint="eastAsia"/>
                <w:color w:val="auto"/>
              </w:rPr>
            </w:pPr>
            <w:r>
              <w:rPr>
                <w:rFonts w:hint="eastAsia"/>
                <w:color w:val="auto"/>
              </w:rPr>
              <w:t>0.442</w:t>
            </w:r>
          </w:p>
        </w:tc>
      </w:tr>
      <w:tr w14:paraId="167D50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4FBBD807">
            <w:pPr>
              <w:pStyle w:val="296"/>
              <w:spacing w:line="300" w:lineRule="exact"/>
              <w:rPr>
                <w:rFonts w:hint="eastAsia"/>
                <w:color w:val="auto"/>
              </w:rPr>
            </w:pPr>
          </w:p>
        </w:tc>
        <w:tc>
          <w:tcPr>
            <w:tcW w:w="1283" w:type="pct"/>
            <w:vMerge w:val="restart"/>
            <w:vAlign w:val="center"/>
          </w:tcPr>
          <w:p w14:paraId="745B5713">
            <w:pPr>
              <w:pStyle w:val="296"/>
              <w:spacing w:line="300" w:lineRule="exact"/>
              <w:rPr>
                <w:rFonts w:hint="eastAsia"/>
                <w:color w:val="auto"/>
              </w:rPr>
            </w:pPr>
            <w:r>
              <w:rPr>
                <w:rFonts w:hint="eastAsia"/>
                <w:color w:val="auto"/>
              </w:rPr>
              <w:t>/</w:t>
            </w:r>
          </w:p>
        </w:tc>
        <w:tc>
          <w:tcPr>
            <w:tcW w:w="689" w:type="pct"/>
            <w:vAlign w:val="center"/>
          </w:tcPr>
          <w:p w14:paraId="6F2863D8">
            <w:pPr>
              <w:pStyle w:val="296"/>
              <w:spacing w:line="300" w:lineRule="exact"/>
              <w:rPr>
                <w:rFonts w:hint="eastAsia"/>
                <w:color w:val="auto"/>
              </w:rPr>
            </w:pPr>
            <w:r>
              <w:rPr>
                <w:rFonts w:hint="eastAsia"/>
                <w:color w:val="auto"/>
              </w:rPr>
              <w:t>原油</w:t>
            </w:r>
          </w:p>
        </w:tc>
        <w:tc>
          <w:tcPr>
            <w:tcW w:w="485" w:type="pct"/>
            <w:vAlign w:val="center"/>
          </w:tcPr>
          <w:p w14:paraId="7B8B3DB1">
            <w:pPr>
              <w:pStyle w:val="296"/>
              <w:spacing w:line="300" w:lineRule="exact"/>
              <w:rPr>
                <w:rFonts w:hint="eastAsia"/>
                <w:color w:val="auto"/>
              </w:rPr>
            </w:pPr>
            <w:r>
              <w:rPr>
                <w:rFonts w:hint="eastAsia"/>
                <w:color w:val="auto"/>
              </w:rPr>
              <w:t>32.70</w:t>
            </w:r>
          </w:p>
        </w:tc>
        <w:tc>
          <w:tcPr>
            <w:tcW w:w="834" w:type="pct"/>
            <w:vAlign w:val="center"/>
          </w:tcPr>
          <w:p w14:paraId="27CAA29E">
            <w:pPr>
              <w:pStyle w:val="296"/>
              <w:spacing w:line="300" w:lineRule="exact"/>
              <w:rPr>
                <w:rFonts w:hint="eastAsia"/>
                <w:color w:val="auto"/>
              </w:rPr>
            </w:pPr>
            <w:r>
              <w:rPr>
                <w:rFonts w:hint="eastAsia"/>
                <w:color w:val="auto"/>
              </w:rPr>
              <w:t>2500</w:t>
            </w:r>
          </w:p>
        </w:tc>
        <w:tc>
          <w:tcPr>
            <w:tcW w:w="654" w:type="pct"/>
            <w:vAlign w:val="center"/>
          </w:tcPr>
          <w:p w14:paraId="23CD4FDB">
            <w:pPr>
              <w:pStyle w:val="296"/>
              <w:spacing w:line="300" w:lineRule="exact"/>
              <w:rPr>
                <w:rFonts w:hint="eastAsia"/>
                <w:color w:val="auto"/>
              </w:rPr>
            </w:pPr>
            <w:r>
              <w:rPr>
                <w:rFonts w:hint="eastAsia"/>
                <w:color w:val="auto"/>
              </w:rPr>
              <w:t>0.0131</w:t>
            </w:r>
          </w:p>
        </w:tc>
      </w:tr>
      <w:tr w14:paraId="2FA0D5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6092F822">
            <w:pPr>
              <w:pStyle w:val="296"/>
              <w:spacing w:line="300" w:lineRule="exact"/>
              <w:rPr>
                <w:rFonts w:hint="eastAsia"/>
                <w:color w:val="auto"/>
              </w:rPr>
            </w:pPr>
          </w:p>
        </w:tc>
        <w:tc>
          <w:tcPr>
            <w:tcW w:w="1283" w:type="pct"/>
            <w:vMerge w:val="continue"/>
            <w:vAlign w:val="center"/>
          </w:tcPr>
          <w:p w14:paraId="01461AC1">
            <w:pPr>
              <w:pStyle w:val="296"/>
              <w:spacing w:line="300" w:lineRule="exact"/>
              <w:rPr>
                <w:rFonts w:hint="eastAsia"/>
                <w:color w:val="auto"/>
              </w:rPr>
            </w:pPr>
          </w:p>
        </w:tc>
        <w:tc>
          <w:tcPr>
            <w:tcW w:w="689" w:type="pct"/>
            <w:vAlign w:val="center"/>
          </w:tcPr>
          <w:p w14:paraId="797D0EE3">
            <w:pPr>
              <w:pStyle w:val="296"/>
              <w:spacing w:line="300" w:lineRule="exact"/>
              <w:rPr>
                <w:rFonts w:hint="eastAsia"/>
                <w:color w:val="auto"/>
              </w:rPr>
            </w:pPr>
            <w:r>
              <w:rPr>
                <w:rFonts w:hint="eastAsia"/>
                <w:color w:val="auto"/>
              </w:rPr>
              <w:t>混烃</w:t>
            </w:r>
          </w:p>
        </w:tc>
        <w:tc>
          <w:tcPr>
            <w:tcW w:w="485" w:type="pct"/>
            <w:vAlign w:val="center"/>
          </w:tcPr>
          <w:p w14:paraId="4DB1242F">
            <w:pPr>
              <w:pStyle w:val="296"/>
              <w:spacing w:line="300" w:lineRule="exact"/>
              <w:rPr>
                <w:rFonts w:hint="eastAsia"/>
                <w:color w:val="auto"/>
              </w:rPr>
            </w:pPr>
            <w:r>
              <w:rPr>
                <w:rFonts w:hint="eastAsia"/>
                <w:color w:val="auto"/>
              </w:rPr>
              <w:t>31.92</w:t>
            </w:r>
          </w:p>
        </w:tc>
        <w:tc>
          <w:tcPr>
            <w:tcW w:w="834" w:type="pct"/>
            <w:vAlign w:val="center"/>
          </w:tcPr>
          <w:p w14:paraId="1FC5FEE9">
            <w:pPr>
              <w:pStyle w:val="296"/>
              <w:spacing w:line="300" w:lineRule="exact"/>
              <w:rPr>
                <w:rFonts w:hint="eastAsia"/>
                <w:color w:val="auto"/>
              </w:rPr>
            </w:pPr>
            <w:r>
              <w:rPr>
                <w:rFonts w:hint="eastAsia"/>
                <w:color w:val="auto"/>
              </w:rPr>
              <w:t>2500</w:t>
            </w:r>
          </w:p>
        </w:tc>
        <w:tc>
          <w:tcPr>
            <w:tcW w:w="654" w:type="pct"/>
            <w:vAlign w:val="center"/>
          </w:tcPr>
          <w:p w14:paraId="09D0F056">
            <w:pPr>
              <w:pStyle w:val="296"/>
              <w:spacing w:line="300" w:lineRule="exact"/>
              <w:rPr>
                <w:rFonts w:hint="eastAsia"/>
                <w:color w:val="auto"/>
              </w:rPr>
            </w:pPr>
            <w:r>
              <w:rPr>
                <w:rFonts w:hint="eastAsia"/>
                <w:color w:val="auto"/>
              </w:rPr>
              <w:t>0.0128</w:t>
            </w:r>
          </w:p>
        </w:tc>
      </w:tr>
      <w:tr w14:paraId="607483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4838F864">
            <w:pPr>
              <w:pStyle w:val="296"/>
              <w:spacing w:line="300" w:lineRule="exact"/>
              <w:rPr>
                <w:rFonts w:hint="eastAsia"/>
                <w:color w:val="auto"/>
              </w:rPr>
            </w:pPr>
          </w:p>
        </w:tc>
        <w:tc>
          <w:tcPr>
            <w:tcW w:w="3291" w:type="pct"/>
            <w:gridSpan w:val="4"/>
            <w:vAlign w:val="center"/>
          </w:tcPr>
          <w:p w14:paraId="4C9DF942">
            <w:pPr>
              <w:pStyle w:val="296"/>
              <w:spacing w:line="300" w:lineRule="exact"/>
              <w:rPr>
                <w:rFonts w:hint="eastAsia"/>
                <w:color w:val="auto"/>
              </w:rPr>
            </w:pPr>
            <w:r>
              <w:rPr>
                <w:rFonts w:hint="eastAsia"/>
                <w:color w:val="auto"/>
              </w:rPr>
              <w:t>合计</w:t>
            </w:r>
          </w:p>
        </w:tc>
        <w:tc>
          <w:tcPr>
            <w:tcW w:w="654" w:type="pct"/>
            <w:vAlign w:val="center"/>
          </w:tcPr>
          <w:p w14:paraId="63702627">
            <w:pPr>
              <w:pStyle w:val="296"/>
              <w:spacing w:line="300" w:lineRule="exact"/>
              <w:rPr>
                <w:rFonts w:hint="eastAsia"/>
                <w:color w:val="auto"/>
              </w:rPr>
            </w:pPr>
            <w:r>
              <w:rPr>
                <w:rFonts w:hint="eastAsia"/>
                <w:color w:val="auto"/>
              </w:rPr>
              <w:t>0.4679</w:t>
            </w:r>
          </w:p>
        </w:tc>
      </w:tr>
    </w:tbl>
    <w:p w14:paraId="70E3D872">
      <w:pPr>
        <w:pStyle w:val="86"/>
        <w:ind w:firstLine="480"/>
        <w:rPr>
          <w:rFonts w:hint="eastAsia"/>
          <w:color w:val="auto"/>
        </w:rPr>
      </w:pPr>
      <w:r>
        <w:rPr>
          <w:rFonts w:hint="eastAsia"/>
          <w:color w:val="auto"/>
        </w:rPr>
        <w:t>根据上表计算结果可知，Q值最大为0.488，小于1，判断风险潜势为Ⅰ。根据《建设项目环境风险评价技术导则》（H</w:t>
      </w:r>
      <w:r>
        <w:rPr>
          <w:color w:val="auto"/>
        </w:rPr>
        <w:t>J169-2018</w:t>
      </w:r>
      <w:r>
        <w:rPr>
          <w:rFonts w:hint="eastAsia"/>
          <w:color w:val="auto"/>
        </w:rPr>
        <w:t>）相关要求，根据表2</w:t>
      </w:r>
      <w:r>
        <w:rPr>
          <w:color w:val="auto"/>
        </w:rPr>
        <w:t>.6</w:t>
      </w:r>
      <w:r>
        <w:rPr>
          <w:rFonts w:hint="eastAsia"/>
          <w:color w:val="auto"/>
        </w:rPr>
        <w:t>-</w:t>
      </w:r>
      <w:r>
        <w:rPr>
          <w:color w:val="auto"/>
        </w:rPr>
        <w:t>10</w:t>
      </w:r>
      <w:r>
        <w:rPr>
          <w:rFonts w:hint="eastAsia"/>
          <w:color w:val="auto"/>
        </w:rPr>
        <w:t>判定本次风险评价仅进行简单分析。</w:t>
      </w:r>
    </w:p>
    <w:bookmarkEnd w:id="133"/>
    <w:p w14:paraId="6FF38F69">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134" w:name="_Toc445840375"/>
      <w:bookmarkStart w:id="135" w:name="_Toc24149"/>
      <w:bookmarkStart w:id="136" w:name="_Toc445841979"/>
      <w:bookmarkStart w:id="137" w:name="_Toc445996332"/>
      <w:bookmarkStart w:id="138" w:name="_Hlk92203645"/>
      <w:r>
        <w:rPr>
          <w:rFonts w:hint="eastAsia" w:ascii="黑体" w:hAnsi="黑体" w:eastAsia="黑体" w:cs="Times New Roman"/>
          <w:color w:val="auto"/>
          <w:sz w:val="24"/>
          <w:szCs w:val="21"/>
          <w:lang w:val="zh-CN"/>
          <w14:ligatures w14:val="none"/>
        </w:rPr>
        <w:t>评价</w:t>
      </w:r>
      <w:bookmarkEnd w:id="134"/>
      <w:bookmarkEnd w:id="135"/>
      <w:bookmarkEnd w:id="136"/>
      <w:bookmarkEnd w:id="137"/>
      <w:r>
        <w:rPr>
          <w:rFonts w:hint="eastAsia" w:ascii="黑体" w:hAnsi="黑体" w:eastAsia="黑体" w:cs="Times New Roman"/>
          <w:color w:val="auto"/>
          <w:sz w:val="24"/>
          <w:szCs w:val="21"/>
          <w:lang w:val="zh-CN"/>
          <w14:ligatures w14:val="none"/>
        </w:rPr>
        <w:t>范围</w:t>
      </w:r>
    </w:p>
    <w:p w14:paraId="6DD1B50A">
      <w:pPr>
        <w:pStyle w:val="86"/>
        <w:spacing w:line="480" w:lineRule="exact"/>
        <w:ind w:firstLine="480"/>
        <w:rPr>
          <w:rFonts w:hint="eastAsia"/>
          <w:color w:val="auto"/>
        </w:rPr>
      </w:pPr>
      <w:r>
        <w:rPr>
          <w:rFonts w:hint="eastAsia"/>
          <w:color w:val="auto"/>
        </w:rPr>
        <w:t>根据各环境要素导则要求，结合周边环境，确定本项目各环境要素的评价范围见表2.</w:t>
      </w:r>
      <w:r>
        <w:rPr>
          <w:color w:val="auto"/>
        </w:rPr>
        <w:t>6</w:t>
      </w:r>
      <w:r>
        <w:rPr>
          <w:rFonts w:hint="eastAsia"/>
          <w:color w:val="auto"/>
        </w:rPr>
        <w:t>-10和图2.</w:t>
      </w:r>
      <w:r>
        <w:rPr>
          <w:color w:val="auto"/>
        </w:rPr>
        <w:t>6</w:t>
      </w:r>
      <w:r>
        <w:rPr>
          <w:rFonts w:hint="eastAsia"/>
          <w:color w:val="auto"/>
        </w:rPr>
        <w:t>-1。</w:t>
      </w:r>
      <w:bookmarkEnd w:id="138"/>
      <w:bookmarkStart w:id="139" w:name="_Hlk147580904"/>
    </w:p>
    <w:p w14:paraId="211B3141">
      <w:pPr>
        <w:pStyle w:val="15"/>
        <w:rPr>
          <w:rFonts w:hint="eastAsia"/>
          <w:color w:val="auto"/>
        </w:rPr>
      </w:pPr>
      <w:r>
        <w:rPr>
          <w:rFonts w:hint="eastAsia"/>
          <w:color w:val="auto"/>
        </w:rPr>
        <w:t>表2.</w:t>
      </w:r>
      <w:r>
        <w:rPr>
          <w:color w:val="auto"/>
        </w:rPr>
        <w:t>6</w:t>
      </w:r>
      <w:r>
        <w:rPr>
          <w:rFonts w:hint="eastAsia"/>
          <w:color w:val="auto"/>
        </w:rPr>
        <w:t>-10  各环境要素评价范围一览表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4"/>
        <w:gridCol w:w="1310"/>
        <w:gridCol w:w="6912"/>
      </w:tblGrid>
      <w:tr w14:paraId="7F03EF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137" w:type="pct"/>
            <w:gridSpan w:val="2"/>
            <w:vAlign w:val="center"/>
          </w:tcPr>
          <w:p w14:paraId="2B3D3E64">
            <w:pPr>
              <w:pStyle w:val="288"/>
              <w:adjustRightInd w:val="0"/>
              <w:snapToGrid w:val="0"/>
              <w:spacing w:line="300" w:lineRule="exact"/>
              <w:rPr>
                <w:rFonts w:hint="eastAsia" w:eastAsia="宋体"/>
                <w:color w:val="auto"/>
              </w:rPr>
            </w:pPr>
            <w:r>
              <w:rPr>
                <w:rFonts w:hint="eastAsia" w:eastAsia="宋体"/>
                <w:color w:val="auto"/>
                <w:lang w:bidi="ar"/>
              </w:rPr>
              <w:t>环境要素</w:t>
            </w:r>
          </w:p>
        </w:tc>
        <w:tc>
          <w:tcPr>
            <w:tcW w:w="3863" w:type="pct"/>
            <w:vAlign w:val="center"/>
          </w:tcPr>
          <w:p w14:paraId="678F4982">
            <w:pPr>
              <w:pStyle w:val="288"/>
              <w:adjustRightInd w:val="0"/>
              <w:snapToGrid w:val="0"/>
              <w:spacing w:line="300" w:lineRule="exact"/>
              <w:rPr>
                <w:rFonts w:hint="eastAsia" w:eastAsia="宋体"/>
                <w:color w:val="auto"/>
              </w:rPr>
            </w:pPr>
            <w:r>
              <w:rPr>
                <w:rFonts w:hint="eastAsia" w:eastAsia="宋体"/>
                <w:color w:val="auto"/>
                <w:lang w:bidi="ar"/>
              </w:rPr>
              <w:t>范围</w:t>
            </w:r>
          </w:p>
        </w:tc>
      </w:tr>
      <w:tr w14:paraId="0AE25F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Align w:val="center"/>
          </w:tcPr>
          <w:p w14:paraId="5507AADC">
            <w:pPr>
              <w:pStyle w:val="288"/>
              <w:adjustRightInd w:val="0"/>
              <w:snapToGrid w:val="0"/>
              <w:spacing w:line="300" w:lineRule="exact"/>
              <w:rPr>
                <w:rFonts w:hint="eastAsia" w:eastAsia="宋体"/>
                <w:color w:val="auto"/>
              </w:rPr>
            </w:pPr>
            <w:bookmarkStart w:id="140" w:name="_Hlk177549359"/>
            <w:r>
              <w:rPr>
                <w:rFonts w:hint="eastAsia" w:eastAsia="宋体"/>
                <w:color w:val="auto"/>
              </w:rPr>
              <w:t>大</w:t>
            </w:r>
            <w:r>
              <w:rPr>
                <w:rFonts w:eastAsia="宋体"/>
                <w:color w:val="auto"/>
              </w:rPr>
              <w:t xml:space="preserve">   </w:t>
            </w:r>
            <w:r>
              <w:rPr>
                <w:rFonts w:hint="eastAsia" w:eastAsia="宋体"/>
                <w:color w:val="auto"/>
              </w:rPr>
              <w:t>气</w:t>
            </w:r>
          </w:p>
        </w:tc>
        <w:tc>
          <w:tcPr>
            <w:tcW w:w="3863" w:type="pct"/>
            <w:vAlign w:val="center"/>
          </w:tcPr>
          <w:p w14:paraId="22329DF4">
            <w:pPr>
              <w:pStyle w:val="288"/>
              <w:adjustRightInd w:val="0"/>
              <w:snapToGrid w:val="0"/>
              <w:spacing w:line="300" w:lineRule="exact"/>
              <w:jc w:val="left"/>
              <w:rPr>
                <w:rFonts w:hint="eastAsia" w:eastAsia="宋体"/>
                <w:color w:val="auto"/>
              </w:rPr>
            </w:pPr>
            <w:r>
              <w:rPr>
                <w:rFonts w:hint="eastAsia" w:eastAsia="宋体"/>
                <w:color w:val="auto"/>
              </w:rPr>
              <w:t>以采油井场和充装区为中心，边长为5</w:t>
            </w:r>
            <w:r>
              <w:rPr>
                <w:rFonts w:eastAsia="宋体"/>
                <w:color w:val="auto"/>
              </w:rPr>
              <w:t>km</w:t>
            </w:r>
            <w:r>
              <w:rPr>
                <w:rFonts w:hint="eastAsia" w:eastAsia="宋体"/>
                <w:color w:val="auto"/>
              </w:rPr>
              <w:t>矩形。</w:t>
            </w:r>
          </w:p>
        </w:tc>
      </w:tr>
      <w:bookmarkEnd w:id="140"/>
      <w:tr w14:paraId="0C64D0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Align w:val="center"/>
          </w:tcPr>
          <w:p w14:paraId="2986C91C">
            <w:pPr>
              <w:pStyle w:val="288"/>
              <w:adjustRightInd w:val="0"/>
              <w:snapToGrid w:val="0"/>
              <w:spacing w:line="300" w:lineRule="exact"/>
              <w:rPr>
                <w:rFonts w:hint="eastAsia" w:eastAsia="宋体"/>
                <w:color w:val="auto"/>
              </w:rPr>
            </w:pPr>
            <w:r>
              <w:rPr>
                <w:rFonts w:hint="eastAsia" w:eastAsia="宋体"/>
                <w:color w:val="auto"/>
                <w:lang w:bidi="ar"/>
              </w:rPr>
              <w:t>地 下 水</w:t>
            </w:r>
          </w:p>
        </w:tc>
        <w:tc>
          <w:tcPr>
            <w:tcW w:w="3863" w:type="pct"/>
            <w:vAlign w:val="center"/>
          </w:tcPr>
          <w:p w14:paraId="32DE11FC">
            <w:pPr>
              <w:pStyle w:val="288"/>
              <w:adjustRightInd w:val="0"/>
              <w:snapToGrid w:val="0"/>
              <w:spacing w:line="300" w:lineRule="exact"/>
              <w:jc w:val="both"/>
              <w:rPr>
                <w:rFonts w:hint="eastAsia" w:eastAsia="宋体"/>
                <w:color w:val="auto"/>
              </w:rPr>
            </w:pPr>
            <w:bookmarkStart w:id="141" w:name="OLE_LINK75"/>
            <w:r>
              <w:rPr>
                <w:rFonts w:hint="eastAsia" w:eastAsia="宋体"/>
                <w:color w:val="auto"/>
                <w:lang w:bidi="ar"/>
              </w:rPr>
              <w:t>以地下水流向为长轴，</w:t>
            </w:r>
            <w:r>
              <w:rPr>
                <w:rFonts w:hint="eastAsia" w:eastAsia="宋体"/>
                <w:color w:val="auto"/>
              </w:rPr>
              <w:t>采油井场和充装区中心</w:t>
            </w:r>
            <w:r>
              <w:rPr>
                <w:rFonts w:hint="eastAsia" w:eastAsia="宋体"/>
                <w:color w:val="auto"/>
                <w:lang w:bidi="ar"/>
              </w:rPr>
              <w:t>上游1km、下游2km，</w:t>
            </w:r>
            <w:r>
              <w:rPr>
                <w:rFonts w:hint="eastAsia" w:eastAsia="宋体"/>
                <w:color w:val="auto"/>
              </w:rPr>
              <w:t>水流垂直方向分别外扩0.5km，评价面积合计为12km</w:t>
            </w:r>
            <w:r>
              <w:rPr>
                <w:rFonts w:hint="eastAsia" w:eastAsia="宋体"/>
                <w:color w:val="auto"/>
                <w:vertAlign w:val="superscript"/>
              </w:rPr>
              <w:t>2</w:t>
            </w:r>
            <w:r>
              <w:rPr>
                <w:rFonts w:hint="eastAsia" w:eastAsia="宋体"/>
                <w:color w:val="auto"/>
              </w:rPr>
              <w:t>；管线边界两侧向外延伸200m范围。</w:t>
            </w:r>
            <w:bookmarkEnd w:id="141"/>
          </w:p>
        </w:tc>
      </w:tr>
      <w:tr w14:paraId="408356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Align w:val="center"/>
          </w:tcPr>
          <w:p w14:paraId="128F7FD0">
            <w:pPr>
              <w:pStyle w:val="288"/>
              <w:adjustRightInd w:val="0"/>
              <w:snapToGrid w:val="0"/>
              <w:spacing w:line="300" w:lineRule="exact"/>
              <w:rPr>
                <w:rFonts w:hint="eastAsia" w:eastAsia="宋体"/>
                <w:color w:val="auto"/>
                <w:lang w:bidi="ar"/>
              </w:rPr>
            </w:pPr>
            <w:r>
              <w:rPr>
                <w:rFonts w:hint="eastAsia" w:eastAsia="宋体"/>
                <w:color w:val="auto"/>
                <w:lang w:bidi="ar"/>
              </w:rPr>
              <w:t>声 环 境</w:t>
            </w:r>
          </w:p>
        </w:tc>
        <w:tc>
          <w:tcPr>
            <w:tcW w:w="3863" w:type="pct"/>
            <w:vAlign w:val="center"/>
          </w:tcPr>
          <w:p w14:paraId="2626FB4C">
            <w:pPr>
              <w:pStyle w:val="288"/>
              <w:adjustRightInd w:val="0"/>
              <w:snapToGrid w:val="0"/>
              <w:spacing w:line="300" w:lineRule="exact"/>
              <w:jc w:val="left"/>
              <w:rPr>
                <w:rFonts w:hint="eastAsia" w:eastAsia="宋体"/>
                <w:color w:val="auto"/>
                <w:lang w:bidi="ar"/>
              </w:rPr>
            </w:pPr>
            <w:r>
              <w:rPr>
                <w:rFonts w:hint="eastAsia" w:eastAsia="宋体"/>
                <w:color w:val="auto"/>
                <w:lang w:bidi="ar"/>
              </w:rPr>
              <w:t>项目占地范围内及厂界向外延伸2</w:t>
            </w:r>
            <w:r>
              <w:rPr>
                <w:rFonts w:eastAsia="宋体"/>
                <w:color w:val="auto"/>
                <w:lang w:bidi="ar"/>
              </w:rPr>
              <w:t>00m</w:t>
            </w:r>
            <w:r>
              <w:rPr>
                <w:rFonts w:hint="eastAsia" w:eastAsia="宋体"/>
                <w:color w:val="auto"/>
                <w:lang w:bidi="ar"/>
              </w:rPr>
              <w:t>范围。</w:t>
            </w:r>
          </w:p>
        </w:tc>
      </w:tr>
      <w:tr w14:paraId="4DD0AA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vMerge w:val="restart"/>
            <w:vAlign w:val="center"/>
          </w:tcPr>
          <w:p w14:paraId="09AB4E92">
            <w:pPr>
              <w:pStyle w:val="288"/>
              <w:adjustRightInd w:val="0"/>
              <w:snapToGrid w:val="0"/>
              <w:spacing w:line="300" w:lineRule="exact"/>
              <w:rPr>
                <w:rFonts w:hint="eastAsia" w:eastAsia="宋体"/>
                <w:color w:val="auto"/>
                <w:lang w:bidi="ar"/>
              </w:rPr>
            </w:pPr>
            <w:bookmarkStart w:id="142" w:name="_Hlk177549399"/>
            <w:r>
              <w:rPr>
                <w:rFonts w:hint="eastAsia" w:eastAsia="宋体"/>
                <w:color w:val="auto"/>
                <w:lang w:bidi="ar"/>
              </w:rPr>
              <w:t>土壤环境</w:t>
            </w:r>
          </w:p>
        </w:tc>
        <w:tc>
          <w:tcPr>
            <w:tcW w:w="732" w:type="pct"/>
            <w:vAlign w:val="center"/>
          </w:tcPr>
          <w:p w14:paraId="0BF1E38D">
            <w:pPr>
              <w:pStyle w:val="288"/>
              <w:adjustRightInd w:val="0"/>
              <w:snapToGrid w:val="0"/>
              <w:spacing w:line="300" w:lineRule="exact"/>
              <w:rPr>
                <w:rFonts w:hint="eastAsia" w:eastAsia="宋体"/>
                <w:color w:val="auto"/>
                <w:lang w:bidi="ar"/>
              </w:rPr>
            </w:pPr>
            <w:r>
              <w:rPr>
                <w:rFonts w:hint="eastAsia" w:eastAsia="宋体"/>
                <w:color w:val="auto"/>
                <w:lang w:bidi="ar"/>
              </w:rPr>
              <w:t>污染影响型</w:t>
            </w:r>
          </w:p>
        </w:tc>
        <w:tc>
          <w:tcPr>
            <w:tcW w:w="3863" w:type="pct"/>
            <w:vAlign w:val="center"/>
          </w:tcPr>
          <w:p w14:paraId="59B347A7">
            <w:pPr>
              <w:pStyle w:val="288"/>
              <w:adjustRightInd w:val="0"/>
              <w:snapToGrid w:val="0"/>
              <w:spacing w:line="300" w:lineRule="exact"/>
              <w:jc w:val="left"/>
              <w:rPr>
                <w:rFonts w:hint="eastAsia" w:eastAsia="宋体"/>
                <w:color w:val="auto"/>
                <w:lang w:bidi="ar"/>
              </w:rPr>
            </w:pPr>
            <w:r>
              <w:rPr>
                <w:rFonts w:hint="eastAsia" w:eastAsia="宋体"/>
                <w:color w:val="auto"/>
                <w:lang w:bidi="ar"/>
              </w:rPr>
              <w:t>项目占地范围内及厂界向外延伸20</w:t>
            </w:r>
            <w:r>
              <w:rPr>
                <w:rFonts w:eastAsia="宋体"/>
                <w:color w:val="auto"/>
                <w:lang w:bidi="ar"/>
              </w:rPr>
              <w:t>0m</w:t>
            </w:r>
            <w:r>
              <w:rPr>
                <w:rFonts w:hint="eastAsia" w:eastAsia="宋体"/>
                <w:color w:val="auto"/>
                <w:lang w:bidi="ar"/>
              </w:rPr>
              <w:t>。</w:t>
            </w:r>
          </w:p>
        </w:tc>
      </w:tr>
      <w:tr w14:paraId="350860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vMerge w:val="continue"/>
            <w:vAlign w:val="center"/>
          </w:tcPr>
          <w:p w14:paraId="5930CD52">
            <w:pPr>
              <w:pStyle w:val="288"/>
              <w:adjustRightInd w:val="0"/>
              <w:snapToGrid w:val="0"/>
              <w:spacing w:line="300" w:lineRule="exact"/>
              <w:rPr>
                <w:rFonts w:hint="eastAsia" w:eastAsia="宋体"/>
                <w:color w:val="auto"/>
                <w:lang w:bidi="ar"/>
              </w:rPr>
            </w:pPr>
          </w:p>
        </w:tc>
        <w:tc>
          <w:tcPr>
            <w:tcW w:w="732" w:type="pct"/>
            <w:vAlign w:val="center"/>
          </w:tcPr>
          <w:p w14:paraId="4041A326">
            <w:pPr>
              <w:pStyle w:val="288"/>
              <w:adjustRightInd w:val="0"/>
              <w:snapToGrid w:val="0"/>
              <w:spacing w:line="300" w:lineRule="exact"/>
              <w:rPr>
                <w:rFonts w:hint="eastAsia" w:eastAsia="宋体"/>
                <w:color w:val="auto"/>
                <w:lang w:bidi="ar"/>
              </w:rPr>
            </w:pPr>
            <w:r>
              <w:rPr>
                <w:rFonts w:hint="eastAsia" w:eastAsia="宋体"/>
                <w:color w:val="auto"/>
                <w:lang w:bidi="ar"/>
              </w:rPr>
              <w:t>管线</w:t>
            </w:r>
          </w:p>
        </w:tc>
        <w:tc>
          <w:tcPr>
            <w:tcW w:w="3863" w:type="pct"/>
            <w:vAlign w:val="center"/>
          </w:tcPr>
          <w:p w14:paraId="311CB2E9">
            <w:pPr>
              <w:pStyle w:val="288"/>
              <w:adjustRightInd w:val="0"/>
              <w:snapToGrid w:val="0"/>
              <w:spacing w:line="300" w:lineRule="exact"/>
              <w:jc w:val="left"/>
              <w:rPr>
                <w:rFonts w:hint="eastAsia" w:eastAsia="宋体"/>
                <w:color w:val="auto"/>
                <w:lang w:bidi="ar"/>
              </w:rPr>
            </w:pPr>
            <w:r>
              <w:rPr>
                <w:rFonts w:hint="eastAsia" w:eastAsia="宋体"/>
                <w:color w:val="auto"/>
                <w:lang w:bidi="ar"/>
              </w:rPr>
              <w:t>管线边界两侧向外延伸200m范围。</w:t>
            </w:r>
          </w:p>
        </w:tc>
      </w:tr>
      <w:tr w14:paraId="7A4EEE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Align w:val="center"/>
          </w:tcPr>
          <w:p w14:paraId="1D755463">
            <w:pPr>
              <w:pStyle w:val="288"/>
              <w:adjustRightInd w:val="0"/>
              <w:snapToGrid w:val="0"/>
              <w:spacing w:line="300" w:lineRule="exact"/>
              <w:rPr>
                <w:rFonts w:hint="eastAsia" w:eastAsia="宋体"/>
                <w:color w:val="auto"/>
                <w:lang w:bidi="ar"/>
              </w:rPr>
            </w:pPr>
            <w:r>
              <w:rPr>
                <w:rFonts w:hint="eastAsia" w:eastAsia="宋体"/>
                <w:color w:val="auto"/>
                <w:lang w:bidi="ar"/>
              </w:rPr>
              <w:t>生态环境</w:t>
            </w:r>
          </w:p>
        </w:tc>
        <w:tc>
          <w:tcPr>
            <w:tcW w:w="3863" w:type="pct"/>
            <w:vAlign w:val="center"/>
          </w:tcPr>
          <w:p w14:paraId="3933263E">
            <w:pPr>
              <w:pStyle w:val="288"/>
              <w:adjustRightInd w:val="0"/>
              <w:snapToGrid w:val="0"/>
              <w:spacing w:line="300" w:lineRule="exact"/>
              <w:jc w:val="left"/>
              <w:rPr>
                <w:rFonts w:hint="eastAsia" w:eastAsia="宋体"/>
                <w:color w:val="auto"/>
                <w:lang w:bidi="ar"/>
              </w:rPr>
            </w:pPr>
            <w:r>
              <w:rPr>
                <w:rFonts w:hint="eastAsia" w:eastAsia="宋体"/>
                <w:color w:val="auto"/>
                <w:lang w:bidi="ar"/>
              </w:rPr>
              <w:t>采油井场厂界周围5</w:t>
            </w:r>
            <w:r>
              <w:rPr>
                <w:rFonts w:eastAsia="宋体"/>
                <w:color w:val="auto"/>
                <w:lang w:bidi="ar"/>
              </w:rPr>
              <w:t>0</w:t>
            </w:r>
            <w:r>
              <w:rPr>
                <w:rFonts w:hint="eastAsia" w:eastAsia="宋体"/>
                <w:color w:val="auto"/>
                <w:lang w:bidi="ar"/>
              </w:rPr>
              <w:t>m范围内，单井采油管线两侧外延3</w:t>
            </w:r>
            <w:r>
              <w:rPr>
                <w:rFonts w:eastAsia="宋体"/>
                <w:color w:val="auto"/>
                <w:lang w:bidi="ar"/>
              </w:rPr>
              <w:t>00m</w:t>
            </w:r>
            <w:r>
              <w:rPr>
                <w:rFonts w:hint="eastAsia" w:eastAsia="宋体"/>
                <w:color w:val="auto"/>
                <w:lang w:bidi="ar"/>
              </w:rPr>
              <w:t>。</w:t>
            </w:r>
          </w:p>
        </w:tc>
      </w:tr>
      <w:tr w14:paraId="6E0136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Align w:val="center"/>
          </w:tcPr>
          <w:p w14:paraId="41307168">
            <w:pPr>
              <w:pStyle w:val="288"/>
              <w:adjustRightInd w:val="0"/>
              <w:snapToGrid w:val="0"/>
              <w:spacing w:line="300" w:lineRule="exact"/>
              <w:rPr>
                <w:rFonts w:hint="eastAsia" w:eastAsia="宋体"/>
                <w:color w:val="auto"/>
                <w:lang w:bidi="ar"/>
              </w:rPr>
            </w:pPr>
            <w:r>
              <w:rPr>
                <w:rFonts w:hint="eastAsia" w:eastAsia="宋体"/>
                <w:color w:val="auto"/>
                <w:lang w:bidi="ar"/>
              </w:rPr>
              <w:t>环境风险</w:t>
            </w:r>
          </w:p>
        </w:tc>
        <w:tc>
          <w:tcPr>
            <w:tcW w:w="3863" w:type="pct"/>
            <w:vAlign w:val="center"/>
          </w:tcPr>
          <w:p w14:paraId="7A7B79EB">
            <w:pPr>
              <w:pStyle w:val="288"/>
              <w:adjustRightInd w:val="0"/>
              <w:snapToGrid w:val="0"/>
              <w:spacing w:line="300" w:lineRule="exact"/>
              <w:jc w:val="left"/>
              <w:rPr>
                <w:rFonts w:hint="eastAsia" w:eastAsia="宋体"/>
                <w:color w:val="auto"/>
                <w:lang w:bidi="ar"/>
              </w:rPr>
            </w:pPr>
            <w:r>
              <w:rPr>
                <w:rFonts w:hint="eastAsia" w:eastAsia="宋体"/>
                <w:color w:val="auto"/>
                <w:lang w:bidi="ar"/>
              </w:rPr>
              <w:t>不设评价范围</w:t>
            </w:r>
          </w:p>
        </w:tc>
      </w:tr>
      <w:bookmarkEnd w:id="142"/>
    </w:tbl>
    <w:p w14:paraId="3F84E4CD">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143" w:name="_Toc224405921"/>
      <w:r>
        <w:rPr>
          <w:rFonts w:hint="eastAsia" w:ascii="黑体" w:hAnsi="黑体" w:eastAsia="黑体" w:cs="Times New Roman"/>
          <w:bCs/>
          <w:color w:val="auto"/>
          <w:sz w:val="28"/>
          <w:szCs w:val="32"/>
          <w14:ligatures w14:val="none"/>
        </w:rPr>
        <w:t>环境保护目标</w:t>
      </w:r>
      <w:bookmarkEnd w:id="143"/>
    </w:p>
    <w:p w14:paraId="684A5B38">
      <w:pPr>
        <w:pStyle w:val="86"/>
        <w:ind w:firstLine="480"/>
        <w:rPr>
          <w:rFonts w:hint="eastAsia"/>
          <w:color w:val="auto"/>
          <w:lang w:val="zh-CN"/>
        </w:rPr>
      </w:pPr>
      <w:r>
        <w:rPr>
          <w:rFonts w:hint="eastAsia"/>
          <w:color w:val="auto"/>
          <w:lang w:val="zh-CN"/>
        </w:rPr>
        <w:t>根据现场调查，评价范围内无</w:t>
      </w:r>
      <w:r>
        <w:rPr>
          <w:rFonts w:hint="eastAsia"/>
          <w:color w:val="auto"/>
        </w:rPr>
        <w:t>自然保护区、风景名胜区、世界文化和自然遗产、海洋特别保护区、饮用水水源保护区，无基本草原、自然公园、重要湿地、天然林，重点保护野生动物栖息地，重点保护野生植物生长繁殖地</w:t>
      </w:r>
      <w:r>
        <w:rPr>
          <w:rFonts w:hint="eastAsia"/>
          <w:color w:val="auto"/>
          <w:lang w:val="zh-CN"/>
        </w:rPr>
        <w:t>。</w:t>
      </w:r>
      <w:r>
        <w:rPr>
          <w:rFonts w:hint="eastAsia"/>
          <w:color w:val="auto"/>
        </w:rPr>
        <w:t>各环境要素</w:t>
      </w:r>
      <w:r>
        <w:rPr>
          <w:rFonts w:hint="eastAsia"/>
          <w:color w:val="auto"/>
          <w:lang w:val="zh-CN"/>
        </w:rPr>
        <w:t>保护级别见表</w:t>
      </w:r>
      <w:r>
        <w:rPr>
          <w:rFonts w:hint="eastAsia"/>
          <w:color w:val="auto"/>
        </w:rPr>
        <w:t>2.</w:t>
      </w:r>
      <w:r>
        <w:rPr>
          <w:color w:val="auto"/>
        </w:rPr>
        <w:t>7</w:t>
      </w:r>
      <w:r>
        <w:rPr>
          <w:rFonts w:hint="eastAsia"/>
          <w:color w:val="auto"/>
        </w:rPr>
        <w:t>-1</w:t>
      </w:r>
      <w:r>
        <w:rPr>
          <w:color w:val="auto"/>
          <w:lang w:val="zh-CN"/>
        </w:rPr>
        <w:t>。</w:t>
      </w:r>
      <w:bookmarkStart w:id="144" w:name="_Ref78387040"/>
    </w:p>
    <w:p w14:paraId="079A6FE1">
      <w:pPr>
        <w:pStyle w:val="15"/>
        <w:rPr>
          <w:rFonts w:hint="eastAsia"/>
          <w:color w:val="auto"/>
        </w:rPr>
      </w:pPr>
      <w:bookmarkStart w:id="145" w:name="_Hlk177300562"/>
      <w:r>
        <w:rPr>
          <w:rFonts w:hint="eastAsia"/>
          <w:color w:val="auto"/>
        </w:rPr>
        <w:t>表2</w:t>
      </w:r>
      <w:r>
        <w:rPr>
          <w:color w:val="auto"/>
        </w:rPr>
        <w:t>.7-1</w:t>
      </w:r>
      <w:r>
        <w:rPr>
          <w:rFonts w:hint="eastAsia"/>
          <w:color w:val="auto"/>
        </w:rPr>
        <w:t xml:space="preserve">  环境保护目标一览表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2836"/>
        <w:gridCol w:w="1135"/>
        <w:gridCol w:w="3626"/>
      </w:tblGrid>
      <w:tr w14:paraId="0DC8EF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9" w:type="pct"/>
            <w:tcMar>
              <w:left w:w="0" w:type="dxa"/>
              <w:right w:w="0" w:type="dxa"/>
            </w:tcMar>
            <w:vAlign w:val="center"/>
          </w:tcPr>
          <w:p w14:paraId="4AC2B9DE">
            <w:pPr>
              <w:pStyle w:val="288"/>
              <w:adjustRightInd w:val="0"/>
              <w:snapToGrid w:val="0"/>
              <w:spacing w:line="300" w:lineRule="exact"/>
              <w:rPr>
                <w:rFonts w:hint="eastAsia" w:eastAsia="宋体"/>
                <w:color w:val="auto"/>
              </w:rPr>
            </w:pPr>
            <w:bookmarkStart w:id="146" w:name="OLE_LINK78"/>
            <w:r>
              <w:rPr>
                <w:rFonts w:hint="eastAsia" w:eastAsia="宋体"/>
                <w:color w:val="auto"/>
              </w:rPr>
              <w:t>保护要素</w:t>
            </w:r>
          </w:p>
        </w:tc>
        <w:tc>
          <w:tcPr>
            <w:tcW w:w="1624" w:type="pct"/>
            <w:tcMar>
              <w:left w:w="0" w:type="dxa"/>
              <w:right w:w="0" w:type="dxa"/>
            </w:tcMar>
            <w:vAlign w:val="center"/>
          </w:tcPr>
          <w:p w14:paraId="2B615D28">
            <w:pPr>
              <w:pStyle w:val="288"/>
              <w:adjustRightInd w:val="0"/>
              <w:snapToGrid w:val="0"/>
              <w:spacing w:line="300" w:lineRule="exact"/>
              <w:rPr>
                <w:rFonts w:hint="eastAsia" w:eastAsia="宋体"/>
                <w:color w:val="auto"/>
              </w:rPr>
            </w:pPr>
            <w:r>
              <w:rPr>
                <w:rFonts w:hint="eastAsia" w:eastAsia="宋体"/>
                <w:color w:val="auto"/>
              </w:rPr>
              <w:t>环境保护目标</w:t>
            </w:r>
          </w:p>
        </w:tc>
        <w:tc>
          <w:tcPr>
            <w:tcW w:w="650" w:type="pct"/>
            <w:tcMar>
              <w:left w:w="0" w:type="dxa"/>
              <w:right w:w="0" w:type="dxa"/>
            </w:tcMar>
            <w:vAlign w:val="center"/>
          </w:tcPr>
          <w:p w14:paraId="513F8366">
            <w:pPr>
              <w:pStyle w:val="288"/>
              <w:adjustRightInd w:val="0"/>
              <w:snapToGrid w:val="0"/>
              <w:spacing w:line="300" w:lineRule="exact"/>
              <w:rPr>
                <w:rFonts w:hint="eastAsia" w:eastAsia="宋体"/>
                <w:color w:val="auto"/>
              </w:rPr>
            </w:pPr>
            <w:r>
              <w:rPr>
                <w:rFonts w:hint="eastAsia" w:eastAsia="宋体"/>
                <w:color w:val="auto"/>
              </w:rPr>
              <w:t>与项目区的位置关系</w:t>
            </w:r>
          </w:p>
        </w:tc>
        <w:tc>
          <w:tcPr>
            <w:tcW w:w="2077" w:type="pct"/>
            <w:tcMar>
              <w:left w:w="0" w:type="dxa"/>
              <w:right w:w="0" w:type="dxa"/>
            </w:tcMar>
            <w:vAlign w:val="center"/>
          </w:tcPr>
          <w:p w14:paraId="0CA0BEEB">
            <w:pPr>
              <w:pStyle w:val="288"/>
              <w:adjustRightInd w:val="0"/>
              <w:snapToGrid w:val="0"/>
              <w:spacing w:line="300" w:lineRule="exact"/>
              <w:rPr>
                <w:rFonts w:hint="eastAsia" w:eastAsia="宋体"/>
                <w:color w:val="auto"/>
              </w:rPr>
            </w:pPr>
            <w:r>
              <w:rPr>
                <w:rFonts w:hint="eastAsia" w:eastAsia="宋体"/>
                <w:color w:val="auto"/>
              </w:rPr>
              <w:t>各要素保护级别及要求</w:t>
            </w:r>
          </w:p>
        </w:tc>
      </w:tr>
      <w:tr w14:paraId="333FD3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9" w:type="pct"/>
            <w:tcMar>
              <w:left w:w="0" w:type="dxa"/>
              <w:right w:w="0" w:type="dxa"/>
            </w:tcMar>
            <w:vAlign w:val="center"/>
          </w:tcPr>
          <w:p w14:paraId="708D4959">
            <w:pPr>
              <w:pStyle w:val="288"/>
              <w:adjustRightInd w:val="0"/>
              <w:snapToGrid w:val="0"/>
              <w:spacing w:line="300" w:lineRule="exact"/>
              <w:rPr>
                <w:rFonts w:hint="eastAsia" w:eastAsia="宋体"/>
                <w:color w:val="auto"/>
              </w:rPr>
            </w:pPr>
            <w:r>
              <w:rPr>
                <w:rFonts w:hint="eastAsia" w:eastAsia="宋体"/>
                <w:color w:val="auto"/>
              </w:rPr>
              <w:t>环境空气</w:t>
            </w:r>
          </w:p>
        </w:tc>
        <w:tc>
          <w:tcPr>
            <w:tcW w:w="1624" w:type="pct"/>
            <w:tcMar>
              <w:left w:w="0" w:type="dxa"/>
              <w:right w:w="0" w:type="dxa"/>
            </w:tcMar>
            <w:vAlign w:val="center"/>
          </w:tcPr>
          <w:p w14:paraId="7743C2A8">
            <w:pPr>
              <w:pStyle w:val="288"/>
              <w:adjustRightInd w:val="0"/>
              <w:snapToGrid w:val="0"/>
              <w:spacing w:line="300" w:lineRule="exact"/>
              <w:rPr>
                <w:rFonts w:hint="eastAsia" w:eastAsia="宋体"/>
                <w:color w:val="auto"/>
              </w:rPr>
            </w:pPr>
            <w:r>
              <w:rPr>
                <w:rFonts w:hint="eastAsia" w:eastAsia="宋体"/>
                <w:color w:val="auto"/>
              </w:rPr>
              <w:t>评价范围内的环境空气质量</w:t>
            </w:r>
          </w:p>
        </w:tc>
        <w:tc>
          <w:tcPr>
            <w:tcW w:w="650" w:type="pct"/>
            <w:tcMar>
              <w:left w:w="0" w:type="dxa"/>
              <w:right w:w="0" w:type="dxa"/>
            </w:tcMar>
            <w:vAlign w:val="center"/>
          </w:tcPr>
          <w:p w14:paraId="7D8F9373">
            <w:pPr>
              <w:pStyle w:val="288"/>
              <w:adjustRightInd w:val="0"/>
              <w:snapToGrid w:val="0"/>
              <w:spacing w:line="300" w:lineRule="exact"/>
              <w:rPr>
                <w:rFonts w:hint="eastAsia" w:eastAsia="宋体"/>
                <w:color w:val="auto"/>
              </w:rPr>
            </w:pPr>
            <w:r>
              <w:rPr>
                <w:rFonts w:hint="eastAsia" w:eastAsia="宋体"/>
                <w:color w:val="auto"/>
              </w:rPr>
              <w:t>/</w:t>
            </w:r>
          </w:p>
        </w:tc>
        <w:tc>
          <w:tcPr>
            <w:tcW w:w="2077" w:type="pct"/>
            <w:tcMar>
              <w:left w:w="0" w:type="dxa"/>
              <w:right w:w="0" w:type="dxa"/>
            </w:tcMar>
            <w:vAlign w:val="center"/>
          </w:tcPr>
          <w:p w14:paraId="08189CB0">
            <w:pPr>
              <w:pStyle w:val="288"/>
              <w:adjustRightInd w:val="0"/>
              <w:snapToGrid w:val="0"/>
              <w:spacing w:line="300" w:lineRule="exact"/>
              <w:rPr>
                <w:rFonts w:hint="eastAsia" w:eastAsia="宋体"/>
                <w:color w:val="auto"/>
              </w:rPr>
            </w:pPr>
            <w:r>
              <w:rPr>
                <w:rFonts w:eastAsia="宋体"/>
                <w:color w:val="auto"/>
              </w:rPr>
              <w:t>GB3095-20</w:t>
            </w:r>
            <w:r>
              <w:rPr>
                <w:rFonts w:hint="eastAsia" w:eastAsia="宋体"/>
                <w:color w:val="auto"/>
              </w:rPr>
              <w:t>26过渡阶段</w:t>
            </w:r>
            <w:r>
              <w:rPr>
                <w:rFonts w:eastAsia="宋体"/>
                <w:color w:val="auto"/>
              </w:rPr>
              <w:t>二级</w:t>
            </w:r>
          </w:p>
        </w:tc>
      </w:tr>
      <w:tr w14:paraId="10A518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9" w:type="pct"/>
            <w:tcMar>
              <w:left w:w="0" w:type="dxa"/>
              <w:right w:w="0" w:type="dxa"/>
            </w:tcMar>
            <w:vAlign w:val="center"/>
          </w:tcPr>
          <w:p w14:paraId="32ACF401">
            <w:pPr>
              <w:pStyle w:val="288"/>
              <w:adjustRightInd w:val="0"/>
              <w:snapToGrid w:val="0"/>
              <w:spacing w:line="300" w:lineRule="exact"/>
              <w:rPr>
                <w:rFonts w:hint="eastAsia" w:eastAsia="宋体"/>
                <w:color w:val="auto"/>
              </w:rPr>
            </w:pPr>
            <w:r>
              <w:rPr>
                <w:rFonts w:hint="eastAsia" w:eastAsia="宋体"/>
                <w:color w:val="auto"/>
              </w:rPr>
              <w:t>土壤环境</w:t>
            </w:r>
          </w:p>
        </w:tc>
        <w:tc>
          <w:tcPr>
            <w:tcW w:w="1624" w:type="pct"/>
            <w:tcMar>
              <w:left w:w="0" w:type="dxa"/>
              <w:right w:w="0" w:type="dxa"/>
            </w:tcMar>
            <w:vAlign w:val="center"/>
          </w:tcPr>
          <w:p w14:paraId="30199B5D">
            <w:pPr>
              <w:pStyle w:val="288"/>
              <w:adjustRightInd w:val="0"/>
              <w:snapToGrid w:val="0"/>
              <w:spacing w:line="300" w:lineRule="exact"/>
              <w:rPr>
                <w:rFonts w:hint="eastAsia" w:eastAsia="宋体"/>
                <w:color w:val="auto"/>
              </w:rPr>
            </w:pPr>
            <w:r>
              <w:rPr>
                <w:rFonts w:hint="eastAsia" w:eastAsia="宋体"/>
                <w:color w:val="auto"/>
              </w:rPr>
              <w:t>评价范围内的土壤</w:t>
            </w:r>
          </w:p>
        </w:tc>
        <w:tc>
          <w:tcPr>
            <w:tcW w:w="650" w:type="pct"/>
            <w:tcMar>
              <w:left w:w="0" w:type="dxa"/>
              <w:right w:w="0" w:type="dxa"/>
            </w:tcMar>
            <w:vAlign w:val="center"/>
          </w:tcPr>
          <w:p w14:paraId="6169FFD2">
            <w:pPr>
              <w:pStyle w:val="288"/>
              <w:adjustRightInd w:val="0"/>
              <w:snapToGrid w:val="0"/>
              <w:spacing w:line="300" w:lineRule="exact"/>
              <w:rPr>
                <w:rFonts w:hint="eastAsia" w:eastAsia="宋体"/>
                <w:color w:val="auto"/>
              </w:rPr>
            </w:pPr>
            <w:r>
              <w:rPr>
                <w:rFonts w:hint="eastAsia" w:eastAsia="宋体"/>
                <w:color w:val="auto"/>
              </w:rPr>
              <w:t>/</w:t>
            </w:r>
          </w:p>
        </w:tc>
        <w:tc>
          <w:tcPr>
            <w:tcW w:w="2077" w:type="pct"/>
            <w:tcMar>
              <w:left w:w="0" w:type="dxa"/>
              <w:right w:w="0" w:type="dxa"/>
            </w:tcMar>
            <w:vAlign w:val="center"/>
          </w:tcPr>
          <w:p w14:paraId="3A880E9B">
            <w:pPr>
              <w:pStyle w:val="288"/>
              <w:adjustRightInd w:val="0"/>
              <w:snapToGrid w:val="0"/>
              <w:spacing w:line="300" w:lineRule="exact"/>
              <w:rPr>
                <w:rFonts w:hint="eastAsia" w:eastAsia="宋体"/>
                <w:color w:val="auto"/>
              </w:rPr>
            </w:pPr>
            <w:r>
              <w:rPr>
                <w:rFonts w:eastAsia="宋体"/>
                <w:color w:val="auto"/>
              </w:rPr>
              <w:t>GB36600-2018</w:t>
            </w:r>
            <w:r>
              <w:rPr>
                <w:rFonts w:hint="eastAsia" w:eastAsia="宋体"/>
                <w:color w:val="auto"/>
              </w:rPr>
              <w:t xml:space="preserve"> 第二类用地筛选值</w:t>
            </w:r>
            <w:r>
              <w:rPr>
                <w:rFonts w:eastAsia="宋体"/>
                <w:color w:val="auto"/>
              </w:rPr>
              <w:t>标准</w:t>
            </w:r>
          </w:p>
        </w:tc>
      </w:tr>
      <w:tr w14:paraId="77F8FC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9" w:type="pct"/>
            <w:tcMar>
              <w:left w:w="0" w:type="dxa"/>
              <w:right w:w="0" w:type="dxa"/>
            </w:tcMar>
            <w:vAlign w:val="center"/>
          </w:tcPr>
          <w:p w14:paraId="28B1039C">
            <w:pPr>
              <w:pStyle w:val="288"/>
              <w:adjustRightInd w:val="0"/>
              <w:snapToGrid w:val="0"/>
              <w:spacing w:line="300" w:lineRule="exact"/>
              <w:rPr>
                <w:rFonts w:hint="eastAsia" w:eastAsia="宋体"/>
                <w:color w:val="auto"/>
              </w:rPr>
            </w:pPr>
            <w:r>
              <w:rPr>
                <w:rFonts w:hint="eastAsia" w:eastAsia="宋体"/>
                <w:color w:val="auto"/>
              </w:rPr>
              <w:t>地下水环境</w:t>
            </w:r>
          </w:p>
        </w:tc>
        <w:tc>
          <w:tcPr>
            <w:tcW w:w="1624" w:type="pct"/>
            <w:tcMar>
              <w:left w:w="0" w:type="dxa"/>
              <w:right w:w="0" w:type="dxa"/>
            </w:tcMar>
            <w:vAlign w:val="center"/>
          </w:tcPr>
          <w:p w14:paraId="29E45230">
            <w:pPr>
              <w:pStyle w:val="288"/>
              <w:adjustRightInd w:val="0"/>
              <w:snapToGrid w:val="0"/>
              <w:spacing w:line="300" w:lineRule="exact"/>
              <w:rPr>
                <w:rFonts w:hint="eastAsia" w:eastAsia="宋体"/>
                <w:color w:val="auto"/>
              </w:rPr>
            </w:pPr>
            <w:r>
              <w:rPr>
                <w:rFonts w:hint="eastAsia" w:eastAsia="宋体"/>
                <w:color w:val="auto"/>
              </w:rPr>
              <w:t>评价范围内的潜水含水层</w:t>
            </w:r>
          </w:p>
        </w:tc>
        <w:tc>
          <w:tcPr>
            <w:tcW w:w="650" w:type="pct"/>
            <w:tcMar>
              <w:left w:w="0" w:type="dxa"/>
              <w:right w:w="0" w:type="dxa"/>
            </w:tcMar>
            <w:vAlign w:val="center"/>
          </w:tcPr>
          <w:p w14:paraId="3731BF19">
            <w:pPr>
              <w:pStyle w:val="288"/>
              <w:adjustRightInd w:val="0"/>
              <w:snapToGrid w:val="0"/>
              <w:spacing w:line="300" w:lineRule="exact"/>
              <w:rPr>
                <w:rFonts w:hint="eastAsia" w:eastAsia="宋体"/>
                <w:color w:val="auto"/>
              </w:rPr>
            </w:pPr>
            <w:r>
              <w:rPr>
                <w:rFonts w:hint="eastAsia" w:eastAsia="宋体"/>
                <w:color w:val="auto"/>
              </w:rPr>
              <w:t>/</w:t>
            </w:r>
          </w:p>
        </w:tc>
        <w:tc>
          <w:tcPr>
            <w:tcW w:w="2077" w:type="pct"/>
            <w:tcMar>
              <w:left w:w="0" w:type="dxa"/>
              <w:right w:w="0" w:type="dxa"/>
            </w:tcMar>
            <w:vAlign w:val="center"/>
          </w:tcPr>
          <w:p w14:paraId="0A7CFCC0">
            <w:pPr>
              <w:pStyle w:val="288"/>
              <w:adjustRightInd w:val="0"/>
              <w:snapToGrid w:val="0"/>
              <w:spacing w:line="300" w:lineRule="exact"/>
              <w:rPr>
                <w:rFonts w:hint="eastAsia" w:eastAsia="宋体"/>
                <w:color w:val="auto"/>
              </w:rPr>
            </w:pPr>
            <w:r>
              <w:rPr>
                <w:rFonts w:eastAsia="宋体"/>
                <w:color w:val="auto"/>
              </w:rPr>
              <w:t xml:space="preserve">GB/T14848-2017 </w:t>
            </w:r>
            <w:r>
              <w:rPr>
                <w:rFonts w:hint="eastAsia" w:eastAsia="宋体"/>
                <w:color w:val="auto"/>
              </w:rPr>
              <w:t>Ⅲ</w:t>
            </w:r>
            <w:r>
              <w:rPr>
                <w:rFonts w:eastAsia="宋体"/>
                <w:color w:val="auto"/>
              </w:rPr>
              <w:t>类</w:t>
            </w:r>
          </w:p>
        </w:tc>
      </w:tr>
      <w:tr w14:paraId="7A37A3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9" w:type="pct"/>
            <w:tcMar>
              <w:left w:w="0" w:type="dxa"/>
              <w:right w:w="0" w:type="dxa"/>
            </w:tcMar>
            <w:vAlign w:val="center"/>
          </w:tcPr>
          <w:p w14:paraId="260E21F8">
            <w:pPr>
              <w:pStyle w:val="288"/>
              <w:adjustRightInd w:val="0"/>
              <w:snapToGrid w:val="0"/>
              <w:spacing w:line="300" w:lineRule="exact"/>
              <w:rPr>
                <w:rFonts w:hint="eastAsia" w:eastAsia="宋体"/>
                <w:color w:val="auto"/>
              </w:rPr>
            </w:pPr>
            <w:r>
              <w:rPr>
                <w:rFonts w:hint="eastAsia" w:eastAsia="宋体"/>
                <w:color w:val="auto"/>
              </w:rPr>
              <w:t>声环境</w:t>
            </w:r>
          </w:p>
        </w:tc>
        <w:tc>
          <w:tcPr>
            <w:tcW w:w="1624" w:type="pct"/>
            <w:tcMar>
              <w:left w:w="0" w:type="dxa"/>
              <w:right w:w="0" w:type="dxa"/>
            </w:tcMar>
            <w:vAlign w:val="center"/>
          </w:tcPr>
          <w:p w14:paraId="0739F972">
            <w:pPr>
              <w:pStyle w:val="288"/>
              <w:adjustRightInd w:val="0"/>
              <w:snapToGrid w:val="0"/>
              <w:spacing w:line="300" w:lineRule="exact"/>
              <w:rPr>
                <w:rFonts w:hint="eastAsia" w:eastAsia="宋体"/>
                <w:color w:val="auto"/>
              </w:rPr>
            </w:pPr>
            <w:r>
              <w:rPr>
                <w:rFonts w:hint="eastAsia" w:eastAsia="宋体"/>
                <w:color w:val="auto"/>
              </w:rPr>
              <w:t>评价范围内的声环境</w:t>
            </w:r>
          </w:p>
        </w:tc>
        <w:tc>
          <w:tcPr>
            <w:tcW w:w="650" w:type="pct"/>
            <w:tcMar>
              <w:left w:w="0" w:type="dxa"/>
              <w:right w:w="0" w:type="dxa"/>
            </w:tcMar>
            <w:vAlign w:val="center"/>
          </w:tcPr>
          <w:p w14:paraId="56232F6D">
            <w:pPr>
              <w:pStyle w:val="288"/>
              <w:adjustRightInd w:val="0"/>
              <w:snapToGrid w:val="0"/>
              <w:spacing w:line="300" w:lineRule="exact"/>
              <w:rPr>
                <w:rFonts w:hint="eastAsia" w:eastAsia="宋体"/>
                <w:color w:val="auto"/>
              </w:rPr>
            </w:pPr>
            <w:r>
              <w:rPr>
                <w:rFonts w:hint="eastAsia" w:eastAsia="宋体"/>
                <w:color w:val="auto"/>
              </w:rPr>
              <w:t>/</w:t>
            </w:r>
          </w:p>
        </w:tc>
        <w:tc>
          <w:tcPr>
            <w:tcW w:w="2077" w:type="pct"/>
            <w:tcMar>
              <w:left w:w="0" w:type="dxa"/>
              <w:right w:w="0" w:type="dxa"/>
            </w:tcMar>
            <w:vAlign w:val="center"/>
          </w:tcPr>
          <w:p w14:paraId="1EDF5E76">
            <w:pPr>
              <w:pStyle w:val="288"/>
              <w:adjustRightInd w:val="0"/>
              <w:snapToGrid w:val="0"/>
              <w:spacing w:line="300" w:lineRule="exact"/>
              <w:rPr>
                <w:rFonts w:hint="eastAsia" w:eastAsia="宋体"/>
                <w:color w:val="auto"/>
              </w:rPr>
            </w:pPr>
            <w:r>
              <w:rPr>
                <w:rFonts w:hint="eastAsia" w:eastAsia="宋体"/>
                <w:color w:val="auto"/>
              </w:rPr>
              <w:t xml:space="preserve">GB3096-2008 </w:t>
            </w:r>
            <w:r>
              <w:rPr>
                <w:rFonts w:eastAsia="宋体"/>
                <w:color w:val="auto"/>
              </w:rPr>
              <w:t>2</w:t>
            </w:r>
            <w:r>
              <w:rPr>
                <w:rFonts w:hint="eastAsia" w:eastAsia="宋体"/>
                <w:color w:val="auto"/>
              </w:rPr>
              <w:t>类</w:t>
            </w:r>
          </w:p>
        </w:tc>
      </w:tr>
      <w:tr w14:paraId="2D688F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9" w:type="pct"/>
            <w:vMerge w:val="restart"/>
            <w:tcMar>
              <w:left w:w="0" w:type="dxa"/>
              <w:right w:w="0" w:type="dxa"/>
            </w:tcMar>
            <w:vAlign w:val="center"/>
          </w:tcPr>
          <w:p w14:paraId="439B19EB">
            <w:pPr>
              <w:pStyle w:val="288"/>
              <w:adjustRightInd w:val="0"/>
              <w:snapToGrid w:val="0"/>
              <w:spacing w:line="300" w:lineRule="exact"/>
              <w:rPr>
                <w:rFonts w:hint="eastAsia" w:eastAsia="宋体"/>
                <w:color w:val="auto"/>
              </w:rPr>
            </w:pPr>
            <w:r>
              <w:rPr>
                <w:rFonts w:hint="eastAsia" w:eastAsia="宋体"/>
                <w:color w:val="auto"/>
                <w:spacing w:val="-8"/>
              </w:rPr>
              <w:t>生态环境</w:t>
            </w:r>
          </w:p>
        </w:tc>
        <w:tc>
          <w:tcPr>
            <w:tcW w:w="1624" w:type="pct"/>
            <w:tcMar>
              <w:left w:w="0" w:type="dxa"/>
              <w:right w:w="0" w:type="dxa"/>
            </w:tcMar>
            <w:vAlign w:val="center"/>
          </w:tcPr>
          <w:p w14:paraId="303E33B3">
            <w:pPr>
              <w:pStyle w:val="288"/>
              <w:adjustRightInd w:val="0"/>
              <w:snapToGrid w:val="0"/>
              <w:spacing w:line="300" w:lineRule="exact"/>
              <w:rPr>
                <w:rFonts w:hint="eastAsia" w:eastAsia="宋体"/>
                <w:color w:val="auto"/>
              </w:rPr>
            </w:pPr>
            <w:r>
              <w:rPr>
                <w:rFonts w:hint="eastAsia" w:eastAsia="宋体"/>
                <w:color w:val="auto"/>
              </w:rPr>
              <w:t>评价范围内的野生动植物</w:t>
            </w:r>
          </w:p>
        </w:tc>
        <w:tc>
          <w:tcPr>
            <w:tcW w:w="650" w:type="pct"/>
            <w:vMerge w:val="restart"/>
            <w:tcMar>
              <w:left w:w="0" w:type="dxa"/>
              <w:right w:w="0" w:type="dxa"/>
            </w:tcMar>
            <w:vAlign w:val="center"/>
          </w:tcPr>
          <w:p w14:paraId="5D522002">
            <w:pPr>
              <w:pStyle w:val="288"/>
              <w:adjustRightInd w:val="0"/>
              <w:snapToGrid w:val="0"/>
              <w:spacing w:line="300" w:lineRule="exact"/>
              <w:rPr>
                <w:rFonts w:hint="eastAsia" w:eastAsia="宋体"/>
                <w:color w:val="auto"/>
                <w:spacing w:val="-8"/>
              </w:rPr>
            </w:pPr>
            <w:r>
              <w:rPr>
                <w:rFonts w:hint="eastAsia" w:eastAsia="宋体"/>
                <w:color w:val="auto"/>
                <w:spacing w:val="-8"/>
              </w:rPr>
              <w:t>项目区及评价范围内</w:t>
            </w:r>
          </w:p>
        </w:tc>
        <w:tc>
          <w:tcPr>
            <w:tcW w:w="2077" w:type="pct"/>
            <w:tcMar>
              <w:left w:w="0" w:type="dxa"/>
              <w:right w:w="0" w:type="dxa"/>
            </w:tcMar>
            <w:vAlign w:val="center"/>
          </w:tcPr>
          <w:p w14:paraId="32A2DF98">
            <w:pPr>
              <w:pStyle w:val="288"/>
              <w:adjustRightInd w:val="0"/>
              <w:snapToGrid w:val="0"/>
              <w:spacing w:line="300" w:lineRule="exact"/>
              <w:rPr>
                <w:rFonts w:hint="eastAsia" w:eastAsia="宋体"/>
                <w:color w:val="auto"/>
              </w:rPr>
            </w:pPr>
            <w:r>
              <w:rPr>
                <w:rFonts w:hint="eastAsia" w:eastAsia="宋体"/>
                <w:color w:val="auto"/>
              </w:rPr>
              <w:t>保护野生动植物生境不被破坏</w:t>
            </w:r>
          </w:p>
        </w:tc>
      </w:tr>
      <w:tr w14:paraId="2975EF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9" w:type="pct"/>
            <w:vMerge w:val="continue"/>
            <w:tcMar>
              <w:left w:w="0" w:type="dxa"/>
              <w:right w:w="0" w:type="dxa"/>
            </w:tcMar>
            <w:vAlign w:val="center"/>
          </w:tcPr>
          <w:p w14:paraId="1F48A935">
            <w:pPr>
              <w:pStyle w:val="288"/>
              <w:adjustRightInd w:val="0"/>
              <w:snapToGrid w:val="0"/>
              <w:spacing w:line="300" w:lineRule="exact"/>
              <w:rPr>
                <w:rFonts w:hint="eastAsia" w:eastAsia="宋体"/>
                <w:color w:val="auto"/>
                <w:spacing w:val="-8"/>
              </w:rPr>
            </w:pPr>
          </w:p>
        </w:tc>
        <w:tc>
          <w:tcPr>
            <w:tcW w:w="1624" w:type="pct"/>
            <w:tcMar>
              <w:left w:w="0" w:type="dxa"/>
              <w:right w:w="0" w:type="dxa"/>
            </w:tcMar>
            <w:vAlign w:val="center"/>
          </w:tcPr>
          <w:p w14:paraId="41900828">
            <w:pPr>
              <w:pStyle w:val="288"/>
              <w:adjustRightInd w:val="0"/>
              <w:snapToGrid w:val="0"/>
              <w:spacing w:line="300" w:lineRule="exact"/>
              <w:rPr>
                <w:rFonts w:hint="eastAsia" w:eastAsia="宋体"/>
                <w:color w:val="auto"/>
              </w:rPr>
            </w:pPr>
            <w:r>
              <w:rPr>
                <w:rFonts w:hint="eastAsia" w:eastAsia="宋体"/>
                <w:color w:val="auto"/>
              </w:rPr>
              <w:t>评价范围内的保护野生动物</w:t>
            </w:r>
          </w:p>
        </w:tc>
        <w:tc>
          <w:tcPr>
            <w:tcW w:w="650" w:type="pct"/>
            <w:vMerge w:val="continue"/>
            <w:tcMar>
              <w:left w:w="0" w:type="dxa"/>
              <w:right w:w="0" w:type="dxa"/>
            </w:tcMar>
            <w:vAlign w:val="center"/>
          </w:tcPr>
          <w:p w14:paraId="4D95BF52">
            <w:pPr>
              <w:pStyle w:val="288"/>
              <w:adjustRightInd w:val="0"/>
              <w:snapToGrid w:val="0"/>
              <w:spacing w:line="300" w:lineRule="exact"/>
              <w:rPr>
                <w:rFonts w:hint="eastAsia" w:eastAsia="宋体"/>
                <w:color w:val="auto"/>
                <w:spacing w:val="-8"/>
              </w:rPr>
            </w:pPr>
          </w:p>
        </w:tc>
        <w:tc>
          <w:tcPr>
            <w:tcW w:w="2077" w:type="pct"/>
            <w:tcMar>
              <w:left w:w="0" w:type="dxa"/>
              <w:right w:w="0" w:type="dxa"/>
            </w:tcMar>
            <w:vAlign w:val="center"/>
          </w:tcPr>
          <w:p w14:paraId="04D99000">
            <w:pPr>
              <w:pStyle w:val="288"/>
              <w:adjustRightInd w:val="0"/>
              <w:snapToGrid w:val="0"/>
              <w:spacing w:line="300" w:lineRule="exact"/>
              <w:rPr>
                <w:rFonts w:hint="eastAsia" w:eastAsia="宋体"/>
                <w:color w:val="auto"/>
              </w:rPr>
            </w:pPr>
            <w:r>
              <w:rPr>
                <w:rFonts w:hint="eastAsia" w:eastAsia="宋体"/>
                <w:color w:val="auto"/>
              </w:rPr>
              <w:t>严格按照国家一级、二级保护动物要求保护动物，保护生境不被破坏</w:t>
            </w:r>
          </w:p>
        </w:tc>
      </w:tr>
      <w:tr w14:paraId="393AD1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9" w:type="pct"/>
            <w:vMerge w:val="continue"/>
            <w:tcMar>
              <w:left w:w="0" w:type="dxa"/>
              <w:right w:w="0" w:type="dxa"/>
            </w:tcMar>
            <w:vAlign w:val="center"/>
          </w:tcPr>
          <w:p w14:paraId="2C84D29E">
            <w:pPr>
              <w:pStyle w:val="288"/>
              <w:adjustRightInd w:val="0"/>
              <w:snapToGrid w:val="0"/>
              <w:spacing w:line="300" w:lineRule="exact"/>
              <w:rPr>
                <w:rFonts w:hint="eastAsia" w:eastAsia="宋体"/>
                <w:color w:val="auto"/>
                <w:spacing w:val="-8"/>
              </w:rPr>
            </w:pPr>
          </w:p>
        </w:tc>
        <w:tc>
          <w:tcPr>
            <w:tcW w:w="1624" w:type="pct"/>
            <w:tcMar>
              <w:left w:w="0" w:type="dxa"/>
              <w:right w:w="0" w:type="dxa"/>
            </w:tcMar>
            <w:vAlign w:val="center"/>
          </w:tcPr>
          <w:p w14:paraId="7E90CE16">
            <w:pPr>
              <w:pStyle w:val="288"/>
              <w:adjustRightInd w:val="0"/>
              <w:snapToGrid w:val="0"/>
              <w:spacing w:line="300" w:lineRule="exact"/>
              <w:rPr>
                <w:rFonts w:hint="eastAsia" w:eastAsia="宋体"/>
                <w:color w:val="auto"/>
              </w:rPr>
            </w:pPr>
            <w:r>
              <w:rPr>
                <w:rFonts w:hint="eastAsia" w:eastAsia="宋体"/>
                <w:color w:val="auto"/>
              </w:rPr>
              <w:t>评价范围内的玛纳斯县土地沙化生态保护红线区</w:t>
            </w:r>
          </w:p>
        </w:tc>
        <w:tc>
          <w:tcPr>
            <w:tcW w:w="650" w:type="pct"/>
            <w:vMerge w:val="continue"/>
            <w:tcMar>
              <w:left w:w="0" w:type="dxa"/>
              <w:right w:w="0" w:type="dxa"/>
            </w:tcMar>
            <w:vAlign w:val="center"/>
          </w:tcPr>
          <w:p w14:paraId="143F2844">
            <w:pPr>
              <w:pStyle w:val="288"/>
              <w:adjustRightInd w:val="0"/>
              <w:snapToGrid w:val="0"/>
              <w:spacing w:line="300" w:lineRule="exact"/>
              <w:rPr>
                <w:rFonts w:hint="eastAsia" w:eastAsia="宋体"/>
                <w:color w:val="auto"/>
                <w:spacing w:val="-8"/>
              </w:rPr>
            </w:pPr>
          </w:p>
        </w:tc>
        <w:tc>
          <w:tcPr>
            <w:tcW w:w="2077" w:type="pct"/>
            <w:tcMar>
              <w:left w:w="0" w:type="dxa"/>
              <w:right w:w="0" w:type="dxa"/>
            </w:tcMar>
            <w:vAlign w:val="center"/>
          </w:tcPr>
          <w:p w14:paraId="55F87F5C">
            <w:pPr>
              <w:pStyle w:val="288"/>
              <w:adjustRightInd w:val="0"/>
              <w:snapToGrid w:val="0"/>
              <w:spacing w:line="300" w:lineRule="exact"/>
              <w:rPr>
                <w:rFonts w:hint="eastAsia" w:eastAsia="宋体"/>
                <w:color w:val="auto"/>
              </w:rPr>
            </w:pPr>
            <w:r>
              <w:rPr>
                <w:rFonts w:hint="eastAsia" w:eastAsia="宋体"/>
                <w:color w:val="auto"/>
              </w:rPr>
              <w:t>严格按照</w:t>
            </w:r>
            <w:r>
              <w:rPr>
                <w:rFonts w:eastAsia="宋体"/>
                <w:color w:val="auto"/>
              </w:rPr>
              <w:t>生态保护红线</w:t>
            </w:r>
            <w:r>
              <w:rPr>
                <w:rFonts w:hint="eastAsia" w:eastAsia="宋体"/>
                <w:color w:val="auto"/>
              </w:rPr>
              <w:t>要求严禁开放性、生产性建设，不得新增建设用地、开垦耕地，保护项目区生态系统完整性和稳定性</w:t>
            </w:r>
          </w:p>
        </w:tc>
      </w:tr>
      <w:bookmarkEnd w:id="144"/>
      <w:bookmarkEnd w:id="145"/>
      <w:bookmarkEnd w:id="146"/>
    </w:tbl>
    <w:p w14:paraId="207B5701">
      <w:pPr>
        <w:pStyle w:val="134"/>
        <w:ind w:firstLine="480"/>
        <w:rPr>
          <w:rFonts w:hint="eastAsia"/>
          <w:color w:val="auto"/>
        </w:rPr>
        <w:sectPr>
          <w:pgSz w:w="11906" w:h="16838"/>
          <w:pgMar w:top="1418" w:right="1588" w:bottom="1418" w:left="1588" w:header="1020" w:footer="1020" w:gutter="0"/>
          <w:pgNumType w:start="1"/>
          <w:cols w:space="720" w:num="1"/>
          <w:docGrid w:type="lines" w:linePitch="312" w:charSpace="0"/>
        </w:sectPr>
      </w:pPr>
    </w:p>
    <w:p w14:paraId="36C57C68">
      <w:pPr>
        <w:pStyle w:val="134"/>
        <w:spacing w:line="360" w:lineRule="auto"/>
        <w:ind w:firstLine="480"/>
        <w:rPr>
          <w:rFonts w:hint="eastAsia"/>
          <w:color w:val="auto"/>
        </w:rPr>
      </w:pPr>
      <w:bookmarkStart w:id="147" w:name="_Hlk177300578"/>
      <w:r>
        <w:rPr>
          <w:color w:val="auto"/>
        </w:rPr>
        <w:drawing>
          <wp:inline distT="0" distB="0" distL="0" distR="0">
            <wp:extent cx="7892415" cy="5027295"/>
            <wp:effectExtent l="0" t="0" r="0" b="1905"/>
            <wp:docPr id="145990999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909990" name="图片 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7896408" cy="5029963"/>
                    </a:xfrm>
                    <a:prstGeom prst="rect">
                      <a:avLst/>
                    </a:prstGeom>
                    <a:noFill/>
                    <a:ln>
                      <a:noFill/>
                    </a:ln>
                  </pic:spPr>
                </pic:pic>
              </a:graphicData>
            </a:graphic>
          </wp:inline>
        </w:drawing>
      </w:r>
    </w:p>
    <w:p w14:paraId="514280B7">
      <w:pPr>
        <w:pStyle w:val="134"/>
        <w:ind w:firstLine="480"/>
        <w:rPr>
          <w:rFonts w:hint="eastAsia"/>
          <w:color w:val="auto"/>
        </w:rPr>
      </w:pPr>
      <w:r>
        <w:rPr>
          <w:rFonts w:hint="eastAsia"/>
          <w:color w:val="auto"/>
        </w:rPr>
        <w:t>图2.6-1  评价范围示意图</w:t>
      </w:r>
    </w:p>
    <w:bookmarkEnd w:id="147"/>
    <w:p w14:paraId="7F50CBA3">
      <w:pPr>
        <w:pStyle w:val="134"/>
        <w:ind w:firstLine="480"/>
        <w:rPr>
          <w:rFonts w:hint="eastAsia"/>
          <w:color w:val="auto"/>
        </w:rPr>
        <w:sectPr>
          <w:headerReference r:id="rId5" w:type="default"/>
          <w:pgSz w:w="16838" w:h="11906" w:orient="landscape"/>
          <w:pgMar w:top="1588" w:right="1418" w:bottom="1588" w:left="1418" w:header="1020" w:footer="1020" w:gutter="0"/>
          <w:cols w:space="720" w:num="1"/>
          <w:docGrid w:type="lines" w:linePitch="312" w:charSpace="0"/>
        </w:sectPr>
      </w:pPr>
    </w:p>
    <w:bookmarkEnd w:id="139"/>
    <w:p w14:paraId="59A12047">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148" w:name="_Toc224405922"/>
      <w:r>
        <w:rPr>
          <w:rFonts w:hint="eastAsia" w:ascii="黑体" w:hAnsi="黑体" w:eastAsia="黑体" w:cs="Times New Roman"/>
          <w:bCs/>
          <w:color w:val="auto"/>
          <w:sz w:val="28"/>
          <w:szCs w:val="32"/>
          <w14:ligatures w14:val="none"/>
        </w:rPr>
        <w:t>评价内容和评价重点</w:t>
      </w:r>
      <w:bookmarkEnd w:id="148"/>
    </w:p>
    <w:p w14:paraId="15602B92">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评价内容</w:t>
      </w:r>
    </w:p>
    <w:p w14:paraId="25744979">
      <w:pPr>
        <w:pStyle w:val="86"/>
        <w:spacing w:line="480" w:lineRule="exact"/>
        <w:ind w:firstLine="480"/>
        <w:rPr>
          <w:rFonts w:hint="eastAsia"/>
          <w:color w:val="auto"/>
        </w:rPr>
      </w:pPr>
      <w:r>
        <w:rPr>
          <w:color w:val="auto"/>
        </w:rPr>
        <w:t>根据《</w:t>
      </w:r>
      <w:r>
        <w:rPr>
          <w:rFonts w:hint="eastAsia"/>
          <w:color w:val="auto"/>
        </w:rPr>
        <w:t>建设项目</w:t>
      </w:r>
      <w:r>
        <w:rPr>
          <w:color w:val="auto"/>
        </w:rPr>
        <w:t>环境影响评价技术导则</w:t>
      </w:r>
      <w:r>
        <w:rPr>
          <w:rFonts w:hint="eastAsia"/>
          <w:color w:val="auto"/>
        </w:rPr>
        <w:t xml:space="preserve"> </w:t>
      </w:r>
      <w:r>
        <w:rPr>
          <w:color w:val="auto"/>
        </w:rPr>
        <w:t xml:space="preserve"> </w:t>
      </w:r>
      <w:r>
        <w:rPr>
          <w:rFonts w:hint="eastAsia"/>
          <w:color w:val="auto"/>
        </w:rPr>
        <w:t>总纲</w:t>
      </w:r>
      <w:r>
        <w:rPr>
          <w:color w:val="auto"/>
        </w:rPr>
        <w:t>》</w:t>
      </w:r>
      <w:r>
        <w:rPr>
          <w:rFonts w:hint="eastAsia"/>
          <w:color w:val="auto"/>
        </w:rPr>
        <w:t>（H</w:t>
      </w:r>
      <w:r>
        <w:rPr>
          <w:color w:val="auto"/>
        </w:rPr>
        <w:t>J2.1-2016</w:t>
      </w:r>
      <w:r>
        <w:rPr>
          <w:rFonts w:hint="eastAsia"/>
          <w:color w:val="auto"/>
        </w:rPr>
        <w:t>）</w:t>
      </w:r>
      <w:r>
        <w:rPr>
          <w:color w:val="auto"/>
        </w:rPr>
        <w:t>要求，结合项目特点、周围区域环境现状、环境功能区划，确定本次评价内容包括建设项目工程分析、环境</w:t>
      </w:r>
      <w:r>
        <w:rPr>
          <w:rFonts w:hint="eastAsia"/>
          <w:color w:val="auto"/>
        </w:rPr>
        <w:t>现</w:t>
      </w:r>
      <w:r>
        <w:rPr>
          <w:color w:val="auto"/>
        </w:rPr>
        <w:t>状调查与评价、环境影响预测与评价、环境保护措施及其可行性论证、环境影响经济损益分析、环境管理与监测计划、环境影响评价结论</w:t>
      </w:r>
      <w:r>
        <w:rPr>
          <w:rFonts w:hint="eastAsia"/>
          <w:color w:val="auto"/>
        </w:rPr>
        <w:t>，具体</w:t>
      </w:r>
      <w:r>
        <w:rPr>
          <w:color w:val="auto"/>
        </w:rPr>
        <w:t>见</w:t>
      </w:r>
      <w:r>
        <w:rPr>
          <w:rFonts w:hint="eastAsia"/>
          <w:color w:val="auto"/>
        </w:rPr>
        <w:t>表</w:t>
      </w:r>
      <w:r>
        <w:rPr>
          <w:color w:val="auto"/>
        </w:rPr>
        <w:t>2.8</w:t>
      </w:r>
      <w:r>
        <w:rPr>
          <w:rFonts w:hint="eastAsia"/>
          <w:color w:val="auto"/>
        </w:rPr>
        <w:t>-</w:t>
      </w:r>
      <w:r>
        <w:rPr>
          <w:color w:val="auto"/>
        </w:rPr>
        <w:t>1</w:t>
      </w:r>
      <w:r>
        <w:rPr>
          <w:rFonts w:hint="eastAsia"/>
          <w:color w:val="auto"/>
        </w:rPr>
        <w:t>。</w:t>
      </w:r>
    </w:p>
    <w:p w14:paraId="79335ABB">
      <w:pPr>
        <w:pStyle w:val="134"/>
        <w:ind w:firstLine="480"/>
        <w:rPr>
          <w:rFonts w:hint="eastAsia"/>
          <w:b w:val="0"/>
          <w:bCs/>
          <w:color w:val="auto"/>
        </w:rPr>
      </w:pPr>
      <w:r>
        <w:rPr>
          <w:rFonts w:hint="eastAsia"/>
          <w:b w:val="0"/>
          <w:bCs/>
          <w:color w:val="auto"/>
        </w:rPr>
        <w:t>表2</w:t>
      </w:r>
      <w:r>
        <w:rPr>
          <w:b w:val="0"/>
          <w:bCs/>
          <w:color w:val="auto"/>
        </w:rPr>
        <w:t>.8</w:t>
      </w:r>
      <w:r>
        <w:rPr>
          <w:rFonts w:hint="eastAsia"/>
          <w:b w:val="0"/>
          <w:bCs/>
          <w:color w:val="auto"/>
        </w:rPr>
        <w:t>-</w:t>
      </w:r>
      <w:r>
        <w:rPr>
          <w:b w:val="0"/>
          <w:bCs/>
          <w:color w:val="auto"/>
        </w:rPr>
        <w:t>1</w:t>
      </w:r>
      <w:r>
        <w:rPr>
          <w:rFonts w:hint="eastAsia"/>
          <w:b w:val="0"/>
          <w:bCs/>
          <w:color w:val="auto"/>
        </w:rPr>
        <w:t xml:space="preserve">  评价内容一览表</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709"/>
        <w:gridCol w:w="1526"/>
        <w:gridCol w:w="6711"/>
      </w:tblGrid>
      <w:tr w14:paraId="2113FD9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9" w:type="dxa"/>
            <w:vAlign w:val="center"/>
          </w:tcPr>
          <w:p w14:paraId="422CA57B">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序号</w:t>
            </w:r>
          </w:p>
        </w:tc>
        <w:tc>
          <w:tcPr>
            <w:tcW w:w="1526" w:type="dxa"/>
            <w:vAlign w:val="center"/>
          </w:tcPr>
          <w:p w14:paraId="45D528BD">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评价专题</w:t>
            </w:r>
          </w:p>
        </w:tc>
        <w:tc>
          <w:tcPr>
            <w:tcW w:w="6711" w:type="dxa"/>
            <w:vAlign w:val="center"/>
          </w:tcPr>
          <w:p w14:paraId="1D88B853">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评价内容</w:t>
            </w:r>
          </w:p>
        </w:tc>
      </w:tr>
      <w:tr w14:paraId="34D863B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9" w:type="dxa"/>
            <w:vAlign w:val="center"/>
          </w:tcPr>
          <w:p w14:paraId="16F3DDCD">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w:t>
            </w:r>
          </w:p>
        </w:tc>
        <w:tc>
          <w:tcPr>
            <w:tcW w:w="1526" w:type="dxa"/>
            <w:vAlign w:val="center"/>
          </w:tcPr>
          <w:p w14:paraId="2490BC71">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工程分析</w:t>
            </w:r>
          </w:p>
        </w:tc>
        <w:tc>
          <w:tcPr>
            <w:tcW w:w="6711" w:type="dxa"/>
            <w:vAlign w:val="center"/>
          </w:tcPr>
          <w:p w14:paraId="5F9A1304">
            <w:pPr>
              <w:adjustRightInd w:val="0"/>
              <w:snapToGrid w:val="0"/>
              <w:spacing w:line="300" w:lineRule="exact"/>
              <w:textAlignment w:val="baseline"/>
              <w:rPr>
                <w:rFonts w:hint="eastAsia" w:ascii="宋体" w:hAnsi="宋体" w:cs="宋体"/>
                <w:color w:val="auto"/>
                <w:kern w:val="0"/>
                <w:szCs w:val="21"/>
              </w:rPr>
            </w:pPr>
            <w:r>
              <w:rPr>
                <w:rFonts w:hint="eastAsia" w:ascii="宋体" w:hAnsi="宋体" w:cs="宋体"/>
                <w:color w:val="auto"/>
                <w:kern w:val="0"/>
                <w:szCs w:val="21"/>
              </w:rPr>
              <w:t>项目基本情况、主体工程、公辅工程、环保工程、依托工程，根据污染物产生环节、方式及治理措施，核算污染物产生和排放强度，给出污染因子及其产生和排放的方式及数量等。</w:t>
            </w:r>
          </w:p>
        </w:tc>
      </w:tr>
      <w:tr w14:paraId="268BF8B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9" w:type="dxa"/>
            <w:vAlign w:val="center"/>
          </w:tcPr>
          <w:p w14:paraId="6C76F09F">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w:t>
            </w:r>
          </w:p>
        </w:tc>
        <w:tc>
          <w:tcPr>
            <w:tcW w:w="1526" w:type="dxa"/>
            <w:vAlign w:val="center"/>
          </w:tcPr>
          <w:p w14:paraId="29F9EEFC">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环境现状</w:t>
            </w:r>
          </w:p>
          <w:p w14:paraId="745210B0">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调查与评价</w:t>
            </w:r>
          </w:p>
        </w:tc>
        <w:tc>
          <w:tcPr>
            <w:tcW w:w="6711" w:type="dxa"/>
            <w:vAlign w:val="center"/>
          </w:tcPr>
          <w:p w14:paraId="0B57134C">
            <w:pPr>
              <w:adjustRightInd w:val="0"/>
              <w:snapToGrid w:val="0"/>
              <w:spacing w:line="300" w:lineRule="exact"/>
              <w:textAlignment w:val="baseline"/>
              <w:rPr>
                <w:rFonts w:hint="eastAsia" w:ascii="宋体" w:hAnsi="宋体" w:cs="宋体"/>
                <w:color w:val="auto"/>
                <w:kern w:val="0"/>
                <w:szCs w:val="21"/>
              </w:rPr>
            </w:pPr>
            <w:r>
              <w:rPr>
                <w:rFonts w:hint="eastAsia" w:ascii="宋体" w:hAnsi="宋体" w:cs="宋体"/>
                <w:color w:val="auto"/>
                <w:kern w:val="0"/>
                <w:szCs w:val="21"/>
              </w:rPr>
              <w:t>自然环境、环境保护目标调查、环境质量现状调查（包括环境空气、地下水、声环境、土壤环境和生态环境）。</w:t>
            </w:r>
          </w:p>
        </w:tc>
      </w:tr>
      <w:tr w14:paraId="47BF862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9" w:type="dxa"/>
            <w:vAlign w:val="center"/>
          </w:tcPr>
          <w:p w14:paraId="62D06CF9">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3</w:t>
            </w:r>
          </w:p>
        </w:tc>
        <w:tc>
          <w:tcPr>
            <w:tcW w:w="1526" w:type="dxa"/>
            <w:vAlign w:val="center"/>
          </w:tcPr>
          <w:p w14:paraId="70F18204">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环境影响</w:t>
            </w:r>
          </w:p>
          <w:p w14:paraId="7C15D36D">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预测与评价</w:t>
            </w:r>
          </w:p>
        </w:tc>
        <w:tc>
          <w:tcPr>
            <w:tcW w:w="6711" w:type="dxa"/>
            <w:vAlign w:val="center"/>
          </w:tcPr>
          <w:p w14:paraId="6C5D0617">
            <w:pPr>
              <w:adjustRightInd w:val="0"/>
              <w:snapToGrid w:val="0"/>
              <w:spacing w:line="300" w:lineRule="exact"/>
              <w:textAlignment w:val="baseline"/>
              <w:rPr>
                <w:rFonts w:hint="eastAsia" w:ascii="宋体" w:hAnsi="宋体" w:cs="宋体"/>
                <w:color w:val="auto"/>
                <w:spacing w:val="-4"/>
                <w:kern w:val="0"/>
                <w:szCs w:val="21"/>
              </w:rPr>
            </w:pPr>
            <w:r>
              <w:rPr>
                <w:rFonts w:hint="eastAsia" w:ascii="宋体" w:hAnsi="宋体" w:cs="宋体"/>
                <w:color w:val="auto"/>
                <w:spacing w:val="-4"/>
                <w:kern w:val="0"/>
                <w:szCs w:val="21"/>
              </w:rPr>
              <w:t>分为施工期、运营期和退役期。对施工期和退役期扬尘、废水、噪声、固废、生态环境和土壤环境等进行分析。运营期对废气、废水、噪声、固体废物、土壤进行了影响预测和分析，并开展了环境风险评价。</w:t>
            </w:r>
          </w:p>
        </w:tc>
      </w:tr>
      <w:tr w14:paraId="74E41AC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9" w:type="dxa"/>
            <w:vAlign w:val="center"/>
          </w:tcPr>
          <w:p w14:paraId="198B8D39">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4</w:t>
            </w:r>
          </w:p>
        </w:tc>
        <w:tc>
          <w:tcPr>
            <w:tcW w:w="1526" w:type="dxa"/>
            <w:vAlign w:val="center"/>
          </w:tcPr>
          <w:p w14:paraId="19B57683">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环保措施及其可行性论证</w:t>
            </w:r>
          </w:p>
        </w:tc>
        <w:tc>
          <w:tcPr>
            <w:tcW w:w="6711" w:type="dxa"/>
            <w:vAlign w:val="center"/>
          </w:tcPr>
          <w:p w14:paraId="619038E9">
            <w:pPr>
              <w:adjustRightInd w:val="0"/>
              <w:snapToGrid w:val="0"/>
              <w:spacing w:line="300" w:lineRule="exact"/>
              <w:textAlignment w:val="baseline"/>
              <w:rPr>
                <w:rFonts w:hint="eastAsia" w:ascii="宋体" w:hAnsi="宋体" w:cs="宋体"/>
                <w:color w:val="auto"/>
                <w:spacing w:val="-4"/>
                <w:kern w:val="0"/>
                <w:szCs w:val="21"/>
              </w:rPr>
            </w:pPr>
            <w:r>
              <w:rPr>
                <w:rFonts w:hint="eastAsia" w:ascii="宋体" w:hAnsi="宋体" w:cs="宋体"/>
                <w:color w:val="auto"/>
                <w:spacing w:val="-4"/>
                <w:kern w:val="0"/>
                <w:szCs w:val="21"/>
              </w:rPr>
              <w:t>针对废气、废水、噪声、固体废物、土壤污染防治措施、生态环境保护措施和环境风险防范措施进行论证。</w:t>
            </w:r>
          </w:p>
        </w:tc>
      </w:tr>
      <w:tr w14:paraId="195B643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9" w:type="dxa"/>
            <w:vAlign w:val="center"/>
          </w:tcPr>
          <w:p w14:paraId="6DE375B1">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5</w:t>
            </w:r>
          </w:p>
        </w:tc>
        <w:tc>
          <w:tcPr>
            <w:tcW w:w="1526" w:type="dxa"/>
            <w:vAlign w:val="center"/>
          </w:tcPr>
          <w:p w14:paraId="4A26F2D3">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环境影响经济损益分析</w:t>
            </w:r>
          </w:p>
        </w:tc>
        <w:tc>
          <w:tcPr>
            <w:tcW w:w="6711" w:type="dxa"/>
            <w:vAlign w:val="center"/>
          </w:tcPr>
          <w:p w14:paraId="533E554E">
            <w:pPr>
              <w:adjustRightInd w:val="0"/>
              <w:snapToGrid w:val="0"/>
              <w:spacing w:line="300" w:lineRule="exact"/>
              <w:textAlignment w:val="baseline"/>
              <w:rPr>
                <w:rFonts w:hint="eastAsia" w:ascii="宋体" w:hAnsi="宋体" w:cs="宋体"/>
                <w:color w:val="auto"/>
                <w:kern w:val="0"/>
                <w:szCs w:val="21"/>
              </w:rPr>
            </w:pPr>
            <w:r>
              <w:rPr>
                <w:rFonts w:hint="eastAsia" w:ascii="宋体" w:hAnsi="宋体" w:cs="宋体"/>
                <w:color w:val="auto"/>
                <w:kern w:val="0"/>
                <w:szCs w:val="21"/>
              </w:rPr>
              <w:t>从社会效益、经济效益和环境效益等方面叙述。</w:t>
            </w:r>
          </w:p>
        </w:tc>
      </w:tr>
      <w:tr w14:paraId="67C7AC1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9" w:type="dxa"/>
            <w:vAlign w:val="center"/>
          </w:tcPr>
          <w:p w14:paraId="62201B0C">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6</w:t>
            </w:r>
          </w:p>
        </w:tc>
        <w:tc>
          <w:tcPr>
            <w:tcW w:w="1526" w:type="dxa"/>
            <w:vAlign w:val="center"/>
          </w:tcPr>
          <w:p w14:paraId="04BA7461">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环境管理与环境监测计划</w:t>
            </w:r>
          </w:p>
        </w:tc>
        <w:tc>
          <w:tcPr>
            <w:tcW w:w="6711" w:type="dxa"/>
            <w:vAlign w:val="center"/>
          </w:tcPr>
          <w:p w14:paraId="000F58A0">
            <w:pPr>
              <w:adjustRightInd w:val="0"/>
              <w:snapToGrid w:val="0"/>
              <w:spacing w:line="300" w:lineRule="exact"/>
              <w:textAlignment w:val="baseline"/>
              <w:rPr>
                <w:rFonts w:hint="eastAsia" w:ascii="宋体" w:hAnsi="宋体" w:cs="宋体"/>
                <w:color w:val="auto"/>
                <w:kern w:val="0"/>
                <w:szCs w:val="21"/>
              </w:rPr>
            </w:pPr>
            <w:r>
              <w:rPr>
                <w:rFonts w:hint="eastAsia" w:ascii="宋体" w:hAnsi="宋体" w:cs="宋体"/>
                <w:color w:val="auto"/>
                <w:kern w:val="0"/>
                <w:szCs w:val="21"/>
              </w:rPr>
              <w:t>根据国家环境管理与监测要求，给出环境管理制度和日常监测计划，给出污染物排放清单、制定环保三同时验收一览表。</w:t>
            </w:r>
          </w:p>
        </w:tc>
      </w:tr>
      <w:tr w14:paraId="44F1B05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9" w:type="dxa"/>
            <w:vAlign w:val="center"/>
          </w:tcPr>
          <w:p w14:paraId="7222EB5D">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7</w:t>
            </w:r>
          </w:p>
        </w:tc>
        <w:tc>
          <w:tcPr>
            <w:tcW w:w="1526" w:type="dxa"/>
            <w:vAlign w:val="center"/>
          </w:tcPr>
          <w:p w14:paraId="40AC4EEA">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结论</w:t>
            </w:r>
          </w:p>
        </w:tc>
        <w:tc>
          <w:tcPr>
            <w:tcW w:w="6711" w:type="dxa"/>
            <w:vAlign w:val="center"/>
          </w:tcPr>
          <w:p w14:paraId="2D5C31DD">
            <w:pPr>
              <w:adjustRightInd w:val="0"/>
              <w:snapToGrid w:val="0"/>
              <w:spacing w:line="300" w:lineRule="exact"/>
              <w:textAlignment w:val="baseline"/>
              <w:rPr>
                <w:rFonts w:hint="eastAsia" w:ascii="宋体" w:hAnsi="宋体" w:cs="宋体"/>
                <w:color w:val="auto"/>
                <w:kern w:val="0"/>
                <w:szCs w:val="21"/>
              </w:rPr>
            </w:pPr>
            <w:r>
              <w:rPr>
                <w:rFonts w:hint="eastAsia" w:ascii="宋体" w:hAnsi="宋体" w:cs="宋体"/>
                <w:color w:val="auto"/>
                <w:kern w:val="0"/>
                <w:szCs w:val="21"/>
              </w:rPr>
              <w:t>根据上述各章节的相关分析结果，从环保角度给出建设可行性结论。</w:t>
            </w:r>
          </w:p>
        </w:tc>
      </w:tr>
    </w:tbl>
    <w:p w14:paraId="0707F220">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评价重点</w:t>
      </w:r>
    </w:p>
    <w:p w14:paraId="56E05F49">
      <w:pPr>
        <w:pStyle w:val="86"/>
        <w:spacing w:line="480" w:lineRule="exact"/>
        <w:ind w:firstLine="480"/>
        <w:rPr>
          <w:rFonts w:hint="eastAsia"/>
          <w:color w:val="auto"/>
        </w:rPr>
      </w:pPr>
      <w:r>
        <w:rPr>
          <w:color w:val="auto"/>
        </w:rPr>
        <w:t>根据</w:t>
      </w:r>
      <w:r>
        <w:rPr>
          <w:rFonts w:hint="eastAsia"/>
          <w:color w:val="auto"/>
        </w:rPr>
        <w:t>工</w:t>
      </w:r>
      <w:r>
        <w:rPr>
          <w:color w:val="auto"/>
        </w:rPr>
        <w:t>程特点及评价因子筛选的结果，结合区域环境状况，确定本次环境影响评价工作的重点为：</w:t>
      </w:r>
    </w:p>
    <w:p w14:paraId="78B44D0E">
      <w:pPr>
        <w:pStyle w:val="86"/>
        <w:spacing w:line="480" w:lineRule="exact"/>
        <w:ind w:firstLine="480"/>
        <w:rPr>
          <w:rFonts w:hint="eastAsia"/>
          <w:color w:val="auto"/>
        </w:rPr>
      </w:pPr>
      <w:r>
        <w:rPr>
          <w:color w:val="auto"/>
        </w:rPr>
        <w:t>（1）</w:t>
      </w:r>
      <w:r>
        <w:rPr>
          <w:rFonts w:hint="eastAsia"/>
          <w:color w:val="auto"/>
        </w:rPr>
        <w:t>建设项目</w:t>
      </w:r>
      <w:r>
        <w:rPr>
          <w:color w:val="auto"/>
        </w:rPr>
        <w:t>工程分析</w:t>
      </w:r>
      <w:r>
        <w:rPr>
          <w:rFonts w:hint="eastAsia"/>
          <w:color w:val="auto"/>
        </w:rPr>
        <w:t>；</w:t>
      </w:r>
    </w:p>
    <w:p w14:paraId="37FD149D">
      <w:pPr>
        <w:pStyle w:val="86"/>
        <w:spacing w:line="480" w:lineRule="exact"/>
        <w:ind w:firstLine="480"/>
        <w:rPr>
          <w:rFonts w:hint="eastAsia"/>
          <w:color w:val="auto"/>
        </w:rPr>
      </w:pPr>
      <w:r>
        <w:rPr>
          <w:color w:val="auto"/>
        </w:rPr>
        <w:t>（2）</w:t>
      </w:r>
      <w:r>
        <w:rPr>
          <w:rFonts w:hint="eastAsia"/>
          <w:color w:val="auto"/>
        </w:rPr>
        <w:t>大气、地下水、土壤、生态</w:t>
      </w:r>
      <w:r>
        <w:rPr>
          <w:color w:val="auto"/>
        </w:rPr>
        <w:t>环境影响评价</w:t>
      </w:r>
      <w:r>
        <w:rPr>
          <w:rFonts w:hint="eastAsia"/>
          <w:color w:val="auto"/>
        </w:rPr>
        <w:t>及环境风险分析；</w:t>
      </w:r>
    </w:p>
    <w:p w14:paraId="030C8EB3">
      <w:pPr>
        <w:pStyle w:val="86"/>
        <w:spacing w:line="480" w:lineRule="exact"/>
        <w:ind w:firstLine="480"/>
        <w:rPr>
          <w:rFonts w:hint="eastAsia"/>
          <w:color w:val="auto"/>
        </w:rPr>
      </w:pPr>
      <w:r>
        <w:rPr>
          <w:color w:val="auto"/>
        </w:rPr>
        <w:t>（3）环境保护措施</w:t>
      </w:r>
      <w:r>
        <w:rPr>
          <w:rFonts w:hint="eastAsia"/>
          <w:color w:val="auto"/>
        </w:rPr>
        <w:t>及其可行性论证。</w:t>
      </w:r>
    </w:p>
    <w:p w14:paraId="13CB1D55">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149" w:name="_Toc475624465"/>
      <w:bookmarkStart w:id="150" w:name="_Toc224405923"/>
      <w:r>
        <w:rPr>
          <w:rFonts w:hint="eastAsia" w:ascii="黑体" w:hAnsi="黑体" w:eastAsia="黑体" w:cs="Times New Roman"/>
          <w:bCs/>
          <w:color w:val="auto"/>
          <w:sz w:val="28"/>
          <w:szCs w:val="32"/>
          <w14:ligatures w14:val="none"/>
        </w:rPr>
        <w:t>相关规划</w:t>
      </w:r>
      <w:bookmarkEnd w:id="149"/>
      <w:r>
        <w:rPr>
          <w:rFonts w:hint="eastAsia" w:ascii="黑体" w:hAnsi="黑体" w:eastAsia="黑体" w:cs="Times New Roman"/>
          <w:bCs/>
          <w:color w:val="auto"/>
          <w:sz w:val="28"/>
          <w:szCs w:val="32"/>
          <w14:ligatures w14:val="none"/>
        </w:rPr>
        <w:t>及政策符合性分析</w:t>
      </w:r>
      <w:bookmarkEnd w:id="150"/>
    </w:p>
    <w:p w14:paraId="7230F11D">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151" w:name="_Toc445996339"/>
      <w:bookmarkStart w:id="152" w:name="_Toc12849"/>
      <w:bookmarkStart w:id="153" w:name="_Toc445842058"/>
      <w:bookmarkStart w:id="154" w:name="_Toc396754461"/>
      <w:bookmarkStart w:id="155" w:name="_Toc387184368"/>
      <w:bookmarkStart w:id="156" w:name="_Toc22211"/>
      <w:bookmarkStart w:id="157" w:name="_Toc445842059"/>
      <w:bookmarkStart w:id="158" w:name="_Toc445829778"/>
      <w:bookmarkStart w:id="159" w:name="_Toc387775561"/>
      <w:bookmarkStart w:id="160" w:name="_Toc395781890"/>
      <w:bookmarkStart w:id="161" w:name="_Toc445840394"/>
      <w:bookmarkStart w:id="162" w:name="_Toc395781417"/>
      <w:bookmarkStart w:id="163" w:name="_Toc391973485"/>
      <w:bookmarkStart w:id="164" w:name="_Toc389770958"/>
      <w:bookmarkStart w:id="165" w:name="_Toc445996340"/>
      <w:r>
        <w:rPr>
          <w:rFonts w:ascii="黑体" w:hAnsi="黑体" w:eastAsia="黑体" w:cs="Times New Roman"/>
          <w:color w:val="auto"/>
          <w:sz w:val="24"/>
          <w:szCs w:val="21"/>
          <w:lang w:val="zh-CN"/>
          <w14:ligatures w14:val="none"/>
        </w:rPr>
        <w:t>相关规划</w:t>
      </w:r>
      <w:bookmarkEnd w:id="151"/>
      <w:bookmarkEnd w:id="152"/>
      <w:bookmarkEnd w:id="153"/>
      <w:r>
        <w:rPr>
          <w:rFonts w:hint="eastAsia" w:ascii="黑体" w:hAnsi="黑体" w:eastAsia="黑体" w:cs="Times New Roman"/>
          <w:color w:val="auto"/>
          <w:sz w:val="24"/>
          <w:szCs w:val="21"/>
          <w:lang w:val="zh-CN"/>
          <w14:ligatures w14:val="none"/>
        </w:rPr>
        <w:t>符合性分析</w:t>
      </w:r>
    </w:p>
    <w:p w14:paraId="5A9ECEF5">
      <w:pPr>
        <w:pStyle w:val="86"/>
        <w:ind w:firstLine="480"/>
        <w:rPr>
          <w:rFonts w:hint="eastAsia"/>
          <w:color w:val="auto"/>
        </w:rPr>
      </w:pPr>
      <w:r>
        <w:rPr>
          <w:rFonts w:hint="eastAsia"/>
          <w:color w:val="auto"/>
        </w:rPr>
        <w:t>（</w:t>
      </w:r>
      <w:r>
        <w:rPr>
          <w:color w:val="auto"/>
        </w:rPr>
        <w:t>1）区域发展规划</w:t>
      </w:r>
      <w:r>
        <w:rPr>
          <w:rFonts w:hint="eastAsia"/>
          <w:color w:val="auto"/>
        </w:rPr>
        <w:t>符合性分析</w:t>
      </w:r>
    </w:p>
    <w:p w14:paraId="19767CBA">
      <w:pPr>
        <w:pStyle w:val="86"/>
        <w:ind w:firstLine="480"/>
        <w:rPr>
          <w:rFonts w:hint="eastAsia"/>
          <w:color w:val="auto"/>
        </w:rPr>
      </w:pPr>
      <w:r>
        <w:rPr>
          <w:rFonts w:hint="eastAsia"/>
          <w:color w:val="auto"/>
        </w:rPr>
        <w:t>《新疆维吾尔自治区国民经济和社会发展第十四个五年规划和2035年远景目标纲要》中指出：“加大准噶尔、吐哈、塔里木三大盆地油气勘探开发力度，提高新疆在油气资源开发利用转化过程中的参与度。加快中石油玛湖、吉木萨尔、准噶尔盆地南缘以及中石化顺北等大型油气田建设，促进油气增储上产”。本项目位于准噶尔盆地，属于陆地石油开采行业，符合规划及纲要中的相关要求。</w:t>
      </w:r>
    </w:p>
    <w:p w14:paraId="719B9860">
      <w:pPr>
        <w:pStyle w:val="86"/>
        <w:ind w:firstLine="480"/>
        <w:rPr>
          <w:rFonts w:hint="eastAsia"/>
          <w:color w:val="auto"/>
        </w:rPr>
      </w:pPr>
      <w:r>
        <w:rPr>
          <w:rFonts w:hint="eastAsia"/>
          <w:color w:val="auto"/>
        </w:rPr>
        <w:t>《昌吉回族自治州国民经济和社会发展第十四个五年规划和</w:t>
      </w:r>
      <w:r>
        <w:rPr>
          <w:color w:val="auto"/>
        </w:rPr>
        <w:t>2035</w:t>
      </w:r>
      <w:r>
        <w:rPr>
          <w:rFonts w:hint="eastAsia"/>
          <w:color w:val="auto"/>
        </w:rPr>
        <w:t>年远景目标纲要》指出，按照“发展下游、支持中游、协调上游”的原则，加快推进阜康、吉木萨尔油田、奇台天然气田开发力度，延伸石油天然气下游产业链，重点发展聚酯类高分子化工新材料深加工和凝析油深加工，形成与油田开发开采配套服务的产业新业态、新模式，推动关联深加工产业链规模化发展。</w:t>
      </w:r>
    </w:p>
    <w:p w14:paraId="79318C8A">
      <w:pPr>
        <w:pStyle w:val="86"/>
        <w:ind w:firstLine="480"/>
        <w:rPr>
          <w:rFonts w:hint="eastAsia"/>
          <w:color w:val="auto"/>
        </w:rPr>
      </w:pPr>
      <w:r>
        <w:rPr>
          <w:rFonts w:hint="eastAsia"/>
          <w:color w:val="auto"/>
        </w:rPr>
        <w:t>本项目行政隶属于新疆维吾尔自治区昌吉回族自治州玛纳斯县，位于古尔班通古特沙漠腹地，本项目属于石油开发项目，符合规划及纲要中的相关要求。</w:t>
      </w:r>
    </w:p>
    <w:p w14:paraId="7CE97919">
      <w:pPr>
        <w:pStyle w:val="86"/>
        <w:ind w:firstLine="480"/>
        <w:rPr>
          <w:rFonts w:hint="eastAsia"/>
          <w:color w:val="auto"/>
        </w:rPr>
      </w:pPr>
      <w:r>
        <w:rPr>
          <w:rFonts w:hint="eastAsia"/>
          <w:color w:val="auto"/>
        </w:rPr>
        <w:t>（2</w:t>
      </w:r>
      <w:r>
        <w:rPr>
          <w:color w:val="auto"/>
        </w:rPr>
        <w:t>）</w:t>
      </w:r>
      <w:r>
        <w:rPr>
          <w:rFonts w:hint="eastAsia"/>
          <w:color w:val="auto"/>
        </w:rPr>
        <w:t>主体功能区规划</w:t>
      </w:r>
      <w:r>
        <w:rPr>
          <w:color w:val="auto"/>
        </w:rPr>
        <w:t>相符性分析</w:t>
      </w:r>
    </w:p>
    <w:p w14:paraId="23D7B4BC">
      <w:pPr>
        <w:pStyle w:val="86"/>
        <w:ind w:firstLine="480"/>
        <w:rPr>
          <w:rFonts w:hint="eastAsia"/>
          <w:color w:val="auto"/>
        </w:rPr>
      </w:pPr>
      <w:r>
        <w:rPr>
          <w:rFonts w:hint="eastAsia"/>
          <w:color w:val="auto"/>
        </w:rPr>
        <w:t>项目所在地玛纳斯县位于《新疆维吾尔自治区主体功能区规划》国家级重点开发区——天山北坡地区，其功能定位是：我国面向中亚、西亚地区对外开放的陆路交通枢纽和重要门户，全国重要的能源基地，我国进口资源的国际大通道，西北地区重要的国际商贸中心、物流中心和对外合作加工基地，石油天然气化工、煤电、煤化工、机电工业及纺织工业基地。项目属于陆地石油开采业，其建设符合规划要求。</w:t>
      </w:r>
    </w:p>
    <w:p w14:paraId="253D657E">
      <w:pPr>
        <w:pStyle w:val="86"/>
        <w:ind w:firstLine="480"/>
        <w:rPr>
          <w:rFonts w:hint="eastAsia"/>
          <w:color w:val="auto"/>
        </w:rPr>
      </w:pPr>
      <w:r>
        <w:rPr>
          <w:rFonts w:hint="eastAsia"/>
          <w:color w:val="auto"/>
        </w:rPr>
        <w:t>（</w:t>
      </w:r>
      <w:r>
        <w:rPr>
          <w:color w:val="auto"/>
        </w:rPr>
        <w:t>3</w:t>
      </w:r>
      <w:r>
        <w:rPr>
          <w:rFonts w:hint="eastAsia"/>
          <w:color w:val="auto"/>
        </w:rPr>
        <w:t>）与</w:t>
      </w:r>
      <w:r>
        <w:rPr>
          <w:rFonts w:hint="eastAsia"/>
          <w:color w:val="auto"/>
          <w:lang w:bidi="ar"/>
        </w:rPr>
        <w:t>《</w:t>
      </w:r>
      <w:r>
        <w:rPr>
          <w:color w:val="auto"/>
          <w:lang w:bidi="ar"/>
        </w:rPr>
        <w:t>新疆生态环境保护“十四五”规划</w:t>
      </w:r>
      <w:r>
        <w:rPr>
          <w:rFonts w:hint="eastAsia"/>
          <w:color w:val="auto"/>
          <w:lang w:bidi="ar"/>
        </w:rPr>
        <w:t>》</w:t>
      </w:r>
      <w:r>
        <w:rPr>
          <w:rFonts w:hint="eastAsia"/>
          <w:color w:val="auto"/>
        </w:rPr>
        <w:t>的符合性分析</w:t>
      </w:r>
    </w:p>
    <w:p w14:paraId="3F6B5A68">
      <w:pPr>
        <w:pStyle w:val="86"/>
        <w:adjustRightInd w:val="0"/>
        <w:snapToGrid w:val="0"/>
        <w:ind w:firstLine="480"/>
        <w:rPr>
          <w:rFonts w:hint="eastAsia"/>
          <w:color w:val="auto"/>
          <w:lang w:bidi="ar"/>
        </w:rPr>
      </w:pPr>
      <w:r>
        <w:rPr>
          <w:rFonts w:hint="eastAsia"/>
          <w:color w:val="auto"/>
          <w:lang w:bidi="ar"/>
        </w:rPr>
        <w:t>项目建设符合《</w:t>
      </w:r>
      <w:r>
        <w:rPr>
          <w:color w:val="auto"/>
          <w:lang w:bidi="ar"/>
        </w:rPr>
        <w:t>新疆生态环境保护“十四五”规划</w:t>
      </w:r>
      <w:r>
        <w:rPr>
          <w:rFonts w:hint="eastAsia"/>
          <w:color w:val="auto"/>
          <w:lang w:bidi="ar"/>
        </w:rPr>
        <w:t>》中的相关要求，详见表2</w:t>
      </w:r>
      <w:r>
        <w:rPr>
          <w:color w:val="auto"/>
          <w:lang w:bidi="ar"/>
        </w:rPr>
        <w:t>.9-1</w:t>
      </w:r>
      <w:r>
        <w:rPr>
          <w:rFonts w:hint="eastAsia"/>
          <w:color w:val="auto"/>
          <w:lang w:bidi="ar"/>
        </w:rPr>
        <w:t>。</w:t>
      </w:r>
    </w:p>
    <w:p w14:paraId="14781423">
      <w:pPr>
        <w:spacing w:line="500" w:lineRule="exact"/>
        <w:ind w:firstLine="420" w:firstLineChars="200"/>
        <w:jc w:val="center"/>
        <w:rPr>
          <w:rFonts w:hint="eastAsia" w:ascii="黑体" w:hAnsi="黑体" w:eastAsia="黑体"/>
          <w:color w:val="auto"/>
          <w:szCs w:val="21"/>
        </w:rPr>
      </w:pPr>
      <w:r>
        <w:rPr>
          <w:rFonts w:hint="eastAsia" w:ascii="黑体" w:hAnsi="黑体" w:eastAsia="黑体"/>
          <w:color w:val="auto"/>
          <w:szCs w:val="21"/>
        </w:rPr>
        <w:t>表2</w:t>
      </w:r>
      <w:r>
        <w:rPr>
          <w:rFonts w:ascii="黑体" w:hAnsi="黑体" w:eastAsia="黑体"/>
          <w:color w:val="auto"/>
          <w:szCs w:val="21"/>
        </w:rPr>
        <w:t>.9-1</w:t>
      </w:r>
      <w:r>
        <w:rPr>
          <w:rFonts w:hint="eastAsia" w:ascii="黑体" w:hAnsi="黑体" w:eastAsia="黑体"/>
          <w:color w:val="auto"/>
          <w:szCs w:val="21"/>
        </w:rPr>
        <w:t xml:space="preserve"> </w:t>
      </w:r>
      <w:r>
        <w:rPr>
          <w:rFonts w:ascii="黑体" w:hAnsi="黑体" w:eastAsia="黑体"/>
          <w:color w:val="auto"/>
          <w:szCs w:val="21"/>
        </w:rPr>
        <w:t xml:space="preserve"> </w:t>
      </w:r>
      <w:r>
        <w:rPr>
          <w:rFonts w:hint="eastAsia" w:ascii="黑体" w:hAnsi="黑体" w:eastAsia="黑体"/>
          <w:color w:val="auto"/>
          <w:szCs w:val="21"/>
        </w:rPr>
        <w:t>项目与《</w:t>
      </w:r>
      <w:r>
        <w:rPr>
          <w:rFonts w:ascii="黑体" w:hAnsi="黑体" w:eastAsia="黑体"/>
          <w:color w:val="auto"/>
          <w:szCs w:val="21"/>
        </w:rPr>
        <w:t>新疆生态环境保护“十四五”规划</w:t>
      </w:r>
      <w:r>
        <w:rPr>
          <w:rFonts w:hint="eastAsia" w:ascii="黑体" w:hAnsi="黑体" w:eastAsia="黑体"/>
          <w:color w:val="auto"/>
          <w:szCs w:val="21"/>
        </w:rPr>
        <w:t>》的相符性分析</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6" w:type="dxa"/>
          <w:bottom w:w="0" w:type="dxa"/>
          <w:right w:w="6" w:type="dxa"/>
        </w:tblCellMar>
      </w:tblPr>
      <w:tblGrid>
        <w:gridCol w:w="285"/>
        <w:gridCol w:w="4116"/>
        <w:gridCol w:w="3691"/>
        <w:gridCol w:w="650"/>
      </w:tblGrid>
      <w:tr w14:paraId="5A6EC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5DA939B6">
            <w:pPr>
              <w:adjustRightInd w:val="0"/>
              <w:snapToGrid w:val="0"/>
              <w:spacing w:line="280" w:lineRule="exact"/>
              <w:jc w:val="center"/>
              <w:rPr>
                <w:rFonts w:hint="eastAsia" w:ascii="宋体" w:hAnsi="宋体"/>
                <w:color w:val="auto"/>
                <w:szCs w:val="21"/>
              </w:rPr>
            </w:pPr>
            <w:r>
              <w:rPr>
                <w:rFonts w:hint="eastAsia" w:ascii="宋体" w:hAnsi="宋体"/>
                <w:color w:val="auto"/>
                <w:szCs w:val="21"/>
              </w:rPr>
              <w:t>序号</w:t>
            </w:r>
          </w:p>
        </w:tc>
        <w:tc>
          <w:tcPr>
            <w:tcW w:w="2354" w:type="pct"/>
            <w:vAlign w:val="center"/>
          </w:tcPr>
          <w:p w14:paraId="4017E165">
            <w:pPr>
              <w:adjustRightInd w:val="0"/>
              <w:snapToGrid w:val="0"/>
              <w:spacing w:line="280" w:lineRule="exact"/>
              <w:jc w:val="center"/>
              <w:rPr>
                <w:rFonts w:hint="eastAsia" w:ascii="宋体" w:hAnsi="宋体"/>
                <w:color w:val="auto"/>
                <w:szCs w:val="21"/>
              </w:rPr>
            </w:pPr>
            <w:r>
              <w:rPr>
                <w:rFonts w:hint="eastAsia" w:ascii="宋体" w:hAnsi="宋体"/>
                <w:color w:val="auto"/>
                <w:szCs w:val="21"/>
              </w:rPr>
              <w:t>规划中相关要求</w:t>
            </w:r>
          </w:p>
        </w:tc>
        <w:tc>
          <w:tcPr>
            <w:tcW w:w="2111" w:type="pct"/>
            <w:vAlign w:val="center"/>
          </w:tcPr>
          <w:p w14:paraId="6F2EB735">
            <w:pPr>
              <w:adjustRightInd w:val="0"/>
              <w:snapToGrid w:val="0"/>
              <w:spacing w:line="280" w:lineRule="exact"/>
              <w:jc w:val="center"/>
              <w:rPr>
                <w:rFonts w:hint="eastAsia" w:ascii="宋体" w:hAnsi="宋体"/>
                <w:color w:val="auto"/>
                <w:szCs w:val="21"/>
              </w:rPr>
            </w:pPr>
            <w:r>
              <w:rPr>
                <w:rFonts w:hint="eastAsia" w:ascii="宋体" w:hAnsi="宋体"/>
                <w:color w:val="auto"/>
                <w:szCs w:val="21"/>
              </w:rPr>
              <w:t>本项目拟采取措施</w:t>
            </w:r>
          </w:p>
        </w:tc>
        <w:tc>
          <w:tcPr>
            <w:tcW w:w="372" w:type="pct"/>
            <w:vAlign w:val="center"/>
          </w:tcPr>
          <w:p w14:paraId="6E374C16">
            <w:pPr>
              <w:adjustRightInd w:val="0"/>
              <w:snapToGrid w:val="0"/>
              <w:spacing w:line="280" w:lineRule="exact"/>
              <w:jc w:val="center"/>
              <w:rPr>
                <w:rFonts w:hint="eastAsia" w:ascii="宋体" w:hAnsi="宋体"/>
                <w:color w:val="auto"/>
                <w:szCs w:val="21"/>
              </w:rPr>
            </w:pPr>
            <w:r>
              <w:rPr>
                <w:rFonts w:hint="eastAsia" w:ascii="宋体" w:hAnsi="宋体"/>
                <w:color w:val="auto"/>
                <w:szCs w:val="21"/>
              </w:rPr>
              <w:t>符合性分析</w:t>
            </w:r>
          </w:p>
        </w:tc>
      </w:tr>
      <w:tr w14:paraId="282787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67E644EA">
            <w:pPr>
              <w:adjustRightInd w:val="0"/>
              <w:snapToGrid w:val="0"/>
              <w:spacing w:line="280" w:lineRule="exact"/>
              <w:jc w:val="center"/>
              <w:rPr>
                <w:rFonts w:hint="eastAsia" w:ascii="宋体" w:hAnsi="宋体"/>
                <w:color w:val="auto"/>
                <w:szCs w:val="21"/>
              </w:rPr>
            </w:pPr>
            <w:r>
              <w:rPr>
                <w:rFonts w:hint="eastAsia" w:ascii="宋体" w:hAnsi="宋体"/>
                <w:color w:val="auto"/>
                <w:szCs w:val="21"/>
              </w:rPr>
              <w:t>1</w:t>
            </w:r>
          </w:p>
        </w:tc>
        <w:tc>
          <w:tcPr>
            <w:tcW w:w="2354" w:type="pct"/>
            <w:vAlign w:val="center"/>
          </w:tcPr>
          <w:p w14:paraId="07EEB40E">
            <w:pPr>
              <w:adjustRightInd w:val="0"/>
              <w:snapToGrid w:val="0"/>
              <w:spacing w:line="280" w:lineRule="exact"/>
              <w:jc w:val="center"/>
              <w:rPr>
                <w:rFonts w:hint="eastAsia" w:ascii="宋体" w:hAnsi="宋体"/>
                <w:color w:val="auto"/>
                <w:szCs w:val="21"/>
              </w:rPr>
            </w:pPr>
            <w:r>
              <w:rPr>
                <w:rFonts w:hint="eastAsia" w:ascii="宋体" w:hAnsi="宋体"/>
                <w:color w:val="auto"/>
                <w:szCs w:val="21"/>
              </w:rPr>
              <w:t>实施最严格的生态保护制度。坚决遏制“两高”项目盲目发展，严格执行能源、矿产资源开发自治区人民政府“一支笔”审批制度、环境保护“一票否决”制度，落实“三线一单”生态环境分区管控要求，守住生态保护红线、环境质量底线和资源利用上线，实施生态环境准入清单管控。</w:t>
            </w:r>
          </w:p>
        </w:tc>
        <w:tc>
          <w:tcPr>
            <w:tcW w:w="2111" w:type="pct"/>
            <w:vAlign w:val="center"/>
          </w:tcPr>
          <w:p w14:paraId="6B7E37E7">
            <w:pPr>
              <w:adjustRightInd w:val="0"/>
              <w:snapToGrid w:val="0"/>
              <w:spacing w:line="280" w:lineRule="exact"/>
              <w:jc w:val="center"/>
              <w:rPr>
                <w:rFonts w:hint="eastAsia" w:ascii="宋体" w:hAnsi="宋体"/>
                <w:color w:val="auto"/>
                <w:szCs w:val="21"/>
              </w:rPr>
            </w:pPr>
            <w:r>
              <w:rPr>
                <w:rFonts w:hint="eastAsia" w:ascii="宋体" w:hAnsi="宋体"/>
                <w:color w:val="auto"/>
                <w:szCs w:val="21"/>
              </w:rPr>
              <w:t>本项目不属于“高污染、高环境风险产品”项目；位于一般管控单元，不涉及生态红线；废气、噪声均可实现达标排放，废水和固体废物均得到妥善处置，不会突破区域环境质量底线；施工期和运营期会消耗少量的电能和水，工程资源消耗量相对区域资料利用总量较少，符合资源上限要求；符合“三线一单”的要求</w:t>
            </w:r>
          </w:p>
        </w:tc>
        <w:tc>
          <w:tcPr>
            <w:tcW w:w="372" w:type="pct"/>
            <w:vAlign w:val="center"/>
          </w:tcPr>
          <w:p w14:paraId="6433894F">
            <w:pPr>
              <w:adjustRightInd w:val="0"/>
              <w:snapToGrid w:val="0"/>
              <w:spacing w:line="280" w:lineRule="exact"/>
              <w:jc w:val="center"/>
              <w:rPr>
                <w:rFonts w:hint="eastAsia" w:ascii="宋体" w:hAnsi="宋体"/>
                <w:color w:val="auto"/>
                <w:szCs w:val="21"/>
              </w:rPr>
            </w:pPr>
            <w:r>
              <w:rPr>
                <w:rFonts w:hint="eastAsia" w:ascii="宋体" w:hAnsi="宋体"/>
                <w:color w:val="auto"/>
                <w:szCs w:val="21"/>
              </w:rPr>
              <w:t>符合</w:t>
            </w:r>
          </w:p>
        </w:tc>
      </w:tr>
      <w:tr w14:paraId="3046CB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0F7B6249">
            <w:pPr>
              <w:adjustRightInd w:val="0"/>
              <w:snapToGrid w:val="0"/>
              <w:spacing w:line="280" w:lineRule="exact"/>
              <w:jc w:val="center"/>
              <w:rPr>
                <w:rFonts w:hint="eastAsia" w:ascii="宋体" w:hAnsi="宋体"/>
                <w:color w:val="auto"/>
                <w:szCs w:val="21"/>
              </w:rPr>
            </w:pPr>
            <w:r>
              <w:rPr>
                <w:rFonts w:ascii="宋体" w:hAnsi="宋体"/>
                <w:color w:val="auto"/>
                <w:szCs w:val="21"/>
              </w:rPr>
              <w:t>2</w:t>
            </w:r>
          </w:p>
        </w:tc>
        <w:tc>
          <w:tcPr>
            <w:tcW w:w="2354" w:type="pct"/>
            <w:vAlign w:val="center"/>
          </w:tcPr>
          <w:p w14:paraId="0B76566D">
            <w:pPr>
              <w:adjustRightInd w:val="0"/>
              <w:snapToGrid w:val="0"/>
              <w:spacing w:line="280" w:lineRule="exact"/>
              <w:jc w:val="center"/>
              <w:rPr>
                <w:rFonts w:hint="eastAsia" w:ascii="宋体" w:hAnsi="宋体"/>
                <w:color w:val="auto"/>
                <w:szCs w:val="21"/>
              </w:rPr>
            </w:pPr>
            <w:r>
              <w:rPr>
                <w:color w:val="auto"/>
              </w:rPr>
              <w:t>积极引导重点产废企业自建危险废物利用设施，支持大型企业集团内部共享危险废物利用处置设施，推进工业废盐、废催化剂、煤焦油、电解铝大修渣等利用处置设施建设，适度发展水泥窑协同处置危险废物，引导推进有害废物处理处置能力建设，引导推进含油污泥处置、废矿物油回收利用能力过剩问题化解和布局优化。坚持兵地统筹、区域协同规划和建设危险废物利用处置设施，实现疆内危险废物处置能力与产废情况总体匹配。深入推进油气田开采历史遗留含油污泥、磺化泥浆、黄金选矿行业氰化尾渣、铜冶炼行业砷渣以及石棉矿选矿废渣等调查和污染治理</w:t>
            </w:r>
          </w:p>
        </w:tc>
        <w:tc>
          <w:tcPr>
            <w:tcW w:w="2111" w:type="pct"/>
            <w:vAlign w:val="center"/>
          </w:tcPr>
          <w:p w14:paraId="55DE4726">
            <w:pPr>
              <w:adjustRightInd w:val="0"/>
              <w:snapToGrid w:val="0"/>
              <w:spacing w:line="280" w:lineRule="exact"/>
              <w:rPr>
                <w:rFonts w:hint="eastAsia" w:ascii="宋体" w:hAnsi="宋体"/>
                <w:color w:val="auto"/>
                <w:szCs w:val="21"/>
              </w:rPr>
            </w:pPr>
            <w:r>
              <w:rPr>
                <w:rFonts w:hint="eastAsia"/>
                <w:color w:val="auto"/>
              </w:rPr>
              <w:t>运营期危险废物为清罐底泥、废分子筛、废滤料、废润滑油、废润滑油桶和沾油废防渗材料</w:t>
            </w:r>
            <w:r>
              <w:rPr>
                <w:rFonts w:hint="eastAsia" w:cs="宋体"/>
                <w:color w:val="auto"/>
              </w:rPr>
              <w:t>、</w:t>
            </w:r>
            <w:r>
              <w:rPr>
                <w:rFonts w:hint="eastAsia" w:cs="宋体"/>
                <w:color w:val="auto"/>
                <w:lang w:val="zh-CN"/>
              </w:rPr>
              <w:t>废含油抹布及劳保用品</w:t>
            </w:r>
            <w:r>
              <w:rPr>
                <w:rFonts w:hint="eastAsia"/>
                <w:color w:val="auto"/>
              </w:rPr>
              <w:t>，固体废物分类收集，最终交由有相应资质的单位处置。</w:t>
            </w:r>
          </w:p>
        </w:tc>
        <w:tc>
          <w:tcPr>
            <w:tcW w:w="372" w:type="pct"/>
            <w:vAlign w:val="center"/>
          </w:tcPr>
          <w:p w14:paraId="4B5C5572">
            <w:pPr>
              <w:adjustRightInd w:val="0"/>
              <w:snapToGrid w:val="0"/>
              <w:spacing w:line="280" w:lineRule="exact"/>
              <w:jc w:val="center"/>
              <w:rPr>
                <w:rFonts w:hint="eastAsia" w:ascii="宋体" w:hAnsi="宋体"/>
                <w:color w:val="auto"/>
                <w:szCs w:val="21"/>
              </w:rPr>
            </w:pPr>
            <w:r>
              <w:rPr>
                <w:rFonts w:hint="eastAsia" w:ascii="宋体" w:hAnsi="宋体"/>
                <w:color w:val="auto"/>
                <w:szCs w:val="21"/>
              </w:rPr>
              <w:t>符合</w:t>
            </w:r>
          </w:p>
        </w:tc>
      </w:tr>
      <w:tr w14:paraId="5CAA8B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2700C72D">
            <w:pPr>
              <w:adjustRightInd w:val="0"/>
              <w:snapToGrid w:val="0"/>
              <w:spacing w:line="280" w:lineRule="exact"/>
              <w:jc w:val="center"/>
              <w:rPr>
                <w:rFonts w:hint="eastAsia" w:ascii="宋体" w:hAnsi="宋体"/>
                <w:color w:val="auto"/>
                <w:szCs w:val="21"/>
              </w:rPr>
            </w:pPr>
            <w:r>
              <w:rPr>
                <w:rFonts w:ascii="宋体" w:hAnsi="宋体"/>
                <w:color w:val="auto"/>
                <w:szCs w:val="21"/>
              </w:rPr>
              <w:t>3</w:t>
            </w:r>
          </w:p>
        </w:tc>
        <w:tc>
          <w:tcPr>
            <w:tcW w:w="2354" w:type="pct"/>
            <w:vAlign w:val="center"/>
          </w:tcPr>
          <w:p w14:paraId="63E5D194">
            <w:pPr>
              <w:adjustRightInd w:val="0"/>
              <w:snapToGrid w:val="0"/>
              <w:spacing w:line="280" w:lineRule="exact"/>
              <w:jc w:val="center"/>
              <w:rPr>
                <w:rFonts w:hint="eastAsia" w:ascii="宋体" w:hAnsi="宋体"/>
                <w:color w:val="auto"/>
                <w:szCs w:val="21"/>
              </w:rPr>
            </w:pPr>
            <w:r>
              <w:rPr>
                <w:rFonts w:hint="eastAsia" w:ascii="宋体" w:hAnsi="宋体"/>
                <w:color w:val="auto"/>
                <w:szCs w:val="21"/>
              </w:rPr>
              <w:t>强化危险废物全过程环境监管。督促各类危险废物产生单位和经营单位依法申报危险废物产生处置情况，报备管理计划，做好信息公开工作，规范运行危险废物转移联单。</w:t>
            </w:r>
          </w:p>
        </w:tc>
        <w:tc>
          <w:tcPr>
            <w:tcW w:w="2111" w:type="pct"/>
            <w:vAlign w:val="center"/>
          </w:tcPr>
          <w:p w14:paraId="02A5F881">
            <w:pPr>
              <w:adjustRightInd w:val="0"/>
              <w:snapToGrid w:val="0"/>
              <w:spacing w:line="280" w:lineRule="exact"/>
              <w:jc w:val="center"/>
              <w:rPr>
                <w:rFonts w:hint="eastAsia" w:ascii="宋体" w:hAnsi="宋体"/>
                <w:color w:val="auto"/>
                <w:szCs w:val="21"/>
              </w:rPr>
            </w:pPr>
            <w:r>
              <w:rPr>
                <w:rFonts w:hint="eastAsia" w:ascii="宋体" w:hAnsi="宋体"/>
                <w:color w:val="auto"/>
                <w:szCs w:val="21"/>
              </w:rPr>
              <w:t>石西油田作业区已定期申报危险废物产生处置情况，并制定有危险废物管理计划，危险废物转移时执行危险废物转移联单制度</w:t>
            </w:r>
          </w:p>
        </w:tc>
        <w:tc>
          <w:tcPr>
            <w:tcW w:w="372" w:type="pct"/>
            <w:vAlign w:val="center"/>
          </w:tcPr>
          <w:p w14:paraId="343B2942">
            <w:pPr>
              <w:adjustRightInd w:val="0"/>
              <w:snapToGrid w:val="0"/>
              <w:spacing w:line="280" w:lineRule="exact"/>
              <w:jc w:val="center"/>
              <w:rPr>
                <w:rFonts w:hint="eastAsia" w:ascii="宋体" w:hAnsi="宋体"/>
                <w:color w:val="auto"/>
                <w:szCs w:val="21"/>
              </w:rPr>
            </w:pPr>
            <w:r>
              <w:rPr>
                <w:rFonts w:hint="eastAsia" w:ascii="宋体" w:hAnsi="宋体"/>
                <w:color w:val="auto"/>
                <w:szCs w:val="21"/>
              </w:rPr>
              <w:t>符合</w:t>
            </w:r>
          </w:p>
        </w:tc>
      </w:tr>
      <w:tr w14:paraId="1A9A79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15C57C2D">
            <w:pPr>
              <w:adjustRightInd w:val="0"/>
              <w:snapToGrid w:val="0"/>
              <w:spacing w:line="280" w:lineRule="exact"/>
              <w:jc w:val="center"/>
              <w:rPr>
                <w:rFonts w:hint="eastAsia" w:ascii="宋体" w:hAnsi="宋体"/>
                <w:color w:val="auto"/>
                <w:szCs w:val="21"/>
              </w:rPr>
            </w:pPr>
            <w:r>
              <w:rPr>
                <w:rFonts w:ascii="宋体" w:hAnsi="宋体"/>
                <w:color w:val="auto"/>
                <w:szCs w:val="21"/>
              </w:rPr>
              <w:t>4</w:t>
            </w:r>
          </w:p>
        </w:tc>
        <w:tc>
          <w:tcPr>
            <w:tcW w:w="2354" w:type="pct"/>
            <w:vAlign w:val="center"/>
          </w:tcPr>
          <w:p w14:paraId="543995BA">
            <w:pPr>
              <w:adjustRightInd w:val="0"/>
              <w:snapToGrid w:val="0"/>
              <w:spacing w:line="280" w:lineRule="exact"/>
              <w:jc w:val="center"/>
              <w:rPr>
                <w:rFonts w:hint="eastAsia" w:ascii="宋体" w:hAnsi="宋体"/>
                <w:color w:val="auto"/>
                <w:szCs w:val="21"/>
              </w:rPr>
            </w:pPr>
            <w:r>
              <w:rPr>
                <w:rFonts w:ascii="宋体" w:hAnsi="宋体"/>
                <w:color w:val="auto"/>
                <w:szCs w:val="21"/>
              </w:rPr>
              <w:t>支持企业实施智能化改造升级，推动石油开采、石油化工、煤化工、有色金属、钢铁、焦化、建材、农副产品加工等传统产业的重点企业改进工艺、节能降耗、提质增效，促进传统产业绿色化、智能化、高端化发展。</w:t>
            </w:r>
          </w:p>
        </w:tc>
        <w:tc>
          <w:tcPr>
            <w:tcW w:w="2111" w:type="pct"/>
            <w:vAlign w:val="center"/>
          </w:tcPr>
          <w:p w14:paraId="4031D012">
            <w:pPr>
              <w:adjustRightInd w:val="0"/>
              <w:snapToGrid w:val="0"/>
              <w:spacing w:line="280" w:lineRule="exact"/>
              <w:jc w:val="center"/>
              <w:rPr>
                <w:rFonts w:hint="eastAsia" w:ascii="宋体" w:hAnsi="宋体"/>
                <w:color w:val="auto"/>
                <w:szCs w:val="21"/>
              </w:rPr>
            </w:pPr>
            <w:r>
              <w:rPr>
                <w:rFonts w:hint="eastAsia" w:ascii="宋体" w:hAnsi="宋体"/>
                <w:color w:val="auto"/>
                <w:szCs w:val="21"/>
              </w:rPr>
              <w:t>石西油田作业区已积极开展了第四轮清洁生产审核工作，审核过程中以工艺改进、节能降耗和提质增效为目标进行了清洁生产方案的制订，且第四轮清洁生产审核已通过竣工验收。</w:t>
            </w:r>
          </w:p>
        </w:tc>
        <w:tc>
          <w:tcPr>
            <w:tcW w:w="372" w:type="pct"/>
            <w:vAlign w:val="center"/>
          </w:tcPr>
          <w:p w14:paraId="520811AA">
            <w:pPr>
              <w:adjustRightInd w:val="0"/>
              <w:snapToGrid w:val="0"/>
              <w:spacing w:line="280" w:lineRule="exact"/>
              <w:jc w:val="center"/>
              <w:rPr>
                <w:rFonts w:hint="eastAsia" w:ascii="宋体" w:hAnsi="宋体"/>
                <w:color w:val="auto"/>
                <w:szCs w:val="21"/>
              </w:rPr>
            </w:pPr>
            <w:r>
              <w:rPr>
                <w:rFonts w:hint="eastAsia" w:ascii="宋体" w:hAnsi="宋体"/>
                <w:color w:val="auto"/>
                <w:szCs w:val="21"/>
              </w:rPr>
              <w:t>符合</w:t>
            </w:r>
          </w:p>
        </w:tc>
      </w:tr>
      <w:tr w14:paraId="0F7A47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33304BAC">
            <w:pPr>
              <w:adjustRightInd w:val="0"/>
              <w:snapToGrid w:val="0"/>
              <w:spacing w:line="280" w:lineRule="exact"/>
              <w:jc w:val="center"/>
              <w:rPr>
                <w:rFonts w:hint="eastAsia" w:ascii="宋体" w:hAnsi="宋体"/>
                <w:color w:val="auto"/>
                <w:szCs w:val="21"/>
              </w:rPr>
            </w:pPr>
            <w:r>
              <w:rPr>
                <w:rFonts w:ascii="宋体" w:hAnsi="宋体"/>
                <w:color w:val="auto"/>
                <w:szCs w:val="21"/>
              </w:rPr>
              <w:t>5</w:t>
            </w:r>
          </w:p>
        </w:tc>
        <w:tc>
          <w:tcPr>
            <w:tcW w:w="2354" w:type="pct"/>
            <w:vAlign w:val="center"/>
          </w:tcPr>
          <w:p w14:paraId="5ED3C47F">
            <w:pPr>
              <w:adjustRightInd w:val="0"/>
              <w:snapToGrid w:val="0"/>
              <w:spacing w:line="280" w:lineRule="exact"/>
              <w:jc w:val="center"/>
              <w:rPr>
                <w:rFonts w:hint="eastAsia" w:ascii="宋体" w:hAnsi="宋体"/>
                <w:color w:val="auto"/>
                <w:szCs w:val="21"/>
              </w:rPr>
            </w:pPr>
            <w:r>
              <w:rPr>
                <w:rFonts w:ascii="宋体" w:hAnsi="宋体"/>
                <w:color w:val="auto"/>
                <w:szCs w:val="21"/>
              </w:rPr>
              <w:t>加强应急监测装备配置，定期开展应急演练，增强实战能力。</w:t>
            </w:r>
          </w:p>
        </w:tc>
        <w:tc>
          <w:tcPr>
            <w:tcW w:w="2111" w:type="pct"/>
            <w:vAlign w:val="center"/>
          </w:tcPr>
          <w:p w14:paraId="7D26331F">
            <w:pPr>
              <w:adjustRightInd w:val="0"/>
              <w:snapToGrid w:val="0"/>
              <w:spacing w:line="280" w:lineRule="exact"/>
              <w:jc w:val="center"/>
              <w:rPr>
                <w:rFonts w:hint="eastAsia" w:ascii="FZYaSongS-R-GB" w:hAnsi="FZYaSongS-R-GB"/>
                <w:color w:val="auto"/>
                <w:sz w:val="29"/>
                <w:szCs w:val="29"/>
                <w:shd w:val="clear" w:color="auto" w:fill="FFFFFF"/>
              </w:rPr>
            </w:pPr>
            <w:r>
              <w:rPr>
                <w:rFonts w:hint="eastAsia" w:ascii="宋体" w:hAnsi="宋体"/>
                <w:color w:val="auto"/>
                <w:szCs w:val="21"/>
              </w:rPr>
              <w:t>石西油田作业区已编制了</w:t>
            </w:r>
            <w:r>
              <w:rPr>
                <w:rFonts w:hint="eastAsia"/>
                <w:color w:val="auto"/>
              </w:rPr>
              <w:t>《新疆油田分公司</w:t>
            </w:r>
            <w:r>
              <w:rPr>
                <w:rFonts w:hint="eastAsia" w:ascii="宋体" w:hAnsi="宋体"/>
                <w:color w:val="auto"/>
                <w:szCs w:val="21"/>
              </w:rPr>
              <w:t>石西油田作业区</w:t>
            </w:r>
            <w:r>
              <w:rPr>
                <w:rFonts w:ascii="宋体" w:hAnsi="宋体"/>
                <w:color w:val="auto"/>
                <w:szCs w:val="21"/>
              </w:rPr>
              <w:t>突发</w:t>
            </w:r>
            <w:r>
              <w:rPr>
                <w:rFonts w:ascii="Times New Roman" w:hAnsi="Times New Roman"/>
                <w:color w:val="auto"/>
                <w:spacing w:val="5"/>
              </w:rPr>
              <w:t>环境事件</w:t>
            </w:r>
            <w:r>
              <w:rPr>
                <w:rFonts w:hint="eastAsia" w:ascii="Times New Roman" w:hAnsi="Times New Roman"/>
                <w:color w:val="auto"/>
                <w:spacing w:val="5"/>
              </w:rPr>
              <w:t>专项</w:t>
            </w:r>
            <w:r>
              <w:rPr>
                <w:rFonts w:ascii="Times New Roman" w:hAnsi="Times New Roman"/>
                <w:color w:val="auto"/>
                <w:spacing w:val="5"/>
              </w:rPr>
              <w:t>应急预案</w:t>
            </w:r>
            <w:r>
              <w:rPr>
                <w:rFonts w:hint="eastAsia"/>
                <w:color w:val="auto"/>
              </w:rPr>
              <w:t>》</w:t>
            </w:r>
            <w:r>
              <w:rPr>
                <w:rFonts w:hint="eastAsia" w:ascii="宋体" w:hAnsi="宋体"/>
                <w:color w:val="auto"/>
                <w:szCs w:val="21"/>
              </w:rPr>
              <w:t>并进行备案工作，并定期进行应急演练工作</w:t>
            </w:r>
          </w:p>
        </w:tc>
        <w:tc>
          <w:tcPr>
            <w:tcW w:w="372" w:type="pct"/>
            <w:vAlign w:val="center"/>
          </w:tcPr>
          <w:p w14:paraId="3D84172F">
            <w:pPr>
              <w:adjustRightInd w:val="0"/>
              <w:snapToGrid w:val="0"/>
              <w:spacing w:line="280" w:lineRule="exact"/>
              <w:jc w:val="center"/>
              <w:rPr>
                <w:rFonts w:hint="eastAsia" w:ascii="FZYaSongS-R-GB" w:hAnsi="FZYaSongS-R-GB"/>
                <w:color w:val="auto"/>
                <w:sz w:val="29"/>
                <w:szCs w:val="29"/>
                <w:shd w:val="clear" w:color="auto" w:fill="FFFFFF"/>
              </w:rPr>
            </w:pPr>
            <w:r>
              <w:rPr>
                <w:rFonts w:hint="eastAsia" w:ascii="宋体" w:hAnsi="宋体"/>
                <w:color w:val="auto"/>
                <w:szCs w:val="21"/>
              </w:rPr>
              <w:t>符合</w:t>
            </w:r>
          </w:p>
        </w:tc>
      </w:tr>
    </w:tbl>
    <w:p w14:paraId="611DB83A">
      <w:pPr>
        <w:pStyle w:val="86"/>
        <w:ind w:firstLine="480"/>
        <w:rPr>
          <w:rFonts w:hint="eastAsia"/>
          <w:color w:val="auto"/>
          <w:lang w:bidi="ar"/>
        </w:rPr>
      </w:pPr>
      <w:r>
        <w:rPr>
          <w:rFonts w:hint="eastAsia"/>
          <w:color w:val="auto"/>
          <w:lang w:bidi="ar"/>
        </w:rPr>
        <w:t>（</w:t>
      </w:r>
      <w:r>
        <w:rPr>
          <w:color w:val="auto"/>
          <w:lang w:bidi="ar"/>
        </w:rPr>
        <w:t>4</w:t>
      </w:r>
      <w:r>
        <w:rPr>
          <w:rFonts w:hint="eastAsia"/>
          <w:color w:val="auto"/>
          <w:lang w:bidi="ar"/>
        </w:rPr>
        <w:t>）与《昌吉回族自治州生态环境保护与建设“十四五”规划》符合性分析</w:t>
      </w:r>
    </w:p>
    <w:p w14:paraId="4C31823B">
      <w:pPr>
        <w:pStyle w:val="86"/>
        <w:ind w:firstLine="480"/>
        <w:rPr>
          <w:rFonts w:hint="eastAsia" w:ascii="黑体" w:hAnsi="黑体" w:eastAsia="黑体"/>
          <w:color w:val="auto"/>
          <w:szCs w:val="21"/>
        </w:rPr>
      </w:pPr>
      <w:r>
        <w:rPr>
          <w:rFonts w:hint="eastAsia"/>
          <w:color w:val="auto"/>
          <w:lang w:bidi="ar"/>
        </w:rPr>
        <w:t>项目建设符合《昌吉回族自治州生态环境保护与建设“十四五”规划》中的相关要求，具体分析见表</w:t>
      </w:r>
      <w:r>
        <w:rPr>
          <w:color w:val="auto"/>
          <w:lang w:bidi="ar"/>
        </w:rPr>
        <w:t>2.9</w:t>
      </w:r>
      <w:r>
        <w:rPr>
          <w:rFonts w:hint="eastAsia"/>
          <w:color w:val="auto"/>
          <w:lang w:bidi="ar"/>
        </w:rPr>
        <w:t>-</w:t>
      </w:r>
      <w:r>
        <w:rPr>
          <w:color w:val="auto"/>
          <w:lang w:bidi="ar"/>
        </w:rPr>
        <w:t>2</w:t>
      </w:r>
      <w:r>
        <w:rPr>
          <w:rFonts w:hint="eastAsia"/>
          <w:color w:val="auto"/>
          <w:lang w:bidi="ar"/>
        </w:rPr>
        <w:t>。</w:t>
      </w:r>
    </w:p>
    <w:p w14:paraId="225DE043">
      <w:pPr>
        <w:spacing w:line="500" w:lineRule="exact"/>
        <w:ind w:firstLine="420" w:firstLineChars="200"/>
        <w:jc w:val="center"/>
        <w:rPr>
          <w:rFonts w:hint="eastAsia" w:ascii="黑体" w:hAnsi="黑体" w:eastAsia="黑体"/>
          <w:color w:val="auto"/>
          <w:szCs w:val="21"/>
        </w:rPr>
      </w:pPr>
      <w:r>
        <w:rPr>
          <w:rFonts w:hint="eastAsia" w:ascii="黑体" w:hAnsi="黑体" w:eastAsia="黑体"/>
          <w:color w:val="auto"/>
          <w:szCs w:val="21"/>
        </w:rPr>
        <w:t>表2</w:t>
      </w:r>
      <w:r>
        <w:rPr>
          <w:rFonts w:ascii="黑体" w:hAnsi="黑体" w:eastAsia="黑体"/>
          <w:color w:val="auto"/>
          <w:szCs w:val="21"/>
        </w:rPr>
        <w:t>.9-2</w:t>
      </w:r>
      <w:r>
        <w:rPr>
          <w:rFonts w:hint="eastAsia" w:ascii="黑体" w:hAnsi="黑体" w:eastAsia="黑体"/>
          <w:color w:val="auto"/>
          <w:szCs w:val="21"/>
        </w:rPr>
        <w:t xml:space="preserve"> </w:t>
      </w:r>
      <w:r>
        <w:rPr>
          <w:rFonts w:ascii="黑体" w:hAnsi="黑体" w:eastAsia="黑体"/>
          <w:color w:val="auto"/>
          <w:szCs w:val="21"/>
        </w:rPr>
        <w:t xml:space="preserve"> </w:t>
      </w:r>
      <w:r>
        <w:rPr>
          <w:rFonts w:hint="eastAsia" w:ascii="黑体" w:hAnsi="黑体" w:eastAsia="黑体"/>
          <w:color w:val="auto"/>
          <w:szCs w:val="21"/>
        </w:rPr>
        <w:t>项目与《昌吉回族自治州生态环境保护与建设“十四五”规划》的相符性分析</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6" w:type="dxa"/>
          <w:bottom w:w="0" w:type="dxa"/>
          <w:right w:w="6" w:type="dxa"/>
        </w:tblCellMar>
      </w:tblPr>
      <w:tblGrid>
        <w:gridCol w:w="285"/>
        <w:gridCol w:w="4684"/>
        <w:gridCol w:w="3123"/>
        <w:gridCol w:w="650"/>
      </w:tblGrid>
      <w:tr w14:paraId="43F1C1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0671211E">
            <w:pPr>
              <w:adjustRightInd w:val="0"/>
              <w:snapToGrid w:val="0"/>
              <w:spacing w:line="280" w:lineRule="exact"/>
              <w:jc w:val="center"/>
              <w:rPr>
                <w:rFonts w:hint="eastAsia" w:ascii="宋体" w:hAnsi="宋体"/>
                <w:color w:val="auto"/>
                <w:szCs w:val="21"/>
              </w:rPr>
            </w:pPr>
            <w:r>
              <w:rPr>
                <w:rFonts w:hint="eastAsia" w:ascii="宋体" w:hAnsi="宋体"/>
                <w:color w:val="auto"/>
                <w:szCs w:val="21"/>
              </w:rPr>
              <w:t>序号</w:t>
            </w:r>
          </w:p>
        </w:tc>
        <w:tc>
          <w:tcPr>
            <w:tcW w:w="2679" w:type="pct"/>
            <w:vAlign w:val="center"/>
          </w:tcPr>
          <w:p w14:paraId="3D1026E8">
            <w:pPr>
              <w:adjustRightInd w:val="0"/>
              <w:snapToGrid w:val="0"/>
              <w:spacing w:line="280" w:lineRule="exact"/>
              <w:jc w:val="center"/>
              <w:rPr>
                <w:rFonts w:hint="eastAsia" w:ascii="宋体" w:hAnsi="宋体"/>
                <w:color w:val="auto"/>
                <w:szCs w:val="21"/>
              </w:rPr>
            </w:pPr>
            <w:r>
              <w:rPr>
                <w:rFonts w:hint="eastAsia" w:ascii="宋体" w:hAnsi="宋体"/>
                <w:color w:val="auto"/>
                <w:szCs w:val="21"/>
              </w:rPr>
              <w:t>规划中相关要求</w:t>
            </w:r>
          </w:p>
        </w:tc>
        <w:tc>
          <w:tcPr>
            <w:tcW w:w="1786" w:type="pct"/>
            <w:vAlign w:val="center"/>
          </w:tcPr>
          <w:p w14:paraId="2FB17629">
            <w:pPr>
              <w:adjustRightInd w:val="0"/>
              <w:snapToGrid w:val="0"/>
              <w:spacing w:line="280" w:lineRule="exact"/>
              <w:jc w:val="center"/>
              <w:rPr>
                <w:rFonts w:hint="eastAsia" w:ascii="宋体" w:hAnsi="宋体"/>
                <w:color w:val="auto"/>
                <w:szCs w:val="21"/>
              </w:rPr>
            </w:pPr>
            <w:r>
              <w:rPr>
                <w:rFonts w:hint="eastAsia" w:ascii="宋体" w:hAnsi="宋体"/>
                <w:color w:val="auto"/>
                <w:szCs w:val="21"/>
              </w:rPr>
              <w:t>拟采取措施</w:t>
            </w:r>
          </w:p>
        </w:tc>
        <w:tc>
          <w:tcPr>
            <w:tcW w:w="372" w:type="pct"/>
            <w:vAlign w:val="center"/>
          </w:tcPr>
          <w:p w14:paraId="460EE19B">
            <w:pPr>
              <w:adjustRightInd w:val="0"/>
              <w:snapToGrid w:val="0"/>
              <w:spacing w:line="280" w:lineRule="exact"/>
              <w:jc w:val="center"/>
              <w:rPr>
                <w:rFonts w:hint="eastAsia" w:ascii="宋体" w:hAnsi="宋体"/>
                <w:color w:val="auto"/>
                <w:szCs w:val="21"/>
              </w:rPr>
            </w:pPr>
            <w:r>
              <w:rPr>
                <w:rFonts w:hint="eastAsia" w:ascii="宋体" w:hAnsi="宋体"/>
                <w:color w:val="auto"/>
                <w:szCs w:val="21"/>
              </w:rPr>
              <w:t>符合性分析</w:t>
            </w:r>
          </w:p>
        </w:tc>
      </w:tr>
      <w:tr w14:paraId="54902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2C9B8B61">
            <w:pPr>
              <w:adjustRightInd w:val="0"/>
              <w:snapToGrid w:val="0"/>
              <w:spacing w:line="280" w:lineRule="exact"/>
              <w:jc w:val="center"/>
              <w:rPr>
                <w:rFonts w:hint="eastAsia" w:ascii="宋体" w:hAnsi="宋体"/>
                <w:color w:val="auto"/>
                <w:szCs w:val="21"/>
              </w:rPr>
            </w:pPr>
            <w:r>
              <w:rPr>
                <w:rFonts w:hint="eastAsia" w:ascii="宋体" w:hAnsi="宋体"/>
                <w:color w:val="auto"/>
                <w:szCs w:val="21"/>
              </w:rPr>
              <w:t>1</w:t>
            </w:r>
          </w:p>
        </w:tc>
        <w:tc>
          <w:tcPr>
            <w:tcW w:w="2679" w:type="pct"/>
            <w:vAlign w:val="center"/>
          </w:tcPr>
          <w:p w14:paraId="663EC873">
            <w:pPr>
              <w:autoSpaceDE w:val="0"/>
              <w:autoSpaceDN w:val="0"/>
              <w:adjustRightInd w:val="0"/>
              <w:jc w:val="left"/>
              <w:rPr>
                <w:rFonts w:hint="eastAsia" w:ascii="宋体" w:hAnsi="宋体"/>
                <w:color w:val="auto"/>
                <w:szCs w:val="21"/>
              </w:rPr>
            </w:pPr>
            <w:r>
              <w:rPr>
                <w:rFonts w:hint="eastAsia" w:ascii="宋体" w:hAnsi="宋体" w:cs="仿宋_GB2312"/>
                <w:color w:val="auto"/>
                <w:kern w:val="0"/>
                <w:szCs w:val="21"/>
              </w:rPr>
              <w:t>加快发展现代煤化工、新材料、有色金属、煤炭、煤电、矿产开采及加工等优势产业，培育壮大先进装备制造、页岩油气加工、节能环保、新型建材、新能源等新兴产业和生产性服务业。</w:t>
            </w:r>
          </w:p>
        </w:tc>
        <w:tc>
          <w:tcPr>
            <w:tcW w:w="1786" w:type="pct"/>
            <w:vAlign w:val="center"/>
          </w:tcPr>
          <w:p w14:paraId="119CD72C">
            <w:pPr>
              <w:adjustRightInd w:val="0"/>
              <w:snapToGrid w:val="0"/>
              <w:spacing w:line="280" w:lineRule="exact"/>
              <w:jc w:val="center"/>
              <w:rPr>
                <w:rFonts w:hint="eastAsia" w:ascii="宋体" w:hAnsi="宋体"/>
                <w:color w:val="auto"/>
                <w:szCs w:val="21"/>
              </w:rPr>
            </w:pPr>
            <w:r>
              <w:rPr>
                <w:rFonts w:hint="eastAsia" w:ascii="宋体" w:hAnsi="宋体"/>
                <w:color w:val="auto"/>
                <w:szCs w:val="21"/>
              </w:rPr>
              <w:t>本项目为陆地石油开采项目，产品主要为原油</w:t>
            </w:r>
          </w:p>
        </w:tc>
        <w:tc>
          <w:tcPr>
            <w:tcW w:w="372" w:type="pct"/>
            <w:vAlign w:val="center"/>
          </w:tcPr>
          <w:p w14:paraId="48F75BF8">
            <w:pPr>
              <w:adjustRightInd w:val="0"/>
              <w:snapToGrid w:val="0"/>
              <w:spacing w:line="280" w:lineRule="exact"/>
              <w:jc w:val="center"/>
              <w:rPr>
                <w:rFonts w:hint="eastAsia" w:ascii="宋体" w:hAnsi="宋体"/>
                <w:color w:val="auto"/>
                <w:szCs w:val="21"/>
              </w:rPr>
            </w:pPr>
            <w:r>
              <w:rPr>
                <w:rFonts w:hint="eastAsia" w:ascii="宋体" w:hAnsi="宋体"/>
                <w:color w:val="auto"/>
                <w:szCs w:val="21"/>
              </w:rPr>
              <w:t>符合</w:t>
            </w:r>
          </w:p>
        </w:tc>
      </w:tr>
      <w:tr w14:paraId="4330D4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384134D5">
            <w:pPr>
              <w:adjustRightInd w:val="0"/>
              <w:snapToGrid w:val="0"/>
              <w:spacing w:line="280" w:lineRule="exact"/>
              <w:jc w:val="center"/>
              <w:rPr>
                <w:rFonts w:hint="eastAsia" w:ascii="宋体" w:hAnsi="宋体"/>
                <w:color w:val="auto"/>
                <w:szCs w:val="21"/>
              </w:rPr>
            </w:pPr>
            <w:r>
              <w:rPr>
                <w:rFonts w:ascii="宋体" w:hAnsi="宋体"/>
                <w:color w:val="auto"/>
                <w:szCs w:val="21"/>
              </w:rPr>
              <w:t>2</w:t>
            </w:r>
          </w:p>
        </w:tc>
        <w:tc>
          <w:tcPr>
            <w:tcW w:w="2679" w:type="pct"/>
            <w:vAlign w:val="center"/>
          </w:tcPr>
          <w:p w14:paraId="38948F85">
            <w:pPr>
              <w:adjustRightInd w:val="0"/>
              <w:snapToGrid w:val="0"/>
              <w:spacing w:line="280" w:lineRule="exact"/>
              <w:jc w:val="center"/>
              <w:rPr>
                <w:rFonts w:hint="eastAsia" w:ascii="宋体" w:hAnsi="宋体"/>
                <w:color w:val="auto"/>
                <w:szCs w:val="21"/>
              </w:rPr>
            </w:pPr>
            <w:r>
              <w:rPr>
                <w:rFonts w:hint="eastAsia" w:ascii="宋体" w:hAnsi="宋体"/>
                <w:color w:val="auto"/>
                <w:szCs w:val="21"/>
              </w:rPr>
              <w:t>推进石化、化工、工业涂装、家具制造、塑料、橡胶、包装印刷、汽修等重点行业领域VOCs整治，加强VOCs源头、过程、末端全流程控制，重点加强对光化学反应活性强的VOCs物质控制，开展企业深度治理和精细化管控。</w:t>
            </w:r>
          </w:p>
        </w:tc>
        <w:tc>
          <w:tcPr>
            <w:tcW w:w="1786" w:type="pct"/>
            <w:vAlign w:val="center"/>
          </w:tcPr>
          <w:p w14:paraId="3652A760">
            <w:pPr>
              <w:adjustRightInd w:val="0"/>
              <w:snapToGrid w:val="0"/>
              <w:spacing w:line="280" w:lineRule="exact"/>
              <w:rPr>
                <w:rFonts w:hint="eastAsia" w:ascii="宋体" w:hAnsi="宋体"/>
                <w:color w:val="auto"/>
                <w:szCs w:val="21"/>
              </w:rPr>
            </w:pPr>
            <w:r>
              <w:rPr>
                <w:rFonts w:hint="eastAsia" w:ascii="宋体" w:hAnsi="宋体"/>
                <w:color w:val="auto"/>
                <w:szCs w:val="21"/>
              </w:rPr>
              <w:t>天然气集输、处理均采用密闭工艺，定期对井场内的设备、阀门、法兰和管线等检查、维修。</w:t>
            </w:r>
          </w:p>
        </w:tc>
        <w:tc>
          <w:tcPr>
            <w:tcW w:w="372" w:type="pct"/>
            <w:vAlign w:val="center"/>
          </w:tcPr>
          <w:p w14:paraId="1BEBE159">
            <w:pPr>
              <w:adjustRightInd w:val="0"/>
              <w:snapToGrid w:val="0"/>
              <w:spacing w:line="280" w:lineRule="exact"/>
              <w:jc w:val="center"/>
              <w:rPr>
                <w:rFonts w:hint="eastAsia" w:ascii="宋体" w:hAnsi="宋体"/>
                <w:color w:val="auto"/>
                <w:szCs w:val="21"/>
              </w:rPr>
            </w:pPr>
            <w:r>
              <w:rPr>
                <w:rFonts w:hint="eastAsia" w:ascii="宋体" w:hAnsi="宋体"/>
                <w:color w:val="auto"/>
                <w:szCs w:val="21"/>
              </w:rPr>
              <w:t>符合</w:t>
            </w:r>
          </w:p>
        </w:tc>
      </w:tr>
      <w:tr w14:paraId="6A508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 w:type="dxa"/>
            <w:bottom w:w="0" w:type="dxa"/>
            <w:right w:w="6" w:type="dxa"/>
          </w:tblCellMar>
        </w:tblPrEx>
        <w:trPr>
          <w:trHeight w:val="284" w:hRule="atLeast"/>
        </w:trPr>
        <w:tc>
          <w:tcPr>
            <w:tcW w:w="163" w:type="pct"/>
            <w:vAlign w:val="center"/>
          </w:tcPr>
          <w:p w14:paraId="43476DDA">
            <w:pPr>
              <w:adjustRightInd w:val="0"/>
              <w:snapToGrid w:val="0"/>
              <w:spacing w:line="280" w:lineRule="exact"/>
              <w:jc w:val="center"/>
              <w:rPr>
                <w:rFonts w:hint="eastAsia" w:ascii="宋体" w:hAnsi="宋体"/>
                <w:color w:val="auto"/>
                <w:szCs w:val="21"/>
              </w:rPr>
            </w:pPr>
            <w:r>
              <w:rPr>
                <w:rFonts w:ascii="宋体" w:hAnsi="宋体"/>
                <w:color w:val="auto"/>
                <w:szCs w:val="21"/>
              </w:rPr>
              <w:t>3</w:t>
            </w:r>
          </w:p>
        </w:tc>
        <w:tc>
          <w:tcPr>
            <w:tcW w:w="2679" w:type="pct"/>
            <w:vAlign w:val="center"/>
          </w:tcPr>
          <w:p w14:paraId="264E18F1">
            <w:pPr>
              <w:adjustRightInd w:val="0"/>
              <w:snapToGrid w:val="0"/>
              <w:spacing w:line="280" w:lineRule="exact"/>
              <w:jc w:val="center"/>
              <w:rPr>
                <w:rFonts w:hint="eastAsia" w:ascii="宋体" w:hAnsi="宋体"/>
                <w:color w:val="auto"/>
                <w:szCs w:val="21"/>
              </w:rPr>
            </w:pPr>
            <w:r>
              <w:rPr>
                <w:rFonts w:hint="eastAsia" w:ascii="宋体" w:hAnsi="宋体"/>
                <w:color w:val="auto"/>
                <w:szCs w:val="21"/>
              </w:rPr>
              <w:t>健全政府、企业和跨区域流域等突发环境事件应急预案体系，加强应急演练。</w:t>
            </w:r>
          </w:p>
        </w:tc>
        <w:tc>
          <w:tcPr>
            <w:tcW w:w="1786" w:type="pct"/>
            <w:vAlign w:val="center"/>
          </w:tcPr>
          <w:p w14:paraId="1D1F99BD">
            <w:pPr>
              <w:adjustRightInd w:val="0"/>
              <w:snapToGrid w:val="0"/>
              <w:spacing w:line="280" w:lineRule="exact"/>
              <w:rPr>
                <w:rFonts w:hint="eastAsia" w:ascii="宋体" w:hAnsi="宋体"/>
                <w:color w:val="auto"/>
                <w:szCs w:val="21"/>
              </w:rPr>
            </w:pPr>
            <w:r>
              <w:rPr>
                <w:rFonts w:hint="eastAsia" w:ascii="宋体" w:hAnsi="宋体"/>
                <w:color w:val="auto"/>
                <w:szCs w:val="21"/>
              </w:rPr>
              <w:t>石西油田作业区已更新编制了《新疆油田分公司石西油田作业区</w:t>
            </w:r>
            <w:r>
              <w:rPr>
                <w:rFonts w:ascii="宋体" w:hAnsi="宋体"/>
                <w:color w:val="auto"/>
                <w:szCs w:val="21"/>
              </w:rPr>
              <w:t>突发环境事件应急预案</w:t>
            </w:r>
            <w:r>
              <w:rPr>
                <w:rFonts w:hint="eastAsia" w:ascii="宋体" w:hAnsi="宋体"/>
                <w:color w:val="auto"/>
                <w:szCs w:val="21"/>
              </w:rPr>
              <w:t>》并进行备案工作，并定期进行应急演练工作，正在昌吉回族自治州生态环境局玛纳斯县分局进行备案。</w:t>
            </w:r>
          </w:p>
        </w:tc>
        <w:tc>
          <w:tcPr>
            <w:tcW w:w="372" w:type="pct"/>
            <w:vAlign w:val="center"/>
          </w:tcPr>
          <w:p w14:paraId="6059A660">
            <w:pPr>
              <w:adjustRightInd w:val="0"/>
              <w:snapToGrid w:val="0"/>
              <w:spacing w:line="280" w:lineRule="exact"/>
              <w:jc w:val="center"/>
              <w:rPr>
                <w:rFonts w:hint="eastAsia" w:ascii="宋体" w:hAnsi="宋体"/>
                <w:color w:val="auto"/>
                <w:szCs w:val="21"/>
              </w:rPr>
            </w:pPr>
            <w:r>
              <w:rPr>
                <w:rFonts w:hint="eastAsia" w:ascii="宋体" w:hAnsi="宋体"/>
                <w:color w:val="auto"/>
                <w:szCs w:val="21"/>
              </w:rPr>
              <w:t>符合</w:t>
            </w:r>
          </w:p>
        </w:tc>
      </w:tr>
    </w:tbl>
    <w:p w14:paraId="2F173DF5">
      <w:pPr>
        <w:pStyle w:val="86"/>
        <w:ind w:firstLine="480"/>
        <w:rPr>
          <w:rFonts w:hint="eastAsia"/>
          <w:color w:val="auto"/>
          <w:lang w:bidi="ar"/>
        </w:rPr>
      </w:pPr>
      <w:r>
        <w:rPr>
          <w:rFonts w:hint="eastAsia"/>
          <w:color w:val="auto"/>
          <w:lang w:bidi="ar"/>
        </w:rPr>
        <w:t>（5）与《</w:t>
      </w:r>
      <w:r>
        <w:rPr>
          <w:rFonts w:hint="eastAsia"/>
          <w:color w:val="auto"/>
        </w:rPr>
        <w:t>中共中央关于制定国民经济和社会发展第十五个五年规划的建议</w:t>
      </w:r>
      <w:r>
        <w:rPr>
          <w:rFonts w:hint="eastAsia"/>
          <w:color w:val="auto"/>
          <w:lang w:bidi="ar"/>
        </w:rPr>
        <w:t>》符合性分析</w:t>
      </w:r>
    </w:p>
    <w:p w14:paraId="29B099B3">
      <w:pPr>
        <w:pStyle w:val="86"/>
        <w:ind w:firstLine="480"/>
        <w:rPr>
          <w:rFonts w:hint="eastAsia" w:ascii="黑体" w:hAnsi="黑体" w:eastAsia="黑体"/>
          <w:color w:val="auto"/>
          <w:szCs w:val="21"/>
        </w:rPr>
      </w:pPr>
      <w:r>
        <w:rPr>
          <w:rFonts w:hint="eastAsia"/>
          <w:color w:val="auto"/>
          <w:lang w:bidi="ar"/>
        </w:rPr>
        <w:t>项目建设符合《</w:t>
      </w:r>
      <w:r>
        <w:rPr>
          <w:rFonts w:hint="eastAsia"/>
          <w:color w:val="auto"/>
        </w:rPr>
        <w:t>中共中央关于制定国民经济和社会发展第十五个五年规划的建议</w:t>
      </w:r>
      <w:r>
        <w:rPr>
          <w:rFonts w:hint="eastAsia"/>
          <w:color w:val="auto"/>
          <w:lang w:bidi="ar"/>
        </w:rPr>
        <w:t>》中的相关要求，具体分析见表</w:t>
      </w:r>
      <w:r>
        <w:rPr>
          <w:color w:val="auto"/>
          <w:lang w:bidi="ar"/>
        </w:rPr>
        <w:t>2.9</w:t>
      </w:r>
      <w:r>
        <w:rPr>
          <w:rFonts w:hint="eastAsia"/>
          <w:color w:val="auto"/>
          <w:lang w:bidi="ar"/>
        </w:rPr>
        <w:t>-3。</w:t>
      </w:r>
    </w:p>
    <w:p w14:paraId="77053C9E">
      <w:pPr>
        <w:jc w:val="center"/>
        <w:rPr>
          <w:rFonts w:hint="eastAsia" w:ascii="黑体" w:hAnsi="黑体" w:eastAsia="黑体"/>
          <w:color w:val="auto"/>
          <w:szCs w:val="21"/>
        </w:rPr>
      </w:pPr>
      <w:r>
        <w:rPr>
          <w:rFonts w:hint="eastAsia" w:ascii="黑体" w:hAnsi="黑体" w:eastAsia="黑体"/>
          <w:color w:val="auto"/>
          <w:szCs w:val="21"/>
        </w:rPr>
        <w:t>表2</w:t>
      </w:r>
      <w:r>
        <w:rPr>
          <w:rFonts w:ascii="黑体" w:hAnsi="黑体" w:eastAsia="黑体"/>
          <w:color w:val="auto"/>
          <w:szCs w:val="21"/>
        </w:rPr>
        <w:t>.9-</w:t>
      </w:r>
      <w:r>
        <w:rPr>
          <w:rFonts w:hint="eastAsia" w:ascii="黑体" w:hAnsi="黑体" w:eastAsia="黑体"/>
          <w:color w:val="auto"/>
          <w:szCs w:val="21"/>
        </w:rPr>
        <w:t xml:space="preserve">3 </w:t>
      </w:r>
      <w:r>
        <w:rPr>
          <w:rFonts w:ascii="黑体" w:hAnsi="黑体" w:eastAsia="黑体"/>
          <w:color w:val="auto"/>
          <w:szCs w:val="21"/>
        </w:rPr>
        <w:t xml:space="preserve"> </w:t>
      </w:r>
      <w:r>
        <w:rPr>
          <w:rFonts w:hint="eastAsia" w:ascii="黑体" w:hAnsi="黑体" w:eastAsia="黑体"/>
          <w:color w:val="auto"/>
          <w:szCs w:val="21"/>
        </w:rPr>
        <w:t>项目与《中共中央关于制定国民经济和社会发展第十五个五年规划的建议》的相符性分析</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49"/>
        <w:gridCol w:w="3904"/>
        <w:gridCol w:w="3679"/>
        <w:gridCol w:w="798"/>
      </w:tblGrid>
      <w:tr w14:paraId="408C6B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00" w:type="pct"/>
            <w:tcMar>
              <w:left w:w="0" w:type="dxa"/>
              <w:right w:w="0" w:type="dxa"/>
            </w:tcMar>
            <w:vAlign w:val="center"/>
          </w:tcPr>
          <w:p w14:paraId="1EF37C60">
            <w:pPr>
              <w:adjustRightInd w:val="0"/>
              <w:snapToGrid w:val="0"/>
              <w:spacing w:line="300" w:lineRule="exact"/>
              <w:jc w:val="center"/>
              <w:rPr>
                <w:color w:val="auto"/>
                <w:szCs w:val="21"/>
              </w:rPr>
            </w:pPr>
            <w:r>
              <w:rPr>
                <w:rFonts w:hint="eastAsia"/>
                <w:color w:val="auto"/>
                <w:szCs w:val="21"/>
                <w:lang w:bidi="ar"/>
              </w:rPr>
              <w:t>序号</w:t>
            </w:r>
          </w:p>
        </w:tc>
        <w:tc>
          <w:tcPr>
            <w:tcW w:w="2236" w:type="pct"/>
            <w:tcMar>
              <w:left w:w="0" w:type="dxa"/>
              <w:right w:w="0" w:type="dxa"/>
            </w:tcMar>
            <w:vAlign w:val="center"/>
          </w:tcPr>
          <w:p w14:paraId="7DF735D4">
            <w:pPr>
              <w:adjustRightInd w:val="0"/>
              <w:snapToGrid w:val="0"/>
              <w:spacing w:line="300" w:lineRule="exact"/>
              <w:jc w:val="center"/>
              <w:rPr>
                <w:color w:val="auto"/>
                <w:szCs w:val="21"/>
              </w:rPr>
            </w:pPr>
            <w:r>
              <w:rPr>
                <w:rFonts w:hint="eastAsia"/>
                <w:color w:val="auto"/>
                <w:szCs w:val="21"/>
                <w:lang w:bidi="ar"/>
              </w:rPr>
              <w:t>规划的建议</w:t>
            </w:r>
          </w:p>
        </w:tc>
        <w:tc>
          <w:tcPr>
            <w:tcW w:w="2107" w:type="pct"/>
            <w:tcMar>
              <w:left w:w="0" w:type="dxa"/>
              <w:right w:w="0" w:type="dxa"/>
            </w:tcMar>
            <w:vAlign w:val="center"/>
          </w:tcPr>
          <w:p w14:paraId="0FD906BF">
            <w:pPr>
              <w:adjustRightInd w:val="0"/>
              <w:snapToGrid w:val="0"/>
              <w:spacing w:line="300" w:lineRule="exact"/>
              <w:jc w:val="center"/>
              <w:rPr>
                <w:color w:val="auto"/>
                <w:szCs w:val="21"/>
              </w:rPr>
            </w:pPr>
            <w:r>
              <w:rPr>
                <w:rFonts w:hint="eastAsia"/>
                <w:color w:val="auto"/>
                <w:szCs w:val="21"/>
                <w:lang w:bidi="ar"/>
              </w:rPr>
              <w:t>拟采取的相关措施</w:t>
            </w:r>
          </w:p>
        </w:tc>
        <w:tc>
          <w:tcPr>
            <w:tcW w:w="457" w:type="pct"/>
            <w:tcMar>
              <w:left w:w="0" w:type="dxa"/>
              <w:right w:w="0" w:type="dxa"/>
            </w:tcMar>
            <w:vAlign w:val="center"/>
          </w:tcPr>
          <w:p w14:paraId="13E48343">
            <w:pPr>
              <w:adjustRightInd w:val="0"/>
              <w:snapToGrid w:val="0"/>
              <w:spacing w:line="300" w:lineRule="exact"/>
              <w:jc w:val="center"/>
              <w:rPr>
                <w:color w:val="auto"/>
                <w:szCs w:val="21"/>
              </w:rPr>
            </w:pPr>
            <w:r>
              <w:rPr>
                <w:rFonts w:hint="eastAsia"/>
                <w:color w:val="auto"/>
                <w:szCs w:val="21"/>
                <w:lang w:bidi="ar"/>
              </w:rPr>
              <w:t>相符性分析</w:t>
            </w:r>
          </w:p>
        </w:tc>
      </w:tr>
      <w:tr w14:paraId="374032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 w:type="pct"/>
            <w:tcMar>
              <w:left w:w="0" w:type="dxa"/>
              <w:right w:w="0" w:type="dxa"/>
            </w:tcMar>
            <w:vAlign w:val="center"/>
          </w:tcPr>
          <w:p w14:paraId="66111FE5">
            <w:pPr>
              <w:adjustRightInd w:val="0"/>
              <w:snapToGrid w:val="0"/>
              <w:spacing w:line="300" w:lineRule="exact"/>
              <w:jc w:val="center"/>
              <w:rPr>
                <w:color w:val="auto"/>
                <w:szCs w:val="21"/>
              </w:rPr>
            </w:pPr>
            <w:r>
              <w:rPr>
                <w:rFonts w:hint="eastAsia"/>
                <w:color w:val="auto"/>
                <w:szCs w:val="21"/>
                <w:lang w:bidi="ar"/>
              </w:rPr>
              <w:t>1</w:t>
            </w:r>
          </w:p>
        </w:tc>
        <w:tc>
          <w:tcPr>
            <w:tcW w:w="2236" w:type="pct"/>
            <w:tcMar>
              <w:left w:w="0" w:type="dxa"/>
              <w:right w:w="0" w:type="dxa"/>
            </w:tcMar>
            <w:vAlign w:val="center"/>
          </w:tcPr>
          <w:p w14:paraId="3A016E68">
            <w:pPr>
              <w:adjustRightInd w:val="0"/>
              <w:snapToGrid w:val="0"/>
              <w:spacing w:line="300" w:lineRule="exact"/>
              <w:jc w:val="center"/>
              <w:rPr>
                <w:color w:val="auto"/>
                <w:szCs w:val="21"/>
                <w:lang w:bidi="ar"/>
              </w:rPr>
            </w:pPr>
            <w:r>
              <w:rPr>
                <w:rFonts w:hint="eastAsia"/>
                <w:color w:val="auto"/>
                <w:szCs w:val="21"/>
                <w:lang w:bidi="ar"/>
              </w:rPr>
              <w:t>持续深入推进污染防治攻坚和生态系统优化。坚持环保为民，全面落实精准科学依法治污，更加注重源头治理，强化减污降碳协同、多污染物控制协同、区域治理协同，深入打好蓝天、碧水、净土保卫战。加快落实以排污许可制为核心的固定污染源监管制度。实施固体废物综合治理行动。加强环境风险防控，深入推进新污染物治理。</w:t>
            </w:r>
          </w:p>
        </w:tc>
        <w:tc>
          <w:tcPr>
            <w:tcW w:w="2107" w:type="pct"/>
            <w:tcMar>
              <w:left w:w="0" w:type="dxa"/>
              <w:right w:w="0" w:type="dxa"/>
            </w:tcMar>
            <w:vAlign w:val="center"/>
          </w:tcPr>
          <w:p w14:paraId="63F559EE">
            <w:pPr>
              <w:adjustRightInd w:val="0"/>
              <w:snapToGrid w:val="0"/>
              <w:spacing w:line="300" w:lineRule="exact"/>
              <w:rPr>
                <w:color w:val="auto"/>
                <w:szCs w:val="21"/>
                <w:lang w:bidi="ar"/>
              </w:rPr>
            </w:pPr>
            <w:r>
              <w:rPr>
                <w:rFonts w:hint="eastAsia"/>
                <w:color w:val="auto"/>
                <w:szCs w:val="21"/>
                <w:lang w:bidi="ar"/>
              </w:rPr>
              <w:t>施</w:t>
            </w:r>
            <w:r>
              <w:rPr>
                <w:rFonts w:hint="eastAsia" w:ascii="宋体" w:hAnsi="宋体" w:cs="宋体"/>
                <w:color w:val="auto"/>
                <w:szCs w:val="21"/>
                <w:lang w:bidi="ar"/>
              </w:rPr>
              <w:t>工期废气随着施工期的结束而消失，运营期废气主要为无组织废气、燃气发电机燃烧烟气，采取相应措施后井场厂界无组织非甲烷总烃满足</w:t>
            </w:r>
            <w:r>
              <w:rPr>
                <w:rFonts w:hint="eastAsia" w:ascii="宋体" w:hAnsi="宋体" w:cs="宋体"/>
                <w:color w:val="auto"/>
                <w:szCs w:val="21"/>
                <w:lang w:bidi="ar"/>
              </w:rPr>
              <w:t>《陆上石油天然气开采工业大气污染物排放标准》（GB39728-2020）中企业边界污染物控制要求，燃气发电机燃烧烟气中各污染物均满足《大气污染物综合排放标准》（GB16297-1996）表2限值要求。</w:t>
            </w:r>
            <w:r>
              <w:rPr>
                <w:rFonts w:hint="eastAsia" w:ascii="宋体" w:hAnsi="宋体" w:cs="宋体"/>
                <w:color w:val="auto"/>
                <w:szCs w:val="21"/>
                <w:lang w:bidi="ar"/>
              </w:rPr>
              <w:t>项目实施后加强巡检、检维修，减少逸散CH</w:t>
            </w:r>
            <w:r>
              <w:rPr>
                <w:rFonts w:hint="eastAsia" w:ascii="宋体" w:hAnsi="宋体" w:cs="宋体"/>
                <w:color w:val="auto"/>
                <w:szCs w:val="21"/>
                <w:vertAlign w:val="subscript"/>
                <w:lang w:bidi="ar"/>
              </w:rPr>
              <w:t>4</w:t>
            </w:r>
            <w:r>
              <w:rPr>
                <w:rFonts w:hint="eastAsia" w:ascii="宋体" w:hAnsi="宋体" w:cs="宋体"/>
                <w:color w:val="auto"/>
                <w:szCs w:val="21"/>
                <w:lang w:bidi="ar"/>
              </w:rPr>
              <w:t>排放，采用节能设备，温室气体甲烷和二氧化碳排放量相对较小，区域空旷，扩散条件较好，不会对周围大气环境产生明显影响。</w:t>
            </w:r>
          </w:p>
        </w:tc>
        <w:tc>
          <w:tcPr>
            <w:tcW w:w="457" w:type="pct"/>
            <w:tcMar>
              <w:left w:w="0" w:type="dxa"/>
              <w:right w:w="0" w:type="dxa"/>
            </w:tcMar>
            <w:vAlign w:val="center"/>
          </w:tcPr>
          <w:p w14:paraId="5687EA9B">
            <w:pPr>
              <w:adjustRightInd w:val="0"/>
              <w:snapToGrid w:val="0"/>
              <w:spacing w:line="300" w:lineRule="exact"/>
              <w:jc w:val="center"/>
              <w:rPr>
                <w:color w:val="auto"/>
                <w:szCs w:val="21"/>
              </w:rPr>
            </w:pPr>
            <w:r>
              <w:rPr>
                <w:rFonts w:hint="eastAsia"/>
                <w:color w:val="auto"/>
                <w:szCs w:val="21"/>
              </w:rPr>
              <w:t>符合</w:t>
            </w:r>
          </w:p>
        </w:tc>
      </w:tr>
      <w:tr w14:paraId="506034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 w:type="pct"/>
            <w:tcMar>
              <w:left w:w="0" w:type="dxa"/>
              <w:right w:w="0" w:type="dxa"/>
            </w:tcMar>
            <w:vAlign w:val="center"/>
          </w:tcPr>
          <w:p w14:paraId="34E89013">
            <w:pPr>
              <w:adjustRightInd w:val="0"/>
              <w:snapToGrid w:val="0"/>
              <w:spacing w:line="300" w:lineRule="exact"/>
              <w:jc w:val="center"/>
              <w:rPr>
                <w:color w:val="auto"/>
                <w:szCs w:val="21"/>
                <w:lang w:bidi="ar"/>
              </w:rPr>
            </w:pPr>
            <w:r>
              <w:rPr>
                <w:rFonts w:hint="eastAsia"/>
                <w:color w:val="auto"/>
                <w:szCs w:val="21"/>
                <w:lang w:bidi="ar"/>
              </w:rPr>
              <w:t>2</w:t>
            </w:r>
          </w:p>
        </w:tc>
        <w:tc>
          <w:tcPr>
            <w:tcW w:w="2236" w:type="pct"/>
            <w:tcMar>
              <w:left w:w="0" w:type="dxa"/>
              <w:right w:w="0" w:type="dxa"/>
            </w:tcMar>
            <w:vAlign w:val="center"/>
          </w:tcPr>
          <w:p w14:paraId="58EC00F1">
            <w:pPr>
              <w:adjustRightInd w:val="0"/>
              <w:snapToGrid w:val="0"/>
              <w:spacing w:line="300" w:lineRule="exact"/>
              <w:jc w:val="center"/>
              <w:rPr>
                <w:color w:val="auto"/>
                <w:szCs w:val="21"/>
                <w:lang w:bidi="ar"/>
              </w:rPr>
            </w:pPr>
            <w:r>
              <w:rPr>
                <w:rFonts w:hint="eastAsia"/>
                <w:color w:val="auto"/>
                <w:szCs w:val="21"/>
                <w:lang w:bidi="ar"/>
              </w:rPr>
              <w:t>坚持山水林田湖草沙一体化保护和系统治理，统筹推进重要生态系统保护和修复重大工程。严守生态保护红线，全面推进以国家公园为主体的自然保护地体系建设，有序设立新的国家公园。加强生物多样性保护。开展生态保护修复成效评估。科学开展大规模国土绿化行动，打好“三北”工程攻坚战。加强青藏高原等地区生态屏障建设。完善多元化生态补偿机制，因地制宜拓展生态产品价值实现渠道。加强重要江河湖库系统治理和生态保护。实施好长江十年禁渔。</w:t>
            </w:r>
          </w:p>
        </w:tc>
        <w:tc>
          <w:tcPr>
            <w:tcW w:w="2107" w:type="pct"/>
            <w:tcMar>
              <w:left w:w="0" w:type="dxa"/>
              <w:right w:w="0" w:type="dxa"/>
            </w:tcMar>
            <w:vAlign w:val="center"/>
          </w:tcPr>
          <w:p w14:paraId="70ED07CC">
            <w:pPr>
              <w:adjustRightInd w:val="0"/>
              <w:snapToGrid w:val="0"/>
              <w:spacing w:line="300" w:lineRule="exact"/>
              <w:rPr>
                <w:color w:val="auto"/>
                <w:szCs w:val="21"/>
                <w:lang w:bidi="ar"/>
              </w:rPr>
            </w:pPr>
            <w:r>
              <w:rPr>
                <w:rFonts w:hint="eastAsia"/>
                <w:color w:val="auto"/>
                <w:szCs w:val="21"/>
                <w:lang w:bidi="ar"/>
              </w:rPr>
              <w:t>项目区周围无自然保护区、风景名胜区、医院、学校等环境保护目标，不涉及生态保护红线。</w:t>
            </w:r>
          </w:p>
        </w:tc>
        <w:tc>
          <w:tcPr>
            <w:tcW w:w="457" w:type="pct"/>
            <w:tcMar>
              <w:left w:w="0" w:type="dxa"/>
              <w:right w:w="0" w:type="dxa"/>
            </w:tcMar>
            <w:vAlign w:val="center"/>
          </w:tcPr>
          <w:p w14:paraId="50510CAD">
            <w:pPr>
              <w:adjustRightInd w:val="0"/>
              <w:snapToGrid w:val="0"/>
              <w:spacing w:line="300" w:lineRule="exact"/>
              <w:jc w:val="center"/>
              <w:rPr>
                <w:color w:val="auto"/>
                <w:szCs w:val="21"/>
              </w:rPr>
            </w:pPr>
            <w:r>
              <w:rPr>
                <w:rFonts w:hint="eastAsia"/>
                <w:color w:val="auto"/>
                <w:szCs w:val="21"/>
              </w:rPr>
              <w:t>符合</w:t>
            </w:r>
          </w:p>
        </w:tc>
      </w:tr>
      <w:tr w14:paraId="728785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 w:type="pct"/>
            <w:tcMar>
              <w:left w:w="0" w:type="dxa"/>
              <w:right w:w="0" w:type="dxa"/>
            </w:tcMar>
            <w:vAlign w:val="center"/>
          </w:tcPr>
          <w:p w14:paraId="15CBACD5">
            <w:pPr>
              <w:adjustRightInd w:val="0"/>
              <w:snapToGrid w:val="0"/>
              <w:spacing w:line="300" w:lineRule="exact"/>
              <w:jc w:val="center"/>
              <w:rPr>
                <w:color w:val="auto"/>
                <w:szCs w:val="21"/>
                <w:lang w:bidi="ar"/>
              </w:rPr>
            </w:pPr>
            <w:r>
              <w:rPr>
                <w:rFonts w:hint="eastAsia"/>
                <w:color w:val="auto"/>
                <w:szCs w:val="21"/>
                <w:lang w:bidi="ar"/>
              </w:rPr>
              <w:t>3</w:t>
            </w:r>
          </w:p>
        </w:tc>
        <w:tc>
          <w:tcPr>
            <w:tcW w:w="2236" w:type="pct"/>
            <w:tcMar>
              <w:left w:w="0" w:type="dxa"/>
              <w:right w:w="0" w:type="dxa"/>
            </w:tcMar>
            <w:vAlign w:val="center"/>
          </w:tcPr>
          <w:p w14:paraId="41B22B0A">
            <w:pPr>
              <w:adjustRightInd w:val="0"/>
              <w:snapToGrid w:val="0"/>
              <w:spacing w:line="300" w:lineRule="exact"/>
              <w:rPr>
                <w:color w:val="auto"/>
                <w:szCs w:val="21"/>
                <w:lang w:bidi="ar"/>
              </w:rPr>
            </w:pPr>
            <w:r>
              <w:rPr>
                <w:rFonts w:hint="eastAsia"/>
                <w:color w:val="auto"/>
                <w:szCs w:val="21"/>
                <w:lang w:bidi="ar"/>
              </w:rPr>
              <w:t>积极稳妥推进和实现碳达峰。实施碳排放总量和强度双控制度。深入实施节能降碳改造。推动煤炭和石油消费达峰。完善碳排放统计核算体系，稳步实施地方碳考核、行业碳管控、企业碳管理、项目碳评价、产品碳足迹等政策制度。发展分布式能源，建设零碳工厂和园区。扩大全国碳排放权交易市场覆盖范围，加快温室气体自愿减排交易市场建设。建立健全绿色低碳标准体系，推动引领国际规则标准完善和衔接互认。完善适应气候变化工作体系，提升应对气候变化特别是极端天气能力。</w:t>
            </w:r>
          </w:p>
        </w:tc>
        <w:tc>
          <w:tcPr>
            <w:tcW w:w="2107" w:type="pct"/>
            <w:tcMar>
              <w:left w:w="0" w:type="dxa"/>
              <w:right w:w="0" w:type="dxa"/>
            </w:tcMar>
            <w:vAlign w:val="center"/>
          </w:tcPr>
          <w:p w14:paraId="6B29F94B">
            <w:pPr>
              <w:adjustRightInd w:val="0"/>
              <w:snapToGrid w:val="0"/>
              <w:spacing w:line="300" w:lineRule="exact"/>
              <w:rPr>
                <w:color w:val="auto"/>
                <w:szCs w:val="21"/>
                <w:lang w:bidi="ar"/>
              </w:rPr>
            </w:pPr>
            <w:r>
              <w:rPr>
                <w:rFonts w:hint="eastAsia"/>
                <w:color w:val="auto"/>
                <w:szCs w:val="21"/>
                <w:lang w:bidi="ar"/>
              </w:rPr>
              <w:t>项目实施后加强巡检、检维修，减少逸散CH</w:t>
            </w:r>
            <w:r>
              <w:rPr>
                <w:rFonts w:hint="eastAsia"/>
                <w:color w:val="auto"/>
                <w:szCs w:val="21"/>
                <w:vertAlign w:val="subscript"/>
                <w:lang w:bidi="ar"/>
              </w:rPr>
              <w:t>4</w:t>
            </w:r>
            <w:r>
              <w:rPr>
                <w:rFonts w:hint="eastAsia"/>
                <w:color w:val="auto"/>
                <w:szCs w:val="21"/>
                <w:lang w:bidi="ar"/>
              </w:rPr>
              <w:t>排放，采用节能设备，温室气体甲烷和二氧化碳排放量相对较小，区域空旷，扩散条件较好，不会对周围大气环境产生明显影响。</w:t>
            </w:r>
          </w:p>
        </w:tc>
        <w:tc>
          <w:tcPr>
            <w:tcW w:w="457" w:type="pct"/>
            <w:tcMar>
              <w:left w:w="0" w:type="dxa"/>
              <w:right w:w="0" w:type="dxa"/>
            </w:tcMar>
            <w:vAlign w:val="center"/>
          </w:tcPr>
          <w:p w14:paraId="444DAA35">
            <w:pPr>
              <w:adjustRightInd w:val="0"/>
              <w:snapToGrid w:val="0"/>
              <w:spacing w:line="300" w:lineRule="exact"/>
              <w:jc w:val="center"/>
              <w:rPr>
                <w:color w:val="auto"/>
                <w:szCs w:val="21"/>
              </w:rPr>
            </w:pPr>
            <w:r>
              <w:rPr>
                <w:rFonts w:hint="eastAsia"/>
                <w:color w:val="auto"/>
                <w:szCs w:val="21"/>
              </w:rPr>
              <w:t>符合</w:t>
            </w:r>
          </w:p>
        </w:tc>
      </w:tr>
    </w:tbl>
    <w:p w14:paraId="5422F010">
      <w:pPr>
        <w:pStyle w:val="86"/>
        <w:ind w:firstLine="480"/>
        <w:rPr>
          <w:rFonts w:hint="eastAsia"/>
          <w:color w:val="auto"/>
          <w:lang w:bidi="ar"/>
        </w:rPr>
      </w:pPr>
      <w:r>
        <w:rPr>
          <w:rFonts w:hint="eastAsia"/>
          <w:color w:val="auto"/>
          <w:lang w:bidi="ar"/>
        </w:rPr>
        <w:t>（6）与</w:t>
      </w:r>
      <w:r>
        <w:rPr>
          <w:rFonts w:hint="eastAsia" w:cs="宋体"/>
          <w:color w:val="auto"/>
        </w:rPr>
        <w:t>《新疆维吾尔自治区矿产资源总体规划（2021-2025年）》及规划环评符合性分析</w:t>
      </w:r>
    </w:p>
    <w:p w14:paraId="5B60836E">
      <w:pPr>
        <w:pStyle w:val="86"/>
        <w:ind w:firstLine="480"/>
        <w:rPr>
          <w:rFonts w:hint="eastAsia" w:cs="宋体"/>
          <w:color w:val="auto"/>
        </w:rPr>
      </w:pPr>
      <w:r>
        <w:rPr>
          <w:rFonts w:hint="eastAsia" w:cs="宋体"/>
          <w:color w:val="auto"/>
        </w:rPr>
        <w:t>《新疆维吾尔自治区矿产资源总体规划（20</w:t>
      </w:r>
      <w:r>
        <w:rPr>
          <w:rFonts w:cs="宋体"/>
          <w:color w:val="auto"/>
        </w:rPr>
        <w:t>21</w:t>
      </w:r>
      <w:r>
        <w:rPr>
          <w:rFonts w:hint="eastAsia" w:cs="宋体"/>
          <w:color w:val="auto"/>
        </w:rPr>
        <w:t>-20</w:t>
      </w:r>
      <w:r>
        <w:rPr>
          <w:rFonts w:cs="宋体"/>
          <w:color w:val="auto"/>
        </w:rPr>
        <w:t>25</w:t>
      </w:r>
      <w:r>
        <w:rPr>
          <w:rFonts w:hint="eastAsia" w:cs="宋体"/>
          <w:color w:val="auto"/>
        </w:rPr>
        <w:t>年）》取得中华人民共和国自然资源部批复（</w:t>
      </w:r>
      <w:r>
        <w:rPr>
          <w:rFonts w:hint="eastAsia" w:cs="宋体"/>
          <w:color w:val="auto"/>
          <w:kern w:val="0"/>
          <w:lang w:eastAsia="zh-Hans"/>
        </w:rPr>
        <w:t>自然资函</w:t>
      </w:r>
      <w:r>
        <w:rPr>
          <w:rFonts w:hint="eastAsia" w:cs="宋体"/>
          <w:color w:val="auto"/>
          <w:kern w:val="0"/>
        </w:rPr>
        <w:t>〔</w:t>
      </w:r>
      <w:r>
        <w:rPr>
          <w:rFonts w:hint="eastAsia" w:cs="宋体"/>
          <w:color w:val="auto"/>
          <w:kern w:val="0"/>
          <w:lang w:eastAsia="zh-Hans"/>
        </w:rPr>
        <w:t>2022</w:t>
      </w:r>
      <w:r>
        <w:rPr>
          <w:rFonts w:hint="eastAsia" w:cs="宋体"/>
          <w:color w:val="auto"/>
          <w:kern w:val="0"/>
        </w:rPr>
        <w:t>〕</w:t>
      </w:r>
      <w:r>
        <w:rPr>
          <w:rFonts w:hint="eastAsia" w:cs="宋体"/>
          <w:color w:val="auto"/>
          <w:kern w:val="0"/>
          <w:lang w:eastAsia="zh-Hans"/>
        </w:rPr>
        <w:t>1092号</w:t>
      </w:r>
      <w:r>
        <w:rPr>
          <w:rFonts w:hint="eastAsia" w:cs="宋体"/>
          <w:color w:val="auto"/>
        </w:rPr>
        <w:t>），</w:t>
      </w:r>
      <w:r>
        <w:rPr>
          <w:rFonts w:hint="eastAsia"/>
          <w:color w:val="auto"/>
          <w:lang w:bidi="ar"/>
        </w:rPr>
        <w:t>《新疆维吾尔自治区矿产资源总体规划（2</w:t>
      </w:r>
      <w:r>
        <w:rPr>
          <w:color w:val="auto"/>
          <w:lang w:bidi="ar"/>
        </w:rPr>
        <w:t>021</w:t>
      </w:r>
      <w:r>
        <w:rPr>
          <w:rFonts w:hint="eastAsia"/>
          <w:color w:val="auto"/>
          <w:lang w:bidi="ar"/>
        </w:rPr>
        <w:t>-</w:t>
      </w:r>
      <w:r>
        <w:rPr>
          <w:color w:val="auto"/>
          <w:lang w:bidi="ar"/>
        </w:rPr>
        <w:t>2025</w:t>
      </w:r>
      <w:r>
        <w:rPr>
          <w:rFonts w:hint="eastAsia"/>
          <w:color w:val="auto"/>
          <w:lang w:bidi="ar"/>
        </w:rPr>
        <w:t>年）环境影响报告书》取得了中华人民共和国生态环境部的审查意见（环审〔2</w:t>
      </w:r>
      <w:r>
        <w:rPr>
          <w:color w:val="auto"/>
          <w:lang w:bidi="ar"/>
        </w:rPr>
        <w:t>022</w:t>
      </w:r>
      <w:r>
        <w:rPr>
          <w:rFonts w:hint="eastAsia"/>
          <w:color w:val="auto"/>
          <w:lang w:bidi="ar"/>
        </w:rPr>
        <w:t>〕1</w:t>
      </w:r>
      <w:r>
        <w:rPr>
          <w:color w:val="auto"/>
          <w:lang w:bidi="ar"/>
        </w:rPr>
        <w:t>24</w:t>
      </w:r>
      <w:r>
        <w:rPr>
          <w:rFonts w:hint="eastAsia"/>
          <w:color w:val="auto"/>
          <w:lang w:bidi="ar"/>
        </w:rPr>
        <w:t>号）。</w:t>
      </w:r>
    </w:p>
    <w:p w14:paraId="209F0933">
      <w:pPr>
        <w:pStyle w:val="86"/>
        <w:ind w:firstLine="480"/>
        <w:rPr>
          <w:rFonts w:hint="eastAsia" w:cs="宋体"/>
          <w:color w:val="auto"/>
        </w:rPr>
      </w:pPr>
      <w:r>
        <w:rPr>
          <w:rFonts w:hint="eastAsia" w:cs="宋体"/>
          <w:color w:val="auto"/>
        </w:rPr>
        <w:t>《新疆维吾尔自治区矿产资源总体规划（20</w:t>
      </w:r>
      <w:r>
        <w:rPr>
          <w:rFonts w:cs="宋体"/>
          <w:color w:val="auto"/>
        </w:rPr>
        <w:t>21</w:t>
      </w:r>
      <w:r>
        <w:rPr>
          <w:rFonts w:hint="eastAsia" w:cs="宋体"/>
          <w:color w:val="auto"/>
        </w:rPr>
        <w:t>-20</w:t>
      </w:r>
      <w:r>
        <w:rPr>
          <w:rFonts w:cs="宋体"/>
          <w:color w:val="auto"/>
        </w:rPr>
        <w:t>25</w:t>
      </w:r>
      <w:r>
        <w:rPr>
          <w:rFonts w:hint="eastAsia" w:cs="宋体"/>
          <w:color w:val="auto"/>
        </w:rPr>
        <w:t>年）》将石油天然气列为安全战略资源，项目位于规划中提出的环准噶尔能源矿产勘查开发区，该开发区指出：“加快玛湖、吉木萨尔、准噶尔盆地南缘等大型油气田建设，促进增储上产，支撑克拉玛依、吉木萨尔油气能源资源基地建设”。项目实施后能更好的给区域石油、天然气资源安全使用提供保障，有利于支撑准噶尔盆地油气能源资源基地建设，符合规划要求</w:t>
      </w:r>
      <w:r>
        <w:rPr>
          <w:rFonts w:hint="eastAsia" w:cs="宋体"/>
          <w:color w:val="auto"/>
          <w:lang w:eastAsia="zh-Hans"/>
        </w:rPr>
        <w:t>；</w:t>
      </w:r>
      <w:r>
        <w:rPr>
          <w:rFonts w:hint="eastAsia" w:cs="宋体"/>
          <w:color w:val="auto"/>
        </w:rPr>
        <w:t>并按照《新疆维吾尔自治区矿产资源总体规划（20</w:t>
      </w:r>
      <w:r>
        <w:rPr>
          <w:rFonts w:cs="宋体"/>
          <w:color w:val="auto"/>
        </w:rPr>
        <w:t>21</w:t>
      </w:r>
      <w:r>
        <w:rPr>
          <w:rFonts w:hint="eastAsia" w:cs="宋体"/>
          <w:color w:val="auto"/>
        </w:rPr>
        <w:t>-20</w:t>
      </w:r>
      <w:r>
        <w:rPr>
          <w:rFonts w:cs="宋体"/>
          <w:color w:val="auto"/>
        </w:rPr>
        <w:t>25</w:t>
      </w:r>
      <w:r>
        <w:rPr>
          <w:rFonts w:hint="eastAsia" w:cs="宋体"/>
          <w:color w:val="auto"/>
        </w:rPr>
        <w:t>年）环境影响报告书》要求对施工期和运营期的废气、废水、噪声、固体废物采取相应的治理措施，对实施过程中产生的生态影响采取有效的减缓措施</w:t>
      </w:r>
      <w:r>
        <w:rPr>
          <w:rFonts w:hint="eastAsia" w:cs="宋体"/>
          <w:color w:val="auto"/>
          <w:lang w:eastAsia="zh-Hans"/>
        </w:rPr>
        <w:t>，</w:t>
      </w:r>
      <w:r>
        <w:rPr>
          <w:rFonts w:hint="eastAsia" w:cs="宋体"/>
          <w:color w:val="auto"/>
        </w:rPr>
        <w:t>符合《新疆维吾尔自治区矿产资源总体规划（20</w:t>
      </w:r>
      <w:r>
        <w:rPr>
          <w:rFonts w:cs="宋体"/>
          <w:color w:val="auto"/>
        </w:rPr>
        <w:t>21</w:t>
      </w:r>
      <w:r>
        <w:rPr>
          <w:rFonts w:hint="eastAsia" w:cs="宋体"/>
          <w:color w:val="auto"/>
        </w:rPr>
        <w:t>-20</w:t>
      </w:r>
      <w:r>
        <w:rPr>
          <w:rFonts w:cs="宋体"/>
          <w:color w:val="auto"/>
        </w:rPr>
        <w:t>25</w:t>
      </w:r>
      <w:r>
        <w:rPr>
          <w:rFonts w:hint="eastAsia" w:cs="宋体"/>
          <w:color w:val="auto"/>
        </w:rPr>
        <w:t>年）环境影响报告书》及审查意见的要求。</w:t>
      </w:r>
    </w:p>
    <w:p w14:paraId="1030B522">
      <w:pPr>
        <w:pStyle w:val="86"/>
        <w:ind w:firstLine="480"/>
        <w:rPr>
          <w:rFonts w:hint="eastAsia" w:cs="宋体"/>
          <w:color w:val="auto"/>
        </w:rPr>
      </w:pPr>
      <w:r>
        <w:rPr>
          <w:rFonts w:hint="eastAsia" w:cs="宋体"/>
          <w:color w:val="auto"/>
        </w:rPr>
        <w:t>（7）与《昌吉回族自治州矿产资源总体规划（</w:t>
      </w:r>
      <w:r>
        <w:rPr>
          <w:rFonts w:cs="宋体"/>
          <w:color w:val="auto"/>
        </w:rPr>
        <w:t>2021-2025</w:t>
      </w:r>
      <w:r>
        <w:rPr>
          <w:rFonts w:hint="eastAsia" w:cs="宋体"/>
          <w:color w:val="auto"/>
        </w:rPr>
        <w:t>年）》的符合性分析</w:t>
      </w:r>
    </w:p>
    <w:p w14:paraId="37A19765">
      <w:pPr>
        <w:pStyle w:val="86"/>
        <w:ind w:firstLine="480"/>
        <w:rPr>
          <w:rFonts w:hint="eastAsia" w:cs="宋体"/>
          <w:color w:val="auto"/>
        </w:rPr>
      </w:pPr>
      <w:r>
        <w:rPr>
          <w:rFonts w:hint="eastAsia" w:cs="宋体"/>
          <w:color w:val="auto"/>
        </w:rPr>
        <w:t>《昌吉回族自治州矿产资源总体规划（</w:t>
      </w:r>
      <w:r>
        <w:rPr>
          <w:rFonts w:cs="宋体"/>
          <w:color w:val="auto"/>
        </w:rPr>
        <w:t>2021-2025</w:t>
      </w:r>
      <w:r>
        <w:rPr>
          <w:rFonts w:hint="eastAsia" w:cs="宋体"/>
          <w:color w:val="auto"/>
        </w:rPr>
        <w:t>年）》取得新疆维吾尔自治区自然资源厅批复，审批文号（新自然资函〔2022〕467号）（见附件），该规划明确指出：鼓励勘查开采的矿种主要有石油、天然气、煤层气、页岩气、煤、地热、金、铜、饰面用花岗岩、石灰岩、天然石英砂、石墨等矿产和自治区紧缺及市场需求量较大的矿产。</w:t>
      </w:r>
    </w:p>
    <w:p w14:paraId="4D39C074">
      <w:pPr>
        <w:pStyle w:val="86"/>
        <w:ind w:firstLine="480"/>
        <w:rPr>
          <w:rFonts w:hint="eastAsia" w:cs="宋体"/>
          <w:color w:val="auto"/>
        </w:rPr>
      </w:pPr>
      <w:r>
        <w:rPr>
          <w:rFonts w:hint="eastAsia"/>
          <w:color w:val="auto"/>
        </w:rPr>
        <w:t>本项目属于石油</w:t>
      </w:r>
      <w:r>
        <w:rPr>
          <w:rFonts w:hint="eastAsia" w:cs="宋体"/>
          <w:color w:val="auto"/>
        </w:rPr>
        <w:t>开发项目，项目实施后新增天然气产能为9×1</w:t>
      </w:r>
      <w:r>
        <w:rPr>
          <w:rFonts w:cs="宋体"/>
          <w:color w:val="auto"/>
        </w:rPr>
        <w:t>0</w:t>
      </w:r>
      <w:r>
        <w:rPr>
          <w:rFonts w:cs="宋体"/>
          <w:color w:val="auto"/>
          <w:vertAlign w:val="superscript"/>
        </w:rPr>
        <w:t>4</w:t>
      </w:r>
      <w:r>
        <w:rPr>
          <w:rFonts w:cs="宋体"/>
          <w:color w:val="auto"/>
        </w:rPr>
        <w:t>m</w:t>
      </w:r>
      <w:r>
        <w:rPr>
          <w:rFonts w:cs="宋体"/>
          <w:color w:val="auto"/>
          <w:vertAlign w:val="superscript"/>
        </w:rPr>
        <w:t>3</w:t>
      </w:r>
      <w:r>
        <w:rPr>
          <w:rFonts w:cs="宋体"/>
          <w:color w:val="auto"/>
        </w:rPr>
        <w:t>/d</w:t>
      </w:r>
      <w:r>
        <w:rPr>
          <w:rFonts w:hint="eastAsia" w:cs="宋体"/>
          <w:color w:val="auto"/>
        </w:rPr>
        <w:t>、原油产能为69t/d、混烃产量为5.7t/d，符合该矿产资源总体规划要求。</w:t>
      </w:r>
    </w:p>
    <w:p w14:paraId="3B98F5E9">
      <w:pPr>
        <w:pStyle w:val="86"/>
        <w:ind w:firstLine="480"/>
        <w:rPr>
          <w:rFonts w:hint="eastAsia"/>
          <w:color w:val="auto"/>
          <w:lang w:bidi="ar"/>
        </w:rPr>
      </w:pPr>
      <w:r>
        <w:rPr>
          <w:rFonts w:hint="eastAsia"/>
          <w:color w:val="auto"/>
          <w:lang w:bidi="ar"/>
        </w:rPr>
        <w:t>（8）与《昌吉回族自治州矿产资源总体规划（2021-2025年）环境影响报告书》审查意见相符性分析</w:t>
      </w:r>
    </w:p>
    <w:p w14:paraId="761EC854">
      <w:pPr>
        <w:snapToGrid w:val="0"/>
        <w:spacing w:line="500" w:lineRule="exact"/>
        <w:jc w:val="center"/>
        <w:rPr>
          <w:rFonts w:hint="eastAsia" w:ascii="黑体" w:hAnsi="黑体" w:eastAsia="黑体" w:cs="黑体"/>
          <w:color w:val="auto"/>
          <w:szCs w:val="21"/>
        </w:rPr>
      </w:pPr>
      <w:bookmarkStart w:id="166" w:name="_Hlk188376208"/>
      <w:r>
        <w:rPr>
          <w:rFonts w:hint="eastAsia" w:ascii="黑体" w:hAnsi="黑体" w:eastAsia="黑体" w:cs="黑体"/>
          <w:color w:val="auto"/>
          <w:szCs w:val="21"/>
        </w:rPr>
        <w:t xml:space="preserve">表2.9-5 </w:t>
      </w:r>
      <w:r>
        <w:rPr>
          <w:rFonts w:ascii="黑体" w:hAnsi="黑体" w:eastAsia="黑体" w:cs="黑体"/>
          <w:color w:val="auto"/>
          <w:szCs w:val="21"/>
        </w:rPr>
        <w:t xml:space="preserve"> </w:t>
      </w:r>
      <w:r>
        <w:rPr>
          <w:rFonts w:hint="eastAsia" w:ascii="黑体" w:hAnsi="黑体" w:eastAsia="黑体" w:cs="黑体"/>
          <w:color w:val="auto"/>
          <w:szCs w:val="21"/>
        </w:rPr>
        <w:t>项目与《新疆油田公司“十四五”发展规划环境影响报告书》审查意见符合性分析</w:t>
      </w:r>
      <w:bookmarkEnd w:id="166"/>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49"/>
        <w:gridCol w:w="4896"/>
        <w:gridCol w:w="2687"/>
        <w:gridCol w:w="798"/>
      </w:tblGrid>
      <w:tr w14:paraId="465B86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00" w:type="pct"/>
            <w:tcMar>
              <w:left w:w="0" w:type="dxa"/>
              <w:right w:w="0" w:type="dxa"/>
            </w:tcMar>
            <w:vAlign w:val="center"/>
          </w:tcPr>
          <w:p w14:paraId="15F832CF">
            <w:pPr>
              <w:adjustRightInd w:val="0"/>
              <w:snapToGrid w:val="0"/>
              <w:spacing w:line="300" w:lineRule="exact"/>
              <w:jc w:val="center"/>
              <w:rPr>
                <w:color w:val="auto"/>
                <w:szCs w:val="21"/>
              </w:rPr>
            </w:pPr>
            <w:r>
              <w:rPr>
                <w:rFonts w:hint="eastAsia"/>
                <w:color w:val="auto"/>
                <w:szCs w:val="21"/>
                <w:lang w:bidi="ar"/>
              </w:rPr>
              <w:t>序号</w:t>
            </w:r>
          </w:p>
        </w:tc>
        <w:tc>
          <w:tcPr>
            <w:tcW w:w="2804" w:type="pct"/>
            <w:tcMar>
              <w:left w:w="0" w:type="dxa"/>
              <w:right w:w="0" w:type="dxa"/>
            </w:tcMar>
            <w:vAlign w:val="center"/>
          </w:tcPr>
          <w:p w14:paraId="6DC1DF13">
            <w:pPr>
              <w:adjustRightInd w:val="0"/>
              <w:snapToGrid w:val="0"/>
              <w:spacing w:line="300" w:lineRule="exact"/>
              <w:jc w:val="center"/>
              <w:rPr>
                <w:color w:val="auto"/>
                <w:szCs w:val="21"/>
              </w:rPr>
            </w:pPr>
            <w:r>
              <w:rPr>
                <w:rFonts w:hint="eastAsia"/>
                <w:color w:val="auto"/>
                <w:szCs w:val="21"/>
                <w:lang w:bidi="ar"/>
              </w:rPr>
              <w:t>规划环评审查意见</w:t>
            </w:r>
          </w:p>
        </w:tc>
        <w:tc>
          <w:tcPr>
            <w:tcW w:w="1539" w:type="pct"/>
            <w:tcMar>
              <w:left w:w="0" w:type="dxa"/>
              <w:right w:w="0" w:type="dxa"/>
            </w:tcMar>
            <w:vAlign w:val="center"/>
          </w:tcPr>
          <w:p w14:paraId="4197DEBA">
            <w:pPr>
              <w:adjustRightInd w:val="0"/>
              <w:snapToGrid w:val="0"/>
              <w:spacing w:line="300" w:lineRule="exact"/>
              <w:jc w:val="center"/>
              <w:rPr>
                <w:color w:val="auto"/>
                <w:szCs w:val="21"/>
              </w:rPr>
            </w:pPr>
            <w:r>
              <w:rPr>
                <w:rFonts w:hint="eastAsia"/>
                <w:color w:val="auto"/>
                <w:szCs w:val="21"/>
                <w:lang w:bidi="ar"/>
              </w:rPr>
              <w:t>拟采取的相关措施</w:t>
            </w:r>
          </w:p>
        </w:tc>
        <w:tc>
          <w:tcPr>
            <w:tcW w:w="457" w:type="pct"/>
            <w:tcMar>
              <w:left w:w="0" w:type="dxa"/>
              <w:right w:w="0" w:type="dxa"/>
            </w:tcMar>
            <w:vAlign w:val="center"/>
          </w:tcPr>
          <w:p w14:paraId="7A48651A">
            <w:pPr>
              <w:adjustRightInd w:val="0"/>
              <w:snapToGrid w:val="0"/>
              <w:spacing w:line="300" w:lineRule="exact"/>
              <w:jc w:val="center"/>
              <w:rPr>
                <w:color w:val="auto"/>
                <w:szCs w:val="21"/>
              </w:rPr>
            </w:pPr>
            <w:r>
              <w:rPr>
                <w:rFonts w:hint="eastAsia"/>
                <w:color w:val="auto"/>
                <w:szCs w:val="21"/>
                <w:lang w:bidi="ar"/>
              </w:rPr>
              <w:t>相符性分析</w:t>
            </w:r>
          </w:p>
        </w:tc>
      </w:tr>
      <w:tr w14:paraId="3F6163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 w:type="pct"/>
            <w:tcMar>
              <w:left w:w="0" w:type="dxa"/>
              <w:right w:w="0" w:type="dxa"/>
            </w:tcMar>
            <w:vAlign w:val="center"/>
          </w:tcPr>
          <w:p w14:paraId="40566B28">
            <w:pPr>
              <w:adjustRightInd w:val="0"/>
              <w:snapToGrid w:val="0"/>
              <w:spacing w:line="300" w:lineRule="exact"/>
              <w:jc w:val="center"/>
              <w:rPr>
                <w:color w:val="auto"/>
                <w:szCs w:val="21"/>
              </w:rPr>
            </w:pPr>
            <w:r>
              <w:rPr>
                <w:rFonts w:hint="eastAsia"/>
                <w:color w:val="auto"/>
                <w:szCs w:val="21"/>
                <w:lang w:bidi="ar"/>
              </w:rPr>
              <w:t>1</w:t>
            </w:r>
          </w:p>
        </w:tc>
        <w:tc>
          <w:tcPr>
            <w:tcW w:w="2804" w:type="pct"/>
            <w:tcMar>
              <w:left w:w="0" w:type="dxa"/>
              <w:right w:w="0" w:type="dxa"/>
            </w:tcMar>
            <w:vAlign w:val="center"/>
          </w:tcPr>
          <w:p w14:paraId="4E59AFCD">
            <w:pPr>
              <w:autoSpaceDE w:val="0"/>
              <w:autoSpaceDN w:val="0"/>
              <w:adjustRightInd w:val="0"/>
              <w:snapToGrid w:val="0"/>
              <w:spacing w:line="300" w:lineRule="exact"/>
              <w:rPr>
                <w:color w:val="auto"/>
                <w:szCs w:val="21"/>
              </w:rPr>
            </w:pPr>
            <w:r>
              <w:rPr>
                <w:rFonts w:hint="eastAsia"/>
                <w:color w:val="auto"/>
                <w:szCs w:val="21"/>
              </w:rPr>
              <w:t>（一）严守生态保护红线，加强空间管控。坚持以习近平生态文明思想为指导，严守生态保护红线，严格维护区域主导生态功能，积极推动绿色发展，促进人与自然和谐共生。主动对接国土空间规划，进一步做好与“三线一单”生态环境分区管控方案、主体功能区划、生态功能区划等有关要求的有序衔接和细化分解，严格落实各项生态环境保护要求，协同推进石油天然气开发和生态环境保护相协调，切实维护区域生态系统的完整性和稳定性。加强规划区内环境敏感区和重要环境保护目标的生态环境保护工作，开展项目环评时应将油气开发对环境敏感区影响作为重点评价内容，并采取合理、有效的保护措施，确保规划涉及环境敏感区和重要环境保护目标不因油气开发而造成环境污染和生态破坏。</w:t>
            </w:r>
          </w:p>
        </w:tc>
        <w:tc>
          <w:tcPr>
            <w:tcW w:w="1539" w:type="pct"/>
            <w:tcMar>
              <w:left w:w="0" w:type="dxa"/>
              <w:right w:w="0" w:type="dxa"/>
            </w:tcMar>
            <w:vAlign w:val="center"/>
          </w:tcPr>
          <w:p w14:paraId="61BA363E">
            <w:pPr>
              <w:autoSpaceDE w:val="0"/>
              <w:autoSpaceDN w:val="0"/>
              <w:adjustRightInd w:val="0"/>
              <w:snapToGrid w:val="0"/>
              <w:spacing w:line="300" w:lineRule="exact"/>
              <w:rPr>
                <w:rFonts w:hint="eastAsia" w:ascii="宋体" w:hAnsi="宋体"/>
                <w:color w:val="auto"/>
                <w:szCs w:val="21"/>
              </w:rPr>
            </w:pPr>
            <w:r>
              <w:rPr>
                <w:rFonts w:hint="eastAsia" w:ascii="宋体" w:hAnsi="宋体"/>
                <w:color w:val="auto"/>
                <w:szCs w:val="21"/>
              </w:rPr>
              <w:t>根据《新疆维吾尔自治区生态环境分区管控动态更新成果》（新环环评发〔2024〕157号）和《</w:t>
            </w:r>
            <w:r>
              <w:rPr>
                <w:rFonts w:ascii="宋体" w:hAnsi="宋体"/>
                <w:color w:val="auto"/>
                <w:szCs w:val="21"/>
              </w:rPr>
              <w:t>昌吉回族自治州生态环境分区管控动态更新成果</w:t>
            </w:r>
            <w:r>
              <w:rPr>
                <w:rFonts w:hint="eastAsia" w:ascii="宋体" w:hAnsi="宋体"/>
                <w:color w:val="auto"/>
                <w:szCs w:val="21"/>
              </w:rPr>
              <w:t>（2024年）》可知，项目区位于玛纳斯县一般管控单元（</w:t>
            </w:r>
            <w:r>
              <w:rPr>
                <w:rFonts w:ascii="宋体" w:hAnsi="宋体"/>
                <w:color w:val="auto"/>
                <w:szCs w:val="21"/>
              </w:rPr>
              <w:t>ZH65232430001</w:t>
            </w:r>
            <w:r>
              <w:rPr>
                <w:rFonts w:hint="eastAsia" w:ascii="宋体" w:hAnsi="宋体"/>
                <w:color w:val="auto"/>
                <w:szCs w:val="21"/>
              </w:rPr>
              <w:t>）。</w:t>
            </w:r>
          </w:p>
        </w:tc>
        <w:tc>
          <w:tcPr>
            <w:tcW w:w="457" w:type="pct"/>
            <w:tcMar>
              <w:left w:w="0" w:type="dxa"/>
              <w:right w:w="0" w:type="dxa"/>
            </w:tcMar>
            <w:vAlign w:val="center"/>
          </w:tcPr>
          <w:p w14:paraId="3FBFE282">
            <w:pPr>
              <w:adjustRightInd w:val="0"/>
              <w:snapToGrid w:val="0"/>
              <w:spacing w:line="300" w:lineRule="exact"/>
              <w:jc w:val="center"/>
              <w:rPr>
                <w:color w:val="auto"/>
                <w:szCs w:val="21"/>
              </w:rPr>
            </w:pPr>
            <w:r>
              <w:rPr>
                <w:rFonts w:hint="eastAsia"/>
                <w:color w:val="auto"/>
                <w:szCs w:val="21"/>
              </w:rPr>
              <w:t>符合</w:t>
            </w:r>
          </w:p>
        </w:tc>
      </w:tr>
      <w:tr w14:paraId="0B8F95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 w:type="pct"/>
            <w:tcMar>
              <w:left w:w="0" w:type="dxa"/>
              <w:right w:w="0" w:type="dxa"/>
            </w:tcMar>
            <w:vAlign w:val="center"/>
          </w:tcPr>
          <w:p w14:paraId="164543FE">
            <w:pPr>
              <w:adjustRightInd w:val="0"/>
              <w:snapToGrid w:val="0"/>
              <w:spacing w:line="300" w:lineRule="exact"/>
              <w:jc w:val="center"/>
              <w:rPr>
                <w:color w:val="auto"/>
                <w:szCs w:val="21"/>
                <w:lang w:bidi="ar"/>
              </w:rPr>
            </w:pPr>
            <w:r>
              <w:rPr>
                <w:rFonts w:hint="eastAsia"/>
                <w:color w:val="auto"/>
                <w:szCs w:val="21"/>
                <w:lang w:bidi="ar"/>
              </w:rPr>
              <w:t>2</w:t>
            </w:r>
          </w:p>
        </w:tc>
        <w:tc>
          <w:tcPr>
            <w:tcW w:w="2804" w:type="pct"/>
            <w:tcMar>
              <w:left w:w="0" w:type="dxa"/>
              <w:right w:w="0" w:type="dxa"/>
            </w:tcMar>
            <w:vAlign w:val="center"/>
          </w:tcPr>
          <w:p w14:paraId="7A4E1666">
            <w:pPr>
              <w:autoSpaceDE w:val="0"/>
              <w:autoSpaceDN w:val="0"/>
              <w:adjustRightInd w:val="0"/>
              <w:snapToGrid w:val="0"/>
              <w:spacing w:line="300" w:lineRule="exact"/>
              <w:rPr>
                <w:color w:val="auto"/>
                <w:szCs w:val="21"/>
              </w:rPr>
            </w:pPr>
            <w:r>
              <w:rPr>
                <w:rFonts w:hint="eastAsia"/>
                <w:color w:val="auto"/>
                <w:szCs w:val="21"/>
              </w:rPr>
              <w:t>（二）合理确定开发方案，优化开发布局。根据区域主体功能定位，结合区域资源环境特征、生态保护红线等相关管控要求，依据生态环境影响评价结果，从穿越位置、穿越方式、施工场地设置、管线工艺设计、环境风险防范等方面对规划建设油气长输管道工程及油气田内部集输管道工程选址选线提出要求，进一步优化石油天然气开采规模、开发布局和建设时序，优先避让环境敏感区，远离沿线居民。总结石油天然气开发过程对生态环境影响和保护经验，及时进行优化调整。</w:t>
            </w:r>
          </w:p>
        </w:tc>
        <w:tc>
          <w:tcPr>
            <w:tcW w:w="1539" w:type="pct"/>
            <w:tcMar>
              <w:left w:w="0" w:type="dxa"/>
              <w:right w:w="0" w:type="dxa"/>
            </w:tcMar>
            <w:vAlign w:val="center"/>
          </w:tcPr>
          <w:p w14:paraId="20BE50ED">
            <w:pPr>
              <w:autoSpaceDE w:val="0"/>
              <w:autoSpaceDN w:val="0"/>
              <w:adjustRightInd w:val="0"/>
              <w:snapToGrid w:val="0"/>
              <w:spacing w:line="300" w:lineRule="exact"/>
              <w:rPr>
                <w:color w:val="auto"/>
                <w:szCs w:val="21"/>
              </w:rPr>
            </w:pPr>
            <w:r>
              <w:rPr>
                <w:rFonts w:hint="eastAsia"/>
                <w:color w:val="auto"/>
                <w:szCs w:val="21"/>
              </w:rPr>
              <w:t>项目区域和管道沿线内均不涉及依法划定的自然保护区、饮用水源保护区、森林公园及其他需要特别保护的环境敏感区，本项目不占用玛纳斯县土地沙化生态保护红线区，严格按照绿色矿山的开发要求，采取严格的生态保护和修复措施。</w:t>
            </w:r>
          </w:p>
        </w:tc>
        <w:tc>
          <w:tcPr>
            <w:tcW w:w="457" w:type="pct"/>
            <w:tcMar>
              <w:left w:w="0" w:type="dxa"/>
              <w:right w:w="0" w:type="dxa"/>
            </w:tcMar>
            <w:vAlign w:val="center"/>
          </w:tcPr>
          <w:p w14:paraId="40334FF7">
            <w:pPr>
              <w:adjustRightInd w:val="0"/>
              <w:snapToGrid w:val="0"/>
              <w:spacing w:line="300" w:lineRule="exact"/>
              <w:jc w:val="center"/>
              <w:rPr>
                <w:color w:val="auto"/>
                <w:szCs w:val="21"/>
              </w:rPr>
            </w:pPr>
            <w:r>
              <w:rPr>
                <w:rFonts w:hint="eastAsia"/>
                <w:color w:val="auto"/>
                <w:szCs w:val="21"/>
              </w:rPr>
              <w:t>符合</w:t>
            </w:r>
          </w:p>
        </w:tc>
      </w:tr>
      <w:tr w14:paraId="477266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 w:type="pct"/>
            <w:tcMar>
              <w:left w:w="0" w:type="dxa"/>
              <w:right w:w="0" w:type="dxa"/>
            </w:tcMar>
            <w:vAlign w:val="center"/>
          </w:tcPr>
          <w:p w14:paraId="1E6A9A0C">
            <w:pPr>
              <w:adjustRightInd w:val="0"/>
              <w:snapToGrid w:val="0"/>
              <w:spacing w:line="300" w:lineRule="exact"/>
              <w:jc w:val="center"/>
              <w:rPr>
                <w:color w:val="auto"/>
                <w:szCs w:val="21"/>
                <w:lang w:bidi="ar"/>
              </w:rPr>
            </w:pPr>
            <w:r>
              <w:rPr>
                <w:rFonts w:hint="eastAsia"/>
                <w:color w:val="auto"/>
                <w:szCs w:val="21"/>
                <w:lang w:bidi="ar"/>
              </w:rPr>
              <w:t>3</w:t>
            </w:r>
          </w:p>
        </w:tc>
        <w:tc>
          <w:tcPr>
            <w:tcW w:w="2804" w:type="pct"/>
            <w:tcMar>
              <w:left w:w="0" w:type="dxa"/>
              <w:right w:w="0" w:type="dxa"/>
            </w:tcMar>
            <w:vAlign w:val="center"/>
          </w:tcPr>
          <w:p w14:paraId="7AA4902E">
            <w:pPr>
              <w:autoSpaceDE w:val="0"/>
              <w:autoSpaceDN w:val="0"/>
              <w:adjustRightInd w:val="0"/>
              <w:snapToGrid w:val="0"/>
              <w:spacing w:line="300" w:lineRule="exact"/>
              <w:rPr>
                <w:color w:val="auto"/>
                <w:szCs w:val="21"/>
              </w:rPr>
            </w:pPr>
            <w:r>
              <w:rPr>
                <w:rFonts w:hint="eastAsia"/>
                <w:color w:val="auto"/>
                <w:szCs w:val="21"/>
              </w:rPr>
              <w:t>（三）严格生态环境保护，强化各类污染物防治。针对规划实施可能出现的累积性、长期性生态环境问题，采取积极有效的生态复垦和生态恢复措施，确保实现《报告书》提出的各项生态恢复治理要求，有效减缓规划区生态环境退化趋势。根据油气开采产业政策和生态环境保护政策要求，严格落实资源环境指标要求，进一步控制污染物排放以及能源消耗水平，对油气开采产生的废弃油基泥浆、含油钻屑及其他固体废物，提出减量化的源头控制措施、资源化的利用路径、无害化的处理要求，按照国家和地方有关固体废物的管理规定进行处置，提高废弃油基泥浆和含油钻屑及其处理产物的综合利用率。根据油气开采产业政策和生态环境保护政策要求，严格落实资源环境指标要求，进一步控制污染物排放以及能源消耗水平。油气开采、输送、储存、净化等过程及非正常工况应加强挥发性有机物等污染物排放控制，确保满足区域环境空气质量要求。加强开采废水污染控制，涉及回注的应经处理满足《碎屑岩油藏注水水质推荐指标及分析方法》（ SY/T5329）等相关标准要求，采取切实可行的地下水污染防治和监控措施，防止造成地下水污染。油气开采过程中产生的固体废物，应当遵循减量化、资源化、无害化原则，合规处置。加强伴生气、落地油、采出水等回收利用，提高综合利用水平。</w:t>
            </w:r>
          </w:p>
        </w:tc>
        <w:tc>
          <w:tcPr>
            <w:tcW w:w="1539" w:type="pct"/>
            <w:tcMar>
              <w:left w:w="0" w:type="dxa"/>
              <w:right w:w="0" w:type="dxa"/>
            </w:tcMar>
            <w:vAlign w:val="center"/>
          </w:tcPr>
          <w:p w14:paraId="163C1C0A">
            <w:pPr>
              <w:autoSpaceDE w:val="0"/>
              <w:autoSpaceDN w:val="0"/>
              <w:adjustRightInd w:val="0"/>
              <w:snapToGrid w:val="0"/>
              <w:spacing w:line="300" w:lineRule="exact"/>
              <w:rPr>
                <w:color w:val="auto"/>
                <w:szCs w:val="21"/>
              </w:rPr>
            </w:pPr>
            <w:r>
              <w:rPr>
                <w:rFonts w:hint="eastAsia"/>
                <w:color w:val="auto"/>
                <w:szCs w:val="21"/>
              </w:rPr>
              <w:t>本工程环评对建设期间，运营期废气、废水、噪声、固废等污染物提出了防治措施，建设单位在施工和运营期间应严格落实环评提出的各项污染防治措施。</w:t>
            </w:r>
          </w:p>
        </w:tc>
        <w:tc>
          <w:tcPr>
            <w:tcW w:w="457" w:type="pct"/>
            <w:tcMar>
              <w:left w:w="0" w:type="dxa"/>
              <w:right w:w="0" w:type="dxa"/>
            </w:tcMar>
            <w:vAlign w:val="center"/>
          </w:tcPr>
          <w:p w14:paraId="1B0C71B1">
            <w:pPr>
              <w:adjustRightInd w:val="0"/>
              <w:snapToGrid w:val="0"/>
              <w:spacing w:line="300" w:lineRule="exact"/>
              <w:jc w:val="center"/>
              <w:rPr>
                <w:color w:val="auto"/>
                <w:szCs w:val="21"/>
              </w:rPr>
            </w:pPr>
            <w:r>
              <w:rPr>
                <w:rFonts w:hint="eastAsia"/>
                <w:color w:val="auto"/>
                <w:szCs w:val="21"/>
              </w:rPr>
              <w:t>符合</w:t>
            </w:r>
          </w:p>
        </w:tc>
      </w:tr>
      <w:tr w14:paraId="52F818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 w:type="pct"/>
            <w:tcMar>
              <w:left w:w="0" w:type="dxa"/>
              <w:right w:w="0" w:type="dxa"/>
            </w:tcMar>
            <w:vAlign w:val="center"/>
          </w:tcPr>
          <w:p w14:paraId="0ADD7ABF">
            <w:pPr>
              <w:adjustRightInd w:val="0"/>
              <w:snapToGrid w:val="0"/>
              <w:spacing w:line="300" w:lineRule="exact"/>
              <w:jc w:val="center"/>
              <w:rPr>
                <w:color w:val="auto"/>
                <w:szCs w:val="21"/>
                <w:lang w:bidi="ar"/>
              </w:rPr>
            </w:pPr>
            <w:r>
              <w:rPr>
                <w:rFonts w:hint="eastAsia"/>
                <w:color w:val="auto"/>
                <w:szCs w:val="21"/>
                <w:lang w:bidi="ar"/>
              </w:rPr>
              <w:t>4</w:t>
            </w:r>
          </w:p>
        </w:tc>
        <w:tc>
          <w:tcPr>
            <w:tcW w:w="2804" w:type="pct"/>
            <w:tcMar>
              <w:left w:w="0" w:type="dxa"/>
              <w:right w:w="0" w:type="dxa"/>
            </w:tcMar>
            <w:vAlign w:val="center"/>
          </w:tcPr>
          <w:p w14:paraId="6DBAA96E">
            <w:pPr>
              <w:autoSpaceDE w:val="0"/>
              <w:autoSpaceDN w:val="0"/>
              <w:adjustRightInd w:val="0"/>
              <w:snapToGrid w:val="0"/>
              <w:spacing w:line="300" w:lineRule="exact"/>
              <w:rPr>
                <w:color w:val="auto"/>
                <w:szCs w:val="21"/>
              </w:rPr>
            </w:pPr>
            <w:r>
              <w:rPr>
                <w:rFonts w:hint="eastAsia"/>
                <w:color w:val="auto"/>
                <w:szCs w:val="21"/>
              </w:rPr>
              <w:t>（四）加强生态环境系统治理，维护生态安全。坚持节约优先、保护优先、自然恢复为主，统筹推进山水林田湖草沙一体化保护和系统治理，守住自然生态安全边界。严格控制油气田开发扰动范围，加大生态治理力度，结合油气开采绿色矿山建设等相关要求，落实各项生态环境保护措施，保障区域生态功能不退化。油气开发应同步制定并落实生态保护和修复方案，综合考虑防沙治沙等相关要求，因地制宜开展生态恢复治理工作。</w:t>
            </w:r>
          </w:p>
        </w:tc>
        <w:tc>
          <w:tcPr>
            <w:tcW w:w="1539" w:type="pct"/>
            <w:tcMar>
              <w:left w:w="0" w:type="dxa"/>
              <w:right w:w="0" w:type="dxa"/>
            </w:tcMar>
            <w:vAlign w:val="center"/>
          </w:tcPr>
          <w:p w14:paraId="2D02DC12">
            <w:pPr>
              <w:autoSpaceDE w:val="0"/>
              <w:autoSpaceDN w:val="0"/>
              <w:adjustRightInd w:val="0"/>
              <w:snapToGrid w:val="0"/>
              <w:spacing w:line="300" w:lineRule="exact"/>
              <w:rPr>
                <w:color w:val="auto"/>
                <w:szCs w:val="21"/>
              </w:rPr>
            </w:pPr>
            <w:r>
              <w:rPr>
                <w:rFonts w:hint="eastAsia"/>
                <w:color w:val="auto"/>
                <w:szCs w:val="21"/>
              </w:rPr>
              <w:t>项目区井场、站场和管道沿线内均不涉及依法划定的自然保护区、饮用水源保护区、森林公园及其他需要特别保护的环境敏感区，本项目不占用玛纳斯县土地沙化生态保护红线区，严格按照绿色矿山的开发要求，采取严格的生态保护和修复措施。</w:t>
            </w:r>
          </w:p>
        </w:tc>
        <w:tc>
          <w:tcPr>
            <w:tcW w:w="457" w:type="pct"/>
            <w:tcMar>
              <w:left w:w="0" w:type="dxa"/>
              <w:right w:w="0" w:type="dxa"/>
            </w:tcMar>
            <w:vAlign w:val="center"/>
          </w:tcPr>
          <w:p w14:paraId="61C162CC">
            <w:pPr>
              <w:adjustRightInd w:val="0"/>
              <w:snapToGrid w:val="0"/>
              <w:spacing w:line="300" w:lineRule="exact"/>
              <w:jc w:val="center"/>
              <w:rPr>
                <w:color w:val="auto"/>
                <w:szCs w:val="21"/>
              </w:rPr>
            </w:pPr>
            <w:r>
              <w:rPr>
                <w:rFonts w:hint="eastAsia"/>
                <w:color w:val="auto"/>
                <w:szCs w:val="21"/>
              </w:rPr>
              <w:t>符合</w:t>
            </w:r>
          </w:p>
        </w:tc>
      </w:tr>
      <w:tr w14:paraId="48964D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0" w:type="pct"/>
            <w:tcMar>
              <w:left w:w="0" w:type="dxa"/>
              <w:right w:w="0" w:type="dxa"/>
            </w:tcMar>
            <w:vAlign w:val="center"/>
          </w:tcPr>
          <w:p w14:paraId="12C38D87">
            <w:pPr>
              <w:adjustRightInd w:val="0"/>
              <w:snapToGrid w:val="0"/>
              <w:spacing w:line="300" w:lineRule="exact"/>
              <w:jc w:val="center"/>
              <w:rPr>
                <w:color w:val="auto"/>
                <w:szCs w:val="21"/>
                <w:lang w:bidi="ar"/>
              </w:rPr>
            </w:pPr>
            <w:r>
              <w:rPr>
                <w:rFonts w:hint="eastAsia"/>
                <w:color w:val="auto"/>
                <w:szCs w:val="21"/>
                <w:lang w:bidi="ar"/>
              </w:rPr>
              <w:t>5</w:t>
            </w:r>
          </w:p>
        </w:tc>
        <w:tc>
          <w:tcPr>
            <w:tcW w:w="2804" w:type="pct"/>
            <w:tcMar>
              <w:left w:w="0" w:type="dxa"/>
              <w:right w:w="0" w:type="dxa"/>
            </w:tcMar>
            <w:vAlign w:val="center"/>
          </w:tcPr>
          <w:p w14:paraId="73192318">
            <w:pPr>
              <w:autoSpaceDE w:val="0"/>
              <w:autoSpaceDN w:val="0"/>
              <w:adjustRightInd w:val="0"/>
              <w:snapToGrid w:val="0"/>
              <w:spacing w:line="300" w:lineRule="exact"/>
              <w:rPr>
                <w:color w:val="auto"/>
                <w:szCs w:val="21"/>
              </w:rPr>
            </w:pPr>
            <w:r>
              <w:rPr>
                <w:rFonts w:hint="eastAsia"/>
                <w:color w:val="auto"/>
                <w:szCs w:val="21"/>
              </w:rPr>
              <w:t>（六）加强油气开发事中事后环境管理。油气企业应切实落实生态环境保护主体责任，进一步健全生态环境管理和应急管理体系，确保各项生态环境保护和应急防控措施落实到位。建立环境空气、水环境、土壤环境、生态等监测体系，开展长期跟踪监测。根据监测结果，及时优化开发方案，并采取有效的生态环境保护措施。</w:t>
            </w:r>
          </w:p>
        </w:tc>
        <w:tc>
          <w:tcPr>
            <w:tcW w:w="1539" w:type="pct"/>
            <w:tcMar>
              <w:left w:w="0" w:type="dxa"/>
              <w:right w:w="0" w:type="dxa"/>
            </w:tcMar>
            <w:vAlign w:val="center"/>
          </w:tcPr>
          <w:p w14:paraId="2664529F">
            <w:pPr>
              <w:autoSpaceDE w:val="0"/>
              <w:autoSpaceDN w:val="0"/>
              <w:adjustRightInd w:val="0"/>
              <w:snapToGrid w:val="0"/>
              <w:spacing w:line="300" w:lineRule="exact"/>
              <w:rPr>
                <w:color w:val="auto"/>
                <w:szCs w:val="21"/>
              </w:rPr>
            </w:pPr>
            <w:r>
              <w:rPr>
                <w:rFonts w:hint="eastAsia"/>
                <w:color w:val="auto"/>
                <w:szCs w:val="21"/>
              </w:rPr>
              <w:t>本工程环评要求开展运营期环境监测计划，对区域地下水、土壤、大气环境等的监测，对环境污染隐患做到及早发现、及时处理，制定事故状态下环境风险应急预案和应急处理措施，强化环境风险防范和应急处理能力，严防污染事故发生，不定期开展环境突发事件应急演练。</w:t>
            </w:r>
          </w:p>
        </w:tc>
        <w:tc>
          <w:tcPr>
            <w:tcW w:w="457" w:type="pct"/>
            <w:tcMar>
              <w:left w:w="0" w:type="dxa"/>
              <w:right w:w="0" w:type="dxa"/>
            </w:tcMar>
            <w:vAlign w:val="center"/>
          </w:tcPr>
          <w:p w14:paraId="71C25DD3">
            <w:pPr>
              <w:adjustRightInd w:val="0"/>
              <w:snapToGrid w:val="0"/>
              <w:spacing w:line="300" w:lineRule="exact"/>
              <w:jc w:val="center"/>
              <w:rPr>
                <w:color w:val="auto"/>
                <w:szCs w:val="21"/>
              </w:rPr>
            </w:pPr>
            <w:r>
              <w:rPr>
                <w:rFonts w:hint="eastAsia"/>
                <w:color w:val="auto"/>
                <w:szCs w:val="21"/>
              </w:rPr>
              <w:t>符合</w:t>
            </w:r>
          </w:p>
        </w:tc>
      </w:tr>
    </w:tbl>
    <w:p w14:paraId="4918DC8D">
      <w:pPr>
        <w:pStyle w:val="86"/>
        <w:ind w:firstLine="480"/>
        <w:rPr>
          <w:rFonts w:hint="eastAsia"/>
          <w:color w:val="auto"/>
          <w:lang w:bidi="ar"/>
        </w:rPr>
      </w:pPr>
      <w:r>
        <w:rPr>
          <w:rFonts w:hint="eastAsia"/>
          <w:color w:val="auto"/>
          <w:lang w:bidi="ar"/>
        </w:rPr>
        <w:t>（9）与《新疆油田公司“十四五”发展规划》及规划环评符合性分析</w:t>
      </w:r>
    </w:p>
    <w:p w14:paraId="59D1DB99">
      <w:pPr>
        <w:pStyle w:val="86"/>
        <w:ind w:firstLine="480"/>
        <w:rPr>
          <w:rFonts w:hint="eastAsia"/>
          <w:color w:val="auto"/>
          <w:lang w:bidi="ar"/>
        </w:rPr>
      </w:pPr>
      <w:r>
        <w:rPr>
          <w:rFonts w:hint="eastAsia"/>
          <w:color w:val="auto"/>
          <w:lang w:bidi="ar"/>
        </w:rPr>
        <w:t>①与《新疆油田公司“十四五”发展规划》符合性分析</w:t>
      </w:r>
    </w:p>
    <w:p w14:paraId="62E25645">
      <w:pPr>
        <w:pStyle w:val="86"/>
        <w:ind w:firstLine="480"/>
        <w:rPr>
          <w:rFonts w:hint="eastAsia"/>
          <w:color w:val="auto"/>
          <w:lang w:bidi="ar"/>
        </w:rPr>
      </w:pPr>
      <w:r>
        <w:rPr>
          <w:rFonts w:hint="eastAsia"/>
          <w:color w:val="auto"/>
          <w:lang w:bidi="ar"/>
        </w:rPr>
        <w:t>《新疆油田公司“十四五”发展规划》天然气开发方案，随着呼探</w:t>
      </w:r>
      <w:r>
        <w:rPr>
          <w:color w:val="auto"/>
          <w:lang w:bidi="ar"/>
        </w:rPr>
        <w:t>1</w:t>
      </w:r>
      <w:r>
        <w:rPr>
          <w:rFonts w:hint="eastAsia"/>
          <w:color w:val="auto"/>
          <w:lang w:bidi="ar"/>
        </w:rPr>
        <w:t>、天湾</w:t>
      </w:r>
      <w:r>
        <w:rPr>
          <w:color w:val="auto"/>
          <w:lang w:bidi="ar"/>
        </w:rPr>
        <w:t>1</w:t>
      </w:r>
      <w:r>
        <w:rPr>
          <w:rFonts w:hint="eastAsia"/>
          <w:color w:val="auto"/>
          <w:lang w:bidi="ar"/>
        </w:rPr>
        <w:t>、石西</w:t>
      </w:r>
      <w:r>
        <w:rPr>
          <w:color w:val="auto"/>
          <w:lang w:bidi="ar"/>
        </w:rPr>
        <w:t>16</w:t>
      </w:r>
      <w:r>
        <w:rPr>
          <w:rFonts w:hint="eastAsia"/>
          <w:color w:val="auto"/>
          <w:lang w:bidi="ar"/>
        </w:rPr>
        <w:t>等井突破，盆地展现出“满盆油、半盆气”格局，盆地南部四气领域认识逐步明朗，资源潜力大，目标类型多，分布广，是增储上产主要领域。本项目为石油开发项目，新增天然气产能为9×1</w:t>
      </w:r>
      <w:r>
        <w:rPr>
          <w:color w:val="auto"/>
          <w:lang w:bidi="ar"/>
        </w:rPr>
        <w:t>0</w:t>
      </w:r>
      <w:r>
        <w:rPr>
          <w:color w:val="auto"/>
          <w:vertAlign w:val="superscript"/>
          <w:lang w:bidi="ar"/>
        </w:rPr>
        <w:t>4</w:t>
      </w:r>
      <w:r>
        <w:rPr>
          <w:color w:val="auto"/>
          <w:lang w:bidi="ar"/>
        </w:rPr>
        <w:t>m</w:t>
      </w:r>
      <w:r>
        <w:rPr>
          <w:color w:val="auto"/>
          <w:vertAlign w:val="superscript"/>
          <w:lang w:bidi="ar"/>
        </w:rPr>
        <w:t>3</w:t>
      </w:r>
      <w:r>
        <w:rPr>
          <w:color w:val="auto"/>
          <w:lang w:bidi="ar"/>
        </w:rPr>
        <w:t>/d</w:t>
      </w:r>
      <w:r>
        <w:rPr>
          <w:rFonts w:hint="eastAsia"/>
          <w:color w:val="auto"/>
          <w:lang w:bidi="ar"/>
        </w:rPr>
        <w:t>、原油产能为69t/d、混烃产量为5.7t/d，符合规划要求。</w:t>
      </w:r>
    </w:p>
    <w:p w14:paraId="20147F2B">
      <w:pPr>
        <w:pStyle w:val="86"/>
        <w:ind w:firstLine="480" w:firstLineChars="0"/>
        <w:rPr>
          <w:rFonts w:hint="eastAsia"/>
          <w:color w:val="auto"/>
          <w:lang w:bidi="ar"/>
        </w:rPr>
      </w:pPr>
      <w:r>
        <w:rPr>
          <w:rFonts w:hint="eastAsia"/>
          <w:color w:val="auto"/>
          <w:lang w:bidi="ar"/>
        </w:rPr>
        <w:t>②与《新疆油田公司“十四五”发展规划环境影响报告书》符合性分析</w:t>
      </w:r>
    </w:p>
    <w:p w14:paraId="4D5F4FE4">
      <w:pPr>
        <w:pStyle w:val="86"/>
        <w:ind w:firstLine="480"/>
        <w:rPr>
          <w:rFonts w:hint="eastAsia" w:ascii="黑体" w:hAnsi="黑体" w:eastAsia="黑体"/>
          <w:color w:val="auto"/>
          <w:sz w:val="21"/>
          <w:szCs w:val="21"/>
          <w:lang w:bidi="ar"/>
        </w:rPr>
      </w:pPr>
      <w:r>
        <w:rPr>
          <w:rFonts w:hint="eastAsia"/>
          <w:color w:val="auto"/>
          <w:lang w:bidi="ar"/>
        </w:rPr>
        <w:t>《新疆油田公司“十四五”发展规划环境影响报告书》于2</w:t>
      </w:r>
      <w:r>
        <w:rPr>
          <w:color w:val="auto"/>
          <w:lang w:bidi="ar"/>
        </w:rPr>
        <w:t>022</w:t>
      </w:r>
      <w:r>
        <w:rPr>
          <w:rFonts w:hint="eastAsia"/>
          <w:color w:val="auto"/>
          <w:lang w:bidi="ar"/>
        </w:rPr>
        <w:t>年</w:t>
      </w:r>
      <w:r>
        <w:rPr>
          <w:color w:val="auto"/>
          <w:lang w:bidi="ar"/>
        </w:rPr>
        <w:t>12</w:t>
      </w:r>
      <w:r>
        <w:rPr>
          <w:rFonts w:hint="eastAsia"/>
          <w:color w:val="auto"/>
          <w:lang w:bidi="ar"/>
        </w:rPr>
        <w:t>月1日通过了新疆维吾尔自治区生态环境厅的审查，文号新环审〔2</w:t>
      </w:r>
      <w:r>
        <w:rPr>
          <w:color w:val="auto"/>
          <w:lang w:bidi="ar"/>
        </w:rPr>
        <w:t>022</w:t>
      </w:r>
      <w:r>
        <w:rPr>
          <w:rFonts w:hint="eastAsia"/>
          <w:color w:val="auto"/>
          <w:lang w:bidi="ar"/>
        </w:rPr>
        <w:t>〕2</w:t>
      </w:r>
      <w:r>
        <w:rPr>
          <w:color w:val="auto"/>
          <w:lang w:bidi="ar"/>
        </w:rPr>
        <w:t>52</w:t>
      </w:r>
      <w:r>
        <w:rPr>
          <w:rFonts w:hint="eastAsia"/>
          <w:color w:val="auto"/>
          <w:lang w:bidi="ar"/>
        </w:rPr>
        <w:t>号，项目建设符合《新疆油田公司“十四五”发展规划环境影响报告书》及审查意见中的相关要求，具体见表</w:t>
      </w:r>
      <w:r>
        <w:rPr>
          <w:color w:val="auto"/>
          <w:lang w:bidi="ar"/>
        </w:rPr>
        <w:t>2.9</w:t>
      </w:r>
      <w:r>
        <w:rPr>
          <w:rFonts w:hint="eastAsia"/>
          <w:color w:val="auto"/>
          <w:lang w:bidi="ar"/>
        </w:rPr>
        <w:t>-</w:t>
      </w:r>
      <w:r>
        <w:rPr>
          <w:color w:val="auto"/>
          <w:lang w:bidi="ar"/>
        </w:rPr>
        <w:t>3</w:t>
      </w:r>
      <w:r>
        <w:rPr>
          <w:rFonts w:hint="eastAsia"/>
          <w:color w:val="auto"/>
          <w:lang w:bidi="ar"/>
        </w:rPr>
        <w:t>。</w:t>
      </w:r>
    </w:p>
    <w:p w14:paraId="5C88AB4D">
      <w:pPr>
        <w:pStyle w:val="86"/>
        <w:ind w:firstLine="0" w:firstLineChars="0"/>
        <w:jc w:val="center"/>
        <w:rPr>
          <w:rFonts w:hint="eastAsia" w:ascii="黑体" w:hAnsi="黑体" w:eastAsia="黑体"/>
          <w:color w:val="auto"/>
          <w:lang w:bidi="ar"/>
        </w:rPr>
      </w:pPr>
      <w:r>
        <w:rPr>
          <w:rFonts w:hint="eastAsia" w:ascii="黑体" w:hAnsi="黑体" w:eastAsia="黑体"/>
          <w:color w:val="auto"/>
          <w:sz w:val="21"/>
          <w:szCs w:val="21"/>
          <w:lang w:bidi="ar"/>
        </w:rPr>
        <w:t>表2</w:t>
      </w:r>
      <w:r>
        <w:rPr>
          <w:rFonts w:ascii="黑体" w:hAnsi="黑体" w:eastAsia="黑体"/>
          <w:color w:val="auto"/>
          <w:sz w:val="21"/>
          <w:szCs w:val="21"/>
          <w:lang w:bidi="ar"/>
        </w:rPr>
        <w:t>.9</w:t>
      </w:r>
      <w:r>
        <w:rPr>
          <w:rFonts w:hint="eastAsia" w:ascii="黑体" w:hAnsi="黑体" w:eastAsia="黑体"/>
          <w:color w:val="auto"/>
          <w:sz w:val="21"/>
          <w:szCs w:val="21"/>
          <w:lang w:bidi="ar"/>
        </w:rPr>
        <w:t>-</w:t>
      </w:r>
      <w:r>
        <w:rPr>
          <w:rFonts w:ascii="黑体" w:hAnsi="黑体" w:eastAsia="黑体"/>
          <w:color w:val="auto"/>
          <w:sz w:val="21"/>
          <w:szCs w:val="21"/>
          <w:lang w:bidi="ar"/>
        </w:rPr>
        <w:t>3</w:t>
      </w:r>
      <w:r>
        <w:rPr>
          <w:rFonts w:hint="eastAsia" w:ascii="黑体" w:hAnsi="黑体" w:eastAsia="黑体"/>
          <w:color w:val="auto"/>
          <w:sz w:val="21"/>
          <w:szCs w:val="21"/>
          <w:lang w:bidi="ar"/>
        </w:rPr>
        <w:t xml:space="preserve"> </w:t>
      </w:r>
      <w:r>
        <w:rPr>
          <w:rFonts w:ascii="黑体" w:hAnsi="黑体" w:eastAsia="黑体"/>
          <w:color w:val="auto"/>
          <w:sz w:val="21"/>
          <w:szCs w:val="21"/>
          <w:lang w:bidi="ar"/>
        </w:rPr>
        <w:t xml:space="preserve"> </w:t>
      </w:r>
      <w:r>
        <w:rPr>
          <w:rFonts w:hint="eastAsia" w:ascii="黑体" w:hAnsi="黑体" w:eastAsia="黑体"/>
          <w:color w:val="auto"/>
          <w:sz w:val="21"/>
          <w:szCs w:val="21"/>
          <w:lang w:bidi="ar"/>
        </w:rPr>
        <w:t>项目与《新疆油田公司“十四五”发展规划环境影响报告书》符合性分析</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3828"/>
        <w:gridCol w:w="3260"/>
        <w:gridCol w:w="1075"/>
      </w:tblGrid>
      <w:tr w14:paraId="0992EB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67" w:type="dxa"/>
            <w:tcMar>
              <w:left w:w="0" w:type="dxa"/>
              <w:right w:w="0" w:type="dxa"/>
            </w:tcMar>
            <w:vAlign w:val="center"/>
          </w:tcPr>
          <w:p w14:paraId="0220A223">
            <w:pPr>
              <w:pStyle w:val="296"/>
              <w:adjustRightInd w:val="0"/>
              <w:snapToGrid w:val="0"/>
              <w:spacing w:line="300" w:lineRule="exact"/>
              <w:rPr>
                <w:rFonts w:hint="eastAsia"/>
                <w:color w:val="auto"/>
              </w:rPr>
            </w:pPr>
            <w:r>
              <w:rPr>
                <w:rFonts w:hint="eastAsia"/>
                <w:color w:val="auto"/>
                <w:lang w:bidi="ar"/>
              </w:rPr>
              <w:t>序号</w:t>
            </w:r>
          </w:p>
        </w:tc>
        <w:tc>
          <w:tcPr>
            <w:tcW w:w="3828" w:type="dxa"/>
            <w:tcMar>
              <w:left w:w="0" w:type="dxa"/>
              <w:right w:w="0" w:type="dxa"/>
            </w:tcMar>
            <w:vAlign w:val="center"/>
          </w:tcPr>
          <w:p w14:paraId="38F8C12D">
            <w:pPr>
              <w:pStyle w:val="296"/>
              <w:adjustRightInd w:val="0"/>
              <w:snapToGrid w:val="0"/>
              <w:spacing w:line="300" w:lineRule="exact"/>
              <w:rPr>
                <w:rFonts w:hint="eastAsia"/>
                <w:color w:val="auto"/>
              </w:rPr>
            </w:pPr>
            <w:r>
              <w:rPr>
                <w:rFonts w:hint="eastAsia"/>
                <w:color w:val="auto"/>
                <w:lang w:bidi="ar"/>
              </w:rPr>
              <w:t>规划环评规定</w:t>
            </w:r>
          </w:p>
        </w:tc>
        <w:tc>
          <w:tcPr>
            <w:tcW w:w="3260" w:type="dxa"/>
            <w:tcMar>
              <w:left w:w="0" w:type="dxa"/>
              <w:right w:w="0" w:type="dxa"/>
            </w:tcMar>
            <w:vAlign w:val="center"/>
          </w:tcPr>
          <w:p w14:paraId="3A17B87D">
            <w:pPr>
              <w:pStyle w:val="296"/>
              <w:adjustRightInd w:val="0"/>
              <w:snapToGrid w:val="0"/>
              <w:spacing w:line="300" w:lineRule="exact"/>
              <w:rPr>
                <w:rFonts w:hint="eastAsia"/>
                <w:color w:val="auto"/>
              </w:rPr>
            </w:pPr>
            <w:r>
              <w:rPr>
                <w:rFonts w:hint="eastAsia"/>
                <w:color w:val="auto"/>
                <w:lang w:bidi="ar"/>
              </w:rPr>
              <w:t>拟采取的相关措施</w:t>
            </w:r>
          </w:p>
        </w:tc>
        <w:tc>
          <w:tcPr>
            <w:tcW w:w="1075" w:type="dxa"/>
            <w:tcMar>
              <w:left w:w="0" w:type="dxa"/>
              <w:right w:w="0" w:type="dxa"/>
            </w:tcMar>
            <w:vAlign w:val="center"/>
          </w:tcPr>
          <w:p w14:paraId="3B0D556C">
            <w:pPr>
              <w:pStyle w:val="296"/>
              <w:adjustRightInd w:val="0"/>
              <w:snapToGrid w:val="0"/>
              <w:spacing w:line="300" w:lineRule="exact"/>
              <w:rPr>
                <w:rFonts w:hint="eastAsia"/>
                <w:color w:val="auto"/>
              </w:rPr>
            </w:pPr>
            <w:r>
              <w:rPr>
                <w:rFonts w:hint="eastAsia"/>
                <w:color w:val="auto"/>
                <w:lang w:bidi="ar"/>
              </w:rPr>
              <w:t>相符性分析</w:t>
            </w:r>
          </w:p>
        </w:tc>
      </w:tr>
      <w:tr w14:paraId="3762E2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64500AE4">
            <w:pPr>
              <w:pStyle w:val="296"/>
              <w:adjustRightInd w:val="0"/>
              <w:snapToGrid w:val="0"/>
              <w:spacing w:line="300" w:lineRule="exact"/>
              <w:rPr>
                <w:rFonts w:hint="eastAsia"/>
                <w:color w:val="auto"/>
                <w:lang w:bidi="ar"/>
              </w:rPr>
            </w:pPr>
            <w:r>
              <w:rPr>
                <w:rFonts w:hint="eastAsia"/>
                <w:color w:val="auto"/>
                <w:lang w:bidi="ar"/>
              </w:rPr>
              <w:t>1</w:t>
            </w:r>
          </w:p>
        </w:tc>
        <w:tc>
          <w:tcPr>
            <w:tcW w:w="3828" w:type="dxa"/>
            <w:tcMar>
              <w:left w:w="0" w:type="dxa"/>
              <w:right w:w="0" w:type="dxa"/>
            </w:tcMar>
            <w:vAlign w:val="center"/>
          </w:tcPr>
          <w:p w14:paraId="6DBEBD5E">
            <w:pPr>
              <w:autoSpaceDE w:val="0"/>
              <w:autoSpaceDN w:val="0"/>
              <w:adjustRightInd w:val="0"/>
              <w:snapToGrid w:val="0"/>
              <w:spacing w:line="300" w:lineRule="exact"/>
              <w:rPr>
                <w:rFonts w:hint="eastAsia" w:ascii="宋体" w:hAnsi="宋体" w:cs="宋体"/>
                <w:color w:val="auto"/>
                <w:kern w:val="0"/>
                <w:szCs w:val="21"/>
              </w:rPr>
            </w:pPr>
            <w:r>
              <w:rPr>
                <w:rFonts w:hint="eastAsia" w:ascii="宋体" w:hAnsi="宋体" w:cs="宋体"/>
                <w:color w:val="auto"/>
                <w:kern w:val="0"/>
                <w:szCs w:val="21"/>
              </w:rPr>
              <w:t>含油污泥、废分子筛等危险废物交由有相应处理资质的单位进行无害化处置。危险废物贮存设施必须满足</w:t>
            </w:r>
            <w:r>
              <w:rPr>
                <w:rFonts w:hint="eastAsia" w:ascii="宋体" w:hAnsi="宋体"/>
                <w:color w:val="auto"/>
                <w:szCs w:val="21"/>
              </w:rPr>
              <w:t>存场所必须满足《危险废物贮存污染控制标准》（</w:t>
            </w:r>
            <w:r>
              <w:rPr>
                <w:rFonts w:ascii="宋体" w:hAnsi="宋体"/>
                <w:color w:val="auto"/>
                <w:szCs w:val="21"/>
              </w:rPr>
              <w:t>GB 18597-2023</w:t>
            </w:r>
            <w:r>
              <w:rPr>
                <w:rFonts w:hint="eastAsia" w:ascii="宋体" w:hAnsi="宋体"/>
                <w:color w:val="auto"/>
                <w:szCs w:val="21"/>
              </w:rPr>
              <w:t>）的相关要求，并按照《环境保护图形标志</w:t>
            </w:r>
            <w:r>
              <w:rPr>
                <w:rFonts w:ascii="宋体" w:hAnsi="宋体"/>
                <w:color w:val="auto"/>
                <w:szCs w:val="21"/>
              </w:rPr>
              <w:t>—</w:t>
            </w:r>
            <w:r>
              <w:rPr>
                <w:rFonts w:hint="eastAsia" w:ascii="宋体" w:hAnsi="宋体"/>
                <w:color w:val="auto"/>
                <w:szCs w:val="21"/>
              </w:rPr>
              <w:t>固体废物贮存（处置）场》《危险废物标志牌式样》设置明显标志。工作人员的生活垃圾设置垃圾桶集中收集后交由当地的环卫部门及时清运。</w:t>
            </w:r>
          </w:p>
        </w:tc>
        <w:tc>
          <w:tcPr>
            <w:tcW w:w="3260" w:type="dxa"/>
            <w:tcMar>
              <w:left w:w="0" w:type="dxa"/>
              <w:right w:w="0" w:type="dxa"/>
            </w:tcMar>
            <w:vAlign w:val="center"/>
          </w:tcPr>
          <w:p w14:paraId="4973B89B">
            <w:pPr>
              <w:pStyle w:val="296"/>
              <w:adjustRightInd w:val="0"/>
              <w:snapToGrid w:val="0"/>
              <w:spacing w:line="300" w:lineRule="exact"/>
              <w:jc w:val="both"/>
              <w:rPr>
                <w:rFonts w:hint="eastAsia"/>
                <w:color w:val="auto"/>
              </w:rPr>
            </w:pPr>
            <w:r>
              <w:rPr>
                <w:rFonts w:hint="eastAsia"/>
                <w:color w:val="auto"/>
              </w:rPr>
              <w:t>运营期危险废物为清罐底泥、废分子筛、废滤料、废润滑油、废润滑油桶、沾油废防渗材料</w:t>
            </w:r>
            <w:r>
              <w:rPr>
                <w:rFonts w:hint="eastAsia" w:cs="宋体"/>
                <w:color w:val="auto"/>
              </w:rPr>
              <w:t>、</w:t>
            </w:r>
            <w:r>
              <w:rPr>
                <w:rFonts w:hint="eastAsia" w:cs="宋体"/>
                <w:color w:val="auto"/>
                <w:lang w:val="zh-CN"/>
              </w:rPr>
              <w:t>废含油抹布及劳保用品</w:t>
            </w:r>
            <w:r>
              <w:rPr>
                <w:rFonts w:hint="eastAsia"/>
                <w:color w:val="auto"/>
              </w:rPr>
              <w:t>，固体废物分类收集，最终交由有相应资质的单位处置。</w:t>
            </w:r>
          </w:p>
        </w:tc>
        <w:tc>
          <w:tcPr>
            <w:tcW w:w="1075" w:type="dxa"/>
            <w:tcMar>
              <w:left w:w="0" w:type="dxa"/>
              <w:right w:w="0" w:type="dxa"/>
            </w:tcMar>
            <w:vAlign w:val="center"/>
          </w:tcPr>
          <w:p w14:paraId="777DFD14">
            <w:pPr>
              <w:pStyle w:val="296"/>
              <w:adjustRightInd w:val="0"/>
              <w:snapToGrid w:val="0"/>
              <w:spacing w:line="300" w:lineRule="exact"/>
              <w:rPr>
                <w:rFonts w:hint="eastAsia"/>
                <w:color w:val="auto"/>
              </w:rPr>
            </w:pPr>
            <w:r>
              <w:rPr>
                <w:rFonts w:hint="eastAsia"/>
                <w:color w:val="auto"/>
              </w:rPr>
              <w:t>符合</w:t>
            </w:r>
          </w:p>
        </w:tc>
      </w:tr>
      <w:tr w14:paraId="470D9A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678E7FFF">
            <w:pPr>
              <w:pStyle w:val="296"/>
              <w:adjustRightInd w:val="0"/>
              <w:snapToGrid w:val="0"/>
              <w:spacing w:line="300" w:lineRule="exact"/>
              <w:rPr>
                <w:rFonts w:hint="eastAsia"/>
                <w:color w:val="auto"/>
                <w:lang w:bidi="ar"/>
              </w:rPr>
            </w:pPr>
            <w:r>
              <w:rPr>
                <w:color w:val="auto"/>
                <w:lang w:bidi="ar"/>
              </w:rPr>
              <w:t>2</w:t>
            </w:r>
          </w:p>
        </w:tc>
        <w:tc>
          <w:tcPr>
            <w:tcW w:w="3828" w:type="dxa"/>
            <w:tcMar>
              <w:left w:w="0" w:type="dxa"/>
              <w:right w:w="0" w:type="dxa"/>
            </w:tcMar>
            <w:vAlign w:val="center"/>
          </w:tcPr>
          <w:p w14:paraId="60D1562A">
            <w:pPr>
              <w:pStyle w:val="411"/>
              <w:snapToGrid w:val="0"/>
              <w:spacing w:line="300" w:lineRule="exact"/>
              <w:rPr>
                <w:rFonts w:hint="eastAsia" w:hAnsi="宋体"/>
                <w:color w:val="auto"/>
                <w:sz w:val="21"/>
                <w:szCs w:val="21"/>
              </w:rPr>
            </w:pPr>
            <w:r>
              <w:rPr>
                <w:rFonts w:hint="eastAsia" w:hAnsi="宋体"/>
                <w:color w:val="auto"/>
                <w:sz w:val="21"/>
                <w:szCs w:val="21"/>
              </w:rPr>
              <w:t>采用技术质量可靠的设备、仪表控制、阀门等；在油气集输过程中，为减轻烃类的排放，油田开发采用管道密闭集输流程，一旦发生泄漏事故，紧急切断油、气源，实施关井，从而最大限度地减少油气集输过程中烃类及油的排放量。对各井场的设备、阀门等进行定期的检查、检修，以减少跑、冒、滴、漏的发生；设备或管线组件发生了泄漏，应开展修复工作。</w:t>
            </w:r>
          </w:p>
        </w:tc>
        <w:tc>
          <w:tcPr>
            <w:tcW w:w="3260" w:type="dxa"/>
            <w:tcMar>
              <w:left w:w="0" w:type="dxa"/>
              <w:right w:w="0" w:type="dxa"/>
            </w:tcMar>
            <w:vAlign w:val="center"/>
          </w:tcPr>
          <w:p w14:paraId="59E3851D">
            <w:pPr>
              <w:pStyle w:val="296"/>
              <w:adjustRightInd w:val="0"/>
              <w:snapToGrid w:val="0"/>
              <w:spacing w:line="300" w:lineRule="exact"/>
              <w:rPr>
                <w:rFonts w:hint="eastAsia"/>
                <w:color w:val="auto"/>
              </w:rPr>
            </w:pPr>
            <w:r>
              <w:rPr>
                <w:rFonts w:hint="eastAsia"/>
                <w:color w:val="auto"/>
              </w:rPr>
              <w:t>本次环评提出的大气污染防治措施为：选用质量可靠的设备、仪表、阀门等；定期对井场和CNG橇装天然气处理装置的设备、阀门、法兰和管线等检查维修。</w:t>
            </w:r>
          </w:p>
        </w:tc>
        <w:tc>
          <w:tcPr>
            <w:tcW w:w="1075" w:type="dxa"/>
            <w:tcMar>
              <w:left w:w="0" w:type="dxa"/>
              <w:right w:w="0" w:type="dxa"/>
            </w:tcMar>
            <w:vAlign w:val="center"/>
          </w:tcPr>
          <w:p w14:paraId="08768D0B">
            <w:pPr>
              <w:pStyle w:val="296"/>
              <w:adjustRightInd w:val="0"/>
              <w:snapToGrid w:val="0"/>
              <w:spacing w:line="300" w:lineRule="exact"/>
              <w:rPr>
                <w:rFonts w:hint="eastAsia"/>
                <w:color w:val="auto"/>
              </w:rPr>
            </w:pPr>
            <w:r>
              <w:rPr>
                <w:rFonts w:hint="eastAsia"/>
                <w:color w:val="auto"/>
              </w:rPr>
              <w:t>符合</w:t>
            </w:r>
          </w:p>
        </w:tc>
      </w:tr>
      <w:tr w14:paraId="7EBF1A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6FFAEF24">
            <w:pPr>
              <w:pStyle w:val="296"/>
              <w:adjustRightInd w:val="0"/>
              <w:snapToGrid w:val="0"/>
              <w:spacing w:line="300" w:lineRule="exact"/>
              <w:rPr>
                <w:rFonts w:hint="eastAsia"/>
                <w:color w:val="auto"/>
                <w:lang w:bidi="ar"/>
              </w:rPr>
            </w:pPr>
            <w:r>
              <w:rPr>
                <w:color w:val="auto"/>
                <w:lang w:bidi="ar"/>
              </w:rPr>
              <w:t>3</w:t>
            </w:r>
          </w:p>
        </w:tc>
        <w:tc>
          <w:tcPr>
            <w:tcW w:w="3828" w:type="dxa"/>
            <w:tcMar>
              <w:left w:w="0" w:type="dxa"/>
              <w:right w:w="0" w:type="dxa"/>
            </w:tcMar>
            <w:vAlign w:val="center"/>
          </w:tcPr>
          <w:p w14:paraId="08B536A3">
            <w:pPr>
              <w:pStyle w:val="296"/>
              <w:adjustRightInd w:val="0"/>
              <w:snapToGrid w:val="0"/>
              <w:spacing w:line="300" w:lineRule="exact"/>
              <w:rPr>
                <w:rFonts w:hint="eastAsia"/>
                <w:color w:val="auto"/>
              </w:rPr>
            </w:pPr>
            <w:r>
              <w:rPr>
                <w:rFonts w:hint="eastAsia"/>
                <w:color w:val="auto"/>
              </w:rPr>
              <w:t>尽量选用低噪声设备，对噪声强度较大的设备进行减噪处理；定期给机泵等设备加润滑油和减振垫，对各种机械设备定期保养。</w:t>
            </w:r>
          </w:p>
        </w:tc>
        <w:tc>
          <w:tcPr>
            <w:tcW w:w="3260" w:type="dxa"/>
            <w:tcMar>
              <w:left w:w="0" w:type="dxa"/>
              <w:right w:w="0" w:type="dxa"/>
            </w:tcMar>
            <w:vAlign w:val="center"/>
          </w:tcPr>
          <w:p w14:paraId="2AFDB6C0">
            <w:pPr>
              <w:pStyle w:val="296"/>
              <w:adjustRightInd w:val="0"/>
              <w:snapToGrid w:val="0"/>
              <w:spacing w:line="300" w:lineRule="exact"/>
              <w:rPr>
                <w:rFonts w:hint="eastAsia"/>
                <w:color w:val="auto"/>
              </w:rPr>
            </w:pPr>
            <w:r>
              <w:rPr>
                <w:rFonts w:hint="eastAsia"/>
                <w:color w:val="auto"/>
              </w:rPr>
              <w:t>尽量选用低噪声设备，对噪声强度较大的设备进行减噪处理。定期给机泵等设备加润滑油和减振垫，对各种机械设备定期保养；加强噪声防范，做好个人防护工作</w:t>
            </w:r>
          </w:p>
        </w:tc>
        <w:tc>
          <w:tcPr>
            <w:tcW w:w="1075" w:type="dxa"/>
            <w:tcMar>
              <w:left w:w="0" w:type="dxa"/>
              <w:right w:w="0" w:type="dxa"/>
            </w:tcMar>
            <w:vAlign w:val="center"/>
          </w:tcPr>
          <w:p w14:paraId="6258ABAE">
            <w:pPr>
              <w:pStyle w:val="296"/>
              <w:adjustRightInd w:val="0"/>
              <w:snapToGrid w:val="0"/>
              <w:spacing w:line="300" w:lineRule="exact"/>
              <w:rPr>
                <w:rFonts w:hint="eastAsia"/>
                <w:color w:val="auto"/>
              </w:rPr>
            </w:pPr>
            <w:r>
              <w:rPr>
                <w:rFonts w:hint="eastAsia"/>
                <w:color w:val="auto"/>
              </w:rPr>
              <w:t>符合</w:t>
            </w:r>
          </w:p>
        </w:tc>
      </w:tr>
      <w:tr w14:paraId="523477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04660791">
            <w:pPr>
              <w:pStyle w:val="296"/>
              <w:adjustRightInd w:val="0"/>
              <w:snapToGrid w:val="0"/>
              <w:spacing w:line="300" w:lineRule="exact"/>
              <w:rPr>
                <w:rFonts w:hint="eastAsia"/>
                <w:color w:val="auto"/>
                <w:lang w:bidi="ar"/>
              </w:rPr>
            </w:pPr>
            <w:r>
              <w:rPr>
                <w:rFonts w:hint="eastAsia"/>
                <w:color w:val="auto"/>
                <w:lang w:bidi="ar"/>
              </w:rPr>
              <w:t>4</w:t>
            </w:r>
          </w:p>
        </w:tc>
        <w:tc>
          <w:tcPr>
            <w:tcW w:w="3828" w:type="dxa"/>
            <w:tcMar>
              <w:left w:w="0" w:type="dxa"/>
              <w:right w:w="0" w:type="dxa"/>
            </w:tcMar>
            <w:vAlign w:val="center"/>
          </w:tcPr>
          <w:p w14:paraId="593D073D">
            <w:pPr>
              <w:pStyle w:val="296"/>
              <w:adjustRightInd w:val="0"/>
              <w:snapToGrid w:val="0"/>
              <w:spacing w:line="300" w:lineRule="exact"/>
              <w:rPr>
                <w:rFonts w:hint="eastAsia"/>
                <w:color w:val="auto"/>
              </w:rPr>
            </w:pPr>
            <w:r>
              <w:rPr>
                <w:rFonts w:hint="eastAsia"/>
                <w:color w:val="auto"/>
              </w:rPr>
              <w:t>合理规划占地，严格控制占地面积，尽量选择在植被稀少或荒漠的区域布设，避让梭梭、白梭梭等保护植物；严格控制管线施工作业带宽度，管沟分层开挖、分层堆放、分层回填；施工过程中严格规定车辆和各类工作人员的活动范围，使之限于在施工区范围内活动，最大限度减少对荒漠植物生存环境的踩踏破坏，避免破坏荒漠植物；开展环境监理。</w:t>
            </w:r>
          </w:p>
        </w:tc>
        <w:tc>
          <w:tcPr>
            <w:tcW w:w="3260" w:type="dxa"/>
            <w:tcMar>
              <w:left w:w="0" w:type="dxa"/>
              <w:right w:w="0" w:type="dxa"/>
            </w:tcMar>
            <w:vAlign w:val="center"/>
          </w:tcPr>
          <w:p w14:paraId="154B8688">
            <w:pPr>
              <w:pStyle w:val="86"/>
              <w:adjustRightInd w:val="0"/>
              <w:snapToGrid w:val="0"/>
              <w:spacing w:line="300" w:lineRule="exact"/>
              <w:ind w:firstLine="0" w:firstLineChars="0"/>
              <w:rPr>
                <w:rFonts w:hint="eastAsia"/>
                <w:color w:val="auto"/>
                <w:sz w:val="21"/>
                <w:szCs w:val="21"/>
              </w:rPr>
            </w:pPr>
            <w:r>
              <w:rPr>
                <w:rFonts w:hint="eastAsia" w:cs="宋体"/>
                <w:color w:val="auto"/>
                <w:sz w:val="21"/>
                <w:szCs w:val="21"/>
              </w:rPr>
              <w:t>对永久占地合理布局，合理规划临时占地和永久占地，严格控制临时占地面积；管线选线过程中，尽量避开植被密集的区域；在管线敷设时，严格控制施工</w:t>
            </w:r>
            <w:r>
              <w:rPr>
                <w:rFonts w:hint="eastAsia"/>
                <w:color w:val="auto"/>
                <w:sz w:val="21"/>
                <w:szCs w:val="21"/>
              </w:rPr>
              <w:t>作业带宽度，管沟应分层开挖、分层堆放、分层回填；管线、道路及电杆底部设置草方格；施工过程中严格规定车辆和各类工作人员的活动范围，使之限于在施工区范围内活动，不随意</w:t>
            </w:r>
            <w:r>
              <w:rPr>
                <w:color w:val="auto"/>
                <w:sz w:val="21"/>
                <w:szCs w:val="21"/>
              </w:rPr>
              <w:t>踩踏砍伐野生植被</w:t>
            </w:r>
            <w:r>
              <w:rPr>
                <w:rFonts w:hint="eastAsia"/>
                <w:color w:val="auto"/>
                <w:sz w:val="21"/>
                <w:szCs w:val="21"/>
              </w:rPr>
              <w:t>，尽量不侵扰野生动物的栖息地；施工结束后，及时对施工场地进行平整，以便后期自然恢复。并按相关规定对植被损失进行生态经济补偿；加强施工期环境监理。</w:t>
            </w:r>
          </w:p>
        </w:tc>
        <w:tc>
          <w:tcPr>
            <w:tcW w:w="1075" w:type="dxa"/>
            <w:tcMar>
              <w:left w:w="0" w:type="dxa"/>
              <w:right w:w="0" w:type="dxa"/>
            </w:tcMar>
            <w:vAlign w:val="center"/>
          </w:tcPr>
          <w:p w14:paraId="0D74BAF1">
            <w:pPr>
              <w:pStyle w:val="296"/>
              <w:adjustRightInd w:val="0"/>
              <w:snapToGrid w:val="0"/>
              <w:spacing w:line="300" w:lineRule="exact"/>
              <w:rPr>
                <w:rFonts w:hint="eastAsia"/>
                <w:color w:val="auto"/>
              </w:rPr>
            </w:pPr>
            <w:r>
              <w:rPr>
                <w:rFonts w:hint="eastAsia"/>
                <w:color w:val="auto"/>
              </w:rPr>
              <w:t>符合</w:t>
            </w:r>
          </w:p>
        </w:tc>
      </w:tr>
    </w:tbl>
    <w:p w14:paraId="41D891E9">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环保政策符合性分析</w:t>
      </w:r>
      <w:bookmarkEnd w:id="154"/>
      <w:bookmarkEnd w:id="155"/>
      <w:bookmarkEnd w:id="156"/>
      <w:bookmarkEnd w:id="157"/>
      <w:bookmarkEnd w:id="158"/>
      <w:bookmarkEnd w:id="159"/>
      <w:bookmarkEnd w:id="160"/>
      <w:bookmarkEnd w:id="161"/>
      <w:bookmarkEnd w:id="162"/>
      <w:bookmarkEnd w:id="163"/>
      <w:bookmarkEnd w:id="164"/>
      <w:bookmarkEnd w:id="165"/>
    </w:p>
    <w:p w14:paraId="2C626486">
      <w:pPr>
        <w:pStyle w:val="86"/>
        <w:ind w:firstLine="480"/>
        <w:rPr>
          <w:rFonts w:hint="eastAsia"/>
          <w:color w:val="auto"/>
          <w:lang w:bidi="ar"/>
        </w:rPr>
      </w:pPr>
      <w:bookmarkStart w:id="167" w:name="_Hlk7018936"/>
      <w:r>
        <w:rPr>
          <w:rFonts w:hint="eastAsia"/>
          <w:color w:val="auto"/>
          <w:lang w:bidi="ar"/>
        </w:rPr>
        <w:t>（1）与《石油天然气开采业污染防治技术政策》的符合性分析</w:t>
      </w:r>
    </w:p>
    <w:p w14:paraId="55B72A17">
      <w:pPr>
        <w:pStyle w:val="86"/>
        <w:ind w:firstLine="480"/>
        <w:rPr>
          <w:rFonts w:hint="eastAsia"/>
          <w:color w:val="auto"/>
        </w:rPr>
      </w:pPr>
      <w:r>
        <w:rPr>
          <w:rFonts w:hint="eastAsia"/>
          <w:color w:val="auto"/>
          <w:lang w:bidi="ar"/>
        </w:rPr>
        <w:t>本项目采取的各项环保措施符合《石油天然气开采业污染防治技术政策》中相关要求，详见表</w:t>
      </w:r>
      <w:r>
        <w:rPr>
          <w:color w:val="auto"/>
          <w:lang w:bidi="ar"/>
        </w:rPr>
        <w:t>2.9</w:t>
      </w:r>
      <w:r>
        <w:rPr>
          <w:rFonts w:hint="eastAsia"/>
          <w:color w:val="auto"/>
          <w:lang w:bidi="ar"/>
        </w:rPr>
        <w:t>-</w:t>
      </w:r>
      <w:r>
        <w:rPr>
          <w:color w:val="auto"/>
          <w:lang w:bidi="ar"/>
        </w:rPr>
        <w:t>4</w:t>
      </w:r>
      <w:r>
        <w:rPr>
          <w:rFonts w:hint="eastAsia"/>
          <w:color w:val="auto"/>
          <w:lang w:bidi="ar"/>
        </w:rPr>
        <w:t>。</w:t>
      </w:r>
    </w:p>
    <w:p w14:paraId="6ED6A425">
      <w:pPr>
        <w:pStyle w:val="15"/>
        <w:rPr>
          <w:rFonts w:hint="eastAsia"/>
          <w:color w:val="auto"/>
        </w:rPr>
      </w:pPr>
      <w:r>
        <w:rPr>
          <w:rFonts w:hint="eastAsia"/>
          <w:color w:val="auto"/>
        </w:rPr>
        <w:t>表2</w:t>
      </w:r>
      <w:r>
        <w:rPr>
          <w:color w:val="auto"/>
        </w:rPr>
        <w:t>.9</w:t>
      </w:r>
      <w:r>
        <w:rPr>
          <w:rFonts w:hint="eastAsia"/>
          <w:color w:val="auto"/>
        </w:rPr>
        <w:t>-</w:t>
      </w:r>
      <w:r>
        <w:rPr>
          <w:color w:val="auto"/>
        </w:rPr>
        <w:t>4</w:t>
      </w:r>
      <w:r>
        <w:rPr>
          <w:rFonts w:hint="eastAsia"/>
          <w:color w:val="auto"/>
        </w:rPr>
        <w:t xml:space="preserve">  项目与</w:t>
      </w:r>
      <w:bookmarkStart w:id="168" w:name="_Hlk80467726"/>
      <w:r>
        <w:rPr>
          <w:rFonts w:hint="eastAsia"/>
          <w:color w:val="auto"/>
        </w:rPr>
        <w:t>《石油天然气开采业污染防治技术政策》</w:t>
      </w:r>
      <w:bookmarkEnd w:id="168"/>
      <w:r>
        <w:rPr>
          <w:rFonts w:hint="eastAsia"/>
          <w:color w:val="auto"/>
        </w:rPr>
        <w:t>的相符性分析</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3969"/>
        <w:gridCol w:w="3543"/>
        <w:gridCol w:w="792"/>
      </w:tblGrid>
      <w:tr w14:paraId="42BD35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26" w:type="dxa"/>
            <w:tcMar>
              <w:left w:w="0" w:type="dxa"/>
              <w:right w:w="0" w:type="dxa"/>
            </w:tcMar>
            <w:vAlign w:val="center"/>
          </w:tcPr>
          <w:p w14:paraId="3B641FF2">
            <w:pPr>
              <w:pStyle w:val="296"/>
              <w:adjustRightInd w:val="0"/>
              <w:snapToGrid w:val="0"/>
              <w:spacing w:line="300" w:lineRule="exact"/>
              <w:rPr>
                <w:rFonts w:hint="eastAsia"/>
                <w:color w:val="auto"/>
              </w:rPr>
            </w:pPr>
            <w:r>
              <w:rPr>
                <w:rFonts w:hint="eastAsia"/>
                <w:color w:val="auto"/>
                <w:lang w:bidi="ar"/>
              </w:rPr>
              <w:t>序号</w:t>
            </w:r>
          </w:p>
        </w:tc>
        <w:tc>
          <w:tcPr>
            <w:tcW w:w="3969" w:type="dxa"/>
            <w:tcMar>
              <w:left w:w="0" w:type="dxa"/>
              <w:right w:w="0" w:type="dxa"/>
            </w:tcMar>
            <w:vAlign w:val="center"/>
          </w:tcPr>
          <w:p w14:paraId="0B2A4E2D">
            <w:pPr>
              <w:pStyle w:val="296"/>
              <w:adjustRightInd w:val="0"/>
              <w:snapToGrid w:val="0"/>
              <w:spacing w:line="300" w:lineRule="exact"/>
              <w:rPr>
                <w:rFonts w:hint="eastAsia"/>
                <w:color w:val="auto"/>
              </w:rPr>
            </w:pPr>
            <w:r>
              <w:rPr>
                <w:rFonts w:hint="eastAsia"/>
                <w:color w:val="auto"/>
                <w:lang w:bidi="ar"/>
              </w:rPr>
              <w:t>《政策》中相关规定</w:t>
            </w:r>
          </w:p>
        </w:tc>
        <w:tc>
          <w:tcPr>
            <w:tcW w:w="3543" w:type="dxa"/>
            <w:tcMar>
              <w:left w:w="0" w:type="dxa"/>
              <w:right w:w="0" w:type="dxa"/>
            </w:tcMar>
            <w:vAlign w:val="center"/>
          </w:tcPr>
          <w:p w14:paraId="7105BDDB">
            <w:pPr>
              <w:pStyle w:val="296"/>
              <w:adjustRightInd w:val="0"/>
              <w:snapToGrid w:val="0"/>
              <w:spacing w:line="300" w:lineRule="exact"/>
              <w:rPr>
                <w:rFonts w:hint="eastAsia"/>
                <w:color w:val="auto"/>
              </w:rPr>
            </w:pPr>
            <w:r>
              <w:rPr>
                <w:rFonts w:hint="eastAsia"/>
                <w:color w:val="auto"/>
                <w:lang w:bidi="ar"/>
              </w:rPr>
              <w:t>本项目采取的相关措施</w:t>
            </w:r>
          </w:p>
        </w:tc>
        <w:tc>
          <w:tcPr>
            <w:tcW w:w="792" w:type="dxa"/>
            <w:tcMar>
              <w:left w:w="0" w:type="dxa"/>
              <w:right w:w="0" w:type="dxa"/>
            </w:tcMar>
            <w:vAlign w:val="center"/>
          </w:tcPr>
          <w:p w14:paraId="04516C87">
            <w:pPr>
              <w:pStyle w:val="296"/>
              <w:adjustRightInd w:val="0"/>
              <w:snapToGrid w:val="0"/>
              <w:spacing w:line="300" w:lineRule="exact"/>
              <w:rPr>
                <w:rFonts w:hint="eastAsia"/>
                <w:color w:val="auto"/>
              </w:rPr>
            </w:pPr>
            <w:r>
              <w:rPr>
                <w:rFonts w:hint="eastAsia"/>
                <w:color w:val="auto"/>
                <w:lang w:bidi="ar"/>
              </w:rPr>
              <w:t>相符性分析</w:t>
            </w:r>
          </w:p>
        </w:tc>
      </w:tr>
      <w:tr w14:paraId="541B8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tcMar>
              <w:left w:w="0" w:type="dxa"/>
              <w:right w:w="0" w:type="dxa"/>
            </w:tcMar>
            <w:vAlign w:val="center"/>
          </w:tcPr>
          <w:p w14:paraId="6FAD2F9F">
            <w:pPr>
              <w:pStyle w:val="296"/>
              <w:adjustRightInd w:val="0"/>
              <w:snapToGrid w:val="0"/>
              <w:spacing w:line="300" w:lineRule="exact"/>
              <w:rPr>
                <w:rFonts w:hint="eastAsia"/>
                <w:color w:val="auto"/>
              </w:rPr>
            </w:pPr>
            <w:r>
              <w:rPr>
                <w:rFonts w:hint="eastAsia"/>
                <w:color w:val="auto"/>
                <w:lang w:bidi="ar"/>
              </w:rPr>
              <w:t>1</w:t>
            </w:r>
          </w:p>
        </w:tc>
        <w:tc>
          <w:tcPr>
            <w:tcW w:w="3969" w:type="dxa"/>
            <w:tcMar>
              <w:left w:w="0" w:type="dxa"/>
              <w:right w:w="0" w:type="dxa"/>
            </w:tcMar>
            <w:vAlign w:val="center"/>
          </w:tcPr>
          <w:p w14:paraId="6208DCC6">
            <w:pPr>
              <w:pStyle w:val="296"/>
              <w:adjustRightInd w:val="0"/>
              <w:snapToGrid w:val="0"/>
              <w:spacing w:line="300" w:lineRule="exact"/>
              <w:rPr>
                <w:rFonts w:hint="eastAsia"/>
                <w:color w:val="auto"/>
              </w:rPr>
            </w:pPr>
            <w:r>
              <w:rPr>
                <w:rFonts w:hint="eastAsia"/>
                <w:color w:val="auto"/>
                <w:lang w:bidi="ar"/>
              </w:rPr>
              <w:t>在勘探开发过程中，应防止产生落地原油。其中井下作业过程中应配备泄油器、刮油器等。落地原油应及时回收，落地原油回收率应达到100%</w:t>
            </w:r>
          </w:p>
        </w:tc>
        <w:tc>
          <w:tcPr>
            <w:tcW w:w="3543" w:type="dxa"/>
            <w:tcMar>
              <w:left w:w="0" w:type="dxa"/>
              <w:right w:w="0" w:type="dxa"/>
            </w:tcMar>
            <w:vAlign w:val="center"/>
          </w:tcPr>
          <w:p w14:paraId="090A7512">
            <w:pPr>
              <w:pStyle w:val="296"/>
              <w:adjustRightInd w:val="0"/>
              <w:snapToGrid w:val="0"/>
              <w:spacing w:line="300" w:lineRule="exact"/>
              <w:jc w:val="both"/>
              <w:rPr>
                <w:rFonts w:hint="eastAsia"/>
                <w:color w:val="auto"/>
              </w:rPr>
            </w:pPr>
            <w:r>
              <w:rPr>
                <w:rFonts w:hint="eastAsia"/>
                <w:color w:val="auto"/>
              </w:rPr>
              <w:t>本项目为石油开采项目，莫27井井口采出物采用管线密闭集输至莫172H井天然气浅冷处理装置处理；莫172H井和莫174H井井口采出物分别送至井场新建的天然气浅冷处理装置处理；井下作业时铺设防渗膜。</w:t>
            </w:r>
          </w:p>
        </w:tc>
        <w:tc>
          <w:tcPr>
            <w:tcW w:w="792" w:type="dxa"/>
            <w:tcMar>
              <w:left w:w="0" w:type="dxa"/>
              <w:right w:w="0" w:type="dxa"/>
            </w:tcMar>
            <w:vAlign w:val="center"/>
          </w:tcPr>
          <w:p w14:paraId="7139DE8C">
            <w:pPr>
              <w:pStyle w:val="296"/>
              <w:adjustRightInd w:val="0"/>
              <w:snapToGrid w:val="0"/>
              <w:spacing w:line="300" w:lineRule="exact"/>
              <w:rPr>
                <w:rFonts w:hint="eastAsia"/>
                <w:color w:val="auto"/>
              </w:rPr>
            </w:pPr>
            <w:r>
              <w:rPr>
                <w:rFonts w:hint="eastAsia"/>
                <w:color w:val="auto"/>
                <w:lang w:bidi="ar"/>
              </w:rPr>
              <w:t>符合</w:t>
            </w:r>
          </w:p>
        </w:tc>
      </w:tr>
      <w:tr w14:paraId="2DBCBD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tcMar>
              <w:left w:w="0" w:type="dxa"/>
              <w:right w:w="0" w:type="dxa"/>
            </w:tcMar>
            <w:vAlign w:val="center"/>
          </w:tcPr>
          <w:p w14:paraId="3EC02572">
            <w:pPr>
              <w:pStyle w:val="296"/>
              <w:adjustRightInd w:val="0"/>
              <w:snapToGrid w:val="0"/>
              <w:spacing w:line="300" w:lineRule="exact"/>
              <w:rPr>
                <w:rFonts w:hint="eastAsia"/>
                <w:color w:val="auto"/>
              </w:rPr>
            </w:pPr>
            <w:r>
              <w:rPr>
                <w:rFonts w:hint="eastAsia"/>
                <w:color w:val="auto"/>
                <w:lang w:bidi="ar"/>
              </w:rPr>
              <w:t>2</w:t>
            </w:r>
          </w:p>
        </w:tc>
        <w:tc>
          <w:tcPr>
            <w:tcW w:w="3969" w:type="dxa"/>
            <w:tcMar>
              <w:left w:w="0" w:type="dxa"/>
              <w:right w:w="0" w:type="dxa"/>
            </w:tcMar>
            <w:vAlign w:val="center"/>
          </w:tcPr>
          <w:p w14:paraId="6C6957A2">
            <w:pPr>
              <w:pStyle w:val="296"/>
              <w:adjustRightInd w:val="0"/>
              <w:snapToGrid w:val="0"/>
              <w:spacing w:line="300" w:lineRule="exact"/>
              <w:rPr>
                <w:rFonts w:hint="eastAsia"/>
                <w:color w:val="auto"/>
                <w:lang w:bidi="ar"/>
              </w:rPr>
            </w:pPr>
            <w:r>
              <w:rPr>
                <w:rFonts w:hint="eastAsia"/>
                <w:color w:val="auto"/>
                <w:lang w:bidi="ar"/>
              </w:rPr>
              <w:t>在开发过程中，适宜注水开采的油气田，应将采出水处理满足标准后回注</w:t>
            </w:r>
          </w:p>
        </w:tc>
        <w:tc>
          <w:tcPr>
            <w:tcW w:w="3543" w:type="dxa"/>
            <w:tcMar>
              <w:left w:w="0" w:type="dxa"/>
              <w:right w:w="0" w:type="dxa"/>
            </w:tcMar>
            <w:vAlign w:val="center"/>
          </w:tcPr>
          <w:p w14:paraId="2053DE29">
            <w:pPr>
              <w:pStyle w:val="296"/>
              <w:adjustRightInd w:val="0"/>
              <w:snapToGrid w:val="0"/>
              <w:spacing w:line="300" w:lineRule="exact"/>
              <w:jc w:val="both"/>
              <w:rPr>
                <w:rFonts w:hint="eastAsia"/>
                <w:color w:val="auto"/>
                <w:lang w:bidi="ar"/>
              </w:rPr>
            </w:pPr>
            <w:r>
              <w:rPr>
                <w:rFonts w:hint="eastAsia"/>
                <w:color w:val="auto"/>
                <w:lang w:bidi="ar"/>
              </w:rPr>
              <w:t>井下作业废液送至莫北转油站采出水处理系统处理，达到</w:t>
            </w:r>
            <w:r>
              <w:rPr>
                <w:rFonts w:hint="eastAsia"/>
                <w:color w:val="auto"/>
              </w:rPr>
              <w:t>《碎屑岩油藏注水水质指标技术要求及分析方法》（SY/T5329-</w:t>
            </w:r>
            <w:r>
              <w:rPr>
                <w:color w:val="auto"/>
              </w:rPr>
              <w:t>2022</w:t>
            </w:r>
            <w:r>
              <w:rPr>
                <w:rFonts w:hint="eastAsia"/>
                <w:color w:val="auto"/>
              </w:rPr>
              <w:t>）</w:t>
            </w:r>
            <w:r>
              <w:rPr>
                <w:rFonts w:hint="eastAsia"/>
                <w:color w:val="auto"/>
                <w:lang w:bidi="ar"/>
              </w:rPr>
              <w:t>中的相关要求后，回注地层；生活污水送至玛纳斯县生活污水处理厂处理。</w:t>
            </w:r>
          </w:p>
        </w:tc>
        <w:tc>
          <w:tcPr>
            <w:tcW w:w="792" w:type="dxa"/>
            <w:tcMar>
              <w:left w:w="0" w:type="dxa"/>
              <w:right w:w="0" w:type="dxa"/>
            </w:tcMar>
            <w:vAlign w:val="center"/>
          </w:tcPr>
          <w:p w14:paraId="4C7E8B8F">
            <w:pPr>
              <w:pStyle w:val="296"/>
              <w:adjustRightInd w:val="0"/>
              <w:snapToGrid w:val="0"/>
              <w:spacing w:line="300" w:lineRule="exact"/>
              <w:rPr>
                <w:rFonts w:hint="eastAsia"/>
                <w:color w:val="auto"/>
                <w:lang w:bidi="ar"/>
              </w:rPr>
            </w:pPr>
            <w:r>
              <w:rPr>
                <w:rFonts w:hint="eastAsia"/>
                <w:color w:val="auto"/>
                <w:lang w:bidi="ar"/>
              </w:rPr>
              <w:t>符合</w:t>
            </w:r>
          </w:p>
        </w:tc>
      </w:tr>
      <w:tr w14:paraId="6479AA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tcMar>
              <w:left w:w="0" w:type="dxa"/>
              <w:right w:w="0" w:type="dxa"/>
            </w:tcMar>
            <w:vAlign w:val="center"/>
          </w:tcPr>
          <w:p w14:paraId="3CBBB539">
            <w:pPr>
              <w:pStyle w:val="296"/>
              <w:adjustRightInd w:val="0"/>
              <w:snapToGrid w:val="0"/>
              <w:spacing w:line="300" w:lineRule="exact"/>
              <w:rPr>
                <w:rFonts w:hint="eastAsia"/>
                <w:color w:val="auto"/>
              </w:rPr>
            </w:pPr>
            <w:r>
              <w:rPr>
                <w:color w:val="auto"/>
                <w:lang w:bidi="ar"/>
              </w:rPr>
              <w:t>3</w:t>
            </w:r>
          </w:p>
        </w:tc>
        <w:tc>
          <w:tcPr>
            <w:tcW w:w="3969" w:type="dxa"/>
            <w:tcMar>
              <w:left w:w="0" w:type="dxa"/>
              <w:right w:w="0" w:type="dxa"/>
            </w:tcMar>
            <w:vAlign w:val="center"/>
          </w:tcPr>
          <w:p w14:paraId="08240F25">
            <w:pPr>
              <w:pStyle w:val="296"/>
              <w:adjustRightInd w:val="0"/>
              <w:snapToGrid w:val="0"/>
              <w:spacing w:line="300" w:lineRule="exact"/>
              <w:rPr>
                <w:rFonts w:hint="eastAsia" w:cs="宋体"/>
                <w:color w:val="auto"/>
              </w:rPr>
            </w:pPr>
            <w:r>
              <w:rPr>
                <w:rFonts w:hint="eastAsia" w:cs="宋体"/>
                <w:color w:val="auto"/>
                <w:lang w:bidi="ar"/>
              </w:rPr>
              <w:t>在开发过程中，伴生气应回收利用，减少温室气体排放，不具备回收利用条件的，应充分燃烧，伴生气回收利用率应达到80%以上；站场放空天然气应充分燃烧。燃烧放空设施应避开鸟类迁徙通道</w:t>
            </w:r>
          </w:p>
        </w:tc>
        <w:tc>
          <w:tcPr>
            <w:tcW w:w="3543" w:type="dxa"/>
            <w:tcMar>
              <w:left w:w="0" w:type="dxa"/>
              <w:right w:w="0" w:type="dxa"/>
            </w:tcMar>
            <w:vAlign w:val="center"/>
          </w:tcPr>
          <w:p w14:paraId="6A65C433">
            <w:pPr>
              <w:pStyle w:val="296"/>
              <w:spacing w:line="300" w:lineRule="exact"/>
              <w:jc w:val="both"/>
              <w:rPr>
                <w:rFonts w:hint="eastAsia"/>
                <w:color w:val="auto"/>
                <w:lang w:bidi="ar"/>
              </w:rPr>
            </w:pPr>
            <w:r>
              <w:rPr>
                <w:rFonts w:hint="eastAsia"/>
                <w:color w:val="auto"/>
              </w:rPr>
              <w:t>本项目为石油开采项目，莫27井井口采出物采用管线密闭集输至莫172H井天然气浅冷处理装置处理；莫172H井和莫174H井井口采出物分别送至井场新建的天然气浅冷处理装置处理；井场事故状态下天然气经放空火炬燃烧放空。</w:t>
            </w:r>
          </w:p>
        </w:tc>
        <w:tc>
          <w:tcPr>
            <w:tcW w:w="792" w:type="dxa"/>
            <w:tcMar>
              <w:left w:w="0" w:type="dxa"/>
              <w:right w:w="0" w:type="dxa"/>
            </w:tcMar>
            <w:vAlign w:val="center"/>
          </w:tcPr>
          <w:p w14:paraId="5D24B67C">
            <w:pPr>
              <w:pStyle w:val="296"/>
              <w:adjustRightInd w:val="0"/>
              <w:snapToGrid w:val="0"/>
              <w:spacing w:line="300" w:lineRule="exact"/>
              <w:rPr>
                <w:rFonts w:hint="eastAsia"/>
                <w:color w:val="auto"/>
              </w:rPr>
            </w:pPr>
            <w:r>
              <w:rPr>
                <w:rFonts w:hint="eastAsia"/>
                <w:color w:val="auto"/>
                <w:lang w:bidi="ar"/>
              </w:rPr>
              <w:t>符合</w:t>
            </w:r>
          </w:p>
        </w:tc>
      </w:tr>
      <w:tr w14:paraId="19A5DB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tcMar>
              <w:left w:w="0" w:type="dxa"/>
              <w:right w:w="0" w:type="dxa"/>
            </w:tcMar>
            <w:vAlign w:val="center"/>
          </w:tcPr>
          <w:p w14:paraId="2A96BEAB">
            <w:pPr>
              <w:pStyle w:val="296"/>
              <w:adjustRightInd w:val="0"/>
              <w:snapToGrid w:val="0"/>
              <w:spacing w:line="300" w:lineRule="exact"/>
              <w:rPr>
                <w:rFonts w:hint="eastAsia"/>
                <w:color w:val="auto"/>
              </w:rPr>
            </w:pPr>
            <w:r>
              <w:rPr>
                <w:color w:val="auto"/>
                <w:lang w:bidi="ar"/>
              </w:rPr>
              <w:t>4</w:t>
            </w:r>
          </w:p>
        </w:tc>
        <w:tc>
          <w:tcPr>
            <w:tcW w:w="3969" w:type="dxa"/>
            <w:tcMar>
              <w:left w:w="0" w:type="dxa"/>
              <w:right w:w="0" w:type="dxa"/>
            </w:tcMar>
            <w:vAlign w:val="center"/>
          </w:tcPr>
          <w:p w14:paraId="741D6296">
            <w:pPr>
              <w:pStyle w:val="296"/>
              <w:adjustRightInd w:val="0"/>
              <w:snapToGrid w:val="0"/>
              <w:spacing w:line="300" w:lineRule="exact"/>
              <w:jc w:val="both"/>
              <w:rPr>
                <w:rFonts w:hint="eastAsia"/>
                <w:color w:val="auto"/>
                <w:lang w:bidi="ar"/>
              </w:rPr>
            </w:pPr>
            <w:r>
              <w:rPr>
                <w:rFonts w:hint="eastAsia"/>
                <w:color w:val="auto"/>
                <w:lang w:bidi="ar"/>
              </w:rPr>
              <w:t>在钻井和井下作业过程中，鼓励污油、污水进入生产流程循环利用，未进入生产流程的污油、污水应采用固液分离、废水处理一体化装置等处理后达标外排</w:t>
            </w:r>
          </w:p>
        </w:tc>
        <w:tc>
          <w:tcPr>
            <w:tcW w:w="3543" w:type="dxa"/>
            <w:tcMar>
              <w:left w:w="0" w:type="dxa"/>
              <w:right w:w="0" w:type="dxa"/>
            </w:tcMar>
            <w:vAlign w:val="center"/>
          </w:tcPr>
          <w:p w14:paraId="265C04BD">
            <w:pPr>
              <w:pStyle w:val="296"/>
              <w:adjustRightInd w:val="0"/>
              <w:snapToGrid w:val="0"/>
              <w:spacing w:line="300" w:lineRule="exact"/>
              <w:jc w:val="both"/>
              <w:rPr>
                <w:rFonts w:hint="eastAsia"/>
                <w:color w:val="auto"/>
                <w:lang w:bidi="ar"/>
              </w:rPr>
            </w:pPr>
            <w:r>
              <w:rPr>
                <w:rFonts w:hint="eastAsia"/>
                <w:color w:val="auto"/>
                <w:lang w:bidi="ar"/>
              </w:rPr>
              <w:t>井下作业废液送至莫北转油站采出水处理系统处理，达到</w:t>
            </w:r>
            <w:r>
              <w:rPr>
                <w:rFonts w:hint="eastAsia"/>
                <w:color w:val="auto"/>
              </w:rPr>
              <w:t>《碎屑岩油藏注水水质指标技术要求及分析方法》（SY/T5329-</w:t>
            </w:r>
            <w:r>
              <w:rPr>
                <w:color w:val="auto"/>
              </w:rPr>
              <w:t>2022</w:t>
            </w:r>
            <w:r>
              <w:rPr>
                <w:rFonts w:hint="eastAsia"/>
                <w:color w:val="auto"/>
              </w:rPr>
              <w:t>）</w:t>
            </w:r>
            <w:r>
              <w:rPr>
                <w:rFonts w:hint="eastAsia"/>
                <w:color w:val="auto"/>
                <w:lang w:bidi="ar"/>
              </w:rPr>
              <w:t>中的相关要求后，回注地层。生活污水送至玛纳斯县生活污水处理厂处理。</w:t>
            </w:r>
          </w:p>
        </w:tc>
        <w:tc>
          <w:tcPr>
            <w:tcW w:w="792" w:type="dxa"/>
            <w:tcMar>
              <w:left w:w="0" w:type="dxa"/>
              <w:right w:w="0" w:type="dxa"/>
            </w:tcMar>
            <w:vAlign w:val="center"/>
          </w:tcPr>
          <w:p w14:paraId="332E7E09">
            <w:pPr>
              <w:pStyle w:val="296"/>
              <w:adjustRightInd w:val="0"/>
              <w:snapToGrid w:val="0"/>
              <w:spacing w:line="300" w:lineRule="exact"/>
              <w:rPr>
                <w:rFonts w:hint="eastAsia"/>
                <w:color w:val="auto"/>
              </w:rPr>
            </w:pPr>
            <w:r>
              <w:rPr>
                <w:rFonts w:hint="eastAsia"/>
                <w:color w:val="auto"/>
                <w:lang w:bidi="ar"/>
              </w:rPr>
              <w:t>符合</w:t>
            </w:r>
          </w:p>
        </w:tc>
      </w:tr>
      <w:tr w14:paraId="46FF6D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dxa"/>
            <w:tcMar>
              <w:left w:w="0" w:type="dxa"/>
              <w:right w:w="0" w:type="dxa"/>
            </w:tcMar>
            <w:vAlign w:val="center"/>
          </w:tcPr>
          <w:p w14:paraId="0AE8CBAC">
            <w:pPr>
              <w:pStyle w:val="296"/>
              <w:adjustRightInd w:val="0"/>
              <w:snapToGrid w:val="0"/>
              <w:spacing w:line="300" w:lineRule="exact"/>
              <w:rPr>
                <w:rFonts w:hint="eastAsia" w:cs="宋体"/>
                <w:b/>
                <w:color w:val="auto"/>
              </w:rPr>
            </w:pPr>
            <w:r>
              <w:rPr>
                <w:rFonts w:cs="宋体"/>
                <w:color w:val="auto"/>
                <w:lang w:bidi="ar"/>
              </w:rPr>
              <w:t>5</w:t>
            </w:r>
          </w:p>
        </w:tc>
        <w:tc>
          <w:tcPr>
            <w:tcW w:w="3969" w:type="dxa"/>
            <w:tcMar>
              <w:left w:w="0" w:type="dxa"/>
              <w:right w:w="0" w:type="dxa"/>
            </w:tcMar>
            <w:vAlign w:val="center"/>
          </w:tcPr>
          <w:p w14:paraId="1FDA40D4">
            <w:pPr>
              <w:pStyle w:val="296"/>
              <w:adjustRightInd w:val="0"/>
              <w:snapToGrid w:val="0"/>
              <w:spacing w:line="300" w:lineRule="exact"/>
              <w:rPr>
                <w:rFonts w:hint="eastAsia" w:cs="宋体"/>
                <w:color w:val="auto"/>
              </w:rPr>
            </w:pPr>
            <w:r>
              <w:rPr>
                <w:rFonts w:hint="eastAsia" w:cs="宋体"/>
                <w:color w:val="auto"/>
                <w:lang w:bidi="ar"/>
              </w:rPr>
              <w:t>应回收落地原油，以及原油处理、废水处理产生的油泥（砂）等中的油类物质，含油污泥资源化利用率应达到90%以上，残余固体废物应按照《国家危险废物名录》和危险废物鉴别标准识别</w:t>
            </w:r>
          </w:p>
        </w:tc>
        <w:tc>
          <w:tcPr>
            <w:tcW w:w="3543" w:type="dxa"/>
            <w:tcMar>
              <w:left w:w="0" w:type="dxa"/>
              <w:right w:w="0" w:type="dxa"/>
            </w:tcMar>
            <w:vAlign w:val="center"/>
          </w:tcPr>
          <w:p w14:paraId="12F5D976">
            <w:pPr>
              <w:pStyle w:val="296"/>
              <w:adjustRightInd w:val="0"/>
              <w:snapToGrid w:val="0"/>
              <w:spacing w:line="300" w:lineRule="exact"/>
              <w:rPr>
                <w:rFonts w:hint="eastAsia"/>
                <w:color w:val="auto"/>
              </w:rPr>
            </w:pPr>
            <w:r>
              <w:rPr>
                <w:rFonts w:hint="eastAsia"/>
                <w:color w:val="auto"/>
              </w:rPr>
              <w:t>运营期危险废物为清罐底泥、废分子筛、废滤料、废润滑油、废润滑油桶、沾油废防渗材料</w:t>
            </w:r>
            <w:r>
              <w:rPr>
                <w:rFonts w:hint="eastAsia" w:cs="宋体"/>
                <w:color w:val="auto"/>
              </w:rPr>
              <w:t>、</w:t>
            </w:r>
            <w:r>
              <w:rPr>
                <w:rFonts w:hint="eastAsia" w:cs="宋体"/>
                <w:color w:val="auto"/>
                <w:lang w:val="zh-CN"/>
              </w:rPr>
              <w:t>废含油抹布及劳保用品</w:t>
            </w:r>
            <w:r>
              <w:rPr>
                <w:rFonts w:hint="eastAsia"/>
                <w:color w:val="auto"/>
              </w:rPr>
              <w:t>，固体废物分类收集，最终交由有相应资质的单位处置。</w:t>
            </w:r>
          </w:p>
        </w:tc>
        <w:tc>
          <w:tcPr>
            <w:tcW w:w="792" w:type="dxa"/>
            <w:tcMar>
              <w:left w:w="0" w:type="dxa"/>
              <w:right w:w="0" w:type="dxa"/>
            </w:tcMar>
            <w:vAlign w:val="center"/>
          </w:tcPr>
          <w:p w14:paraId="7CA4528A">
            <w:pPr>
              <w:pStyle w:val="296"/>
              <w:adjustRightInd w:val="0"/>
              <w:snapToGrid w:val="0"/>
              <w:spacing w:line="300" w:lineRule="exact"/>
              <w:rPr>
                <w:rFonts w:hint="eastAsia"/>
                <w:color w:val="auto"/>
              </w:rPr>
            </w:pPr>
            <w:r>
              <w:rPr>
                <w:rFonts w:hint="eastAsia"/>
                <w:color w:val="auto"/>
                <w:lang w:bidi="ar"/>
              </w:rPr>
              <w:t>符合</w:t>
            </w:r>
          </w:p>
        </w:tc>
      </w:tr>
      <w:tr w14:paraId="329C1F26">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tcBorders>
              <w:top w:val="single" w:color="auto" w:sz="6" w:space="0"/>
              <w:left w:val="nil"/>
              <w:bottom w:val="single" w:color="auto" w:sz="12" w:space="0"/>
              <w:right w:val="single" w:color="auto" w:sz="6" w:space="0"/>
            </w:tcBorders>
            <w:tcMar>
              <w:left w:w="0" w:type="dxa"/>
              <w:right w:w="0" w:type="dxa"/>
            </w:tcMar>
            <w:vAlign w:val="center"/>
          </w:tcPr>
          <w:p w14:paraId="50201F5A">
            <w:pPr>
              <w:pStyle w:val="296"/>
              <w:adjustRightInd w:val="0"/>
              <w:snapToGrid w:val="0"/>
              <w:spacing w:line="300" w:lineRule="exact"/>
              <w:rPr>
                <w:rFonts w:hint="eastAsia"/>
                <w:color w:val="auto"/>
              </w:rPr>
            </w:pPr>
            <w:r>
              <w:rPr>
                <w:color w:val="auto"/>
              </w:rPr>
              <w:t>6</w:t>
            </w:r>
          </w:p>
        </w:tc>
        <w:tc>
          <w:tcPr>
            <w:tcW w:w="3969" w:type="dxa"/>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7B5FA9CA">
            <w:pPr>
              <w:pStyle w:val="296"/>
              <w:adjustRightInd w:val="0"/>
              <w:snapToGrid w:val="0"/>
              <w:spacing w:line="300" w:lineRule="exact"/>
              <w:rPr>
                <w:rFonts w:hint="eastAsia"/>
                <w:color w:val="auto"/>
              </w:rPr>
            </w:pPr>
            <w:r>
              <w:rPr>
                <w:rFonts w:hint="eastAsia"/>
                <w:color w:val="auto"/>
              </w:rPr>
              <w:t>1）油气田企业应制定环境保护管理规定，建立并运行健康、安全与环境管理体系；2）加强油气田建设、勘探开发过程的环境监督管理。油气田建设过程应开展工程环境监理；3）在开发过程中，企业应加强油气井套管的检测和维护，防止油气泄漏污染地下水；4）建立环境保护人员培训制度；5）油气田企业应对勘探开发过程进行环境风险因素识别，制定突发环境事件应急预案并定期进行演练。开展特征污染物监测工作，采取环境风险防范和应急措施，防止发生由突发性油气泄漏产生的环境事故</w:t>
            </w:r>
          </w:p>
        </w:tc>
        <w:tc>
          <w:tcPr>
            <w:tcW w:w="3543" w:type="dxa"/>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2001B261">
            <w:pPr>
              <w:pStyle w:val="296"/>
              <w:adjustRightInd w:val="0"/>
              <w:snapToGrid w:val="0"/>
              <w:spacing w:line="300" w:lineRule="exact"/>
              <w:rPr>
                <w:rFonts w:hint="eastAsia" w:cs="宋体"/>
                <w:color w:val="auto"/>
              </w:rPr>
            </w:pPr>
            <w:r>
              <w:rPr>
                <w:rFonts w:hint="eastAsia"/>
                <w:color w:val="auto"/>
              </w:rPr>
              <w:t>运营后建设单位应将本项目纳入石西油田作业区已有的HSE管理体系、突发环境污染事件应急预案及污染源日常监控计划。</w:t>
            </w:r>
          </w:p>
        </w:tc>
        <w:tc>
          <w:tcPr>
            <w:tcW w:w="792" w:type="dxa"/>
            <w:tcBorders>
              <w:top w:val="single" w:color="auto" w:sz="6" w:space="0"/>
              <w:left w:val="single" w:color="auto" w:sz="6" w:space="0"/>
              <w:bottom w:val="single" w:color="auto" w:sz="12" w:space="0"/>
              <w:right w:val="nil"/>
            </w:tcBorders>
            <w:tcMar>
              <w:left w:w="0" w:type="dxa"/>
              <w:right w:w="0" w:type="dxa"/>
            </w:tcMar>
            <w:vAlign w:val="center"/>
          </w:tcPr>
          <w:p w14:paraId="7C2500C9">
            <w:pPr>
              <w:pStyle w:val="296"/>
              <w:adjustRightInd w:val="0"/>
              <w:snapToGrid w:val="0"/>
              <w:spacing w:line="300" w:lineRule="exact"/>
              <w:rPr>
                <w:rFonts w:hint="eastAsia"/>
                <w:color w:val="auto"/>
              </w:rPr>
            </w:pPr>
            <w:r>
              <w:rPr>
                <w:rFonts w:hint="eastAsia"/>
                <w:color w:val="auto"/>
                <w:lang w:bidi="ar"/>
              </w:rPr>
              <w:t>符合</w:t>
            </w:r>
          </w:p>
        </w:tc>
      </w:tr>
      <w:bookmarkEnd w:id="167"/>
    </w:tbl>
    <w:p w14:paraId="2A63BFA9">
      <w:pPr>
        <w:pStyle w:val="86"/>
        <w:ind w:firstLine="480"/>
        <w:rPr>
          <w:rFonts w:hint="eastAsia"/>
          <w:color w:val="auto"/>
          <w:lang w:bidi="ar"/>
        </w:rPr>
      </w:pPr>
      <w:r>
        <w:rPr>
          <w:rFonts w:hint="eastAsia"/>
          <w:color w:val="auto"/>
          <w:lang w:bidi="ar"/>
        </w:rPr>
        <w:t>（</w:t>
      </w:r>
      <w:r>
        <w:rPr>
          <w:color w:val="auto"/>
          <w:lang w:bidi="ar"/>
        </w:rPr>
        <w:t>2</w:t>
      </w:r>
      <w:r>
        <w:rPr>
          <w:rFonts w:hint="eastAsia"/>
          <w:color w:val="auto"/>
          <w:lang w:bidi="ar"/>
        </w:rPr>
        <w:t>）与</w:t>
      </w:r>
      <w:bookmarkStart w:id="169" w:name="_Hlk80047840"/>
      <w:r>
        <w:rPr>
          <w:rFonts w:hint="eastAsia"/>
          <w:color w:val="auto"/>
          <w:lang w:bidi="ar"/>
        </w:rPr>
        <w:t>《</w:t>
      </w:r>
      <w:bookmarkStart w:id="170" w:name="_Hlk80039235"/>
      <w:r>
        <w:rPr>
          <w:rFonts w:hint="eastAsia"/>
          <w:color w:val="auto"/>
          <w:lang w:bidi="ar"/>
        </w:rPr>
        <w:t>陆上石油天然气开采业绿色矿山建设规范</w:t>
      </w:r>
      <w:bookmarkEnd w:id="170"/>
      <w:r>
        <w:rPr>
          <w:rFonts w:hint="eastAsia"/>
          <w:color w:val="auto"/>
          <w:lang w:bidi="ar"/>
        </w:rPr>
        <w:t>》</w:t>
      </w:r>
      <w:bookmarkEnd w:id="169"/>
      <w:r>
        <w:rPr>
          <w:rFonts w:hint="eastAsia"/>
          <w:color w:val="auto"/>
          <w:lang w:bidi="ar"/>
        </w:rPr>
        <w:t>要求的相符性分析</w:t>
      </w:r>
    </w:p>
    <w:p w14:paraId="4FBC7B7A">
      <w:pPr>
        <w:pStyle w:val="86"/>
        <w:ind w:firstLine="480"/>
        <w:rPr>
          <w:rFonts w:hint="eastAsia"/>
          <w:color w:val="auto"/>
          <w:lang w:bidi="ar"/>
        </w:rPr>
      </w:pPr>
      <w:r>
        <w:rPr>
          <w:rFonts w:hint="eastAsia"/>
          <w:color w:val="auto"/>
          <w:lang w:bidi="ar"/>
        </w:rPr>
        <w:t>本项目采取的各项环保措施符合《陆上石油天然气开采业绿色矿山建设规范》中相关要求，相符性分析详见表</w:t>
      </w:r>
      <w:r>
        <w:rPr>
          <w:color w:val="auto"/>
          <w:lang w:bidi="ar"/>
        </w:rPr>
        <w:t>2.9</w:t>
      </w:r>
      <w:r>
        <w:rPr>
          <w:rFonts w:hint="eastAsia"/>
          <w:color w:val="auto"/>
          <w:lang w:bidi="ar"/>
        </w:rPr>
        <w:t>-</w:t>
      </w:r>
      <w:r>
        <w:rPr>
          <w:color w:val="auto"/>
          <w:lang w:bidi="ar"/>
        </w:rPr>
        <w:t>5</w:t>
      </w:r>
      <w:r>
        <w:rPr>
          <w:rFonts w:hint="eastAsia"/>
          <w:color w:val="auto"/>
          <w:lang w:bidi="ar"/>
        </w:rPr>
        <w:t>。</w:t>
      </w:r>
    </w:p>
    <w:p w14:paraId="0CD9E34C">
      <w:pPr>
        <w:pStyle w:val="15"/>
        <w:rPr>
          <w:rFonts w:hint="eastAsia"/>
          <w:color w:val="auto"/>
        </w:rPr>
      </w:pPr>
      <w:r>
        <w:rPr>
          <w:rFonts w:hint="eastAsia"/>
          <w:color w:val="auto"/>
        </w:rPr>
        <w:t>表2</w:t>
      </w:r>
      <w:r>
        <w:rPr>
          <w:color w:val="auto"/>
        </w:rPr>
        <w:t>.9</w:t>
      </w:r>
      <w:r>
        <w:rPr>
          <w:rFonts w:hint="eastAsia"/>
          <w:color w:val="auto"/>
        </w:rPr>
        <w:t>-</w:t>
      </w:r>
      <w:r>
        <w:rPr>
          <w:color w:val="auto"/>
        </w:rPr>
        <w:t>5</w:t>
      </w:r>
      <w:r>
        <w:rPr>
          <w:rFonts w:hint="eastAsia"/>
          <w:color w:val="auto"/>
        </w:rPr>
        <w:t xml:space="preserve"> </w:t>
      </w:r>
      <w:r>
        <w:rPr>
          <w:color w:val="auto"/>
        </w:rPr>
        <w:t xml:space="preserve"> </w:t>
      </w:r>
      <w:r>
        <w:rPr>
          <w:rFonts w:hint="eastAsia"/>
          <w:color w:val="auto"/>
        </w:rPr>
        <w:t>本项目与《陆上石油天然气开采业绿色矿山建设规范》的相符性分析</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4253"/>
        <w:gridCol w:w="3117"/>
        <w:gridCol w:w="793"/>
      </w:tblGrid>
      <w:tr w14:paraId="3C25F3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67" w:type="dxa"/>
            <w:tcMar>
              <w:left w:w="0" w:type="dxa"/>
              <w:right w:w="0" w:type="dxa"/>
            </w:tcMar>
            <w:vAlign w:val="center"/>
          </w:tcPr>
          <w:p w14:paraId="1DF18446">
            <w:pPr>
              <w:pStyle w:val="296"/>
              <w:adjustRightInd w:val="0"/>
              <w:snapToGrid w:val="0"/>
              <w:spacing w:line="300" w:lineRule="exact"/>
              <w:rPr>
                <w:rFonts w:hint="eastAsia"/>
                <w:color w:val="auto"/>
              </w:rPr>
            </w:pPr>
            <w:r>
              <w:rPr>
                <w:rFonts w:hint="eastAsia"/>
                <w:color w:val="auto"/>
                <w:lang w:bidi="ar"/>
              </w:rPr>
              <w:t>序号</w:t>
            </w:r>
          </w:p>
        </w:tc>
        <w:tc>
          <w:tcPr>
            <w:tcW w:w="4253" w:type="dxa"/>
            <w:tcMar>
              <w:left w:w="0" w:type="dxa"/>
              <w:right w:w="0" w:type="dxa"/>
            </w:tcMar>
            <w:vAlign w:val="center"/>
          </w:tcPr>
          <w:p w14:paraId="556C249B">
            <w:pPr>
              <w:pStyle w:val="296"/>
              <w:adjustRightInd w:val="0"/>
              <w:snapToGrid w:val="0"/>
              <w:spacing w:line="300" w:lineRule="exact"/>
              <w:rPr>
                <w:rFonts w:hint="eastAsia"/>
                <w:color w:val="auto"/>
              </w:rPr>
            </w:pPr>
            <w:r>
              <w:rPr>
                <w:rFonts w:hint="eastAsia"/>
                <w:color w:val="auto"/>
                <w:lang w:bidi="ar"/>
              </w:rPr>
              <w:t>《</w:t>
            </w:r>
            <w:r>
              <w:rPr>
                <w:rFonts w:hint="eastAsia"/>
                <w:bCs/>
                <w:color w:val="auto"/>
                <w:lang w:bidi="ar"/>
              </w:rPr>
              <w:t>规范</w:t>
            </w:r>
            <w:r>
              <w:rPr>
                <w:rFonts w:hint="eastAsia"/>
                <w:color w:val="auto"/>
                <w:lang w:bidi="ar"/>
              </w:rPr>
              <w:t>》中相关规定</w:t>
            </w:r>
          </w:p>
        </w:tc>
        <w:tc>
          <w:tcPr>
            <w:tcW w:w="3117" w:type="dxa"/>
            <w:tcMar>
              <w:left w:w="0" w:type="dxa"/>
              <w:right w:w="0" w:type="dxa"/>
            </w:tcMar>
            <w:vAlign w:val="center"/>
          </w:tcPr>
          <w:p w14:paraId="30C52A79">
            <w:pPr>
              <w:pStyle w:val="296"/>
              <w:adjustRightInd w:val="0"/>
              <w:snapToGrid w:val="0"/>
              <w:spacing w:line="300" w:lineRule="exact"/>
              <w:rPr>
                <w:rFonts w:hint="eastAsia"/>
                <w:color w:val="auto"/>
              </w:rPr>
            </w:pPr>
            <w:r>
              <w:rPr>
                <w:rFonts w:hint="eastAsia"/>
                <w:color w:val="auto"/>
                <w:lang w:bidi="ar"/>
              </w:rPr>
              <w:t>拟采取的相关措施</w:t>
            </w:r>
          </w:p>
        </w:tc>
        <w:tc>
          <w:tcPr>
            <w:tcW w:w="793" w:type="dxa"/>
            <w:tcMar>
              <w:left w:w="0" w:type="dxa"/>
              <w:right w:w="0" w:type="dxa"/>
            </w:tcMar>
            <w:vAlign w:val="center"/>
          </w:tcPr>
          <w:p w14:paraId="16FB2778">
            <w:pPr>
              <w:pStyle w:val="296"/>
              <w:adjustRightInd w:val="0"/>
              <w:snapToGrid w:val="0"/>
              <w:spacing w:line="300" w:lineRule="exact"/>
              <w:rPr>
                <w:rFonts w:hint="eastAsia"/>
                <w:color w:val="auto"/>
              </w:rPr>
            </w:pPr>
            <w:r>
              <w:rPr>
                <w:rFonts w:hint="eastAsia"/>
                <w:color w:val="auto"/>
                <w:lang w:bidi="ar"/>
              </w:rPr>
              <w:t>相符性分析</w:t>
            </w:r>
          </w:p>
        </w:tc>
      </w:tr>
      <w:tr w14:paraId="716623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16F46AA2">
            <w:pPr>
              <w:pStyle w:val="296"/>
              <w:adjustRightInd w:val="0"/>
              <w:snapToGrid w:val="0"/>
              <w:spacing w:line="300" w:lineRule="exact"/>
              <w:rPr>
                <w:rFonts w:hint="eastAsia"/>
                <w:color w:val="auto"/>
              </w:rPr>
            </w:pPr>
            <w:r>
              <w:rPr>
                <w:rFonts w:hint="eastAsia"/>
                <w:color w:val="auto"/>
                <w:lang w:bidi="ar"/>
              </w:rPr>
              <w:t>1</w:t>
            </w:r>
          </w:p>
        </w:tc>
        <w:tc>
          <w:tcPr>
            <w:tcW w:w="4253" w:type="dxa"/>
            <w:tcMar>
              <w:left w:w="0" w:type="dxa"/>
              <w:right w:w="0" w:type="dxa"/>
            </w:tcMar>
            <w:vAlign w:val="center"/>
          </w:tcPr>
          <w:p w14:paraId="39AB7429">
            <w:pPr>
              <w:pStyle w:val="296"/>
              <w:adjustRightInd w:val="0"/>
              <w:snapToGrid w:val="0"/>
              <w:spacing w:line="300" w:lineRule="exact"/>
              <w:rPr>
                <w:rFonts w:hint="eastAsia"/>
                <w:color w:val="auto"/>
              </w:rPr>
            </w:pPr>
            <w:r>
              <w:rPr>
                <w:rFonts w:hint="eastAsia"/>
                <w:color w:val="auto"/>
              </w:rPr>
              <w:t>资源开发应与环境保护、资源保护、城乡建设相协调，最大限度减少对自然环境的扰动和破坏，选择资源节约型、环境友好型开发方式；因矿制宜选择开采工艺和装备，符合清洁生产要求；应贯彻“边开采、边治理、边恢复”的原则，及时治理恢复矿区地质环境，复垦矿区压占和损毁土地；应遵循矿区油气资源赋存状况、生态环境特征等条件，科学合理确定开发方案，选择与油气藏类型相适应的先进开采技术和工艺，推广使用成熟、先进的技术装备，严禁使用国家明文规定的限制和淘汰的技术工艺及装备；集约节约利用土地资源，土地利用符合用地指标政策。合理确定站址、场址、管网、路网建设占地规模</w:t>
            </w:r>
          </w:p>
        </w:tc>
        <w:tc>
          <w:tcPr>
            <w:tcW w:w="3117" w:type="dxa"/>
            <w:tcMar>
              <w:left w:w="0" w:type="dxa"/>
              <w:right w:w="0" w:type="dxa"/>
            </w:tcMar>
            <w:vAlign w:val="center"/>
          </w:tcPr>
          <w:p w14:paraId="0194224A">
            <w:pPr>
              <w:pStyle w:val="296"/>
              <w:adjustRightInd w:val="0"/>
              <w:snapToGrid w:val="0"/>
              <w:spacing w:line="300" w:lineRule="exact"/>
              <w:rPr>
                <w:rFonts w:hint="eastAsia"/>
                <w:color w:val="auto"/>
              </w:rPr>
            </w:pPr>
            <w:r>
              <w:rPr>
                <w:rFonts w:hint="eastAsia"/>
                <w:color w:val="auto"/>
              </w:rPr>
              <w:t>项目建设符合相关规划，符合区域“三线一单”中空间布局约束、污染物排放管控、环境风险防控、资源利用效率相关要求；井下作业及采油符合清洁生产要求；严格控制管线和道路施工作业带宽度；按照规定对占地进行补偿，施工结束后临时占地要及时恢复，退役期要及时释放永久占地。</w:t>
            </w:r>
          </w:p>
        </w:tc>
        <w:tc>
          <w:tcPr>
            <w:tcW w:w="793" w:type="dxa"/>
            <w:tcMar>
              <w:left w:w="0" w:type="dxa"/>
              <w:right w:w="0" w:type="dxa"/>
            </w:tcMar>
            <w:vAlign w:val="center"/>
          </w:tcPr>
          <w:p w14:paraId="2AF418BF">
            <w:pPr>
              <w:pStyle w:val="296"/>
              <w:adjustRightInd w:val="0"/>
              <w:snapToGrid w:val="0"/>
              <w:spacing w:line="300" w:lineRule="exact"/>
              <w:rPr>
                <w:rFonts w:hint="eastAsia"/>
                <w:color w:val="auto"/>
              </w:rPr>
            </w:pPr>
            <w:r>
              <w:rPr>
                <w:rFonts w:hint="eastAsia"/>
                <w:color w:val="auto"/>
                <w:lang w:bidi="ar"/>
              </w:rPr>
              <w:t>符合</w:t>
            </w:r>
          </w:p>
        </w:tc>
      </w:tr>
      <w:tr w14:paraId="12CEB2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765EF38E">
            <w:pPr>
              <w:pStyle w:val="296"/>
              <w:adjustRightInd w:val="0"/>
              <w:snapToGrid w:val="0"/>
              <w:spacing w:line="300" w:lineRule="exact"/>
              <w:rPr>
                <w:rFonts w:hint="eastAsia"/>
                <w:color w:val="auto"/>
                <w:lang w:bidi="ar"/>
              </w:rPr>
            </w:pPr>
            <w:r>
              <w:rPr>
                <w:rFonts w:hint="eastAsia"/>
                <w:color w:val="auto"/>
                <w:lang w:bidi="ar"/>
              </w:rPr>
              <w:t>2</w:t>
            </w:r>
          </w:p>
        </w:tc>
        <w:tc>
          <w:tcPr>
            <w:tcW w:w="4253" w:type="dxa"/>
            <w:tcMar>
              <w:left w:w="0" w:type="dxa"/>
              <w:right w:w="0" w:type="dxa"/>
            </w:tcMar>
            <w:vAlign w:val="center"/>
          </w:tcPr>
          <w:p w14:paraId="33B27E28">
            <w:pPr>
              <w:pStyle w:val="296"/>
              <w:adjustRightInd w:val="0"/>
              <w:snapToGrid w:val="0"/>
              <w:spacing w:line="300" w:lineRule="exact"/>
              <w:rPr>
                <w:rFonts w:hint="eastAsia"/>
                <w:color w:val="auto"/>
              </w:rPr>
            </w:pPr>
            <w:r>
              <w:rPr>
                <w:rFonts w:hint="eastAsia"/>
                <w:color w:val="auto"/>
              </w:rPr>
              <w:t>应实施绿色钻井技术体系，科学选择钻井方式、环境友好型钻井液及井控措施，配备完善的固控系统，及时妥善处置钻井泥浆</w:t>
            </w:r>
          </w:p>
        </w:tc>
        <w:tc>
          <w:tcPr>
            <w:tcW w:w="3117" w:type="dxa"/>
            <w:tcMar>
              <w:left w:w="0" w:type="dxa"/>
              <w:right w:w="0" w:type="dxa"/>
            </w:tcMar>
            <w:vAlign w:val="center"/>
          </w:tcPr>
          <w:p w14:paraId="619E89D7">
            <w:pPr>
              <w:pStyle w:val="296"/>
              <w:adjustRightInd w:val="0"/>
              <w:snapToGrid w:val="0"/>
              <w:spacing w:line="300" w:lineRule="exact"/>
              <w:rPr>
                <w:rFonts w:hint="eastAsia"/>
                <w:color w:val="auto"/>
                <w:lang w:bidi="ar"/>
              </w:rPr>
            </w:pPr>
            <w:r>
              <w:rPr>
                <w:rFonts w:hint="eastAsia"/>
                <w:color w:val="auto"/>
                <w:lang w:bidi="ar"/>
              </w:rPr>
              <w:t>不涉及钻井</w:t>
            </w:r>
          </w:p>
        </w:tc>
        <w:tc>
          <w:tcPr>
            <w:tcW w:w="793" w:type="dxa"/>
            <w:tcMar>
              <w:left w:w="0" w:type="dxa"/>
              <w:right w:w="0" w:type="dxa"/>
            </w:tcMar>
            <w:vAlign w:val="center"/>
          </w:tcPr>
          <w:p w14:paraId="1A1AD79F">
            <w:pPr>
              <w:pStyle w:val="296"/>
              <w:adjustRightInd w:val="0"/>
              <w:snapToGrid w:val="0"/>
              <w:spacing w:line="300" w:lineRule="exact"/>
              <w:rPr>
                <w:rFonts w:hint="eastAsia"/>
                <w:color w:val="auto"/>
                <w:lang w:bidi="ar"/>
              </w:rPr>
            </w:pPr>
            <w:r>
              <w:rPr>
                <w:rFonts w:hint="eastAsia"/>
                <w:color w:val="auto"/>
                <w:lang w:bidi="ar"/>
              </w:rPr>
              <w:t>符合</w:t>
            </w:r>
          </w:p>
        </w:tc>
      </w:tr>
      <w:tr w14:paraId="5E8B67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1E9FB3E6">
            <w:pPr>
              <w:pStyle w:val="296"/>
              <w:adjustRightInd w:val="0"/>
              <w:snapToGrid w:val="0"/>
              <w:spacing w:line="300" w:lineRule="exact"/>
              <w:rPr>
                <w:rFonts w:hint="eastAsia"/>
                <w:color w:val="auto"/>
                <w:lang w:bidi="ar"/>
              </w:rPr>
            </w:pPr>
            <w:r>
              <w:rPr>
                <w:rFonts w:hint="eastAsia"/>
                <w:color w:val="auto"/>
                <w:lang w:bidi="ar"/>
              </w:rPr>
              <w:t>3</w:t>
            </w:r>
          </w:p>
        </w:tc>
        <w:tc>
          <w:tcPr>
            <w:tcW w:w="4253" w:type="dxa"/>
            <w:tcMar>
              <w:left w:w="0" w:type="dxa"/>
              <w:right w:w="0" w:type="dxa"/>
            </w:tcMar>
            <w:vAlign w:val="center"/>
          </w:tcPr>
          <w:p w14:paraId="6FC55026">
            <w:pPr>
              <w:pStyle w:val="296"/>
              <w:adjustRightInd w:val="0"/>
              <w:snapToGrid w:val="0"/>
              <w:spacing w:line="300" w:lineRule="exact"/>
              <w:rPr>
                <w:rFonts w:hint="eastAsia"/>
                <w:color w:val="auto"/>
              </w:rPr>
            </w:pPr>
            <w:r>
              <w:rPr>
                <w:rFonts w:hint="eastAsia"/>
                <w:color w:val="auto"/>
              </w:rPr>
              <w:t>油气开发全过程应采取措施防止地下水污染，建立动态监测评估、处理及报告机制</w:t>
            </w:r>
          </w:p>
        </w:tc>
        <w:tc>
          <w:tcPr>
            <w:tcW w:w="3117" w:type="dxa"/>
            <w:tcMar>
              <w:left w:w="0" w:type="dxa"/>
              <w:right w:w="0" w:type="dxa"/>
            </w:tcMar>
            <w:vAlign w:val="center"/>
          </w:tcPr>
          <w:p w14:paraId="7FA0BA96">
            <w:pPr>
              <w:pStyle w:val="296"/>
              <w:adjustRightInd w:val="0"/>
              <w:snapToGrid w:val="0"/>
              <w:spacing w:line="300" w:lineRule="exact"/>
              <w:rPr>
                <w:rFonts w:hint="eastAsia"/>
                <w:color w:val="auto"/>
                <w:lang w:bidi="ar"/>
              </w:rPr>
            </w:pPr>
            <w:r>
              <w:rPr>
                <w:rFonts w:hint="eastAsia"/>
                <w:color w:val="auto"/>
                <w:lang w:bidi="ar"/>
              </w:rPr>
              <w:t>运营期利用区域已有地下水源井落实地下水监测计划。</w:t>
            </w:r>
          </w:p>
        </w:tc>
        <w:tc>
          <w:tcPr>
            <w:tcW w:w="793" w:type="dxa"/>
            <w:tcMar>
              <w:left w:w="0" w:type="dxa"/>
              <w:right w:w="0" w:type="dxa"/>
            </w:tcMar>
            <w:vAlign w:val="center"/>
          </w:tcPr>
          <w:p w14:paraId="54230533">
            <w:pPr>
              <w:pStyle w:val="296"/>
              <w:adjustRightInd w:val="0"/>
              <w:snapToGrid w:val="0"/>
              <w:spacing w:line="300" w:lineRule="exact"/>
              <w:rPr>
                <w:rFonts w:hint="eastAsia"/>
                <w:color w:val="auto"/>
                <w:lang w:bidi="ar"/>
              </w:rPr>
            </w:pPr>
            <w:r>
              <w:rPr>
                <w:rFonts w:hint="eastAsia"/>
                <w:color w:val="auto"/>
                <w:lang w:bidi="ar"/>
              </w:rPr>
              <w:t>符合</w:t>
            </w:r>
          </w:p>
        </w:tc>
      </w:tr>
      <w:tr w14:paraId="025519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25087170">
            <w:pPr>
              <w:pStyle w:val="296"/>
              <w:adjustRightInd w:val="0"/>
              <w:snapToGrid w:val="0"/>
              <w:spacing w:line="300" w:lineRule="exact"/>
              <w:rPr>
                <w:rFonts w:hint="eastAsia"/>
                <w:color w:val="auto"/>
                <w:lang w:bidi="ar"/>
              </w:rPr>
            </w:pPr>
            <w:r>
              <w:rPr>
                <w:rFonts w:hint="eastAsia"/>
                <w:color w:val="auto"/>
                <w:lang w:bidi="ar"/>
              </w:rPr>
              <w:t>4</w:t>
            </w:r>
          </w:p>
        </w:tc>
        <w:tc>
          <w:tcPr>
            <w:tcW w:w="4253" w:type="dxa"/>
            <w:tcMar>
              <w:left w:w="0" w:type="dxa"/>
              <w:right w:w="0" w:type="dxa"/>
            </w:tcMar>
            <w:vAlign w:val="center"/>
          </w:tcPr>
          <w:p w14:paraId="4FF4A0B1">
            <w:pPr>
              <w:pStyle w:val="296"/>
              <w:adjustRightInd w:val="0"/>
              <w:snapToGrid w:val="0"/>
              <w:spacing w:line="300" w:lineRule="exact"/>
              <w:rPr>
                <w:rFonts w:hint="eastAsia"/>
                <w:color w:val="auto"/>
              </w:rPr>
            </w:pPr>
            <w:r>
              <w:rPr>
                <w:rFonts w:hint="eastAsia"/>
                <w:color w:val="auto"/>
              </w:rPr>
              <w:t>防止油气生产、储存、转运过程中发生渗漏、泄漏，防止对矿区生态环境造成污染和破坏；应制定突发环境事件应急预案，配备相应的应急物资</w:t>
            </w:r>
          </w:p>
        </w:tc>
        <w:tc>
          <w:tcPr>
            <w:tcW w:w="3117" w:type="dxa"/>
            <w:tcMar>
              <w:left w:w="0" w:type="dxa"/>
              <w:right w:w="0" w:type="dxa"/>
            </w:tcMar>
            <w:vAlign w:val="center"/>
          </w:tcPr>
          <w:p w14:paraId="76C57951">
            <w:pPr>
              <w:pStyle w:val="296"/>
              <w:adjustRightInd w:val="0"/>
              <w:snapToGrid w:val="0"/>
              <w:spacing w:line="300" w:lineRule="exact"/>
              <w:rPr>
                <w:rFonts w:hint="eastAsia"/>
                <w:color w:val="auto"/>
                <w:lang w:bidi="ar"/>
              </w:rPr>
            </w:pPr>
            <w:r>
              <w:rPr>
                <w:rFonts w:hint="eastAsia"/>
                <w:color w:val="auto"/>
              </w:rPr>
              <w:t>石西油田作业区</w:t>
            </w:r>
            <w:r>
              <w:rPr>
                <w:rFonts w:hint="eastAsia"/>
                <w:color w:val="auto"/>
                <w:lang w:bidi="ar"/>
              </w:rPr>
              <w:t>具备完善的应急管理体系，可依托其应急预案及应急物资。</w:t>
            </w:r>
          </w:p>
        </w:tc>
        <w:tc>
          <w:tcPr>
            <w:tcW w:w="793" w:type="dxa"/>
            <w:tcMar>
              <w:left w:w="0" w:type="dxa"/>
              <w:right w:w="0" w:type="dxa"/>
            </w:tcMar>
            <w:vAlign w:val="center"/>
          </w:tcPr>
          <w:p w14:paraId="10CC2286">
            <w:pPr>
              <w:pStyle w:val="296"/>
              <w:adjustRightInd w:val="0"/>
              <w:snapToGrid w:val="0"/>
              <w:spacing w:line="300" w:lineRule="exact"/>
              <w:rPr>
                <w:rFonts w:hint="eastAsia"/>
                <w:color w:val="auto"/>
                <w:lang w:bidi="ar"/>
              </w:rPr>
            </w:pPr>
            <w:r>
              <w:rPr>
                <w:rFonts w:hint="eastAsia"/>
                <w:color w:val="auto"/>
                <w:lang w:bidi="ar"/>
              </w:rPr>
              <w:t>符合</w:t>
            </w:r>
          </w:p>
        </w:tc>
      </w:tr>
      <w:tr w14:paraId="38F393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15B339BA">
            <w:pPr>
              <w:pStyle w:val="296"/>
              <w:adjustRightInd w:val="0"/>
              <w:snapToGrid w:val="0"/>
              <w:spacing w:line="300" w:lineRule="exact"/>
              <w:rPr>
                <w:rFonts w:hint="eastAsia"/>
                <w:color w:val="auto"/>
                <w:lang w:bidi="ar"/>
              </w:rPr>
            </w:pPr>
            <w:r>
              <w:rPr>
                <w:rFonts w:hint="eastAsia"/>
                <w:color w:val="auto"/>
                <w:lang w:bidi="ar"/>
              </w:rPr>
              <w:t>5</w:t>
            </w:r>
          </w:p>
        </w:tc>
        <w:tc>
          <w:tcPr>
            <w:tcW w:w="4253" w:type="dxa"/>
            <w:tcMar>
              <w:left w:w="0" w:type="dxa"/>
              <w:right w:w="0" w:type="dxa"/>
            </w:tcMar>
            <w:vAlign w:val="center"/>
          </w:tcPr>
          <w:p w14:paraId="17BA4368">
            <w:pPr>
              <w:pStyle w:val="296"/>
              <w:adjustRightInd w:val="0"/>
              <w:snapToGrid w:val="0"/>
              <w:spacing w:line="300" w:lineRule="exact"/>
              <w:rPr>
                <w:rFonts w:hint="eastAsia"/>
                <w:color w:val="auto"/>
              </w:rPr>
            </w:pPr>
            <w:r>
              <w:rPr>
                <w:rFonts w:hint="eastAsia"/>
                <w:color w:val="auto"/>
              </w:rPr>
              <w:t>按照减量化、资源化、再利用的原则，综合开发利用油气藏共伴生资源，综合利用固体废弃物、废水等，发展循环经济；气田伴生资源综合利用：与甲烷气伴生的凝析油综合利用率不低于90%；油气生产过程中产生的废液、废气、固体废物应建档分类管理，并清洁化、无害化处置，处置率应达到100%；油气生产过程中的采出水应清洁处理后循环利用；不能循环利用的，应达标排放、回注或采取其它有效利用方式；油气开采过程中产生的落地原油，应及时全部回收</w:t>
            </w:r>
          </w:p>
        </w:tc>
        <w:tc>
          <w:tcPr>
            <w:tcW w:w="3117" w:type="dxa"/>
            <w:tcMar>
              <w:left w:w="0" w:type="dxa"/>
              <w:right w:w="0" w:type="dxa"/>
            </w:tcMar>
            <w:vAlign w:val="center"/>
          </w:tcPr>
          <w:p w14:paraId="5FB8A50D">
            <w:pPr>
              <w:pStyle w:val="296"/>
              <w:adjustRightInd w:val="0"/>
              <w:snapToGrid w:val="0"/>
              <w:spacing w:line="300" w:lineRule="exact"/>
              <w:rPr>
                <w:rFonts w:hint="eastAsia"/>
                <w:color w:val="auto"/>
                <w:lang w:bidi="ar"/>
              </w:rPr>
            </w:pPr>
            <w:r>
              <w:rPr>
                <w:rFonts w:hint="eastAsia"/>
                <w:color w:val="auto"/>
                <w:lang w:bidi="ar"/>
              </w:rPr>
              <w:t>井下作业废液送至莫北转油站采出水处理系统处理；清罐底泥、废分子筛、</w:t>
            </w:r>
            <w:r>
              <w:rPr>
                <w:rFonts w:hint="eastAsia"/>
                <w:color w:val="auto"/>
              </w:rPr>
              <w:t>废滤料、废润滑油、废润滑油桶、沾油废防渗材料</w:t>
            </w:r>
            <w:r>
              <w:rPr>
                <w:rFonts w:hint="eastAsia" w:cs="宋体"/>
                <w:color w:val="auto"/>
              </w:rPr>
              <w:t>、</w:t>
            </w:r>
            <w:r>
              <w:rPr>
                <w:rFonts w:hint="eastAsia" w:cs="宋体"/>
                <w:color w:val="auto"/>
                <w:lang w:val="zh-CN"/>
              </w:rPr>
              <w:t>废含油抹布及劳保用品</w:t>
            </w:r>
            <w:r>
              <w:rPr>
                <w:rFonts w:hint="eastAsia"/>
                <w:color w:val="auto"/>
                <w:lang w:bidi="ar"/>
              </w:rPr>
              <w:t>委托有相应处理资质的单位处置。井下作业时铺设防渗膜。</w:t>
            </w:r>
          </w:p>
        </w:tc>
        <w:tc>
          <w:tcPr>
            <w:tcW w:w="793" w:type="dxa"/>
            <w:tcMar>
              <w:left w:w="0" w:type="dxa"/>
              <w:right w:w="0" w:type="dxa"/>
            </w:tcMar>
            <w:vAlign w:val="center"/>
          </w:tcPr>
          <w:p w14:paraId="49A0CD5F">
            <w:pPr>
              <w:pStyle w:val="296"/>
              <w:adjustRightInd w:val="0"/>
              <w:snapToGrid w:val="0"/>
              <w:spacing w:line="300" w:lineRule="exact"/>
              <w:rPr>
                <w:rFonts w:hint="eastAsia"/>
                <w:color w:val="auto"/>
                <w:lang w:bidi="ar"/>
              </w:rPr>
            </w:pPr>
            <w:r>
              <w:rPr>
                <w:rFonts w:hint="eastAsia"/>
                <w:color w:val="auto"/>
                <w:lang w:bidi="ar"/>
              </w:rPr>
              <w:t>符合</w:t>
            </w:r>
          </w:p>
        </w:tc>
      </w:tr>
    </w:tbl>
    <w:p w14:paraId="7375F9DD">
      <w:pPr>
        <w:pStyle w:val="86"/>
        <w:ind w:firstLine="480"/>
        <w:rPr>
          <w:rFonts w:hint="eastAsia"/>
          <w:color w:val="auto"/>
        </w:rPr>
      </w:pPr>
      <w:bookmarkStart w:id="171" w:name="_Hlk80611172"/>
      <w:r>
        <w:rPr>
          <w:rFonts w:hint="eastAsia"/>
          <w:color w:val="auto"/>
        </w:rPr>
        <w:t>（3）与《关于进一步加强石油天然气行业环境影响评价管理的通知》的相符性分析</w:t>
      </w:r>
    </w:p>
    <w:p w14:paraId="0FFF8A33">
      <w:pPr>
        <w:pStyle w:val="86"/>
        <w:ind w:firstLine="480"/>
        <w:rPr>
          <w:rFonts w:hint="eastAsia"/>
          <w:color w:val="auto"/>
        </w:rPr>
      </w:pPr>
      <w:r>
        <w:rPr>
          <w:rFonts w:hint="eastAsia"/>
          <w:color w:val="auto"/>
        </w:rPr>
        <w:t>本项目的建设</w:t>
      </w:r>
      <w:bookmarkStart w:id="172" w:name="_Hlk80042711"/>
      <w:r>
        <w:rPr>
          <w:rFonts w:hint="eastAsia"/>
          <w:color w:val="auto"/>
        </w:rPr>
        <w:t>符合</w:t>
      </w:r>
      <w:bookmarkStart w:id="173" w:name="_Hlk80047852"/>
      <w:r>
        <w:rPr>
          <w:rFonts w:hint="eastAsia"/>
          <w:color w:val="auto"/>
        </w:rPr>
        <w:t>《关于进一步加强石油天然气行业环境影响评价管理的通知》</w:t>
      </w:r>
      <w:bookmarkEnd w:id="172"/>
      <w:bookmarkEnd w:id="173"/>
      <w:r>
        <w:rPr>
          <w:rFonts w:hint="eastAsia"/>
          <w:color w:val="auto"/>
        </w:rPr>
        <w:t>中的相关要求，具体见表</w:t>
      </w:r>
      <w:r>
        <w:rPr>
          <w:color w:val="auto"/>
        </w:rPr>
        <w:t>2.9</w:t>
      </w:r>
      <w:r>
        <w:rPr>
          <w:rFonts w:hint="eastAsia"/>
          <w:color w:val="auto"/>
        </w:rPr>
        <w:t>-</w:t>
      </w:r>
      <w:r>
        <w:rPr>
          <w:color w:val="auto"/>
        </w:rPr>
        <w:t>6</w:t>
      </w:r>
      <w:r>
        <w:rPr>
          <w:rFonts w:hint="eastAsia"/>
          <w:color w:val="auto"/>
        </w:rPr>
        <w:t>。</w:t>
      </w:r>
    </w:p>
    <w:p w14:paraId="59658431">
      <w:pPr>
        <w:pStyle w:val="15"/>
        <w:rPr>
          <w:rFonts w:hint="eastAsia"/>
          <w:color w:val="auto"/>
        </w:rPr>
      </w:pPr>
      <w:r>
        <w:rPr>
          <w:rFonts w:hint="eastAsia"/>
          <w:color w:val="auto"/>
        </w:rPr>
        <w:t>表2</w:t>
      </w:r>
      <w:r>
        <w:rPr>
          <w:color w:val="auto"/>
        </w:rPr>
        <w:t>.9</w:t>
      </w:r>
      <w:r>
        <w:rPr>
          <w:rFonts w:hint="eastAsia"/>
          <w:color w:val="auto"/>
        </w:rPr>
        <w:t>-</w:t>
      </w:r>
      <w:r>
        <w:rPr>
          <w:color w:val="auto"/>
        </w:rPr>
        <w:t xml:space="preserve">6  </w:t>
      </w:r>
      <w:r>
        <w:rPr>
          <w:rFonts w:hint="eastAsia"/>
          <w:color w:val="auto"/>
        </w:rPr>
        <w:t>与</w:t>
      </w:r>
      <w:bookmarkStart w:id="174" w:name="_Hlk80467751"/>
      <w:r>
        <w:rPr>
          <w:rFonts w:hint="eastAsia"/>
          <w:color w:val="auto"/>
        </w:rPr>
        <w:t>《关于进一步加强石油天然气行业环境影响评价管理的通知》</w:t>
      </w:r>
      <w:bookmarkEnd w:id="174"/>
      <w:r>
        <w:rPr>
          <w:rFonts w:hint="eastAsia"/>
          <w:color w:val="auto"/>
        </w:rPr>
        <w:t>的符合性分析</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4"/>
        <w:gridCol w:w="4678"/>
        <w:gridCol w:w="2951"/>
        <w:gridCol w:w="817"/>
      </w:tblGrid>
      <w:tr w14:paraId="6B67D7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84" w:type="dxa"/>
            <w:tcMar>
              <w:left w:w="0" w:type="dxa"/>
              <w:right w:w="0" w:type="dxa"/>
            </w:tcMar>
            <w:vAlign w:val="center"/>
          </w:tcPr>
          <w:p w14:paraId="268D3873">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lang w:bidi="ar"/>
              </w:rPr>
              <w:t>序号</w:t>
            </w:r>
          </w:p>
        </w:tc>
        <w:tc>
          <w:tcPr>
            <w:tcW w:w="4678" w:type="dxa"/>
            <w:tcMar>
              <w:left w:w="0" w:type="dxa"/>
              <w:right w:w="0" w:type="dxa"/>
            </w:tcMar>
            <w:vAlign w:val="center"/>
          </w:tcPr>
          <w:p w14:paraId="12BB55CB">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lang w:bidi="ar"/>
              </w:rPr>
              <w:t>《</w:t>
            </w:r>
            <w:r>
              <w:rPr>
                <w:rFonts w:hint="eastAsia" w:ascii="宋体" w:hAnsi="宋体"/>
                <w:bCs/>
                <w:color w:val="auto"/>
                <w:kern w:val="0"/>
                <w:szCs w:val="21"/>
                <w:lang w:bidi="ar"/>
              </w:rPr>
              <w:t>关于进一步加强石油天然气行业环境影响评价管理的通知</w:t>
            </w:r>
            <w:r>
              <w:rPr>
                <w:rFonts w:hint="eastAsia" w:ascii="宋体" w:hAnsi="宋体"/>
                <w:color w:val="auto"/>
                <w:kern w:val="0"/>
                <w:szCs w:val="21"/>
                <w:lang w:bidi="ar"/>
              </w:rPr>
              <w:t>》中相关规定</w:t>
            </w:r>
          </w:p>
        </w:tc>
        <w:tc>
          <w:tcPr>
            <w:tcW w:w="2951" w:type="dxa"/>
            <w:tcMar>
              <w:left w:w="0" w:type="dxa"/>
              <w:right w:w="0" w:type="dxa"/>
            </w:tcMar>
            <w:vAlign w:val="center"/>
          </w:tcPr>
          <w:p w14:paraId="37D70132">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lang w:bidi="ar"/>
              </w:rPr>
              <w:t>本项目采取的相关措施</w:t>
            </w:r>
          </w:p>
        </w:tc>
        <w:tc>
          <w:tcPr>
            <w:tcW w:w="817" w:type="dxa"/>
            <w:tcMar>
              <w:left w:w="0" w:type="dxa"/>
              <w:right w:w="0" w:type="dxa"/>
            </w:tcMar>
            <w:vAlign w:val="center"/>
          </w:tcPr>
          <w:p w14:paraId="4E55BAB2">
            <w:pPr>
              <w:adjustRightInd w:val="0"/>
              <w:snapToGrid w:val="0"/>
              <w:spacing w:line="300" w:lineRule="exact"/>
              <w:jc w:val="center"/>
              <w:rPr>
                <w:rFonts w:hint="eastAsia" w:ascii="宋体" w:hAnsi="宋体"/>
                <w:color w:val="auto"/>
                <w:kern w:val="0"/>
                <w:szCs w:val="21"/>
                <w:lang w:bidi="ar"/>
              </w:rPr>
            </w:pPr>
            <w:r>
              <w:rPr>
                <w:rFonts w:hint="eastAsia" w:ascii="宋体" w:hAnsi="宋体"/>
                <w:color w:val="auto"/>
                <w:kern w:val="0"/>
                <w:szCs w:val="21"/>
                <w:lang w:bidi="ar"/>
              </w:rPr>
              <w:t>相符性</w:t>
            </w:r>
          </w:p>
          <w:p w14:paraId="49E82F35">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lang w:bidi="ar"/>
              </w:rPr>
              <w:t>分析</w:t>
            </w:r>
          </w:p>
        </w:tc>
      </w:tr>
      <w:tr w14:paraId="2BFAAB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09BD5C09">
            <w:pPr>
              <w:adjustRightInd w:val="0"/>
              <w:snapToGrid w:val="0"/>
              <w:spacing w:line="300" w:lineRule="exact"/>
              <w:jc w:val="center"/>
              <w:rPr>
                <w:rFonts w:hint="eastAsia" w:ascii="宋体" w:hAnsi="宋体"/>
                <w:bCs/>
                <w:color w:val="auto"/>
                <w:kern w:val="0"/>
                <w:szCs w:val="21"/>
                <w:lang w:bidi="ar"/>
              </w:rPr>
            </w:pPr>
            <w:r>
              <w:rPr>
                <w:rFonts w:hint="eastAsia" w:ascii="宋体" w:hAnsi="宋体"/>
                <w:bCs/>
                <w:color w:val="auto"/>
                <w:kern w:val="0"/>
                <w:szCs w:val="21"/>
                <w:lang w:bidi="ar"/>
              </w:rPr>
              <w:t>1</w:t>
            </w:r>
          </w:p>
        </w:tc>
        <w:tc>
          <w:tcPr>
            <w:tcW w:w="4678" w:type="dxa"/>
            <w:tcMar>
              <w:left w:w="0" w:type="dxa"/>
              <w:right w:w="0" w:type="dxa"/>
            </w:tcMar>
            <w:vAlign w:val="center"/>
          </w:tcPr>
          <w:p w14:paraId="40806B8F">
            <w:pPr>
              <w:adjustRightInd w:val="0"/>
              <w:snapToGrid w:val="0"/>
              <w:spacing w:line="300" w:lineRule="exact"/>
              <w:jc w:val="center"/>
              <w:rPr>
                <w:rFonts w:hint="eastAsia" w:ascii="宋体" w:hAnsi="宋体"/>
                <w:bCs/>
                <w:color w:val="auto"/>
                <w:kern w:val="0"/>
                <w:szCs w:val="21"/>
                <w:lang w:bidi="ar"/>
              </w:rPr>
            </w:pPr>
            <w:r>
              <w:rPr>
                <w:rFonts w:hint="eastAsia" w:ascii="宋体" w:hAnsi="宋体"/>
                <w:bCs/>
                <w:color w:val="auto"/>
                <w:kern w:val="0"/>
                <w:szCs w:val="21"/>
                <w:lang w:bidi="ar"/>
              </w:rPr>
              <w:t>油气企业在编制内部相关油气开发专项规划时，鼓励同步编制规划环境影响报告书，重点就规划实施的累积性、长期性环境影响进行分析，提出预防和减轻不良环境影响的对策措施，自行组织专家论证，将相关成果向省级生态环境主管部门通报</w:t>
            </w:r>
          </w:p>
        </w:tc>
        <w:tc>
          <w:tcPr>
            <w:tcW w:w="2951" w:type="dxa"/>
            <w:tcMar>
              <w:left w:w="0" w:type="dxa"/>
              <w:right w:w="0" w:type="dxa"/>
            </w:tcMar>
            <w:vAlign w:val="center"/>
          </w:tcPr>
          <w:p w14:paraId="19AB1FD3">
            <w:pPr>
              <w:adjustRightInd w:val="0"/>
              <w:snapToGrid w:val="0"/>
              <w:spacing w:line="300" w:lineRule="exact"/>
              <w:jc w:val="center"/>
              <w:rPr>
                <w:rFonts w:hint="eastAsia" w:ascii="宋体" w:hAnsi="宋体"/>
                <w:color w:val="auto"/>
                <w:kern w:val="0"/>
                <w:szCs w:val="21"/>
                <w:lang w:bidi="ar"/>
              </w:rPr>
            </w:pPr>
            <w:r>
              <w:rPr>
                <w:rFonts w:hint="eastAsia" w:ascii="宋体" w:hAnsi="宋体"/>
                <w:color w:val="auto"/>
                <w:kern w:val="0"/>
                <w:szCs w:val="21"/>
                <w:lang w:bidi="ar"/>
              </w:rPr>
              <w:t>中国石油新疆油田分公司编制了《新疆油田公司“十四五”发展规划》和《新疆油田公司“十四五”发展规划环境影响报告书》，规划环境影响报告书已取得自治区生态环境厅审查意见（新环函〔2</w:t>
            </w:r>
            <w:r>
              <w:rPr>
                <w:rFonts w:ascii="宋体" w:hAnsi="宋体"/>
                <w:color w:val="auto"/>
                <w:kern w:val="0"/>
                <w:szCs w:val="21"/>
                <w:lang w:bidi="ar"/>
              </w:rPr>
              <w:t>022</w:t>
            </w:r>
            <w:r>
              <w:rPr>
                <w:rFonts w:hint="eastAsia" w:ascii="宋体" w:hAnsi="宋体"/>
                <w:color w:val="auto"/>
                <w:kern w:val="0"/>
                <w:szCs w:val="21"/>
                <w:lang w:bidi="ar"/>
              </w:rPr>
              <w:t>〕2</w:t>
            </w:r>
            <w:r>
              <w:rPr>
                <w:rFonts w:ascii="宋体" w:hAnsi="宋体"/>
                <w:color w:val="auto"/>
                <w:kern w:val="0"/>
                <w:szCs w:val="21"/>
                <w:lang w:bidi="ar"/>
              </w:rPr>
              <w:t>52</w:t>
            </w:r>
            <w:r>
              <w:rPr>
                <w:rFonts w:hint="eastAsia" w:ascii="宋体" w:hAnsi="宋体"/>
                <w:color w:val="auto"/>
                <w:kern w:val="0"/>
                <w:szCs w:val="21"/>
                <w:lang w:bidi="ar"/>
              </w:rPr>
              <w:t>号）。</w:t>
            </w:r>
          </w:p>
        </w:tc>
        <w:tc>
          <w:tcPr>
            <w:tcW w:w="817" w:type="dxa"/>
            <w:tcMar>
              <w:left w:w="0" w:type="dxa"/>
              <w:right w:w="0" w:type="dxa"/>
            </w:tcMar>
            <w:vAlign w:val="center"/>
          </w:tcPr>
          <w:p w14:paraId="54F09115">
            <w:pPr>
              <w:adjustRightInd w:val="0"/>
              <w:snapToGrid w:val="0"/>
              <w:spacing w:line="300" w:lineRule="exact"/>
              <w:jc w:val="center"/>
              <w:rPr>
                <w:rFonts w:hint="eastAsia" w:ascii="宋体" w:hAnsi="宋体"/>
                <w:color w:val="auto"/>
                <w:kern w:val="0"/>
                <w:szCs w:val="21"/>
                <w:lang w:bidi="ar"/>
              </w:rPr>
            </w:pPr>
            <w:r>
              <w:rPr>
                <w:rFonts w:hint="eastAsia" w:ascii="宋体" w:hAnsi="宋体"/>
                <w:color w:val="auto"/>
                <w:kern w:val="0"/>
                <w:szCs w:val="21"/>
                <w:lang w:bidi="ar"/>
              </w:rPr>
              <w:t>符合</w:t>
            </w:r>
          </w:p>
        </w:tc>
      </w:tr>
      <w:tr w14:paraId="4040E0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4A97AAB0">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lang w:bidi="ar"/>
              </w:rPr>
              <w:t>2</w:t>
            </w:r>
          </w:p>
        </w:tc>
        <w:tc>
          <w:tcPr>
            <w:tcW w:w="4678" w:type="dxa"/>
            <w:tcMar>
              <w:left w:w="0" w:type="dxa"/>
              <w:right w:w="0" w:type="dxa"/>
            </w:tcMar>
            <w:vAlign w:val="center"/>
          </w:tcPr>
          <w:p w14:paraId="377C024C">
            <w:pPr>
              <w:adjustRightInd w:val="0"/>
              <w:snapToGrid w:val="0"/>
              <w:spacing w:line="300" w:lineRule="exact"/>
              <w:jc w:val="center"/>
              <w:rPr>
                <w:rFonts w:hint="eastAsia" w:ascii="宋体" w:hAnsi="宋体"/>
                <w:color w:val="auto"/>
                <w:kern w:val="0"/>
                <w:szCs w:val="21"/>
              </w:rPr>
            </w:pPr>
            <w:r>
              <w:rPr>
                <w:rFonts w:hint="eastAsia" w:ascii="宋体" w:hAnsi="宋体"/>
                <w:color w:val="auto"/>
                <w:szCs w:val="21"/>
              </w:rPr>
              <w:t>油气开采项目（含新开发和滚动开发项目）原则上应以区块为单位开展环评，一般包括区块内拟建的新井、加密井、调整井、站场、设备、管道和电缆及其更换工程、弃置工程及配套工程等。项目环评应深入评价项目建设、运营带来的环境影响和环境风险，提出有效的生态环境保护和环境风险防范措施。滚动开发区块产能建设项目，还应对现有工程环境影响进行回顾性评价，对相关生态环境问题提出有效防治措施。依托其他防治设施的或者委托第三方处置的，应在环评中论证其可行性和有效性。</w:t>
            </w:r>
          </w:p>
        </w:tc>
        <w:tc>
          <w:tcPr>
            <w:tcW w:w="2951" w:type="dxa"/>
            <w:tcMar>
              <w:left w:w="0" w:type="dxa"/>
              <w:right w:w="0" w:type="dxa"/>
            </w:tcMar>
            <w:vAlign w:val="center"/>
          </w:tcPr>
          <w:p w14:paraId="2B70E7B7">
            <w:pPr>
              <w:adjustRightInd w:val="0"/>
              <w:snapToGrid w:val="0"/>
              <w:spacing w:line="300" w:lineRule="exact"/>
              <w:rPr>
                <w:rFonts w:hint="eastAsia" w:ascii="宋体" w:hAnsi="宋体"/>
                <w:color w:val="auto"/>
                <w:kern w:val="0"/>
                <w:szCs w:val="21"/>
              </w:rPr>
            </w:pPr>
            <w:r>
              <w:rPr>
                <w:rFonts w:hint="eastAsia" w:ascii="宋体" w:hAnsi="宋体"/>
                <w:color w:val="auto"/>
                <w:szCs w:val="21"/>
                <w:lang w:bidi="ar"/>
              </w:rPr>
              <w:t>莫27井、莫172H井和莫174H井均为勘探井转为生产井，位于石西油田作业区，在报告中对</w:t>
            </w:r>
            <w:r>
              <w:rPr>
                <w:rFonts w:hint="eastAsia" w:ascii="宋体" w:hAnsi="宋体"/>
                <w:color w:val="auto"/>
                <w:szCs w:val="21"/>
              </w:rPr>
              <w:t>施工期、运营期环境影响和环境风险进行了分析，并提出有效的环境保护措施、污染防治措施和环境风险防范措施，并分析了依托工程可行性和有效性；同时对现有工程也进行了回顾性评价，对相关生态环境问题提出有效防治措施。</w:t>
            </w:r>
          </w:p>
        </w:tc>
        <w:tc>
          <w:tcPr>
            <w:tcW w:w="817" w:type="dxa"/>
            <w:tcMar>
              <w:left w:w="0" w:type="dxa"/>
              <w:right w:w="0" w:type="dxa"/>
            </w:tcMar>
            <w:vAlign w:val="center"/>
          </w:tcPr>
          <w:p w14:paraId="2576239C">
            <w:pPr>
              <w:adjustRightInd w:val="0"/>
              <w:snapToGrid w:val="0"/>
              <w:spacing w:line="300" w:lineRule="exact"/>
              <w:jc w:val="center"/>
              <w:rPr>
                <w:rFonts w:hint="eastAsia" w:ascii="宋体" w:hAnsi="宋体"/>
                <w:color w:val="auto"/>
                <w:kern w:val="0"/>
                <w:szCs w:val="21"/>
              </w:rPr>
            </w:pPr>
            <w:r>
              <w:rPr>
                <w:rFonts w:ascii="宋体" w:hAnsi="宋体"/>
                <w:color w:val="auto"/>
                <w:szCs w:val="21"/>
                <w:lang w:bidi="ar"/>
              </w:rPr>
              <w:t>符合</w:t>
            </w:r>
          </w:p>
        </w:tc>
      </w:tr>
      <w:tr w14:paraId="58351C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13E31E45">
            <w:pPr>
              <w:adjustRightInd w:val="0"/>
              <w:snapToGrid w:val="0"/>
              <w:spacing w:line="300" w:lineRule="exact"/>
              <w:jc w:val="center"/>
              <w:rPr>
                <w:rFonts w:hint="eastAsia" w:ascii="宋体" w:hAnsi="宋体"/>
                <w:color w:val="auto"/>
                <w:kern w:val="0"/>
                <w:szCs w:val="21"/>
                <w:lang w:bidi="ar"/>
              </w:rPr>
            </w:pPr>
            <w:r>
              <w:rPr>
                <w:rFonts w:hint="eastAsia" w:ascii="宋体" w:hAnsi="宋体"/>
                <w:color w:val="auto"/>
                <w:kern w:val="0"/>
                <w:szCs w:val="21"/>
                <w:lang w:bidi="ar"/>
              </w:rPr>
              <w:t>3</w:t>
            </w:r>
          </w:p>
        </w:tc>
        <w:tc>
          <w:tcPr>
            <w:tcW w:w="4678" w:type="dxa"/>
            <w:tcMar>
              <w:left w:w="0" w:type="dxa"/>
              <w:right w:w="0" w:type="dxa"/>
            </w:tcMar>
            <w:vAlign w:val="center"/>
          </w:tcPr>
          <w:p w14:paraId="0B0CED19">
            <w:pPr>
              <w:widowControl/>
              <w:shd w:val="clear" w:color="auto" w:fill="FFFFFF"/>
              <w:adjustRightInd w:val="0"/>
              <w:snapToGrid w:val="0"/>
              <w:spacing w:line="300" w:lineRule="exact"/>
              <w:jc w:val="left"/>
              <w:rPr>
                <w:rFonts w:hint="eastAsia" w:ascii="宋体" w:hAnsi="宋体"/>
                <w:color w:val="auto"/>
                <w:szCs w:val="21"/>
                <w:lang w:val="en"/>
              </w:rPr>
            </w:pPr>
            <w:r>
              <w:rPr>
                <w:rFonts w:hint="eastAsia" w:ascii="宋体" w:hAnsi="宋体" w:cs="宋体"/>
                <w:color w:val="auto"/>
                <w:kern w:val="0"/>
                <w:szCs w:val="21"/>
                <w:lang w:val="en"/>
              </w:rPr>
              <w:t>涉</w:t>
            </w:r>
            <w:r>
              <w:rPr>
                <w:rFonts w:hint="eastAsia" w:ascii="宋体" w:hAnsi="宋体"/>
                <w:color w:val="auto"/>
                <w:szCs w:val="21"/>
              </w:rPr>
              <w:t>及向地表水体排放污染物的陆地油气开采项目，应当符合国家和地方污染物排放标准，满足重点污染物排放总量控制要求。涉及废水回注的，应当论证回注的环境可行性，采取切实可行的地下水污染防治和监控措施，不得回注与油气开采无关的废水，严禁造成地下水污染。在相关行业污染控制标准发布前，回注的开采废水应当经处理并符合《碎屑岩油藏注水水质推荐指标及分析方法》（SY/T5329）等相关标准要求后回注，同步采取切实可行措施防治污染。回注目的层应当为地质构造封闭地层，一般应当回注到现役油气藏或枯竭废弃油气藏。相关部门及油气企业应当加强采出水等污水回注的研究，重点关注回注井井位合理性、过程控制有效性、风险防控系统性等，提出从源头到末端的全过程生态环境保护及风险防控措施、监控要求。建设项目环评文件中应当包含钻井液、压裂液中重金属等有毒有害物质的相关信息，涉及商业秘密、技术秘密等情形的除外</w:t>
            </w:r>
          </w:p>
        </w:tc>
        <w:tc>
          <w:tcPr>
            <w:tcW w:w="2951" w:type="dxa"/>
            <w:tcMar>
              <w:left w:w="0" w:type="dxa"/>
              <w:right w:w="0" w:type="dxa"/>
            </w:tcMar>
            <w:vAlign w:val="center"/>
          </w:tcPr>
          <w:p w14:paraId="09F09C1F">
            <w:pPr>
              <w:adjustRightInd w:val="0"/>
              <w:snapToGrid w:val="0"/>
              <w:spacing w:line="300" w:lineRule="exact"/>
              <w:rPr>
                <w:rFonts w:hint="eastAsia" w:ascii="宋体" w:hAnsi="宋体"/>
                <w:color w:val="auto"/>
                <w:szCs w:val="21"/>
                <w:lang w:bidi="ar"/>
              </w:rPr>
            </w:pPr>
            <w:r>
              <w:rPr>
                <w:rFonts w:hint="eastAsia" w:ascii="宋体" w:hAnsi="宋体"/>
                <w:color w:val="auto"/>
                <w:lang w:bidi="ar"/>
              </w:rPr>
              <w:t>井下作业废液送至莫北转油站采出水处理系统处理，达到</w:t>
            </w:r>
            <w:r>
              <w:rPr>
                <w:rFonts w:hint="eastAsia" w:ascii="宋体" w:hAnsi="宋体"/>
                <w:color w:val="auto"/>
              </w:rPr>
              <w:t>《碎屑岩油藏注水水质指标技术要求及分析方法》（SY/T5329-</w:t>
            </w:r>
            <w:r>
              <w:rPr>
                <w:rFonts w:ascii="宋体" w:hAnsi="宋体"/>
                <w:color w:val="auto"/>
              </w:rPr>
              <w:t>2022</w:t>
            </w:r>
            <w:r>
              <w:rPr>
                <w:rFonts w:hint="eastAsia" w:ascii="宋体" w:hAnsi="宋体"/>
                <w:color w:val="auto"/>
              </w:rPr>
              <w:t>）</w:t>
            </w:r>
            <w:r>
              <w:rPr>
                <w:rFonts w:hint="eastAsia" w:ascii="宋体" w:hAnsi="宋体"/>
                <w:color w:val="auto"/>
                <w:lang w:bidi="ar"/>
              </w:rPr>
              <w:t>中的相关要求后，回注地层</w:t>
            </w:r>
            <w:r>
              <w:rPr>
                <w:rFonts w:hint="eastAsia" w:ascii="宋体" w:hAnsi="宋体"/>
                <w:color w:val="auto"/>
                <w:szCs w:val="21"/>
                <w:lang w:bidi="ar"/>
              </w:rPr>
              <w:t>；生活污水送至玛纳斯县生活污水处理厂处理，本项目不涉及钻井工程。</w:t>
            </w:r>
          </w:p>
        </w:tc>
        <w:tc>
          <w:tcPr>
            <w:tcW w:w="817" w:type="dxa"/>
            <w:tcMar>
              <w:left w:w="0" w:type="dxa"/>
              <w:right w:w="0" w:type="dxa"/>
            </w:tcMar>
            <w:vAlign w:val="center"/>
          </w:tcPr>
          <w:p w14:paraId="6EA2020A">
            <w:pPr>
              <w:adjustRightInd w:val="0"/>
              <w:snapToGrid w:val="0"/>
              <w:spacing w:line="300" w:lineRule="exact"/>
              <w:jc w:val="center"/>
              <w:rPr>
                <w:rFonts w:hint="eastAsia" w:ascii="宋体" w:hAnsi="宋体"/>
                <w:color w:val="auto"/>
                <w:szCs w:val="21"/>
                <w:lang w:bidi="ar"/>
              </w:rPr>
            </w:pPr>
            <w:r>
              <w:rPr>
                <w:rFonts w:hint="eastAsia" w:ascii="宋体" w:hAnsi="宋体"/>
                <w:color w:val="auto"/>
                <w:szCs w:val="21"/>
                <w:lang w:bidi="ar"/>
              </w:rPr>
              <w:t>符合</w:t>
            </w:r>
          </w:p>
        </w:tc>
      </w:tr>
      <w:tr w14:paraId="6E06B7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08A5EA5C">
            <w:pPr>
              <w:adjustRightInd w:val="0"/>
              <w:snapToGrid w:val="0"/>
              <w:spacing w:line="300" w:lineRule="exact"/>
              <w:jc w:val="center"/>
              <w:rPr>
                <w:rFonts w:hint="eastAsia" w:ascii="宋体" w:hAnsi="宋体"/>
                <w:color w:val="auto"/>
                <w:kern w:val="0"/>
                <w:szCs w:val="21"/>
                <w:lang w:bidi="ar"/>
              </w:rPr>
            </w:pPr>
            <w:r>
              <w:rPr>
                <w:rFonts w:ascii="宋体" w:hAnsi="宋体"/>
                <w:color w:val="auto"/>
                <w:kern w:val="0"/>
                <w:szCs w:val="21"/>
                <w:lang w:bidi="ar"/>
              </w:rPr>
              <w:t>4</w:t>
            </w:r>
          </w:p>
        </w:tc>
        <w:tc>
          <w:tcPr>
            <w:tcW w:w="4678" w:type="dxa"/>
            <w:tcMar>
              <w:left w:w="0" w:type="dxa"/>
              <w:right w:w="0" w:type="dxa"/>
            </w:tcMar>
            <w:vAlign w:val="center"/>
          </w:tcPr>
          <w:p w14:paraId="601C73BB">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olor w:val="auto"/>
                <w:szCs w:val="21"/>
                <w:lang w:bidi="ar"/>
              </w:rPr>
              <w:t>油气开采产生的废弃油基泥浆、含油钻屑及其他固体废物，应遵循减量化、资源化、无害化原则，按照国家和地方有关固体废物的管理规定进行处置。鼓励企业自建含油污泥集中式综合处理和利用设施，提高废弃油基泥浆和含油钻屑及其处理产物的综合利用率。油气开采项目产生的危险废物，应按照《建设项目危险废物环境影响评价指南》要求评价。相关部门及油气企业应加强固体废物处置的研究，重点关注固体废物产生类型、主要污染因子及潜在环境影响，分别提出减量化源头控制措施、资源化利用路径、无害化处理要求，促进固体废物合理利用和妥善处置</w:t>
            </w:r>
          </w:p>
        </w:tc>
        <w:tc>
          <w:tcPr>
            <w:tcW w:w="2951" w:type="dxa"/>
            <w:tcMar>
              <w:left w:w="0" w:type="dxa"/>
              <w:right w:w="0" w:type="dxa"/>
            </w:tcMar>
            <w:vAlign w:val="center"/>
          </w:tcPr>
          <w:p w14:paraId="3E90C27F">
            <w:pPr>
              <w:adjustRightInd w:val="0"/>
              <w:snapToGrid w:val="0"/>
              <w:spacing w:line="300" w:lineRule="exact"/>
              <w:jc w:val="center"/>
              <w:rPr>
                <w:rFonts w:hint="eastAsia" w:ascii="宋体" w:hAnsi="宋体"/>
                <w:color w:val="auto"/>
                <w:kern w:val="0"/>
                <w:szCs w:val="21"/>
                <w:lang w:bidi="ar"/>
              </w:rPr>
            </w:pPr>
            <w:r>
              <w:rPr>
                <w:rFonts w:hint="eastAsia"/>
                <w:color w:val="auto"/>
              </w:rPr>
              <w:t>清罐底泥、废分子筛、废滤料、废润滑油、废润滑油桶、沾油废防渗材料</w:t>
            </w:r>
            <w:r>
              <w:rPr>
                <w:rFonts w:hint="eastAsia" w:cs="宋体"/>
                <w:color w:val="auto"/>
              </w:rPr>
              <w:t>、</w:t>
            </w:r>
            <w:r>
              <w:rPr>
                <w:rFonts w:hint="eastAsia" w:cs="宋体"/>
                <w:color w:val="auto"/>
                <w:lang w:val="zh-CN"/>
              </w:rPr>
              <w:t>废含油抹布及劳保用品</w:t>
            </w:r>
            <w:r>
              <w:rPr>
                <w:rFonts w:hint="eastAsia"/>
                <w:color w:val="auto"/>
                <w:lang w:bidi="ar"/>
              </w:rPr>
              <w:t>委托有相应处理资质的单位处置</w:t>
            </w:r>
            <w:r>
              <w:rPr>
                <w:rFonts w:hint="eastAsia" w:ascii="宋体" w:hAnsi="宋体"/>
                <w:color w:val="auto"/>
                <w:szCs w:val="21"/>
                <w:lang w:bidi="ar"/>
              </w:rPr>
              <w:t>；生活垃圾送至玛纳斯县生活垃圾填埋场处理，</w:t>
            </w:r>
            <w:r>
              <w:rPr>
                <w:rFonts w:hint="eastAsia" w:cs="宋体"/>
                <w:color w:val="auto"/>
              </w:rPr>
              <w:t>固体废物均得到妥善处置，</w:t>
            </w:r>
            <w:r>
              <w:rPr>
                <w:rFonts w:hint="eastAsia" w:ascii="宋体" w:hAnsi="宋体"/>
                <w:color w:val="auto"/>
                <w:szCs w:val="21"/>
              </w:rPr>
              <w:t>不会对区域环境造成不利影响。</w:t>
            </w:r>
          </w:p>
        </w:tc>
        <w:tc>
          <w:tcPr>
            <w:tcW w:w="817" w:type="dxa"/>
            <w:tcMar>
              <w:left w:w="0" w:type="dxa"/>
              <w:right w:w="0" w:type="dxa"/>
            </w:tcMar>
            <w:vAlign w:val="center"/>
          </w:tcPr>
          <w:p w14:paraId="52825BC0">
            <w:pPr>
              <w:adjustRightInd w:val="0"/>
              <w:snapToGrid w:val="0"/>
              <w:spacing w:line="300" w:lineRule="exact"/>
              <w:jc w:val="center"/>
              <w:rPr>
                <w:rFonts w:hint="eastAsia" w:ascii="宋体" w:hAnsi="宋体"/>
                <w:color w:val="auto"/>
                <w:kern w:val="0"/>
                <w:szCs w:val="21"/>
                <w:lang w:bidi="ar"/>
              </w:rPr>
            </w:pPr>
            <w:r>
              <w:rPr>
                <w:rFonts w:ascii="宋体" w:hAnsi="宋体"/>
                <w:color w:val="auto"/>
                <w:szCs w:val="21"/>
                <w:lang w:bidi="ar"/>
              </w:rPr>
              <w:t>符合</w:t>
            </w:r>
          </w:p>
        </w:tc>
      </w:tr>
      <w:tr w14:paraId="3B8583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12C9187E">
            <w:pPr>
              <w:adjustRightInd w:val="0"/>
              <w:snapToGrid w:val="0"/>
              <w:spacing w:line="300" w:lineRule="exact"/>
              <w:jc w:val="center"/>
              <w:rPr>
                <w:rFonts w:hint="eastAsia" w:ascii="宋体" w:hAnsi="宋体"/>
                <w:color w:val="auto"/>
                <w:szCs w:val="21"/>
                <w:lang w:bidi="ar"/>
              </w:rPr>
            </w:pPr>
            <w:r>
              <w:rPr>
                <w:rFonts w:ascii="宋体" w:hAnsi="宋体"/>
                <w:color w:val="auto"/>
                <w:szCs w:val="21"/>
                <w:lang w:bidi="ar"/>
              </w:rPr>
              <w:t>5</w:t>
            </w:r>
          </w:p>
        </w:tc>
        <w:tc>
          <w:tcPr>
            <w:tcW w:w="4678" w:type="dxa"/>
            <w:tcMar>
              <w:left w:w="0" w:type="dxa"/>
              <w:right w:w="0" w:type="dxa"/>
            </w:tcMar>
            <w:vAlign w:val="center"/>
          </w:tcPr>
          <w:p w14:paraId="47BD6706">
            <w:pPr>
              <w:adjustRightInd w:val="0"/>
              <w:snapToGrid w:val="0"/>
              <w:spacing w:line="300" w:lineRule="exact"/>
              <w:jc w:val="center"/>
              <w:rPr>
                <w:rFonts w:hint="eastAsia" w:ascii="宋体" w:hAnsi="宋体"/>
                <w:color w:val="auto"/>
                <w:szCs w:val="21"/>
                <w:lang w:bidi="ar"/>
              </w:rPr>
            </w:pPr>
            <w:r>
              <w:rPr>
                <w:rFonts w:hint="eastAsia" w:ascii="宋体" w:hAnsi="宋体"/>
                <w:color w:val="auto"/>
                <w:szCs w:val="21"/>
                <w:lang w:bidi="ar"/>
              </w:rPr>
              <w:t>陆地油气开采项目的建设单位应当对挥发性有机物液体储存和装载损失、废水液面逸散、设备与管线组件泄漏、非正常工况等挥发性有机物无组织排放源进行有效管控，通过采取设备密闭、废气有效收集及配套高效末端处理设施等措施，有效控制挥发性有机物和恶臭气体无组织排放。涉及高含硫天然气开采的，应当强化钻井、输送、净化等环节环境风险防范措施。含硫气田回注采出水，应当采取有效措施减少废水处理站和回注井场硫化氢的无组织排放。高含硫天然气净化厂应当采用先进高效硫磺回收工艺，减少二氧化硫排放。井场加热炉、锅炉、压缩机等排放大气污染物的设备，应当优先使用清洁燃料，废气排放应当满足国家和地方大气污染物排放标准要求</w:t>
            </w:r>
          </w:p>
        </w:tc>
        <w:tc>
          <w:tcPr>
            <w:tcW w:w="2951" w:type="dxa"/>
            <w:tcMar>
              <w:left w:w="0" w:type="dxa"/>
              <w:right w:w="0" w:type="dxa"/>
            </w:tcMar>
            <w:vAlign w:val="center"/>
          </w:tcPr>
          <w:p w14:paraId="4826356F">
            <w:pPr>
              <w:adjustRightInd w:val="0"/>
              <w:snapToGrid w:val="0"/>
              <w:spacing w:line="300" w:lineRule="exact"/>
              <w:jc w:val="center"/>
              <w:rPr>
                <w:rFonts w:hint="eastAsia" w:ascii="宋体" w:hAnsi="宋体"/>
                <w:color w:val="auto"/>
                <w:szCs w:val="21"/>
                <w:lang w:bidi="ar"/>
              </w:rPr>
            </w:pPr>
            <w:r>
              <w:rPr>
                <w:rFonts w:hint="eastAsia" w:ascii="宋体" w:hAnsi="宋体"/>
                <w:color w:val="auto"/>
                <w:szCs w:val="21"/>
                <w:lang w:bidi="ar"/>
              </w:rPr>
              <w:t>井场内的储油罐采用固定顶罐，装车采用顶部浸没式装载；天然气中硫化氢未检出，不属于高含硫天然气；</w:t>
            </w:r>
            <w:r>
              <w:rPr>
                <w:rFonts w:hint="eastAsia" w:ascii="宋体" w:hAnsi="宋体"/>
                <w:color w:val="auto"/>
                <w:szCs w:val="21"/>
                <w:lang w:bidi="ar"/>
              </w:rPr>
              <w:t>本次使用电加热炉，不使用压缩机，</w:t>
            </w:r>
            <w:r>
              <w:rPr>
                <w:rFonts w:hint="eastAsia" w:ascii="宋体" w:hAnsi="宋体"/>
                <w:color w:val="auto"/>
                <w:szCs w:val="21"/>
                <w:lang w:bidi="ar"/>
              </w:rPr>
              <w:t>天然气发电机使用CNG撬装天然气处理装置处理后的天然气，燃烧烟气中各污染物均满足《大气污染物综合排放标准》（GB16297-1996）要求，采油井场厂界无组织非甲烷总烃可满足《</w:t>
            </w:r>
            <w:r>
              <w:rPr>
                <w:rFonts w:hint="eastAsia"/>
                <w:color w:val="auto"/>
              </w:rPr>
              <w:fldChar w:fldCharType="begin"/>
            </w:r>
            <w:r>
              <w:rPr>
                <w:color w:val="auto"/>
              </w:rPr>
              <w:instrText xml:space="preserve"> HYPERLINK "http://www.mee.gov.cn/ywgz/fgbz/bz/bzwb/dqhjbh/dqgdwrywrwpfbz/202012/W020201225551948738018.pdf" </w:instrText>
            </w:r>
            <w:r>
              <w:rPr>
                <w:rFonts w:hint="eastAsia"/>
                <w:color w:val="auto"/>
              </w:rPr>
              <w:fldChar w:fldCharType="separate"/>
            </w:r>
            <w:r>
              <w:rPr>
                <w:rFonts w:hint="eastAsia" w:ascii="宋体" w:hAnsi="宋体"/>
                <w:color w:val="auto"/>
                <w:szCs w:val="21"/>
                <w:lang w:bidi="ar"/>
              </w:rPr>
              <w:t>陆上石油天然气开采工业大气污染物排放标准》（GB39728—2020）</w:t>
            </w:r>
            <w:r>
              <w:rPr>
                <w:rFonts w:hint="eastAsia" w:ascii="宋体" w:hAnsi="宋体"/>
                <w:color w:val="auto"/>
                <w:szCs w:val="21"/>
                <w:lang w:bidi="ar"/>
              </w:rPr>
              <w:fldChar w:fldCharType="end"/>
            </w:r>
            <w:r>
              <w:rPr>
                <w:rFonts w:hint="eastAsia" w:ascii="宋体" w:hAnsi="宋体"/>
                <w:color w:val="auto"/>
                <w:szCs w:val="21"/>
                <w:lang w:bidi="ar"/>
              </w:rPr>
              <w:t>限值要求</w:t>
            </w:r>
            <w:r>
              <w:rPr>
                <w:rFonts w:hint="eastAsia" w:ascii="宋体" w:hAnsi="宋体"/>
                <w:color w:val="auto"/>
              </w:rPr>
              <w:t>。</w:t>
            </w:r>
          </w:p>
        </w:tc>
        <w:tc>
          <w:tcPr>
            <w:tcW w:w="817" w:type="dxa"/>
            <w:tcMar>
              <w:left w:w="0" w:type="dxa"/>
              <w:right w:w="0" w:type="dxa"/>
            </w:tcMar>
            <w:vAlign w:val="center"/>
          </w:tcPr>
          <w:p w14:paraId="7CDCBE82">
            <w:pPr>
              <w:adjustRightInd w:val="0"/>
              <w:snapToGrid w:val="0"/>
              <w:spacing w:line="300" w:lineRule="exact"/>
              <w:jc w:val="center"/>
              <w:rPr>
                <w:rFonts w:hint="eastAsia" w:ascii="宋体" w:hAnsi="宋体"/>
                <w:color w:val="auto"/>
                <w:szCs w:val="21"/>
                <w:lang w:bidi="ar"/>
              </w:rPr>
            </w:pPr>
            <w:r>
              <w:rPr>
                <w:rFonts w:hint="eastAsia" w:ascii="宋体" w:hAnsi="宋体"/>
                <w:color w:val="auto"/>
                <w:szCs w:val="21"/>
                <w:lang w:bidi="ar"/>
              </w:rPr>
              <w:t>符合</w:t>
            </w:r>
          </w:p>
        </w:tc>
      </w:tr>
      <w:tr w14:paraId="1D5B24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0C1686E3">
            <w:pPr>
              <w:adjustRightInd w:val="0"/>
              <w:snapToGrid w:val="0"/>
              <w:spacing w:line="300" w:lineRule="exact"/>
              <w:jc w:val="center"/>
              <w:rPr>
                <w:rFonts w:hint="eastAsia" w:ascii="宋体" w:hAnsi="宋体"/>
                <w:color w:val="auto"/>
                <w:kern w:val="0"/>
                <w:szCs w:val="21"/>
                <w:lang w:bidi="ar"/>
              </w:rPr>
            </w:pPr>
            <w:r>
              <w:rPr>
                <w:rFonts w:ascii="宋体" w:hAnsi="宋体"/>
                <w:color w:val="auto"/>
                <w:kern w:val="0"/>
                <w:szCs w:val="21"/>
                <w:lang w:bidi="ar"/>
              </w:rPr>
              <w:t>6</w:t>
            </w:r>
          </w:p>
        </w:tc>
        <w:tc>
          <w:tcPr>
            <w:tcW w:w="4678" w:type="dxa"/>
            <w:tcMar>
              <w:left w:w="0" w:type="dxa"/>
              <w:right w:w="0" w:type="dxa"/>
            </w:tcMar>
            <w:vAlign w:val="center"/>
          </w:tcPr>
          <w:p w14:paraId="57416112">
            <w:pPr>
              <w:adjustRightInd w:val="0"/>
              <w:snapToGrid w:val="0"/>
              <w:spacing w:line="300" w:lineRule="exact"/>
              <w:jc w:val="center"/>
              <w:rPr>
                <w:rFonts w:hint="eastAsia" w:ascii="宋体" w:hAnsi="宋体"/>
                <w:color w:val="auto"/>
                <w:szCs w:val="21"/>
                <w:lang w:bidi="ar"/>
              </w:rPr>
            </w:pPr>
            <w:r>
              <w:rPr>
                <w:rFonts w:hint="eastAsia" w:ascii="宋体" w:hAnsi="宋体"/>
                <w:color w:val="auto"/>
                <w:szCs w:val="21"/>
                <w:lang w:bidi="ar"/>
              </w:rPr>
              <w:t>施工期应当尽量减少施工占地、缩短施工时间、选择合理施工方式落实环境敏感区管控要求以及其他生态环境保护措施，降低生态环境影响。钻井和压裂设备应当优先使用网电、高标准清洁燃油，减少废气排放。选用低噪声设备，避免噪声扰民。施工结束后，应当及时落实环评提出的生态保护措施</w:t>
            </w:r>
          </w:p>
        </w:tc>
        <w:tc>
          <w:tcPr>
            <w:tcW w:w="2951" w:type="dxa"/>
            <w:tcMar>
              <w:left w:w="0" w:type="dxa"/>
              <w:right w:w="0" w:type="dxa"/>
            </w:tcMar>
            <w:vAlign w:val="center"/>
          </w:tcPr>
          <w:p w14:paraId="0235C8A2">
            <w:pPr>
              <w:adjustRightInd w:val="0"/>
              <w:snapToGrid w:val="0"/>
              <w:spacing w:line="300" w:lineRule="exact"/>
              <w:rPr>
                <w:rFonts w:hint="eastAsia" w:ascii="宋体" w:hAnsi="宋体"/>
                <w:color w:val="auto"/>
                <w:szCs w:val="21"/>
                <w:lang w:bidi="ar"/>
              </w:rPr>
            </w:pPr>
            <w:r>
              <w:rPr>
                <w:rFonts w:hint="eastAsia" w:ascii="宋体" w:hAnsi="宋体"/>
                <w:color w:val="auto"/>
                <w:szCs w:val="21"/>
                <w:lang w:bidi="ar"/>
              </w:rPr>
              <w:t>施工期严格按照既定方案施工，合理制定施工方案，加强施工管理，严禁施工人员和机械在施工范围外作业；优先选用低噪声设备，对高噪声设备采取基础减振措施，评价范围内无声环境敏感目标，不会造成扰民现象；施工结束后应及时对施工区进行平整、清理，恢复临时占地。</w:t>
            </w:r>
          </w:p>
        </w:tc>
        <w:tc>
          <w:tcPr>
            <w:tcW w:w="817" w:type="dxa"/>
            <w:tcMar>
              <w:left w:w="0" w:type="dxa"/>
              <w:right w:w="0" w:type="dxa"/>
            </w:tcMar>
            <w:vAlign w:val="center"/>
          </w:tcPr>
          <w:p w14:paraId="645EA134">
            <w:pPr>
              <w:adjustRightInd w:val="0"/>
              <w:snapToGrid w:val="0"/>
              <w:spacing w:line="300" w:lineRule="exact"/>
              <w:jc w:val="center"/>
              <w:rPr>
                <w:rFonts w:hint="eastAsia" w:ascii="宋体" w:hAnsi="宋体"/>
                <w:color w:val="auto"/>
                <w:szCs w:val="21"/>
                <w:lang w:bidi="ar"/>
              </w:rPr>
            </w:pPr>
            <w:r>
              <w:rPr>
                <w:rFonts w:hint="eastAsia" w:ascii="宋体" w:hAnsi="宋体"/>
                <w:color w:val="auto"/>
                <w:szCs w:val="21"/>
                <w:lang w:bidi="ar"/>
              </w:rPr>
              <w:t>符合</w:t>
            </w:r>
          </w:p>
        </w:tc>
      </w:tr>
      <w:tr w14:paraId="5F4426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 w:type="dxa"/>
            <w:tcMar>
              <w:left w:w="0" w:type="dxa"/>
              <w:right w:w="0" w:type="dxa"/>
            </w:tcMar>
            <w:vAlign w:val="center"/>
          </w:tcPr>
          <w:p w14:paraId="4C85E778">
            <w:pPr>
              <w:adjustRightInd w:val="0"/>
              <w:snapToGrid w:val="0"/>
              <w:spacing w:line="300" w:lineRule="exact"/>
              <w:jc w:val="center"/>
              <w:rPr>
                <w:rFonts w:hint="eastAsia" w:ascii="宋体" w:hAnsi="宋体"/>
                <w:color w:val="auto"/>
                <w:kern w:val="0"/>
                <w:szCs w:val="21"/>
                <w:lang w:bidi="ar"/>
              </w:rPr>
            </w:pPr>
            <w:r>
              <w:rPr>
                <w:rFonts w:ascii="宋体" w:hAnsi="宋体"/>
                <w:color w:val="auto"/>
                <w:kern w:val="0"/>
                <w:szCs w:val="21"/>
                <w:lang w:bidi="ar"/>
              </w:rPr>
              <w:t>7</w:t>
            </w:r>
          </w:p>
        </w:tc>
        <w:tc>
          <w:tcPr>
            <w:tcW w:w="4678" w:type="dxa"/>
            <w:tcMar>
              <w:left w:w="0" w:type="dxa"/>
              <w:right w:w="0" w:type="dxa"/>
            </w:tcMar>
            <w:vAlign w:val="center"/>
          </w:tcPr>
          <w:p w14:paraId="480DCC7F">
            <w:pPr>
              <w:adjustRightInd w:val="0"/>
              <w:snapToGrid w:val="0"/>
              <w:spacing w:line="300" w:lineRule="exact"/>
              <w:jc w:val="center"/>
              <w:rPr>
                <w:rFonts w:hint="eastAsia" w:ascii="宋体" w:hAnsi="宋体"/>
                <w:color w:val="auto"/>
                <w:szCs w:val="21"/>
                <w:lang w:bidi="ar"/>
              </w:rPr>
            </w:pPr>
            <w:r>
              <w:rPr>
                <w:rFonts w:hint="eastAsia" w:ascii="宋体" w:hAnsi="宋体"/>
                <w:color w:val="auto"/>
                <w:szCs w:val="21"/>
                <w:lang w:bidi="ar"/>
              </w:rPr>
              <w:t>油气企业应当加强风险防控，按规定编制突发环境事件应急预案，报所在地生态环境主管部门备案</w:t>
            </w:r>
          </w:p>
        </w:tc>
        <w:tc>
          <w:tcPr>
            <w:tcW w:w="2951" w:type="dxa"/>
            <w:tcMar>
              <w:left w:w="0" w:type="dxa"/>
              <w:right w:w="0" w:type="dxa"/>
            </w:tcMar>
            <w:vAlign w:val="center"/>
          </w:tcPr>
          <w:p w14:paraId="546AFF2C">
            <w:pPr>
              <w:adjustRightInd w:val="0"/>
              <w:snapToGrid w:val="0"/>
              <w:spacing w:line="300" w:lineRule="exact"/>
              <w:rPr>
                <w:rFonts w:hint="eastAsia" w:ascii="宋体" w:hAnsi="宋体"/>
                <w:color w:val="auto"/>
                <w:szCs w:val="21"/>
                <w:lang w:bidi="ar"/>
              </w:rPr>
            </w:pPr>
            <w:r>
              <w:rPr>
                <w:rFonts w:hint="eastAsia" w:ascii="宋体" w:hAnsi="宋体"/>
                <w:color w:val="auto"/>
                <w:szCs w:val="21"/>
                <w:lang w:bidi="ar"/>
              </w:rPr>
              <w:t>石西油田作业区具备完善的应急管理体系，可依托其应急预案及应急物资。</w:t>
            </w:r>
          </w:p>
        </w:tc>
        <w:tc>
          <w:tcPr>
            <w:tcW w:w="817" w:type="dxa"/>
            <w:tcMar>
              <w:left w:w="0" w:type="dxa"/>
              <w:right w:w="0" w:type="dxa"/>
            </w:tcMar>
            <w:vAlign w:val="center"/>
          </w:tcPr>
          <w:p w14:paraId="27CC2F6D">
            <w:pPr>
              <w:adjustRightInd w:val="0"/>
              <w:snapToGrid w:val="0"/>
              <w:spacing w:line="300" w:lineRule="exact"/>
              <w:jc w:val="center"/>
              <w:rPr>
                <w:rFonts w:hint="eastAsia" w:ascii="宋体" w:hAnsi="宋体"/>
                <w:color w:val="auto"/>
                <w:szCs w:val="21"/>
                <w:lang w:bidi="ar"/>
              </w:rPr>
            </w:pPr>
            <w:r>
              <w:rPr>
                <w:rFonts w:hint="eastAsia" w:ascii="宋体" w:hAnsi="宋体"/>
                <w:color w:val="auto"/>
                <w:szCs w:val="21"/>
                <w:lang w:bidi="ar"/>
              </w:rPr>
              <w:t>符合</w:t>
            </w:r>
          </w:p>
        </w:tc>
      </w:tr>
      <w:bookmarkEnd w:id="171"/>
    </w:tbl>
    <w:p w14:paraId="548284BA">
      <w:pPr>
        <w:pStyle w:val="86"/>
        <w:ind w:firstLine="480"/>
        <w:rPr>
          <w:rFonts w:hint="eastAsia" w:cs="宋体"/>
          <w:color w:val="auto"/>
        </w:rPr>
      </w:pPr>
      <w:bookmarkStart w:id="175" w:name="_Hlk80612761"/>
      <w:r>
        <w:rPr>
          <w:rFonts w:hint="eastAsia" w:cs="宋体"/>
          <w:color w:val="auto"/>
        </w:rPr>
        <w:t>（4）与《新疆维吾尔自治区大气污染防治条例》符合性分析</w:t>
      </w:r>
    </w:p>
    <w:p w14:paraId="2E2AB3B4">
      <w:pPr>
        <w:pStyle w:val="86"/>
        <w:ind w:firstLine="480"/>
        <w:rPr>
          <w:rFonts w:hint="eastAsia" w:ascii="黑体" w:hAnsi="黑体" w:eastAsia="黑体" w:cs="宋体"/>
          <w:color w:val="auto"/>
          <w:sz w:val="21"/>
          <w:szCs w:val="21"/>
        </w:rPr>
      </w:pPr>
      <w:r>
        <w:rPr>
          <w:rFonts w:hint="eastAsia" w:cs="宋体"/>
          <w:color w:val="auto"/>
        </w:rPr>
        <w:t>项目建设符合《新疆维吾尔自治区大气污染防治条例》要求，具体见表</w:t>
      </w:r>
      <w:r>
        <w:rPr>
          <w:rFonts w:cs="宋体"/>
          <w:color w:val="auto"/>
        </w:rPr>
        <w:t>2.9</w:t>
      </w:r>
      <w:r>
        <w:rPr>
          <w:rFonts w:hint="eastAsia" w:cs="宋体"/>
          <w:color w:val="auto"/>
        </w:rPr>
        <w:t>-7。</w:t>
      </w:r>
    </w:p>
    <w:p w14:paraId="373CDBF4">
      <w:pPr>
        <w:pStyle w:val="86"/>
        <w:ind w:firstLine="0" w:firstLineChars="0"/>
        <w:jc w:val="center"/>
        <w:rPr>
          <w:rFonts w:hint="eastAsia" w:ascii="黑体" w:hAnsi="黑体" w:eastAsia="黑体" w:cs="宋体"/>
          <w:color w:val="auto"/>
          <w:sz w:val="21"/>
          <w:szCs w:val="21"/>
        </w:rPr>
      </w:pPr>
      <w:r>
        <w:rPr>
          <w:rFonts w:hint="eastAsia" w:ascii="黑体" w:hAnsi="黑体" w:eastAsia="黑体" w:cs="宋体"/>
          <w:color w:val="auto"/>
          <w:sz w:val="21"/>
          <w:szCs w:val="21"/>
        </w:rPr>
        <w:t>表2</w:t>
      </w:r>
      <w:r>
        <w:rPr>
          <w:rFonts w:ascii="黑体" w:hAnsi="黑体" w:eastAsia="黑体" w:cs="宋体"/>
          <w:color w:val="auto"/>
          <w:sz w:val="21"/>
          <w:szCs w:val="21"/>
        </w:rPr>
        <w:t>.9</w:t>
      </w:r>
      <w:r>
        <w:rPr>
          <w:rFonts w:hint="eastAsia" w:ascii="黑体" w:hAnsi="黑体" w:eastAsia="黑体" w:cs="宋体"/>
          <w:color w:val="auto"/>
          <w:sz w:val="21"/>
          <w:szCs w:val="21"/>
        </w:rPr>
        <w:t xml:space="preserve">-7 </w:t>
      </w:r>
      <w:r>
        <w:rPr>
          <w:rFonts w:ascii="黑体" w:hAnsi="黑体" w:eastAsia="黑体" w:cs="宋体"/>
          <w:color w:val="auto"/>
          <w:sz w:val="21"/>
          <w:szCs w:val="21"/>
        </w:rPr>
        <w:t xml:space="preserve"> </w:t>
      </w:r>
      <w:bookmarkStart w:id="176" w:name="_Hlk106377510"/>
      <w:r>
        <w:rPr>
          <w:rFonts w:hint="eastAsia" w:ascii="黑体" w:hAnsi="黑体" w:eastAsia="黑体" w:cs="宋体"/>
          <w:color w:val="auto"/>
          <w:sz w:val="21"/>
          <w:szCs w:val="21"/>
        </w:rPr>
        <w:t>项目与《新疆维吾尔自治区大气污染防治条例》符合性分析</w:t>
      </w:r>
      <w:bookmarkEnd w:id="176"/>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4111"/>
        <w:gridCol w:w="2977"/>
        <w:gridCol w:w="1075"/>
      </w:tblGrid>
      <w:tr w14:paraId="013F6B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67" w:type="dxa"/>
            <w:tcMar>
              <w:left w:w="0" w:type="dxa"/>
              <w:right w:w="0" w:type="dxa"/>
            </w:tcMar>
            <w:vAlign w:val="center"/>
          </w:tcPr>
          <w:p w14:paraId="34CEF822">
            <w:pPr>
              <w:pStyle w:val="296"/>
              <w:adjustRightInd w:val="0"/>
              <w:snapToGrid w:val="0"/>
              <w:spacing w:line="300" w:lineRule="exact"/>
              <w:rPr>
                <w:rFonts w:hint="eastAsia"/>
                <w:color w:val="auto"/>
              </w:rPr>
            </w:pPr>
            <w:r>
              <w:rPr>
                <w:rFonts w:hint="eastAsia"/>
                <w:color w:val="auto"/>
                <w:lang w:bidi="ar"/>
              </w:rPr>
              <w:t>序号</w:t>
            </w:r>
          </w:p>
        </w:tc>
        <w:tc>
          <w:tcPr>
            <w:tcW w:w="4111" w:type="dxa"/>
            <w:tcMar>
              <w:left w:w="0" w:type="dxa"/>
              <w:right w:w="0" w:type="dxa"/>
            </w:tcMar>
            <w:vAlign w:val="center"/>
          </w:tcPr>
          <w:p w14:paraId="0311F7B0">
            <w:pPr>
              <w:pStyle w:val="296"/>
              <w:adjustRightInd w:val="0"/>
              <w:snapToGrid w:val="0"/>
              <w:spacing w:line="300" w:lineRule="exact"/>
              <w:rPr>
                <w:rFonts w:hint="eastAsia"/>
                <w:color w:val="auto"/>
              </w:rPr>
            </w:pPr>
            <w:r>
              <w:rPr>
                <w:rFonts w:hint="eastAsia"/>
                <w:color w:val="auto"/>
                <w:lang w:bidi="ar"/>
              </w:rPr>
              <w:t>条例规定</w:t>
            </w:r>
          </w:p>
        </w:tc>
        <w:tc>
          <w:tcPr>
            <w:tcW w:w="2977" w:type="dxa"/>
            <w:tcMar>
              <w:left w:w="0" w:type="dxa"/>
              <w:right w:w="0" w:type="dxa"/>
            </w:tcMar>
            <w:vAlign w:val="center"/>
          </w:tcPr>
          <w:p w14:paraId="6357CB6A">
            <w:pPr>
              <w:pStyle w:val="296"/>
              <w:adjustRightInd w:val="0"/>
              <w:snapToGrid w:val="0"/>
              <w:spacing w:line="300" w:lineRule="exact"/>
              <w:rPr>
                <w:rFonts w:hint="eastAsia"/>
                <w:color w:val="auto"/>
              </w:rPr>
            </w:pPr>
            <w:r>
              <w:rPr>
                <w:rFonts w:hint="eastAsia"/>
                <w:color w:val="auto"/>
                <w:lang w:bidi="ar"/>
              </w:rPr>
              <w:t>拟采取的相关措施</w:t>
            </w:r>
          </w:p>
        </w:tc>
        <w:tc>
          <w:tcPr>
            <w:tcW w:w="1075" w:type="dxa"/>
            <w:tcMar>
              <w:left w:w="0" w:type="dxa"/>
              <w:right w:w="0" w:type="dxa"/>
            </w:tcMar>
            <w:vAlign w:val="center"/>
          </w:tcPr>
          <w:p w14:paraId="3A238F5B">
            <w:pPr>
              <w:pStyle w:val="296"/>
              <w:adjustRightInd w:val="0"/>
              <w:snapToGrid w:val="0"/>
              <w:spacing w:line="300" w:lineRule="exact"/>
              <w:rPr>
                <w:rFonts w:hint="eastAsia"/>
                <w:color w:val="auto"/>
              </w:rPr>
            </w:pPr>
            <w:r>
              <w:rPr>
                <w:rFonts w:hint="eastAsia"/>
                <w:color w:val="auto"/>
                <w:lang w:bidi="ar"/>
              </w:rPr>
              <w:t>符合性分析</w:t>
            </w:r>
          </w:p>
        </w:tc>
      </w:tr>
      <w:tr w14:paraId="3661BC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790B03DB">
            <w:pPr>
              <w:pStyle w:val="296"/>
              <w:adjustRightInd w:val="0"/>
              <w:snapToGrid w:val="0"/>
              <w:spacing w:line="300" w:lineRule="exact"/>
              <w:rPr>
                <w:rFonts w:hint="eastAsia"/>
                <w:color w:val="auto"/>
                <w:lang w:bidi="ar"/>
              </w:rPr>
            </w:pPr>
            <w:r>
              <w:rPr>
                <w:color w:val="auto"/>
                <w:lang w:bidi="ar"/>
              </w:rPr>
              <w:t>1</w:t>
            </w:r>
          </w:p>
        </w:tc>
        <w:tc>
          <w:tcPr>
            <w:tcW w:w="4111" w:type="dxa"/>
            <w:tcMar>
              <w:left w:w="0" w:type="dxa"/>
              <w:right w:w="0" w:type="dxa"/>
            </w:tcMar>
            <w:vAlign w:val="center"/>
          </w:tcPr>
          <w:p w14:paraId="369FCEEA">
            <w:pPr>
              <w:pStyle w:val="296"/>
              <w:adjustRightInd w:val="0"/>
              <w:snapToGrid w:val="0"/>
              <w:spacing w:line="300" w:lineRule="exact"/>
              <w:jc w:val="both"/>
              <w:rPr>
                <w:rFonts w:hint="eastAsia"/>
                <w:color w:val="auto"/>
              </w:rPr>
            </w:pPr>
            <w:r>
              <w:rPr>
                <w:rFonts w:hint="eastAsia"/>
                <w:color w:val="auto"/>
              </w:rPr>
              <w:t>各级人民政府应当加强对建设施工、矿产资源开采、物料运输的扬尘和沙尘污染的治理，保持道路清洁、控制料堆和渣土堆放，科学合理扩大绿地、水面、湿地、地面铺装和防风固沙绿化面积，防治扬尘污染。</w:t>
            </w:r>
          </w:p>
        </w:tc>
        <w:tc>
          <w:tcPr>
            <w:tcW w:w="2977" w:type="dxa"/>
            <w:tcMar>
              <w:left w:w="0" w:type="dxa"/>
              <w:right w:w="0" w:type="dxa"/>
            </w:tcMar>
            <w:vAlign w:val="center"/>
          </w:tcPr>
          <w:p w14:paraId="2BD1AAAB">
            <w:pPr>
              <w:pStyle w:val="296"/>
              <w:adjustRightInd w:val="0"/>
              <w:snapToGrid w:val="0"/>
              <w:spacing w:line="300" w:lineRule="exact"/>
              <w:rPr>
                <w:rFonts w:hint="eastAsia"/>
                <w:color w:val="auto"/>
              </w:rPr>
            </w:pPr>
            <w:r>
              <w:rPr>
                <w:rFonts w:hint="eastAsia"/>
                <w:color w:val="auto"/>
              </w:rPr>
              <w:t>粉状材料及临时土方等在施工区堆放应采取覆盖防尘布，逸散性材料运输采用苫布遮盖。</w:t>
            </w:r>
          </w:p>
        </w:tc>
        <w:tc>
          <w:tcPr>
            <w:tcW w:w="1075" w:type="dxa"/>
            <w:tcMar>
              <w:left w:w="0" w:type="dxa"/>
              <w:right w:w="0" w:type="dxa"/>
            </w:tcMar>
            <w:vAlign w:val="center"/>
          </w:tcPr>
          <w:p w14:paraId="258D3CC9">
            <w:pPr>
              <w:pStyle w:val="296"/>
              <w:adjustRightInd w:val="0"/>
              <w:snapToGrid w:val="0"/>
              <w:spacing w:line="300" w:lineRule="exact"/>
              <w:rPr>
                <w:rFonts w:hint="eastAsia"/>
                <w:color w:val="auto"/>
                <w:lang w:bidi="ar"/>
              </w:rPr>
            </w:pPr>
            <w:r>
              <w:rPr>
                <w:rFonts w:hint="eastAsia"/>
                <w:color w:val="auto"/>
                <w:lang w:bidi="ar"/>
              </w:rPr>
              <w:t>符合</w:t>
            </w:r>
          </w:p>
        </w:tc>
      </w:tr>
      <w:tr w14:paraId="100810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5E8DCBD1">
            <w:pPr>
              <w:pStyle w:val="296"/>
              <w:adjustRightInd w:val="0"/>
              <w:snapToGrid w:val="0"/>
              <w:spacing w:line="300" w:lineRule="exact"/>
              <w:rPr>
                <w:rFonts w:hint="eastAsia"/>
                <w:color w:val="auto"/>
                <w:lang w:bidi="ar"/>
              </w:rPr>
            </w:pPr>
            <w:r>
              <w:rPr>
                <w:color w:val="auto"/>
                <w:lang w:bidi="ar"/>
              </w:rPr>
              <w:t>2</w:t>
            </w:r>
          </w:p>
        </w:tc>
        <w:tc>
          <w:tcPr>
            <w:tcW w:w="4111" w:type="dxa"/>
            <w:tcMar>
              <w:left w:w="0" w:type="dxa"/>
              <w:right w:w="0" w:type="dxa"/>
            </w:tcMar>
            <w:vAlign w:val="center"/>
          </w:tcPr>
          <w:p w14:paraId="00D109A4">
            <w:pPr>
              <w:pStyle w:val="296"/>
              <w:adjustRightInd w:val="0"/>
              <w:snapToGrid w:val="0"/>
              <w:spacing w:line="300" w:lineRule="exact"/>
              <w:rPr>
                <w:rFonts w:hint="eastAsia"/>
                <w:color w:val="auto"/>
              </w:rPr>
            </w:pPr>
            <w:r>
              <w:rPr>
                <w:rFonts w:hint="eastAsia"/>
                <w:color w:val="auto"/>
              </w:rPr>
              <w:t>及时对施工现场进行清理和平整，不得从高处向下倾倒或者抛洒各类物料和建筑垃圾。</w:t>
            </w:r>
          </w:p>
        </w:tc>
        <w:tc>
          <w:tcPr>
            <w:tcW w:w="2977" w:type="dxa"/>
            <w:tcMar>
              <w:left w:w="0" w:type="dxa"/>
              <w:right w:w="0" w:type="dxa"/>
            </w:tcMar>
            <w:vAlign w:val="center"/>
          </w:tcPr>
          <w:p w14:paraId="6E6B7D97">
            <w:pPr>
              <w:pStyle w:val="296"/>
              <w:adjustRightInd w:val="0"/>
              <w:snapToGrid w:val="0"/>
              <w:spacing w:line="300" w:lineRule="exact"/>
              <w:jc w:val="both"/>
              <w:rPr>
                <w:rFonts w:hint="eastAsia"/>
                <w:color w:val="auto"/>
              </w:rPr>
            </w:pPr>
            <w:r>
              <w:rPr>
                <w:rFonts w:hint="eastAsia"/>
                <w:color w:val="auto"/>
              </w:rPr>
              <w:t>施工结束后，对施工现场进行清理和平整；建筑垃圾集中收集后送至当地建筑垃圾填埋场处理，不得擅自倾倒、抛撒或者堆放工程施工过程中产生的建筑垃圾。</w:t>
            </w:r>
          </w:p>
        </w:tc>
        <w:tc>
          <w:tcPr>
            <w:tcW w:w="1075" w:type="dxa"/>
            <w:tcMar>
              <w:left w:w="0" w:type="dxa"/>
              <w:right w:w="0" w:type="dxa"/>
            </w:tcMar>
            <w:vAlign w:val="center"/>
          </w:tcPr>
          <w:p w14:paraId="2CBDFFB8">
            <w:pPr>
              <w:pStyle w:val="296"/>
              <w:adjustRightInd w:val="0"/>
              <w:snapToGrid w:val="0"/>
              <w:spacing w:line="300" w:lineRule="exact"/>
              <w:rPr>
                <w:rFonts w:hint="eastAsia"/>
                <w:color w:val="auto"/>
                <w:lang w:bidi="ar"/>
              </w:rPr>
            </w:pPr>
            <w:r>
              <w:rPr>
                <w:rFonts w:hint="eastAsia"/>
                <w:color w:val="auto"/>
                <w:lang w:bidi="ar"/>
              </w:rPr>
              <w:t>符合</w:t>
            </w:r>
          </w:p>
        </w:tc>
      </w:tr>
    </w:tbl>
    <w:p w14:paraId="2070FCB2">
      <w:pPr>
        <w:pStyle w:val="86"/>
        <w:ind w:firstLine="480"/>
        <w:rPr>
          <w:rFonts w:hint="eastAsia"/>
          <w:color w:val="auto"/>
        </w:rPr>
      </w:pPr>
      <w:r>
        <w:rPr>
          <w:rFonts w:hint="eastAsia"/>
          <w:color w:val="auto"/>
        </w:rPr>
        <w:t>（5）与《新疆维吾尔自治区重点行业生态环境准入条件（2024年）》符合性分析</w:t>
      </w:r>
    </w:p>
    <w:p w14:paraId="299B06F7">
      <w:pPr>
        <w:pStyle w:val="86"/>
        <w:ind w:firstLine="480"/>
        <w:rPr>
          <w:rFonts w:hint="eastAsia"/>
          <w:color w:val="auto"/>
        </w:rPr>
      </w:pPr>
      <w:r>
        <w:rPr>
          <w:rFonts w:hint="eastAsia"/>
          <w:color w:val="auto"/>
        </w:rPr>
        <w:t>项目建设符合《新疆维吾尔自治区重点行业生态环境准入条件（2024年）》中的相关要求，详见表2.9-8。</w:t>
      </w:r>
    </w:p>
    <w:p w14:paraId="3B670474">
      <w:pPr>
        <w:pStyle w:val="86"/>
        <w:ind w:firstLine="0" w:firstLineChars="0"/>
        <w:jc w:val="center"/>
        <w:rPr>
          <w:rFonts w:hint="eastAsia" w:ascii="黑体" w:hAnsi="黑体" w:eastAsia="黑体" w:cs="宋体"/>
          <w:color w:val="auto"/>
          <w:sz w:val="21"/>
          <w:szCs w:val="21"/>
        </w:rPr>
      </w:pPr>
      <w:r>
        <w:rPr>
          <w:rFonts w:hint="eastAsia" w:ascii="黑体" w:hAnsi="黑体" w:eastAsia="黑体" w:cs="宋体"/>
          <w:color w:val="auto"/>
          <w:sz w:val="21"/>
          <w:szCs w:val="21"/>
        </w:rPr>
        <w:t>表2</w:t>
      </w:r>
      <w:r>
        <w:rPr>
          <w:rFonts w:ascii="黑体" w:hAnsi="黑体" w:eastAsia="黑体" w:cs="宋体"/>
          <w:color w:val="auto"/>
          <w:sz w:val="21"/>
          <w:szCs w:val="21"/>
        </w:rPr>
        <w:t>.9</w:t>
      </w:r>
      <w:r>
        <w:rPr>
          <w:rFonts w:hint="eastAsia" w:ascii="黑体" w:hAnsi="黑体" w:eastAsia="黑体" w:cs="宋体"/>
          <w:color w:val="auto"/>
          <w:sz w:val="21"/>
          <w:szCs w:val="21"/>
        </w:rPr>
        <w:t xml:space="preserve">-8 </w:t>
      </w:r>
      <w:r>
        <w:rPr>
          <w:rFonts w:ascii="黑体" w:hAnsi="黑体" w:eastAsia="黑体" w:cs="宋体"/>
          <w:color w:val="auto"/>
          <w:sz w:val="21"/>
          <w:szCs w:val="21"/>
        </w:rPr>
        <w:t xml:space="preserve"> </w:t>
      </w:r>
      <w:r>
        <w:rPr>
          <w:rFonts w:hint="eastAsia" w:ascii="黑体" w:hAnsi="黑体" w:eastAsia="黑体" w:cs="宋体"/>
          <w:color w:val="auto"/>
          <w:sz w:val="21"/>
          <w:szCs w:val="21"/>
        </w:rPr>
        <w:t>项目与《新疆维吾尔自治区重点行业生态环境准入条件（2024年）》符合性分析</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538"/>
        <w:gridCol w:w="4140"/>
        <w:gridCol w:w="2693"/>
        <w:gridCol w:w="792"/>
      </w:tblGrid>
      <w:tr w14:paraId="7616E2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67" w:type="dxa"/>
            <w:tcMar>
              <w:left w:w="0" w:type="dxa"/>
              <w:right w:w="0" w:type="dxa"/>
            </w:tcMar>
            <w:vAlign w:val="center"/>
          </w:tcPr>
          <w:p w14:paraId="7A229DFE">
            <w:pPr>
              <w:pStyle w:val="296"/>
              <w:adjustRightInd w:val="0"/>
              <w:snapToGrid w:val="0"/>
              <w:spacing w:line="300" w:lineRule="exact"/>
              <w:rPr>
                <w:rFonts w:hint="eastAsia"/>
                <w:color w:val="auto"/>
              </w:rPr>
            </w:pPr>
            <w:r>
              <w:rPr>
                <w:rFonts w:hint="eastAsia"/>
                <w:color w:val="auto"/>
                <w:lang w:bidi="ar"/>
              </w:rPr>
              <w:t>序号</w:t>
            </w:r>
          </w:p>
        </w:tc>
        <w:tc>
          <w:tcPr>
            <w:tcW w:w="4678" w:type="dxa"/>
            <w:gridSpan w:val="2"/>
            <w:tcMar>
              <w:left w:w="0" w:type="dxa"/>
              <w:right w:w="0" w:type="dxa"/>
            </w:tcMar>
            <w:vAlign w:val="center"/>
          </w:tcPr>
          <w:p w14:paraId="1D1420E5">
            <w:pPr>
              <w:pStyle w:val="296"/>
              <w:adjustRightInd w:val="0"/>
              <w:snapToGrid w:val="0"/>
              <w:spacing w:line="300" w:lineRule="exact"/>
              <w:rPr>
                <w:rFonts w:hint="eastAsia"/>
                <w:color w:val="auto"/>
              </w:rPr>
            </w:pPr>
            <w:r>
              <w:rPr>
                <w:rFonts w:hint="eastAsia"/>
                <w:color w:val="auto"/>
                <w:lang w:bidi="ar"/>
              </w:rPr>
              <w:t>条件规定</w:t>
            </w:r>
          </w:p>
        </w:tc>
        <w:tc>
          <w:tcPr>
            <w:tcW w:w="2693" w:type="dxa"/>
            <w:tcMar>
              <w:left w:w="0" w:type="dxa"/>
              <w:right w:w="0" w:type="dxa"/>
            </w:tcMar>
            <w:vAlign w:val="center"/>
          </w:tcPr>
          <w:p w14:paraId="283EC257">
            <w:pPr>
              <w:pStyle w:val="296"/>
              <w:adjustRightInd w:val="0"/>
              <w:snapToGrid w:val="0"/>
              <w:spacing w:line="300" w:lineRule="exact"/>
              <w:rPr>
                <w:rFonts w:hint="eastAsia"/>
                <w:color w:val="auto"/>
              </w:rPr>
            </w:pPr>
            <w:r>
              <w:rPr>
                <w:rFonts w:hint="eastAsia"/>
                <w:color w:val="auto"/>
                <w:lang w:bidi="ar"/>
              </w:rPr>
              <w:t>拟采取的相关措施</w:t>
            </w:r>
          </w:p>
        </w:tc>
        <w:tc>
          <w:tcPr>
            <w:tcW w:w="792" w:type="dxa"/>
            <w:tcMar>
              <w:left w:w="0" w:type="dxa"/>
              <w:right w:w="0" w:type="dxa"/>
            </w:tcMar>
            <w:vAlign w:val="center"/>
          </w:tcPr>
          <w:p w14:paraId="0AB25295">
            <w:pPr>
              <w:pStyle w:val="296"/>
              <w:adjustRightInd w:val="0"/>
              <w:snapToGrid w:val="0"/>
              <w:spacing w:line="300" w:lineRule="exact"/>
              <w:rPr>
                <w:rFonts w:hint="eastAsia"/>
                <w:color w:val="auto"/>
              </w:rPr>
            </w:pPr>
            <w:r>
              <w:rPr>
                <w:rFonts w:hint="eastAsia"/>
                <w:color w:val="auto"/>
                <w:lang w:bidi="ar"/>
              </w:rPr>
              <w:t>符合性分析</w:t>
            </w:r>
          </w:p>
        </w:tc>
      </w:tr>
      <w:tr w14:paraId="3C89F3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67091B3C">
            <w:pPr>
              <w:pStyle w:val="296"/>
              <w:adjustRightInd w:val="0"/>
              <w:snapToGrid w:val="0"/>
              <w:spacing w:line="300" w:lineRule="exact"/>
              <w:rPr>
                <w:rFonts w:hint="eastAsia"/>
                <w:color w:val="auto"/>
                <w:lang w:bidi="ar"/>
              </w:rPr>
            </w:pPr>
            <w:r>
              <w:rPr>
                <w:color w:val="auto"/>
                <w:lang w:bidi="ar"/>
              </w:rPr>
              <w:t>1</w:t>
            </w:r>
          </w:p>
        </w:tc>
        <w:tc>
          <w:tcPr>
            <w:tcW w:w="538" w:type="dxa"/>
            <w:tcMar>
              <w:left w:w="0" w:type="dxa"/>
              <w:right w:w="0" w:type="dxa"/>
            </w:tcMar>
            <w:vAlign w:val="center"/>
          </w:tcPr>
          <w:p w14:paraId="6366B16C">
            <w:pPr>
              <w:pStyle w:val="296"/>
              <w:adjustRightInd w:val="0"/>
              <w:snapToGrid w:val="0"/>
              <w:spacing w:line="300" w:lineRule="exact"/>
              <w:rPr>
                <w:rFonts w:hint="eastAsia"/>
                <w:color w:val="auto"/>
              </w:rPr>
            </w:pPr>
            <w:r>
              <w:rPr>
                <w:rFonts w:hint="eastAsia"/>
                <w:color w:val="auto"/>
              </w:rPr>
              <w:t>选址与空间布局</w:t>
            </w:r>
          </w:p>
        </w:tc>
        <w:tc>
          <w:tcPr>
            <w:tcW w:w="4140" w:type="dxa"/>
            <w:vAlign w:val="center"/>
          </w:tcPr>
          <w:p w14:paraId="75B17A43">
            <w:pPr>
              <w:pStyle w:val="296"/>
              <w:adjustRightInd w:val="0"/>
              <w:snapToGrid w:val="0"/>
              <w:spacing w:line="300" w:lineRule="exact"/>
              <w:rPr>
                <w:rFonts w:hint="eastAsia"/>
                <w:color w:val="auto"/>
              </w:rPr>
            </w:pPr>
            <w:r>
              <w:rPr>
                <w:rFonts w:hint="eastAsia"/>
                <w:color w:val="auto"/>
              </w:rPr>
              <w:t>1.石油、天然气开发项目的选址与布局应符合自治区或油气企业相关油气开发专项规划及规划环评要求，原则上应当以区块为单位开展环境影响评价工作。</w:t>
            </w:r>
          </w:p>
        </w:tc>
        <w:tc>
          <w:tcPr>
            <w:tcW w:w="2693" w:type="dxa"/>
            <w:tcMar>
              <w:left w:w="0" w:type="dxa"/>
              <w:right w:w="0" w:type="dxa"/>
            </w:tcMar>
            <w:vAlign w:val="center"/>
          </w:tcPr>
          <w:p w14:paraId="34AC4A1C">
            <w:pPr>
              <w:pStyle w:val="296"/>
              <w:adjustRightInd w:val="0"/>
              <w:snapToGrid w:val="0"/>
              <w:spacing w:line="300" w:lineRule="exact"/>
              <w:rPr>
                <w:rFonts w:hint="eastAsia"/>
                <w:color w:val="auto"/>
              </w:rPr>
            </w:pPr>
            <w:r>
              <w:rPr>
                <w:rFonts w:hint="eastAsia"/>
                <w:color w:val="auto"/>
              </w:rPr>
              <w:t>项目建设符合</w:t>
            </w:r>
            <w:r>
              <w:rPr>
                <w:rFonts w:hint="eastAsia"/>
                <w:color w:val="auto"/>
                <w:lang w:bidi="ar"/>
              </w:rPr>
              <w:t>《新疆油田公司“十四五”发展规划》和《新疆油田公司“十四五”发展规划环境影响报告书》的要求。</w:t>
            </w:r>
          </w:p>
        </w:tc>
        <w:tc>
          <w:tcPr>
            <w:tcW w:w="792" w:type="dxa"/>
            <w:tcMar>
              <w:left w:w="0" w:type="dxa"/>
              <w:right w:w="0" w:type="dxa"/>
            </w:tcMar>
            <w:vAlign w:val="center"/>
          </w:tcPr>
          <w:p w14:paraId="50A3F20E">
            <w:pPr>
              <w:pStyle w:val="296"/>
              <w:adjustRightInd w:val="0"/>
              <w:snapToGrid w:val="0"/>
              <w:spacing w:line="300" w:lineRule="exact"/>
              <w:rPr>
                <w:rFonts w:hint="eastAsia"/>
                <w:color w:val="auto"/>
                <w:lang w:bidi="ar"/>
              </w:rPr>
            </w:pPr>
            <w:r>
              <w:rPr>
                <w:rFonts w:hint="eastAsia"/>
                <w:color w:val="auto"/>
                <w:lang w:bidi="ar"/>
              </w:rPr>
              <w:t>符合</w:t>
            </w:r>
          </w:p>
        </w:tc>
      </w:tr>
      <w:tr w14:paraId="4DEA84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1359FA54">
            <w:pPr>
              <w:pStyle w:val="296"/>
              <w:adjustRightInd w:val="0"/>
              <w:snapToGrid w:val="0"/>
              <w:spacing w:line="300" w:lineRule="exact"/>
              <w:rPr>
                <w:rFonts w:hint="eastAsia"/>
                <w:color w:val="auto"/>
                <w:lang w:bidi="ar"/>
              </w:rPr>
            </w:pPr>
            <w:r>
              <w:rPr>
                <w:color w:val="auto"/>
                <w:lang w:bidi="ar"/>
              </w:rPr>
              <w:t>2</w:t>
            </w:r>
          </w:p>
        </w:tc>
        <w:tc>
          <w:tcPr>
            <w:tcW w:w="538" w:type="dxa"/>
            <w:vMerge w:val="restart"/>
            <w:tcMar>
              <w:left w:w="0" w:type="dxa"/>
              <w:right w:w="0" w:type="dxa"/>
            </w:tcMar>
            <w:vAlign w:val="center"/>
          </w:tcPr>
          <w:p w14:paraId="7DE5249B">
            <w:pPr>
              <w:pStyle w:val="296"/>
              <w:adjustRightInd w:val="0"/>
              <w:snapToGrid w:val="0"/>
              <w:spacing w:line="300" w:lineRule="exact"/>
              <w:rPr>
                <w:rFonts w:hint="eastAsia"/>
                <w:color w:val="auto"/>
              </w:rPr>
            </w:pPr>
            <w:r>
              <w:rPr>
                <w:rFonts w:hint="eastAsia"/>
                <w:color w:val="auto"/>
              </w:rPr>
              <w:t>污染防治与环境影响</w:t>
            </w:r>
          </w:p>
        </w:tc>
        <w:tc>
          <w:tcPr>
            <w:tcW w:w="4140" w:type="dxa"/>
            <w:vAlign w:val="center"/>
          </w:tcPr>
          <w:p w14:paraId="5ABA4212">
            <w:pPr>
              <w:pStyle w:val="296"/>
              <w:adjustRightInd w:val="0"/>
              <w:snapToGrid w:val="0"/>
              <w:spacing w:line="300" w:lineRule="exact"/>
              <w:rPr>
                <w:rFonts w:hint="eastAsia"/>
                <w:color w:val="auto"/>
              </w:rPr>
            </w:pPr>
            <w:r>
              <w:rPr>
                <w:rFonts w:hint="eastAsia"/>
                <w:color w:val="auto"/>
              </w:rPr>
              <w:t>施工期应当尽量减少施工占地、严格控制施工作业面积、缩短施工时间、选择合理施工方式、落实环境敏感区管控要求以及其他生态环境保护措施，有效降低生态环境影响。</w:t>
            </w:r>
          </w:p>
        </w:tc>
        <w:tc>
          <w:tcPr>
            <w:tcW w:w="2693" w:type="dxa"/>
            <w:tcMar>
              <w:left w:w="0" w:type="dxa"/>
              <w:right w:w="0" w:type="dxa"/>
            </w:tcMar>
            <w:vAlign w:val="center"/>
          </w:tcPr>
          <w:p w14:paraId="36859ECE">
            <w:pPr>
              <w:pStyle w:val="296"/>
              <w:adjustRightInd w:val="0"/>
              <w:snapToGrid w:val="0"/>
              <w:spacing w:line="300" w:lineRule="exact"/>
              <w:jc w:val="both"/>
              <w:rPr>
                <w:rFonts w:hint="eastAsia"/>
                <w:color w:val="auto"/>
              </w:rPr>
            </w:pPr>
            <w:r>
              <w:rPr>
                <w:rFonts w:hint="eastAsia"/>
                <w:color w:val="auto"/>
              </w:rPr>
              <w:t>施工期严格控制施工作业面积，尽量减少施工占地、缩短施工时间，项目区周围无环境敏感区。</w:t>
            </w:r>
          </w:p>
        </w:tc>
        <w:tc>
          <w:tcPr>
            <w:tcW w:w="792" w:type="dxa"/>
            <w:tcMar>
              <w:left w:w="0" w:type="dxa"/>
              <w:right w:w="0" w:type="dxa"/>
            </w:tcMar>
            <w:vAlign w:val="center"/>
          </w:tcPr>
          <w:p w14:paraId="3F2A1EC0">
            <w:pPr>
              <w:pStyle w:val="296"/>
              <w:adjustRightInd w:val="0"/>
              <w:snapToGrid w:val="0"/>
              <w:spacing w:line="300" w:lineRule="exact"/>
              <w:rPr>
                <w:rFonts w:hint="eastAsia"/>
                <w:color w:val="auto"/>
                <w:lang w:bidi="ar"/>
              </w:rPr>
            </w:pPr>
            <w:r>
              <w:rPr>
                <w:rFonts w:hint="eastAsia"/>
                <w:color w:val="auto"/>
                <w:lang w:bidi="ar"/>
              </w:rPr>
              <w:t>符合</w:t>
            </w:r>
          </w:p>
        </w:tc>
      </w:tr>
      <w:tr w14:paraId="5E6BC1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38E5C599">
            <w:pPr>
              <w:pStyle w:val="296"/>
              <w:adjustRightInd w:val="0"/>
              <w:snapToGrid w:val="0"/>
              <w:spacing w:line="300" w:lineRule="exact"/>
              <w:rPr>
                <w:rFonts w:hint="eastAsia"/>
                <w:color w:val="auto"/>
                <w:lang w:bidi="ar"/>
              </w:rPr>
            </w:pPr>
            <w:r>
              <w:rPr>
                <w:rFonts w:hint="eastAsia"/>
                <w:color w:val="auto"/>
                <w:lang w:bidi="ar"/>
              </w:rPr>
              <w:t>3</w:t>
            </w:r>
          </w:p>
        </w:tc>
        <w:tc>
          <w:tcPr>
            <w:tcW w:w="538" w:type="dxa"/>
            <w:vMerge w:val="continue"/>
            <w:tcMar>
              <w:left w:w="0" w:type="dxa"/>
              <w:right w:w="0" w:type="dxa"/>
            </w:tcMar>
            <w:vAlign w:val="center"/>
          </w:tcPr>
          <w:p w14:paraId="61DA4D2E">
            <w:pPr>
              <w:pStyle w:val="296"/>
              <w:adjustRightInd w:val="0"/>
              <w:snapToGrid w:val="0"/>
              <w:spacing w:line="300" w:lineRule="exact"/>
              <w:rPr>
                <w:rFonts w:hint="eastAsia"/>
                <w:color w:val="auto"/>
              </w:rPr>
            </w:pPr>
          </w:p>
        </w:tc>
        <w:tc>
          <w:tcPr>
            <w:tcW w:w="4140" w:type="dxa"/>
            <w:vAlign w:val="center"/>
          </w:tcPr>
          <w:p w14:paraId="0ECFCC4F">
            <w:pPr>
              <w:pStyle w:val="296"/>
              <w:adjustRightInd w:val="0"/>
              <w:snapToGrid w:val="0"/>
              <w:spacing w:line="300" w:lineRule="exact"/>
              <w:jc w:val="both"/>
              <w:rPr>
                <w:rFonts w:hint="eastAsia"/>
                <w:color w:val="auto"/>
              </w:rPr>
            </w:pPr>
            <w:r>
              <w:rPr>
                <w:rFonts w:hint="eastAsia"/>
                <w:color w:val="auto"/>
              </w:rPr>
              <w:t>陆地油气开发项目应当对挥发性有机物液体储存和装载损失、废水集输和处理系统、设备与管线组件泄漏、非正常工况等挥发性有机物无组织排放源进行有效管控，通过采取设备密闭、废气有效收集及配套高效末端处理设施等措施，有效控制挥发性有机物和恶臭气体无组织排放，油气集输损耗率不得高于0.5%；工艺过程控制措施、废气收集处理措施以及站场边界非甲烷总烃排放浓度应满足《陆上石油天然气开采工业大气污染物排放标准》（GB39728）要求。炉、加热炉、压缩机等装置应优先使用清洁燃料或能源，燃煤燃气锅炉、加热炉废气排放应达到《锅炉大气污染物排放标准》（GB13271）要求，有地方标准的按地方标准执行。涉及高含硫天然气开采的，应当强化钻井、输送、净化等环节环境风险防范措施。高含硫气田回注采出水，应当采取有效措施减少废水处理站和回注井场硫化氢的无组织排放。高含硫天然气净化厂应采用先进高效的硫磺回收工艺，减少二氧化硫排放。</w:t>
            </w:r>
          </w:p>
        </w:tc>
        <w:tc>
          <w:tcPr>
            <w:tcW w:w="2693" w:type="dxa"/>
            <w:tcMar>
              <w:left w:w="0" w:type="dxa"/>
              <w:right w:w="0" w:type="dxa"/>
            </w:tcMar>
            <w:vAlign w:val="center"/>
          </w:tcPr>
          <w:p w14:paraId="54DDAA12">
            <w:pPr>
              <w:pStyle w:val="296"/>
              <w:adjustRightInd w:val="0"/>
              <w:snapToGrid w:val="0"/>
              <w:spacing w:line="300" w:lineRule="exact"/>
              <w:jc w:val="both"/>
              <w:rPr>
                <w:rFonts w:hint="eastAsia"/>
                <w:color w:val="auto"/>
              </w:rPr>
            </w:pPr>
            <w:bookmarkStart w:id="177" w:name="OLE_LINK84"/>
            <w:r>
              <w:rPr>
                <w:rFonts w:hint="eastAsia" w:cs="宋体"/>
                <w:bCs/>
                <w:iCs/>
                <w:color w:val="auto"/>
              </w:rPr>
              <w:t>莫27井井口采出物采用管线密闭集输至莫172H井天然气浅冷处理装置处理；莫172H井和莫174H井井口采出物分别送</w:t>
            </w:r>
            <w:r>
              <w:rPr>
                <w:rFonts w:hint="eastAsia"/>
                <w:color w:val="auto"/>
              </w:rPr>
              <w:t>至井场新建的天然气浅冷处理装置处理，分离出的天然气通过零散气回收装置处理后外售，液相由罐车拉运至莫北转油站处理。</w:t>
            </w:r>
            <w:bookmarkEnd w:id="177"/>
            <w:r>
              <w:rPr>
                <w:rFonts w:hint="eastAsia"/>
                <w:color w:val="auto"/>
              </w:rPr>
              <w:t>选用质量可靠的设备、仪表、阀门等；定期对采油井场、零散气回收装置的各设备、阀门和管线等检查、检修；天然气中不含硫化氢，采取以上措施后井场厂界废气满足《陆上石油天然气开采工业大气污染物排放标准》（GB39728-2020）中的相关要求。</w:t>
            </w:r>
          </w:p>
        </w:tc>
        <w:tc>
          <w:tcPr>
            <w:tcW w:w="792" w:type="dxa"/>
            <w:tcMar>
              <w:left w:w="0" w:type="dxa"/>
              <w:right w:w="0" w:type="dxa"/>
            </w:tcMar>
            <w:vAlign w:val="center"/>
          </w:tcPr>
          <w:p w14:paraId="56D2574B">
            <w:pPr>
              <w:pStyle w:val="296"/>
              <w:adjustRightInd w:val="0"/>
              <w:snapToGrid w:val="0"/>
              <w:spacing w:line="300" w:lineRule="exact"/>
              <w:rPr>
                <w:rFonts w:hint="eastAsia"/>
                <w:color w:val="auto"/>
                <w:lang w:bidi="ar"/>
              </w:rPr>
            </w:pPr>
            <w:r>
              <w:rPr>
                <w:rFonts w:hint="eastAsia"/>
                <w:color w:val="auto"/>
                <w:lang w:bidi="ar"/>
              </w:rPr>
              <w:t>符合</w:t>
            </w:r>
          </w:p>
        </w:tc>
      </w:tr>
      <w:tr w14:paraId="7D29EC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66EBED05">
            <w:pPr>
              <w:pStyle w:val="296"/>
              <w:adjustRightInd w:val="0"/>
              <w:snapToGrid w:val="0"/>
              <w:spacing w:line="300" w:lineRule="exact"/>
              <w:rPr>
                <w:rFonts w:hint="eastAsia"/>
                <w:color w:val="auto"/>
                <w:lang w:bidi="ar"/>
              </w:rPr>
            </w:pPr>
            <w:r>
              <w:rPr>
                <w:rFonts w:hint="eastAsia"/>
                <w:color w:val="auto"/>
                <w:lang w:bidi="ar"/>
              </w:rPr>
              <w:t>4</w:t>
            </w:r>
          </w:p>
        </w:tc>
        <w:tc>
          <w:tcPr>
            <w:tcW w:w="538" w:type="dxa"/>
            <w:vMerge w:val="continue"/>
            <w:tcMar>
              <w:left w:w="0" w:type="dxa"/>
              <w:right w:w="0" w:type="dxa"/>
            </w:tcMar>
            <w:vAlign w:val="center"/>
          </w:tcPr>
          <w:p w14:paraId="03F0D3A1">
            <w:pPr>
              <w:pStyle w:val="296"/>
              <w:adjustRightInd w:val="0"/>
              <w:snapToGrid w:val="0"/>
              <w:spacing w:line="300" w:lineRule="exact"/>
              <w:rPr>
                <w:rFonts w:hint="eastAsia"/>
                <w:color w:val="auto"/>
              </w:rPr>
            </w:pPr>
          </w:p>
        </w:tc>
        <w:tc>
          <w:tcPr>
            <w:tcW w:w="4140" w:type="dxa"/>
            <w:vAlign w:val="center"/>
          </w:tcPr>
          <w:p w14:paraId="48F36FCD">
            <w:pPr>
              <w:pStyle w:val="296"/>
              <w:adjustRightInd w:val="0"/>
              <w:snapToGrid w:val="0"/>
              <w:spacing w:line="300" w:lineRule="exact"/>
              <w:jc w:val="both"/>
              <w:rPr>
                <w:rFonts w:hint="eastAsia"/>
                <w:color w:val="auto"/>
              </w:rPr>
            </w:pPr>
            <w:r>
              <w:rPr>
                <w:rFonts w:hint="eastAsia"/>
                <w:color w:val="auto"/>
              </w:rPr>
              <w:t>油气开发产生的伴生气应优先回收利用，减少温室气体排放，开发区块伴生气整体回收利用率应达到80%以上；边远井、零散井等产生的伴生气不能回收或难以回收的，应经燃烧后放空。鼓励油气企业将碳捕集、利用与封存（CCUS）技术用于油气开采，提高采收率、减少温室气体排放。</w:t>
            </w:r>
          </w:p>
        </w:tc>
        <w:tc>
          <w:tcPr>
            <w:tcW w:w="2693" w:type="dxa"/>
            <w:tcMar>
              <w:left w:w="0" w:type="dxa"/>
              <w:right w:w="0" w:type="dxa"/>
            </w:tcMar>
            <w:vAlign w:val="center"/>
          </w:tcPr>
          <w:p w14:paraId="3E14DAAC">
            <w:pPr>
              <w:pStyle w:val="296"/>
              <w:adjustRightInd w:val="0"/>
              <w:snapToGrid w:val="0"/>
              <w:spacing w:line="300" w:lineRule="exact"/>
              <w:jc w:val="both"/>
              <w:rPr>
                <w:rFonts w:hint="eastAsia"/>
                <w:color w:val="auto"/>
              </w:rPr>
            </w:pPr>
            <w:r>
              <w:rPr>
                <w:rFonts w:hint="eastAsia"/>
                <w:color w:val="auto"/>
              </w:rPr>
              <w:t>莫27井井口采出物采用管线密闭集输至莫172H井天然气浅冷处理装置处理；莫172H井和莫174H井井口采出物分别送至井场新建的天然气浅冷处理装置处理，分离出的天然气通过零散气回收装置处理后外售，液相由罐车拉运至莫北转油站处理。本项目不涉及碳捕集、利用与封存（CCUS）技术。</w:t>
            </w:r>
          </w:p>
        </w:tc>
        <w:tc>
          <w:tcPr>
            <w:tcW w:w="792" w:type="dxa"/>
            <w:tcMar>
              <w:left w:w="0" w:type="dxa"/>
              <w:right w:w="0" w:type="dxa"/>
            </w:tcMar>
            <w:vAlign w:val="center"/>
          </w:tcPr>
          <w:p w14:paraId="4115D219">
            <w:pPr>
              <w:pStyle w:val="296"/>
              <w:adjustRightInd w:val="0"/>
              <w:snapToGrid w:val="0"/>
              <w:spacing w:line="300" w:lineRule="exact"/>
              <w:rPr>
                <w:rFonts w:hint="eastAsia"/>
                <w:color w:val="auto"/>
                <w:lang w:bidi="ar"/>
              </w:rPr>
            </w:pPr>
            <w:r>
              <w:rPr>
                <w:rFonts w:hint="eastAsia"/>
                <w:color w:val="auto"/>
                <w:lang w:bidi="ar"/>
              </w:rPr>
              <w:t>符合</w:t>
            </w:r>
          </w:p>
        </w:tc>
      </w:tr>
      <w:tr w14:paraId="0D34B3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4C57B95F">
            <w:pPr>
              <w:pStyle w:val="296"/>
              <w:adjustRightInd w:val="0"/>
              <w:snapToGrid w:val="0"/>
              <w:spacing w:line="300" w:lineRule="exact"/>
              <w:rPr>
                <w:rFonts w:hint="eastAsia"/>
                <w:color w:val="auto"/>
                <w:lang w:bidi="ar"/>
              </w:rPr>
            </w:pPr>
            <w:r>
              <w:rPr>
                <w:rFonts w:hint="eastAsia"/>
                <w:color w:val="auto"/>
                <w:lang w:bidi="ar"/>
              </w:rPr>
              <w:t>5</w:t>
            </w:r>
          </w:p>
        </w:tc>
        <w:tc>
          <w:tcPr>
            <w:tcW w:w="538" w:type="dxa"/>
            <w:vMerge w:val="continue"/>
            <w:tcMar>
              <w:left w:w="0" w:type="dxa"/>
              <w:right w:w="0" w:type="dxa"/>
            </w:tcMar>
            <w:vAlign w:val="center"/>
          </w:tcPr>
          <w:p w14:paraId="5C6F3EC3">
            <w:pPr>
              <w:pStyle w:val="296"/>
              <w:adjustRightInd w:val="0"/>
              <w:snapToGrid w:val="0"/>
              <w:spacing w:line="300" w:lineRule="exact"/>
              <w:rPr>
                <w:rFonts w:hint="eastAsia"/>
                <w:color w:val="auto"/>
              </w:rPr>
            </w:pPr>
          </w:p>
        </w:tc>
        <w:tc>
          <w:tcPr>
            <w:tcW w:w="4140" w:type="dxa"/>
            <w:vAlign w:val="center"/>
          </w:tcPr>
          <w:p w14:paraId="32C7A318">
            <w:pPr>
              <w:pStyle w:val="296"/>
              <w:adjustRightInd w:val="0"/>
              <w:snapToGrid w:val="0"/>
              <w:spacing w:line="300" w:lineRule="exact"/>
              <w:rPr>
                <w:rFonts w:hint="eastAsia"/>
                <w:color w:val="auto"/>
              </w:rPr>
            </w:pPr>
            <w:r>
              <w:rPr>
                <w:rFonts w:hint="eastAsia"/>
                <w:color w:val="auto"/>
              </w:rPr>
              <w:t>陆地油气开发项目产生的废水应经处理后优先回用，无法回用的应满足国家和地方相关污染物排放标准后排放，工业废水回用率应达到90%以上。钻井及储层改造应采用环境友好的油田化学助剂、酸化液、压裂液、钻井液，配备完善的固控设备，钻井液循环率应达到95%以上，压裂废液、酸化废液等井下作业废水应100%返排入罐。</w:t>
            </w:r>
          </w:p>
        </w:tc>
        <w:tc>
          <w:tcPr>
            <w:tcW w:w="2693" w:type="dxa"/>
            <w:tcMar>
              <w:left w:w="0" w:type="dxa"/>
              <w:right w:w="0" w:type="dxa"/>
            </w:tcMar>
            <w:vAlign w:val="center"/>
          </w:tcPr>
          <w:p w14:paraId="2FC8AAE8">
            <w:pPr>
              <w:pStyle w:val="296"/>
              <w:adjustRightInd w:val="0"/>
              <w:snapToGrid w:val="0"/>
              <w:spacing w:line="300" w:lineRule="exact"/>
              <w:jc w:val="both"/>
              <w:rPr>
                <w:rFonts w:hint="eastAsia"/>
                <w:color w:val="auto"/>
              </w:rPr>
            </w:pPr>
            <w:r>
              <w:rPr>
                <w:rFonts w:hint="eastAsia"/>
                <w:color w:val="auto"/>
              </w:rPr>
              <w:t>井下作业废液和采出水均送至莫北转油站采出水处理系统处理；本项目均为评价井转为生产井，不使用钻井液；储层改造使用环境友好的酸化液和压裂液。</w:t>
            </w:r>
          </w:p>
        </w:tc>
        <w:tc>
          <w:tcPr>
            <w:tcW w:w="792" w:type="dxa"/>
            <w:tcMar>
              <w:left w:w="0" w:type="dxa"/>
              <w:right w:w="0" w:type="dxa"/>
            </w:tcMar>
            <w:vAlign w:val="center"/>
          </w:tcPr>
          <w:p w14:paraId="4051624B">
            <w:pPr>
              <w:pStyle w:val="296"/>
              <w:adjustRightInd w:val="0"/>
              <w:snapToGrid w:val="0"/>
              <w:spacing w:line="300" w:lineRule="exact"/>
              <w:rPr>
                <w:rFonts w:hint="eastAsia"/>
                <w:color w:val="auto"/>
                <w:lang w:bidi="ar"/>
              </w:rPr>
            </w:pPr>
            <w:r>
              <w:rPr>
                <w:rFonts w:hint="eastAsia"/>
                <w:color w:val="auto"/>
                <w:lang w:bidi="ar"/>
              </w:rPr>
              <w:t>符合</w:t>
            </w:r>
          </w:p>
        </w:tc>
      </w:tr>
      <w:tr w14:paraId="448D37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39CAE70B">
            <w:pPr>
              <w:pStyle w:val="296"/>
              <w:adjustRightInd w:val="0"/>
              <w:snapToGrid w:val="0"/>
              <w:spacing w:line="300" w:lineRule="exact"/>
              <w:rPr>
                <w:rFonts w:hint="eastAsia"/>
                <w:color w:val="auto"/>
                <w:lang w:bidi="ar"/>
              </w:rPr>
            </w:pPr>
            <w:r>
              <w:rPr>
                <w:rFonts w:hint="eastAsia"/>
                <w:color w:val="auto"/>
                <w:lang w:bidi="ar"/>
              </w:rPr>
              <w:t>6</w:t>
            </w:r>
          </w:p>
        </w:tc>
        <w:tc>
          <w:tcPr>
            <w:tcW w:w="538" w:type="dxa"/>
            <w:vMerge w:val="continue"/>
            <w:tcMar>
              <w:left w:w="0" w:type="dxa"/>
              <w:right w:w="0" w:type="dxa"/>
            </w:tcMar>
            <w:vAlign w:val="center"/>
          </w:tcPr>
          <w:p w14:paraId="380E6A16">
            <w:pPr>
              <w:pStyle w:val="296"/>
              <w:adjustRightInd w:val="0"/>
              <w:snapToGrid w:val="0"/>
              <w:spacing w:line="300" w:lineRule="exact"/>
              <w:rPr>
                <w:rFonts w:hint="eastAsia"/>
                <w:color w:val="auto"/>
              </w:rPr>
            </w:pPr>
          </w:p>
        </w:tc>
        <w:tc>
          <w:tcPr>
            <w:tcW w:w="4140" w:type="dxa"/>
            <w:vAlign w:val="center"/>
          </w:tcPr>
          <w:p w14:paraId="1C08A6B6">
            <w:pPr>
              <w:pStyle w:val="296"/>
              <w:adjustRightInd w:val="0"/>
              <w:snapToGrid w:val="0"/>
              <w:spacing w:line="300" w:lineRule="exact"/>
              <w:rPr>
                <w:rFonts w:hint="eastAsia"/>
                <w:color w:val="auto"/>
              </w:rPr>
            </w:pPr>
            <w:r>
              <w:rPr>
                <w:rFonts w:hint="eastAsia"/>
                <w:color w:val="auto"/>
              </w:rPr>
              <w:t>涉及废水回注的，应采取切实可行的地下水污染防治和监控措施，不得回注与油气开采无关的废水，严禁造成地下水污染；在相关行业污染控制标准发布前，回注水应满足《碎屑岩油藏注水水质指标技术要求及分析方法》（SY/T5329）和《气田水注入技术要求》（SY/T6596）等相关标准要求。对于页岩油、稠油注汽开采，鼓励废水处理后回用于注汽锅炉。</w:t>
            </w:r>
          </w:p>
        </w:tc>
        <w:tc>
          <w:tcPr>
            <w:tcW w:w="2693" w:type="dxa"/>
            <w:tcMar>
              <w:left w:w="0" w:type="dxa"/>
              <w:right w:w="0" w:type="dxa"/>
            </w:tcMar>
            <w:vAlign w:val="center"/>
          </w:tcPr>
          <w:p w14:paraId="12F049FE">
            <w:pPr>
              <w:pStyle w:val="296"/>
              <w:adjustRightInd w:val="0"/>
              <w:snapToGrid w:val="0"/>
              <w:spacing w:line="300" w:lineRule="exact"/>
              <w:jc w:val="both"/>
              <w:rPr>
                <w:rFonts w:hint="eastAsia"/>
                <w:color w:val="auto"/>
              </w:rPr>
            </w:pPr>
            <w:r>
              <w:rPr>
                <w:rFonts w:hint="eastAsia"/>
                <w:color w:val="auto"/>
              </w:rPr>
              <w:t>本项目不涉及废水回注，井下作业废液和采出水均送至莫北转油站采出水处理系统处理。</w:t>
            </w:r>
          </w:p>
        </w:tc>
        <w:tc>
          <w:tcPr>
            <w:tcW w:w="792" w:type="dxa"/>
            <w:tcMar>
              <w:left w:w="0" w:type="dxa"/>
              <w:right w:w="0" w:type="dxa"/>
            </w:tcMar>
            <w:vAlign w:val="center"/>
          </w:tcPr>
          <w:p w14:paraId="27535FC1">
            <w:pPr>
              <w:pStyle w:val="296"/>
              <w:adjustRightInd w:val="0"/>
              <w:snapToGrid w:val="0"/>
              <w:spacing w:line="300" w:lineRule="exact"/>
              <w:rPr>
                <w:rFonts w:hint="eastAsia"/>
                <w:color w:val="auto"/>
                <w:lang w:bidi="ar"/>
              </w:rPr>
            </w:pPr>
            <w:r>
              <w:rPr>
                <w:rFonts w:hint="eastAsia"/>
                <w:color w:val="auto"/>
                <w:lang w:bidi="ar"/>
              </w:rPr>
              <w:t>符合</w:t>
            </w:r>
          </w:p>
        </w:tc>
      </w:tr>
      <w:tr w14:paraId="6E5114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789F680E">
            <w:pPr>
              <w:pStyle w:val="296"/>
              <w:adjustRightInd w:val="0"/>
              <w:snapToGrid w:val="0"/>
              <w:spacing w:line="300" w:lineRule="exact"/>
              <w:rPr>
                <w:rFonts w:hint="eastAsia"/>
                <w:color w:val="auto"/>
                <w:lang w:bidi="ar"/>
              </w:rPr>
            </w:pPr>
            <w:r>
              <w:rPr>
                <w:rFonts w:hint="eastAsia"/>
                <w:color w:val="auto"/>
                <w:lang w:bidi="ar"/>
              </w:rPr>
              <w:t>7</w:t>
            </w:r>
          </w:p>
        </w:tc>
        <w:tc>
          <w:tcPr>
            <w:tcW w:w="538" w:type="dxa"/>
            <w:vMerge w:val="continue"/>
            <w:tcMar>
              <w:left w:w="0" w:type="dxa"/>
              <w:right w:w="0" w:type="dxa"/>
            </w:tcMar>
            <w:vAlign w:val="center"/>
          </w:tcPr>
          <w:p w14:paraId="1667D59A">
            <w:pPr>
              <w:pStyle w:val="296"/>
              <w:adjustRightInd w:val="0"/>
              <w:snapToGrid w:val="0"/>
              <w:spacing w:line="300" w:lineRule="exact"/>
              <w:rPr>
                <w:rFonts w:hint="eastAsia"/>
                <w:color w:val="auto"/>
              </w:rPr>
            </w:pPr>
          </w:p>
        </w:tc>
        <w:tc>
          <w:tcPr>
            <w:tcW w:w="4140" w:type="dxa"/>
            <w:vAlign w:val="center"/>
          </w:tcPr>
          <w:p w14:paraId="287A39CE">
            <w:pPr>
              <w:pStyle w:val="296"/>
              <w:adjustRightInd w:val="0"/>
              <w:snapToGrid w:val="0"/>
              <w:spacing w:line="300" w:lineRule="exact"/>
              <w:jc w:val="both"/>
              <w:rPr>
                <w:rFonts w:hint="eastAsia"/>
                <w:color w:val="auto"/>
              </w:rPr>
            </w:pPr>
            <w:r>
              <w:rPr>
                <w:rFonts w:hint="eastAsia"/>
                <w:color w:val="auto"/>
              </w:rPr>
              <w:t>废弃钻井泥浆及岩屑应采取“泥浆不落地”工艺，勘探、开发过程产生的落地原油回收率应达到100%。废弃水基钻井泥浆及岩屑经“泥浆不落地”设备处理后，固相优先综合利用，暂时不利用或者不能利用的，应按照《一般工业固体废物贮存和填埋污染控制标准》（GB18599）处置；废弃油基钻井泥浆及岩屑、落地油、清罐底泥、含油污泥、含油清管废渣、油气处理厂过滤吸附介质、废脱汞剂等危险废物，应按照国家有关规定制定危险废物管理计划，建立危险废物管理台账，依法依规自行处置或委托有相应资质的单位无害化处置。固体废物无害化处置率应达到100%。</w:t>
            </w:r>
          </w:p>
        </w:tc>
        <w:tc>
          <w:tcPr>
            <w:tcW w:w="2693" w:type="dxa"/>
            <w:tcMar>
              <w:left w:w="0" w:type="dxa"/>
              <w:right w:w="0" w:type="dxa"/>
            </w:tcMar>
            <w:vAlign w:val="center"/>
          </w:tcPr>
          <w:p w14:paraId="74086AE6">
            <w:pPr>
              <w:pStyle w:val="296"/>
              <w:adjustRightInd w:val="0"/>
              <w:snapToGrid w:val="0"/>
              <w:spacing w:line="300" w:lineRule="exact"/>
              <w:jc w:val="both"/>
              <w:rPr>
                <w:rFonts w:hint="eastAsia"/>
                <w:color w:val="auto"/>
              </w:rPr>
            </w:pPr>
            <w:r>
              <w:rPr>
                <w:rFonts w:hint="eastAsia"/>
                <w:color w:val="auto"/>
              </w:rPr>
              <w:t>本项目均为评价井转为生产井，不使用钻井液，不产生岩屑；清罐底泥、废分子筛、废滤料、废润滑油、废润滑油桶、沾油废防渗材料</w:t>
            </w:r>
            <w:r>
              <w:rPr>
                <w:rFonts w:hint="eastAsia" w:cs="宋体"/>
                <w:color w:val="auto"/>
              </w:rPr>
              <w:t>、</w:t>
            </w:r>
            <w:r>
              <w:rPr>
                <w:rFonts w:hint="eastAsia" w:cs="宋体"/>
                <w:color w:val="auto"/>
                <w:lang w:val="zh-CN"/>
              </w:rPr>
              <w:t>废含油抹布及劳保用品</w:t>
            </w:r>
            <w:r>
              <w:rPr>
                <w:rFonts w:hint="eastAsia"/>
                <w:color w:val="auto"/>
              </w:rPr>
              <w:t>均交由有相应危险废物处理资质的单位回收处理；石西油田作业区已制定有危险废物管理计划，建立了危险废物管理台账，固体无害化处置率达到100%。</w:t>
            </w:r>
          </w:p>
        </w:tc>
        <w:tc>
          <w:tcPr>
            <w:tcW w:w="792" w:type="dxa"/>
            <w:tcMar>
              <w:left w:w="0" w:type="dxa"/>
              <w:right w:w="0" w:type="dxa"/>
            </w:tcMar>
            <w:vAlign w:val="center"/>
          </w:tcPr>
          <w:p w14:paraId="01F9FC4F">
            <w:pPr>
              <w:pStyle w:val="296"/>
              <w:adjustRightInd w:val="0"/>
              <w:snapToGrid w:val="0"/>
              <w:spacing w:line="300" w:lineRule="exact"/>
              <w:rPr>
                <w:rFonts w:hint="eastAsia"/>
                <w:color w:val="auto"/>
                <w:lang w:bidi="ar"/>
              </w:rPr>
            </w:pPr>
            <w:r>
              <w:rPr>
                <w:rFonts w:hint="eastAsia"/>
                <w:color w:val="auto"/>
                <w:lang w:bidi="ar"/>
              </w:rPr>
              <w:t>符合</w:t>
            </w:r>
          </w:p>
        </w:tc>
      </w:tr>
      <w:tr w14:paraId="63BE48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3798D05A">
            <w:pPr>
              <w:pStyle w:val="296"/>
              <w:adjustRightInd w:val="0"/>
              <w:snapToGrid w:val="0"/>
              <w:spacing w:line="300" w:lineRule="exact"/>
              <w:rPr>
                <w:rFonts w:hint="eastAsia"/>
                <w:color w:val="auto"/>
                <w:lang w:bidi="ar"/>
              </w:rPr>
            </w:pPr>
            <w:r>
              <w:rPr>
                <w:rFonts w:hint="eastAsia"/>
                <w:color w:val="auto"/>
                <w:lang w:bidi="ar"/>
              </w:rPr>
              <w:t>8</w:t>
            </w:r>
          </w:p>
        </w:tc>
        <w:tc>
          <w:tcPr>
            <w:tcW w:w="538" w:type="dxa"/>
            <w:vMerge w:val="continue"/>
            <w:tcMar>
              <w:left w:w="0" w:type="dxa"/>
              <w:right w:w="0" w:type="dxa"/>
            </w:tcMar>
            <w:vAlign w:val="center"/>
          </w:tcPr>
          <w:p w14:paraId="7C7DD440">
            <w:pPr>
              <w:pStyle w:val="296"/>
              <w:adjustRightInd w:val="0"/>
              <w:snapToGrid w:val="0"/>
              <w:spacing w:line="300" w:lineRule="exact"/>
              <w:rPr>
                <w:rFonts w:hint="eastAsia"/>
                <w:color w:val="auto"/>
              </w:rPr>
            </w:pPr>
          </w:p>
        </w:tc>
        <w:tc>
          <w:tcPr>
            <w:tcW w:w="4140" w:type="dxa"/>
            <w:vAlign w:val="center"/>
          </w:tcPr>
          <w:p w14:paraId="02448700">
            <w:pPr>
              <w:pStyle w:val="296"/>
              <w:adjustRightInd w:val="0"/>
              <w:snapToGrid w:val="0"/>
              <w:spacing w:line="300" w:lineRule="exact"/>
              <w:rPr>
                <w:rFonts w:hint="eastAsia"/>
                <w:color w:val="auto"/>
              </w:rPr>
            </w:pPr>
            <w:r>
              <w:rPr>
                <w:rFonts w:hint="eastAsia"/>
                <w:color w:val="auto"/>
              </w:rPr>
              <w:t>7.噪声排放应达到《工业企业厂界环境噪声排放标准》（GB12348）要求。</w:t>
            </w:r>
          </w:p>
        </w:tc>
        <w:tc>
          <w:tcPr>
            <w:tcW w:w="2693" w:type="dxa"/>
            <w:tcMar>
              <w:left w:w="0" w:type="dxa"/>
              <w:right w:w="0" w:type="dxa"/>
            </w:tcMar>
            <w:vAlign w:val="center"/>
          </w:tcPr>
          <w:p w14:paraId="19FBC645">
            <w:pPr>
              <w:pStyle w:val="296"/>
              <w:adjustRightInd w:val="0"/>
              <w:snapToGrid w:val="0"/>
              <w:spacing w:line="300" w:lineRule="exact"/>
              <w:jc w:val="both"/>
              <w:rPr>
                <w:rFonts w:hint="eastAsia"/>
                <w:color w:val="auto"/>
              </w:rPr>
            </w:pPr>
            <w:r>
              <w:rPr>
                <w:rFonts w:hint="eastAsia"/>
                <w:color w:val="auto"/>
              </w:rPr>
              <w:t>尽量选用低噪声设备，对噪声强度较大的设备进行基础减振等减噪处理；定期给机泵等设备加润滑油和减振垫，对各种机械设备定期保养；合理布局使各产噪设备尽可能位于站场中心；采取以上措施后采油井场和天然气浅冷处理装置区厂界能够满足《工业企业厂界环境噪声排放标准》（GB12348-2008）</w:t>
            </w:r>
            <w:r>
              <w:rPr>
                <w:color w:val="auto"/>
              </w:rPr>
              <w:t>2</w:t>
            </w:r>
            <w:r>
              <w:rPr>
                <w:rFonts w:hint="eastAsia"/>
                <w:color w:val="auto"/>
              </w:rPr>
              <w:t>类声功能区环境噪声限值要求。</w:t>
            </w:r>
          </w:p>
        </w:tc>
        <w:tc>
          <w:tcPr>
            <w:tcW w:w="792" w:type="dxa"/>
            <w:tcMar>
              <w:left w:w="0" w:type="dxa"/>
              <w:right w:w="0" w:type="dxa"/>
            </w:tcMar>
            <w:vAlign w:val="center"/>
          </w:tcPr>
          <w:p w14:paraId="6AF2128B">
            <w:pPr>
              <w:pStyle w:val="296"/>
              <w:adjustRightInd w:val="0"/>
              <w:snapToGrid w:val="0"/>
              <w:spacing w:line="300" w:lineRule="exact"/>
              <w:rPr>
                <w:rFonts w:hint="eastAsia"/>
                <w:color w:val="auto"/>
                <w:lang w:bidi="ar"/>
              </w:rPr>
            </w:pPr>
            <w:r>
              <w:rPr>
                <w:rFonts w:hint="eastAsia"/>
                <w:color w:val="auto"/>
                <w:lang w:bidi="ar"/>
              </w:rPr>
              <w:t>符合</w:t>
            </w:r>
          </w:p>
        </w:tc>
      </w:tr>
      <w:tr w14:paraId="2C1E49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15E8515F">
            <w:pPr>
              <w:pStyle w:val="296"/>
              <w:adjustRightInd w:val="0"/>
              <w:snapToGrid w:val="0"/>
              <w:spacing w:line="300" w:lineRule="exact"/>
              <w:rPr>
                <w:rFonts w:hint="eastAsia"/>
                <w:color w:val="auto"/>
                <w:lang w:bidi="ar"/>
              </w:rPr>
            </w:pPr>
            <w:r>
              <w:rPr>
                <w:rFonts w:hint="eastAsia"/>
                <w:color w:val="auto"/>
                <w:lang w:bidi="ar"/>
              </w:rPr>
              <w:t>9</w:t>
            </w:r>
          </w:p>
        </w:tc>
        <w:tc>
          <w:tcPr>
            <w:tcW w:w="538" w:type="dxa"/>
            <w:vMerge w:val="continue"/>
            <w:tcMar>
              <w:left w:w="0" w:type="dxa"/>
              <w:right w:w="0" w:type="dxa"/>
            </w:tcMar>
            <w:vAlign w:val="center"/>
          </w:tcPr>
          <w:p w14:paraId="0C86611D">
            <w:pPr>
              <w:pStyle w:val="296"/>
              <w:adjustRightInd w:val="0"/>
              <w:snapToGrid w:val="0"/>
              <w:spacing w:line="300" w:lineRule="exact"/>
              <w:rPr>
                <w:rFonts w:hint="eastAsia"/>
                <w:color w:val="auto"/>
              </w:rPr>
            </w:pPr>
          </w:p>
        </w:tc>
        <w:tc>
          <w:tcPr>
            <w:tcW w:w="4140" w:type="dxa"/>
            <w:vAlign w:val="center"/>
          </w:tcPr>
          <w:p w14:paraId="1A484079">
            <w:pPr>
              <w:pStyle w:val="296"/>
              <w:adjustRightInd w:val="0"/>
              <w:snapToGrid w:val="0"/>
              <w:spacing w:line="300" w:lineRule="exact"/>
              <w:jc w:val="both"/>
              <w:rPr>
                <w:rFonts w:hint="eastAsia"/>
                <w:color w:val="auto"/>
              </w:rPr>
            </w:pPr>
            <w:r>
              <w:rPr>
                <w:rFonts w:hint="eastAsia"/>
                <w:color w:val="auto"/>
              </w:rPr>
              <w:t>对拟退役的废弃井（站）场、管道、道路等工程设施应进行生态修复，生态修复前应对废弃油（气）井、管道进行封堵或设施拆除，确保无土壤及地下水环境污染遗留问题、废弃物得到妥善处置。生态修复应满足《矿山生态环境保护与恢复治理技术规范（试行）》（HJ651）、《废弃井封井回填技术指南（试行）》《废弃井及长停井处置指南》（SY/T6646）、《陆上石油天然气开采业绿色矿山建设规范》（DZ/T0317）等相关要求。</w:t>
            </w:r>
          </w:p>
        </w:tc>
        <w:tc>
          <w:tcPr>
            <w:tcW w:w="2693" w:type="dxa"/>
            <w:tcMar>
              <w:left w:w="0" w:type="dxa"/>
              <w:right w:w="0" w:type="dxa"/>
            </w:tcMar>
            <w:vAlign w:val="center"/>
          </w:tcPr>
          <w:p w14:paraId="60DE1881">
            <w:pPr>
              <w:pStyle w:val="296"/>
              <w:adjustRightInd w:val="0"/>
              <w:snapToGrid w:val="0"/>
              <w:spacing w:line="300" w:lineRule="exact"/>
              <w:jc w:val="both"/>
              <w:rPr>
                <w:rFonts w:hint="eastAsia"/>
                <w:color w:val="auto"/>
              </w:rPr>
            </w:pPr>
            <w:r>
              <w:rPr>
                <w:rFonts w:hint="eastAsia"/>
                <w:color w:val="auto"/>
              </w:rPr>
              <w:t>报告对拟退役的废弃井进行封井，拆除井场和站场各类设备设施及管线的拆除、井区废弃管线的封堵等施工活动；根据《矿山生态环境保护与恢复治理技术规范（试行）》（HJ651-2013）、《废弃井封井回填技术指南（试行）》的相关要求，提出了生态修复方案。</w:t>
            </w:r>
          </w:p>
        </w:tc>
        <w:tc>
          <w:tcPr>
            <w:tcW w:w="792" w:type="dxa"/>
            <w:tcMar>
              <w:left w:w="0" w:type="dxa"/>
              <w:right w:w="0" w:type="dxa"/>
            </w:tcMar>
            <w:vAlign w:val="center"/>
          </w:tcPr>
          <w:p w14:paraId="435EEFB2">
            <w:pPr>
              <w:pStyle w:val="296"/>
              <w:adjustRightInd w:val="0"/>
              <w:snapToGrid w:val="0"/>
              <w:spacing w:line="300" w:lineRule="exact"/>
              <w:rPr>
                <w:rFonts w:hint="eastAsia"/>
                <w:color w:val="auto"/>
              </w:rPr>
            </w:pPr>
            <w:r>
              <w:rPr>
                <w:rFonts w:hint="eastAsia"/>
                <w:color w:val="auto"/>
              </w:rPr>
              <w:t>符合</w:t>
            </w:r>
          </w:p>
        </w:tc>
      </w:tr>
      <w:bookmarkEnd w:id="175"/>
    </w:tbl>
    <w:p w14:paraId="20F83715">
      <w:pPr>
        <w:pStyle w:val="86"/>
        <w:ind w:firstLine="480"/>
        <w:rPr>
          <w:rFonts w:hint="eastAsia"/>
          <w:color w:val="auto"/>
        </w:rPr>
      </w:pPr>
      <w:r>
        <w:rPr>
          <w:rFonts w:hint="eastAsia"/>
          <w:color w:val="auto"/>
        </w:rPr>
        <w:t>（6）与《固体废物综合治理行动计划》符合性分析</w:t>
      </w:r>
    </w:p>
    <w:p w14:paraId="6D65F572">
      <w:pPr>
        <w:pStyle w:val="86"/>
        <w:ind w:firstLine="480"/>
        <w:rPr>
          <w:rFonts w:hint="eastAsia"/>
          <w:color w:val="auto"/>
        </w:rPr>
      </w:pPr>
      <w:r>
        <w:rPr>
          <w:rFonts w:hint="eastAsia"/>
          <w:color w:val="auto"/>
        </w:rPr>
        <w:t>项目建设符合《固体废物综合治理行动计划》中的相关要求，详见表2.9-9。</w:t>
      </w:r>
    </w:p>
    <w:p w14:paraId="7B8607ED">
      <w:pPr>
        <w:pStyle w:val="15"/>
        <w:rPr>
          <w:rFonts w:hint="eastAsia"/>
          <w:color w:val="auto"/>
        </w:rPr>
      </w:pPr>
      <w:r>
        <w:rPr>
          <w:rFonts w:hint="eastAsia"/>
          <w:color w:val="auto"/>
        </w:rPr>
        <w:t>表2</w:t>
      </w:r>
      <w:r>
        <w:rPr>
          <w:color w:val="auto"/>
        </w:rPr>
        <w:t>.9</w:t>
      </w:r>
      <w:r>
        <w:rPr>
          <w:rFonts w:hint="eastAsia"/>
          <w:color w:val="auto"/>
        </w:rPr>
        <w:t xml:space="preserve">-9 </w:t>
      </w:r>
      <w:r>
        <w:rPr>
          <w:color w:val="auto"/>
        </w:rPr>
        <w:t xml:space="preserve"> </w:t>
      </w:r>
      <w:r>
        <w:rPr>
          <w:rFonts w:hint="eastAsia"/>
          <w:color w:val="auto"/>
        </w:rPr>
        <w:t>项目与《固体废物综合治理行动计划》符合性分析</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4678"/>
        <w:gridCol w:w="2693"/>
        <w:gridCol w:w="792"/>
      </w:tblGrid>
      <w:tr w14:paraId="4A20DB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67" w:type="dxa"/>
            <w:tcMar>
              <w:left w:w="0" w:type="dxa"/>
              <w:right w:w="0" w:type="dxa"/>
            </w:tcMar>
            <w:vAlign w:val="center"/>
          </w:tcPr>
          <w:p w14:paraId="5FEB167E">
            <w:pPr>
              <w:pStyle w:val="296"/>
              <w:rPr>
                <w:rFonts w:hint="eastAsia"/>
                <w:color w:val="auto"/>
              </w:rPr>
            </w:pPr>
            <w:r>
              <w:rPr>
                <w:rFonts w:hint="eastAsia"/>
                <w:color w:val="auto"/>
                <w:lang w:bidi="ar"/>
              </w:rPr>
              <w:t>序号</w:t>
            </w:r>
          </w:p>
        </w:tc>
        <w:tc>
          <w:tcPr>
            <w:tcW w:w="4678" w:type="dxa"/>
            <w:tcMar>
              <w:left w:w="0" w:type="dxa"/>
              <w:right w:w="0" w:type="dxa"/>
            </w:tcMar>
            <w:vAlign w:val="center"/>
          </w:tcPr>
          <w:p w14:paraId="58CAC24E">
            <w:pPr>
              <w:pStyle w:val="296"/>
              <w:rPr>
                <w:rFonts w:hint="eastAsia"/>
                <w:color w:val="auto"/>
              </w:rPr>
            </w:pPr>
            <w:r>
              <w:rPr>
                <w:rFonts w:hint="eastAsia"/>
                <w:color w:val="auto"/>
                <w:lang w:bidi="ar"/>
              </w:rPr>
              <w:t>条件规定</w:t>
            </w:r>
          </w:p>
        </w:tc>
        <w:tc>
          <w:tcPr>
            <w:tcW w:w="2693" w:type="dxa"/>
            <w:tcMar>
              <w:left w:w="0" w:type="dxa"/>
              <w:right w:w="0" w:type="dxa"/>
            </w:tcMar>
            <w:vAlign w:val="center"/>
          </w:tcPr>
          <w:p w14:paraId="758CFEB4">
            <w:pPr>
              <w:pStyle w:val="296"/>
              <w:rPr>
                <w:rFonts w:hint="eastAsia"/>
                <w:color w:val="auto"/>
              </w:rPr>
            </w:pPr>
            <w:r>
              <w:rPr>
                <w:rFonts w:hint="eastAsia"/>
                <w:color w:val="auto"/>
                <w:lang w:bidi="ar"/>
              </w:rPr>
              <w:t>拟采取的相关措施</w:t>
            </w:r>
          </w:p>
        </w:tc>
        <w:tc>
          <w:tcPr>
            <w:tcW w:w="792" w:type="dxa"/>
            <w:tcMar>
              <w:left w:w="0" w:type="dxa"/>
              <w:right w:w="0" w:type="dxa"/>
            </w:tcMar>
            <w:vAlign w:val="center"/>
          </w:tcPr>
          <w:p w14:paraId="3D142D76">
            <w:pPr>
              <w:pStyle w:val="296"/>
              <w:rPr>
                <w:rFonts w:hint="eastAsia"/>
                <w:color w:val="auto"/>
              </w:rPr>
            </w:pPr>
            <w:r>
              <w:rPr>
                <w:rFonts w:hint="eastAsia"/>
                <w:color w:val="auto"/>
                <w:lang w:bidi="ar"/>
              </w:rPr>
              <w:t>符合性分析</w:t>
            </w:r>
          </w:p>
        </w:tc>
      </w:tr>
      <w:tr w14:paraId="2F395B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6988798C">
            <w:pPr>
              <w:pStyle w:val="296"/>
              <w:rPr>
                <w:rFonts w:hint="eastAsia"/>
                <w:color w:val="auto"/>
                <w:lang w:bidi="ar"/>
              </w:rPr>
            </w:pPr>
            <w:r>
              <w:rPr>
                <w:color w:val="auto"/>
                <w:lang w:bidi="ar"/>
              </w:rPr>
              <w:t>1</w:t>
            </w:r>
          </w:p>
        </w:tc>
        <w:tc>
          <w:tcPr>
            <w:tcW w:w="4678" w:type="dxa"/>
            <w:tcMar>
              <w:left w:w="0" w:type="dxa"/>
              <w:right w:w="0" w:type="dxa"/>
            </w:tcMar>
            <w:vAlign w:val="center"/>
          </w:tcPr>
          <w:p w14:paraId="33ABD264">
            <w:pPr>
              <w:pStyle w:val="296"/>
              <w:rPr>
                <w:rFonts w:hint="eastAsia"/>
                <w:color w:val="auto"/>
              </w:rPr>
            </w:pPr>
            <w:r>
              <w:rPr>
                <w:rFonts w:hint="eastAsia"/>
                <w:color w:val="auto"/>
              </w:rPr>
              <w:t>加强工业固体废物源头减量。严格落实产业、环保、节能等政策，依法依规淘汰落后产能。强化工业园区固体废物源头管控。大力推行绿色设计，支持企业改进生产工艺和装备，强化工业生产精细化管控，降低固体废物产生强度。推动重有色金属矿采选一体化建设，促进尾矿就近充填回填，原则上不再批准建设无自建矿山、无配套尾矿利用处置设施的选矿项目。推动重点行业固体废物产生量与综合消纳量逐步实现动态平衡。</w:t>
            </w:r>
          </w:p>
        </w:tc>
        <w:tc>
          <w:tcPr>
            <w:tcW w:w="2693" w:type="dxa"/>
            <w:tcMar>
              <w:left w:w="0" w:type="dxa"/>
              <w:right w:w="0" w:type="dxa"/>
            </w:tcMar>
            <w:vAlign w:val="center"/>
          </w:tcPr>
          <w:p w14:paraId="61B31AB2">
            <w:pPr>
              <w:pStyle w:val="296"/>
              <w:rPr>
                <w:rFonts w:hint="eastAsia"/>
                <w:color w:val="auto"/>
              </w:rPr>
            </w:pPr>
            <w:r>
              <w:rPr>
                <w:rFonts w:hint="eastAsia"/>
                <w:color w:val="auto"/>
              </w:rPr>
              <w:t>本项目仅在施工期间产生少量建筑垃圾，且均由施工单位回收利用，统一收集处理。</w:t>
            </w:r>
          </w:p>
        </w:tc>
        <w:tc>
          <w:tcPr>
            <w:tcW w:w="792" w:type="dxa"/>
            <w:tcMar>
              <w:left w:w="0" w:type="dxa"/>
              <w:right w:w="0" w:type="dxa"/>
            </w:tcMar>
            <w:vAlign w:val="center"/>
          </w:tcPr>
          <w:p w14:paraId="2F140CBC">
            <w:pPr>
              <w:pStyle w:val="296"/>
              <w:rPr>
                <w:rFonts w:hint="eastAsia"/>
                <w:color w:val="auto"/>
                <w:lang w:bidi="ar"/>
              </w:rPr>
            </w:pPr>
            <w:r>
              <w:rPr>
                <w:rFonts w:hint="eastAsia"/>
                <w:color w:val="auto"/>
                <w:lang w:bidi="ar"/>
              </w:rPr>
              <w:t>符合</w:t>
            </w:r>
          </w:p>
        </w:tc>
      </w:tr>
      <w:tr w14:paraId="3596C6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467C95A3">
            <w:pPr>
              <w:pStyle w:val="296"/>
              <w:rPr>
                <w:rFonts w:hint="eastAsia"/>
                <w:color w:val="auto"/>
                <w:lang w:bidi="ar"/>
              </w:rPr>
            </w:pPr>
            <w:r>
              <w:rPr>
                <w:rFonts w:hint="eastAsia"/>
                <w:color w:val="auto"/>
                <w:lang w:bidi="ar"/>
              </w:rPr>
              <w:t>2</w:t>
            </w:r>
          </w:p>
        </w:tc>
        <w:tc>
          <w:tcPr>
            <w:tcW w:w="4678" w:type="dxa"/>
            <w:tcMar>
              <w:left w:w="0" w:type="dxa"/>
              <w:right w:w="0" w:type="dxa"/>
            </w:tcMar>
            <w:vAlign w:val="center"/>
          </w:tcPr>
          <w:p w14:paraId="348574DE">
            <w:pPr>
              <w:pStyle w:val="296"/>
              <w:rPr>
                <w:rFonts w:hint="eastAsia"/>
                <w:color w:val="auto"/>
              </w:rPr>
            </w:pPr>
            <w:r>
              <w:rPr>
                <w:rFonts w:hint="eastAsia"/>
                <w:color w:val="auto"/>
              </w:rPr>
              <w:t>加强工业固体废物规范化管理。完善工业固体废物管理台账制度，强化全链条跟踪管控。推行工业固体废物分类收集贮存，防范混堆混排。禁止向生活垃圾收集设施中投放工业固体废物。严格执行工业固体废物、危险废物跨省转移审批制度。规范各类企业危险废物收集管理。</w:t>
            </w:r>
          </w:p>
        </w:tc>
        <w:tc>
          <w:tcPr>
            <w:tcW w:w="2693" w:type="dxa"/>
            <w:tcMar>
              <w:left w:w="0" w:type="dxa"/>
              <w:right w:w="0" w:type="dxa"/>
            </w:tcMar>
            <w:vAlign w:val="center"/>
          </w:tcPr>
          <w:p w14:paraId="7EE13CA4">
            <w:pPr>
              <w:pStyle w:val="296"/>
              <w:rPr>
                <w:rFonts w:hint="eastAsia"/>
                <w:color w:val="auto"/>
              </w:rPr>
            </w:pPr>
            <w:r>
              <w:rPr>
                <w:rFonts w:hint="eastAsia"/>
                <w:color w:val="auto"/>
              </w:rPr>
              <w:t>石西油田作业区已制定有固体废物管理计划，建立了固体废物管理台账，固体无害化处置率达到100%。</w:t>
            </w:r>
          </w:p>
        </w:tc>
        <w:tc>
          <w:tcPr>
            <w:tcW w:w="792" w:type="dxa"/>
            <w:tcMar>
              <w:left w:w="0" w:type="dxa"/>
              <w:right w:w="0" w:type="dxa"/>
            </w:tcMar>
            <w:vAlign w:val="center"/>
          </w:tcPr>
          <w:p w14:paraId="21E0512C">
            <w:pPr>
              <w:pStyle w:val="296"/>
              <w:rPr>
                <w:rFonts w:hint="eastAsia"/>
                <w:color w:val="auto"/>
                <w:lang w:bidi="ar"/>
              </w:rPr>
            </w:pPr>
            <w:r>
              <w:rPr>
                <w:rFonts w:hint="eastAsia"/>
                <w:color w:val="auto"/>
                <w:lang w:bidi="ar"/>
              </w:rPr>
              <w:t>符合</w:t>
            </w:r>
          </w:p>
        </w:tc>
      </w:tr>
    </w:tbl>
    <w:p w14:paraId="744BC039">
      <w:pPr>
        <w:pStyle w:val="86"/>
        <w:ind w:firstLine="480"/>
        <w:rPr>
          <w:rFonts w:hint="eastAsia"/>
          <w:color w:val="auto"/>
        </w:rPr>
      </w:pPr>
      <w:r>
        <w:rPr>
          <w:rFonts w:hint="eastAsia"/>
          <w:color w:val="auto"/>
        </w:rPr>
        <w:t>（7）与《国务院关于印发〈空气质量持续改善行动计划〉的通知》（国发〔2023〕24号）的符合性分析</w:t>
      </w:r>
    </w:p>
    <w:p w14:paraId="191A42F8">
      <w:pPr>
        <w:pStyle w:val="15"/>
        <w:rPr>
          <w:rFonts w:hint="eastAsia"/>
          <w:color w:val="auto"/>
        </w:rPr>
      </w:pPr>
      <w:r>
        <w:rPr>
          <w:rFonts w:hint="eastAsia"/>
          <w:color w:val="auto"/>
        </w:rPr>
        <w:t>表2</w:t>
      </w:r>
      <w:r>
        <w:rPr>
          <w:color w:val="auto"/>
        </w:rPr>
        <w:t>.9</w:t>
      </w:r>
      <w:r>
        <w:rPr>
          <w:rFonts w:hint="eastAsia"/>
          <w:color w:val="auto"/>
        </w:rPr>
        <w:t xml:space="preserve">-10 </w:t>
      </w:r>
      <w:r>
        <w:rPr>
          <w:color w:val="auto"/>
        </w:rPr>
        <w:t xml:space="preserve"> </w:t>
      </w:r>
      <w:r>
        <w:rPr>
          <w:rFonts w:hint="eastAsia"/>
          <w:color w:val="auto"/>
        </w:rPr>
        <w:t>项目与《空气质量持续改善行动计划》符合性分析</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4678"/>
        <w:gridCol w:w="2693"/>
        <w:gridCol w:w="792"/>
      </w:tblGrid>
      <w:tr w14:paraId="095D8E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67" w:type="dxa"/>
            <w:tcMar>
              <w:left w:w="0" w:type="dxa"/>
              <w:right w:w="0" w:type="dxa"/>
            </w:tcMar>
            <w:vAlign w:val="center"/>
          </w:tcPr>
          <w:p w14:paraId="1F87EC1A">
            <w:pPr>
              <w:pStyle w:val="296"/>
              <w:rPr>
                <w:rFonts w:hint="eastAsia"/>
                <w:color w:val="auto"/>
              </w:rPr>
            </w:pPr>
            <w:r>
              <w:rPr>
                <w:rFonts w:hint="eastAsia"/>
                <w:color w:val="auto"/>
                <w:lang w:bidi="ar"/>
              </w:rPr>
              <w:t>序号</w:t>
            </w:r>
          </w:p>
        </w:tc>
        <w:tc>
          <w:tcPr>
            <w:tcW w:w="4678" w:type="dxa"/>
            <w:tcMar>
              <w:left w:w="0" w:type="dxa"/>
              <w:right w:w="0" w:type="dxa"/>
            </w:tcMar>
            <w:vAlign w:val="center"/>
          </w:tcPr>
          <w:p w14:paraId="3C796A47">
            <w:pPr>
              <w:pStyle w:val="296"/>
              <w:rPr>
                <w:rFonts w:hint="eastAsia"/>
                <w:color w:val="auto"/>
              </w:rPr>
            </w:pPr>
            <w:r>
              <w:rPr>
                <w:rFonts w:hint="eastAsia"/>
                <w:color w:val="auto"/>
                <w:lang w:bidi="ar"/>
              </w:rPr>
              <w:t>条件规定</w:t>
            </w:r>
          </w:p>
        </w:tc>
        <w:tc>
          <w:tcPr>
            <w:tcW w:w="2693" w:type="dxa"/>
            <w:tcMar>
              <w:left w:w="0" w:type="dxa"/>
              <w:right w:w="0" w:type="dxa"/>
            </w:tcMar>
            <w:vAlign w:val="center"/>
          </w:tcPr>
          <w:p w14:paraId="18EEEE8D">
            <w:pPr>
              <w:pStyle w:val="296"/>
              <w:rPr>
                <w:rFonts w:hint="eastAsia"/>
                <w:color w:val="auto"/>
              </w:rPr>
            </w:pPr>
            <w:r>
              <w:rPr>
                <w:rFonts w:hint="eastAsia"/>
                <w:color w:val="auto"/>
                <w:lang w:bidi="ar"/>
              </w:rPr>
              <w:t>拟采取的相关措施</w:t>
            </w:r>
          </w:p>
        </w:tc>
        <w:tc>
          <w:tcPr>
            <w:tcW w:w="792" w:type="dxa"/>
            <w:tcMar>
              <w:left w:w="0" w:type="dxa"/>
              <w:right w:w="0" w:type="dxa"/>
            </w:tcMar>
            <w:vAlign w:val="center"/>
          </w:tcPr>
          <w:p w14:paraId="21425903">
            <w:pPr>
              <w:pStyle w:val="296"/>
              <w:rPr>
                <w:rFonts w:hint="eastAsia"/>
                <w:color w:val="auto"/>
              </w:rPr>
            </w:pPr>
            <w:r>
              <w:rPr>
                <w:rFonts w:hint="eastAsia"/>
                <w:color w:val="auto"/>
                <w:lang w:bidi="ar"/>
              </w:rPr>
              <w:t>符合性分析</w:t>
            </w:r>
          </w:p>
        </w:tc>
      </w:tr>
      <w:tr w14:paraId="0E9F8F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651D5B88">
            <w:pPr>
              <w:pStyle w:val="296"/>
              <w:rPr>
                <w:rFonts w:hint="eastAsia"/>
                <w:color w:val="auto"/>
                <w:lang w:bidi="ar"/>
              </w:rPr>
            </w:pPr>
            <w:r>
              <w:rPr>
                <w:color w:val="auto"/>
                <w:lang w:bidi="ar"/>
              </w:rPr>
              <w:t>1</w:t>
            </w:r>
          </w:p>
        </w:tc>
        <w:tc>
          <w:tcPr>
            <w:tcW w:w="4678" w:type="dxa"/>
            <w:tcMar>
              <w:left w:w="0" w:type="dxa"/>
              <w:right w:w="0" w:type="dxa"/>
            </w:tcMar>
            <w:vAlign w:val="center"/>
          </w:tcPr>
          <w:p w14:paraId="324D5FD3">
            <w:pPr>
              <w:pStyle w:val="296"/>
              <w:rPr>
                <w:rFonts w:hint="eastAsia"/>
                <w:color w:val="auto"/>
              </w:rPr>
            </w:pPr>
            <w:r>
              <w:rPr>
                <w:rFonts w:hint="eastAsia"/>
                <w:color w:val="auto"/>
              </w:rPr>
              <w:t>重点区域有京津冀及周边地区、长三角地区、汾渭</w:t>
            </w:r>
          </w:p>
          <w:p w14:paraId="5D61FF50">
            <w:pPr>
              <w:pStyle w:val="296"/>
              <w:rPr>
                <w:rFonts w:hint="eastAsia"/>
                <w:color w:val="auto"/>
              </w:rPr>
            </w:pPr>
            <w:r>
              <w:rPr>
                <w:rFonts w:hint="eastAsia"/>
                <w:color w:val="auto"/>
              </w:rPr>
              <w:t>平原</w:t>
            </w:r>
          </w:p>
        </w:tc>
        <w:tc>
          <w:tcPr>
            <w:tcW w:w="2693" w:type="dxa"/>
            <w:tcMar>
              <w:left w:w="0" w:type="dxa"/>
              <w:right w:w="0" w:type="dxa"/>
            </w:tcMar>
            <w:vAlign w:val="center"/>
          </w:tcPr>
          <w:p w14:paraId="138C7BDA">
            <w:pPr>
              <w:pStyle w:val="296"/>
              <w:rPr>
                <w:rFonts w:hint="eastAsia"/>
                <w:color w:val="auto"/>
              </w:rPr>
            </w:pPr>
            <w:r>
              <w:rPr>
                <w:rFonts w:hint="eastAsia"/>
                <w:color w:val="auto"/>
              </w:rPr>
              <w:t>本工程地处玛纳斯县，所在区域不属于重点区域</w:t>
            </w:r>
          </w:p>
        </w:tc>
        <w:tc>
          <w:tcPr>
            <w:tcW w:w="792" w:type="dxa"/>
            <w:tcMar>
              <w:left w:w="0" w:type="dxa"/>
              <w:right w:w="0" w:type="dxa"/>
            </w:tcMar>
            <w:vAlign w:val="center"/>
          </w:tcPr>
          <w:p w14:paraId="0F78213B">
            <w:pPr>
              <w:pStyle w:val="296"/>
              <w:rPr>
                <w:rFonts w:hint="eastAsia"/>
                <w:color w:val="auto"/>
                <w:lang w:bidi="ar"/>
              </w:rPr>
            </w:pPr>
            <w:r>
              <w:rPr>
                <w:rFonts w:hint="eastAsia"/>
                <w:color w:val="auto"/>
                <w:lang w:bidi="ar"/>
              </w:rPr>
              <w:t>符合</w:t>
            </w:r>
          </w:p>
        </w:tc>
      </w:tr>
      <w:tr w14:paraId="602C06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1A4D3A63">
            <w:pPr>
              <w:pStyle w:val="296"/>
              <w:rPr>
                <w:rFonts w:hint="eastAsia"/>
                <w:color w:val="auto"/>
                <w:lang w:bidi="ar"/>
              </w:rPr>
            </w:pPr>
            <w:r>
              <w:rPr>
                <w:rFonts w:hint="eastAsia"/>
                <w:color w:val="auto"/>
                <w:lang w:bidi="ar"/>
              </w:rPr>
              <w:t>2</w:t>
            </w:r>
          </w:p>
        </w:tc>
        <w:tc>
          <w:tcPr>
            <w:tcW w:w="4678" w:type="dxa"/>
            <w:tcMar>
              <w:left w:w="0" w:type="dxa"/>
              <w:right w:w="0" w:type="dxa"/>
            </w:tcMar>
            <w:vAlign w:val="center"/>
          </w:tcPr>
          <w:p w14:paraId="1FC5A4E2">
            <w:pPr>
              <w:pStyle w:val="296"/>
              <w:rPr>
                <w:rFonts w:hint="eastAsia"/>
                <w:color w:val="auto"/>
              </w:rPr>
            </w:pPr>
            <w:r>
              <w:rPr>
                <w:rFonts w:hint="eastAsia"/>
                <w:color w:val="auto"/>
              </w:rPr>
              <w:t>坚决遏制高耗能、高排放、低水平项目盲目上马；加快退出重点行业落后产能；全面开展传统产业集群升级改造；优化含VOCs原辅材料和产品结构；推动绿色环保产业健康发展</w:t>
            </w:r>
          </w:p>
        </w:tc>
        <w:tc>
          <w:tcPr>
            <w:tcW w:w="2693" w:type="dxa"/>
            <w:tcMar>
              <w:left w:w="0" w:type="dxa"/>
              <w:right w:w="0" w:type="dxa"/>
            </w:tcMar>
            <w:vAlign w:val="center"/>
          </w:tcPr>
          <w:p w14:paraId="7C533F6D">
            <w:pPr>
              <w:pStyle w:val="296"/>
              <w:rPr>
                <w:rFonts w:hint="eastAsia"/>
                <w:color w:val="auto"/>
              </w:rPr>
            </w:pPr>
            <w:r>
              <w:rPr>
                <w:rFonts w:hint="eastAsia"/>
                <w:color w:val="auto"/>
              </w:rPr>
              <w:t>本工程为陆地石油开采项目，属于国家“鼓励类”项目，不在“三高”行业之列</w:t>
            </w:r>
          </w:p>
        </w:tc>
        <w:tc>
          <w:tcPr>
            <w:tcW w:w="792" w:type="dxa"/>
            <w:tcMar>
              <w:left w:w="0" w:type="dxa"/>
              <w:right w:w="0" w:type="dxa"/>
            </w:tcMar>
            <w:vAlign w:val="center"/>
          </w:tcPr>
          <w:p w14:paraId="20B523D3">
            <w:pPr>
              <w:pStyle w:val="296"/>
              <w:rPr>
                <w:rFonts w:hint="eastAsia"/>
                <w:color w:val="auto"/>
                <w:lang w:bidi="ar"/>
              </w:rPr>
            </w:pPr>
            <w:r>
              <w:rPr>
                <w:rFonts w:hint="eastAsia"/>
                <w:color w:val="auto"/>
                <w:lang w:bidi="ar"/>
              </w:rPr>
              <w:t>符合</w:t>
            </w:r>
          </w:p>
        </w:tc>
      </w:tr>
      <w:tr w14:paraId="1FA9CA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13FF8D52">
            <w:pPr>
              <w:pStyle w:val="296"/>
              <w:rPr>
                <w:rFonts w:hint="eastAsia"/>
                <w:color w:val="auto"/>
                <w:lang w:bidi="ar"/>
              </w:rPr>
            </w:pPr>
            <w:r>
              <w:rPr>
                <w:rFonts w:hint="eastAsia"/>
                <w:color w:val="auto"/>
                <w:lang w:bidi="ar"/>
              </w:rPr>
              <w:t>3</w:t>
            </w:r>
          </w:p>
        </w:tc>
        <w:tc>
          <w:tcPr>
            <w:tcW w:w="4678" w:type="dxa"/>
            <w:tcMar>
              <w:left w:w="0" w:type="dxa"/>
              <w:right w:w="0" w:type="dxa"/>
            </w:tcMar>
            <w:vAlign w:val="center"/>
          </w:tcPr>
          <w:p w14:paraId="4DDD30B8">
            <w:pPr>
              <w:pStyle w:val="296"/>
              <w:rPr>
                <w:rFonts w:hint="eastAsia"/>
                <w:color w:val="auto"/>
              </w:rPr>
            </w:pPr>
            <w:r>
              <w:rPr>
                <w:rFonts w:hint="eastAsia"/>
                <w:color w:val="auto"/>
              </w:rPr>
              <w:t>大力发展新能源和清洁能源；严格合理控制煤炭消</w:t>
            </w:r>
          </w:p>
          <w:p w14:paraId="39A2E9F2">
            <w:pPr>
              <w:pStyle w:val="296"/>
              <w:rPr>
                <w:rFonts w:hint="eastAsia"/>
                <w:color w:val="auto"/>
              </w:rPr>
            </w:pPr>
            <w:r>
              <w:rPr>
                <w:rFonts w:hint="eastAsia"/>
                <w:color w:val="auto"/>
              </w:rPr>
              <w:t>费总量；积极开展燃煤锅炉关停整合；实施工业炉</w:t>
            </w:r>
          </w:p>
          <w:p w14:paraId="39F5C05B">
            <w:pPr>
              <w:pStyle w:val="296"/>
              <w:rPr>
                <w:rFonts w:hint="eastAsia"/>
                <w:color w:val="auto"/>
              </w:rPr>
            </w:pPr>
            <w:r>
              <w:rPr>
                <w:rFonts w:hint="eastAsia"/>
                <w:color w:val="auto"/>
              </w:rPr>
              <w:t>窑清洁能源替代；持续推进北方地区清洁取暖</w:t>
            </w:r>
          </w:p>
        </w:tc>
        <w:tc>
          <w:tcPr>
            <w:tcW w:w="2693" w:type="dxa"/>
            <w:tcMar>
              <w:left w:w="0" w:type="dxa"/>
              <w:right w:w="0" w:type="dxa"/>
            </w:tcMar>
            <w:vAlign w:val="center"/>
          </w:tcPr>
          <w:p w14:paraId="23E13BED">
            <w:pPr>
              <w:pStyle w:val="296"/>
              <w:rPr>
                <w:rFonts w:hint="eastAsia"/>
                <w:color w:val="auto"/>
              </w:rPr>
            </w:pPr>
            <w:r>
              <w:rPr>
                <w:rFonts w:hint="eastAsia"/>
                <w:color w:val="auto"/>
              </w:rPr>
              <w:t>本工程运营期井场采用燃气加热和燃气发电，属于清洁能源</w:t>
            </w:r>
          </w:p>
        </w:tc>
        <w:tc>
          <w:tcPr>
            <w:tcW w:w="792" w:type="dxa"/>
            <w:tcMar>
              <w:left w:w="0" w:type="dxa"/>
              <w:right w:w="0" w:type="dxa"/>
            </w:tcMar>
            <w:vAlign w:val="center"/>
          </w:tcPr>
          <w:p w14:paraId="12C4B6E9">
            <w:pPr>
              <w:pStyle w:val="296"/>
              <w:rPr>
                <w:rFonts w:hint="eastAsia"/>
                <w:color w:val="auto"/>
                <w:lang w:bidi="ar"/>
              </w:rPr>
            </w:pPr>
            <w:r>
              <w:rPr>
                <w:rFonts w:hint="eastAsia"/>
                <w:color w:val="auto"/>
                <w:lang w:bidi="ar"/>
              </w:rPr>
              <w:t>符合</w:t>
            </w:r>
          </w:p>
        </w:tc>
      </w:tr>
      <w:tr w14:paraId="1D7A3E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4FD90975">
            <w:pPr>
              <w:pStyle w:val="296"/>
              <w:rPr>
                <w:rFonts w:hint="eastAsia"/>
                <w:color w:val="auto"/>
                <w:lang w:bidi="ar"/>
              </w:rPr>
            </w:pPr>
            <w:r>
              <w:rPr>
                <w:rFonts w:hint="eastAsia"/>
                <w:color w:val="auto"/>
                <w:lang w:bidi="ar"/>
              </w:rPr>
              <w:t>4</w:t>
            </w:r>
          </w:p>
        </w:tc>
        <w:tc>
          <w:tcPr>
            <w:tcW w:w="4678" w:type="dxa"/>
            <w:tcMar>
              <w:left w:w="0" w:type="dxa"/>
              <w:right w:w="0" w:type="dxa"/>
            </w:tcMar>
            <w:vAlign w:val="center"/>
          </w:tcPr>
          <w:p w14:paraId="544CA0AC">
            <w:pPr>
              <w:pStyle w:val="296"/>
              <w:rPr>
                <w:rFonts w:hint="eastAsia"/>
                <w:color w:val="auto"/>
              </w:rPr>
            </w:pPr>
            <w:r>
              <w:rPr>
                <w:rFonts w:hint="eastAsia"/>
                <w:color w:val="auto"/>
              </w:rPr>
              <w:t>推进重点行业污染深度治理。高质量推进钢铁、水</w:t>
            </w:r>
          </w:p>
          <w:p w14:paraId="1ABCD827">
            <w:pPr>
              <w:pStyle w:val="296"/>
              <w:rPr>
                <w:rFonts w:hint="eastAsia"/>
                <w:color w:val="auto"/>
              </w:rPr>
            </w:pPr>
            <w:r>
              <w:rPr>
                <w:rFonts w:hint="eastAsia"/>
                <w:color w:val="auto"/>
              </w:rPr>
              <w:t>泥、焦化等重点行业及燃煤锅炉超低排放改造。到</w:t>
            </w:r>
          </w:p>
          <w:p w14:paraId="59BD18B3">
            <w:pPr>
              <w:pStyle w:val="296"/>
              <w:rPr>
                <w:rFonts w:hint="eastAsia"/>
                <w:color w:val="auto"/>
              </w:rPr>
            </w:pPr>
            <w:r>
              <w:rPr>
                <w:rFonts w:hint="eastAsia"/>
                <w:color w:val="auto"/>
              </w:rPr>
              <w:t>2025年，全国80%以上的钢铁产能完成超低排放改造任务；重点区域全部实现钢铁行业超低排放，基本完成燃煤锅炉超低排放改造；推进燃气锅炉低氮燃烧改造。</w:t>
            </w:r>
          </w:p>
        </w:tc>
        <w:tc>
          <w:tcPr>
            <w:tcW w:w="2693" w:type="dxa"/>
            <w:tcMar>
              <w:left w:w="0" w:type="dxa"/>
              <w:right w:w="0" w:type="dxa"/>
            </w:tcMar>
            <w:vAlign w:val="center"/>
          </w:tcPr>
          <w:p w14:paraId="46695E46">
            <w:pPr>
              <w:pStyle w:val="296"/>
              <w:rPr>
                <w:rFonts w:hint="eastAsia"/>
                <w:color w:val="auto"/>
              </w:rPr>
            </w:pPr>
            <w:r>
              <w:rPr>
                <w:rFonts w:hint="eastAsia"/>
                <w:color w:val="auto"/>
              </w:rPr>
              <w:t>本工程为陆地石油开采项目，不属于重点行业，运营期井场采用燃气加热和燃气发电。</w:t>
            </w:r>
          </w:p>
        </w:tc>
        <w:tc>
          <w:tcPr>
            <w:tcW w:w="792" w:type="dxa"/>
            <w:tcMar>
              <w:left w:w="0" w:type="dxa"/>
              <w:right w:w="0" w:type="dxa"/>
            </w:tcMar>
            <w:vAlign w:val="center"/>
          </w:tcPr>
          <w:p w14:paraId="535275B3">
            <w:pPr>
              <w:pStyle w:val="296"/>
              <w:rPr>
                <w:rFonts w:hint="eastAsia"/>
                <w:color w:val="auto"/>
                <w:lang w:bidi="ar"/>
              </w:rPr>
            </w:pPr>
            <w:r>
              <w:rPr>
                <w:rFonts w:hint="eastAsia"/>
                <w:color w:val="auto"/>
                <w:lang w:bidi="ar"/>
              </w:rPr>
              <w:t>符合</w:t>
            </w:r>
          </w:p>
        </w:tc>
      </w:tr>
      <w:tr w14:paraId="602A2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75C81217">
            <w:pPr>
              <w:pStyle w:val="296"/>
              <w:rPr>
                <w:rFonts w:hint="eastAsia"/>
                <w:color w:val="auto"/>
                <w:lang w:bidi="ar"/>
              </w:rPr>
            </w:pPr>
            <w:r>
              <w:rPr>
                <w:rFonts w:hint="eastAsia"/>
                <w:color w:val="auto"/>
                <w:lang w:bidi="ar"/>
              </w:rPr>
              <w:t>5</w:t>
            </w:r>
          </w:p>
        </w:tc>
        <w:tc>
          <w:tcPr>
            <w:tcW w:w="4678" w:type="dxa"/>
            <w:tcMar>
              <w:left w:w="0" w:type="dxa"/>
              <w:right w:w="0" w:type="dxa"/>
            </w:tcMar>
            <w:vAlign w:val="center"/>
          </w:tcPr>
          <w:p w14:paraId="176AF179">
            <w:pPr>
              <w:pStyle w:val="296"/>
              <w:rPr>
                <w:rFonts w:hint="eastAsia"/>
                <w:color w:val="auto"/>
              </w:rPr>
            </w:pPr>
            <w:r>
              <w:rPr>
                <w:rFonts w:hint="eastAsia"/>
                <w:color w:val="auto"/>
              </w:rPr>
              <w:t>完善区域大气污染防治协作机制。国家统筹推进京</w:t>
            </w:r>
          </w:p>
          <w:p w14:paraId="7CBE5ED5">
            <w:pPr>
              <w:pStyle w:val="296"/>
              <w:rPr>
                <w:rFonts w:hint="eastAsia"/>
                <w:color w:val="auto"/>
              </w:rPr>
            </w:pPr>
            <w:r>
              <w:rPr>
                <w:rFonts w:hint="eastAsia"/>
                <w:color w:val="auto"/>
              </w:rPr>
              <w:t>津冀及周边地区大气污染联防联控工作，继续发挥</w:t>
            </w:r>
          </w:p>
          <w:p w14:paraId="2E491435">
            <w:pPr>
              <w:pStyle w:val="296"/>
              <w:rPr>
                <w:rFonts w:hint="eastAsia"/>
                <w:color w:val="auto"/>
              </w:rPr>
            </w:pPr>
            <w:r>
              <w:rPr>
                <w:rFonts w:hint="eastAsia"/>
                <w:color w:val="auto"/>
              </w:rPr>
              <w:t>长三角地区协作机制、汾渭平原协作机制作用。国</w:t>
            </w:r>
          </w:p>
          <w:p w14:paraId="4498EE6D">
            <w:pPr>
              <w:pStyle w:val="296"/>
              <w:rPr>
                <w:rFonts w:hint="eastAsia"/>
                <w:color w:val="auto"/>
              </w:rPr>
            </w:pPr>
            <w:r>
              <w:rPr>
                <w:rFonts w:hint="eastAsia"/>
                <w:color w:val="auto"/>
              </w:rPr>
              <w:t>家加强对成渝地区、长江中游城市群、东北地区、</w:t>
            </w:r>
          </w:p>
          <w:p w14:paraId="39FF95C7">
            <w:pPr>
              <w:pStyle w:val="296"/>
              <w:rPr>
                <w:rFonts w:hint="eastAsia"/>
                <w:color w:val="auto"/>
              </w:rPr>
            </w:pPr>
            <w:r>
              <w:rPr>
                <w:rFonts w:hint="eastAsia"/>
                <w:color w:val="auto"/>
              </w:rPr>
              <w:t>天山北坡城市群等区域大气污染防治协作的指导，</w:t>
            </w:r>
          </w:p>
          <w:p w14:paraId="1D21C664">
            <w:pPr>
              <w:pStyle w:val="296"/>
              <w:rPr>
                <w:rFonts w:hint="eastAsia"/>
                <w:color w:val="auto"/>
              </w:rPr>
            </w:pPr>
            <w:r>
              <w:rPr>
                <w:rFonts w:hint="eastAsia"/>
                <w:color w:val="auto"/>
              </w:rPr>
              <w:t>将粤港澳大湾区作为空气质量改善先行示范区。各</w:t>
            </w:r>
          </w:p>
          <w:p w14:paraId="33C4AEAA">
            <w:pPr>
              <w:pStyle w:val="296"/>
              <w:rPr>
                <w:rFonts w:hint="eastAsia"/>
                <w:color w:val="auto"/>
              </w:rPr>
            </w:pPr>
            <w:r>
              <w:rPr>
                <w:rFonts w:hint="eastAsia"/>
                <w:color w:val="auto"/>
              </w:rPr>
              <w:t>省级政府加强本行政区域内联防联控。鼓励省际交界地区市县积极开展联防联控，推动联合交叉执</w:t>
            </w:r>
          </w:p>
          <w:p w14:paraId="1B6D7C69">
            <w:pPr>
              <w:pStyle w:val="296"/>
              <w:rPr>
                <w:rFonts w:hint="eastAsia"/>
                <w:color w:val="auto"/>
              </w:rPr>
            </w:pPr>
            <w:r>
              <w:rPr>
                <w:rFonts w:hint="eastAsia"/>
                <w:color w:val="auto"/>
              </w:rPr>
              <w:t>法。对省界两侧20公里内的涉气重点行业新建项</w:t>
            </w:r>
          </w:p>
          <w:p w14:paraId="524A9B04">
            <w:pPr>
              <w:pStyle w:val="296"/>
              <w:rPr>
                <w:rFonts w:hint="eastAsia"/>
                <w:color w:val="auto"/>
              </w:rPr>
            </w:pPr>
            <w:r>
              <w:rPr>
                <w:rFonts w:hint="eastAsia"/>
                <w:color w:val="auto"/>
              </w:rPr>
              <w:t>目，以及对下风向空气质量影响大的新建高架源项目，有关省份要开展环评一致性会商</w:t>
            </w:r>
          </w:p>
        </w:tc>
        <w:tc>
          <w:tcPr>
            <w:tcW w:w="2693" w:type="dxa"/>
            <w:tcMar>
              <w:left w:w="0" w:type="dxa"/>
              <w:right w:w="0" w:type="dxa"/>
            </w:tcMar>
            <w:vAlign w:val="center"/>
          </w:tcPr>
          <w:p w14:paraId="1329BE40">
            <w:pPr>
              <w:pStyle w:val="296"/>
              <w:rPr>
                <w:rFonts w:hint="eastAsia"/>
                <w:color w:val="auto"/>
              </w:rPr>
            </w:pPr>
            <w:r>
              <w:rPr>
                <w:rFonts w:hint="eastAsia"/>
                <w:color w:val="auto"/>
              </w:rPr>
              <w:t>本工程所在区域属于“乌-昌-石大气联防联控区”。工程运行排放的大气污染物主要为烃类废气和燃气发电机燃烧废气，本次环评提出烃类气体污染防治措施。</w:t>
            </w:r>
          </w:p>
        </w:tc>
        <w:tc>
          <w:tcPr>
            <w:tcW w:w="792" w:type="dxa"/>
            <w:tcMar>
              <w:left w:w="0" w:type="dxa"/>
              <w:right w:w="0" w:type="dxa"/>
            </w:tcMar>
            <w:vAlign w:val="center"/>
          </w:tcPr>
          <w:p w14:paraId="43744FE7">
            <w:pPr>
              <w:pStyle w:val="296"/>
              <w:rPr>
                <w:rFonts w:hint="eastAsia"/>
                <w:color w:val="auto"/>
                <w:lang w:bidi="ar"/>
              </w:rPr>
            </w:pPr>
            <w:r>
              <w:rPr>
                <w:rFonts w:hint="eastAsia"/>
                <w:color w:val="auto"/>
                <w:lang w:bidi="ar"/>
              </w:rPr>
              <w:t>符合</w:t>
            </w:r>
          </w:p>
        </w:tc>
      </w:tr>
    </w:tbl>
    <w:p w14:paraId="4B80B41D">
      <w:pPr>
        <w:pStyle w:val="86"/>
        <w:ind w:firstLine="480"/>
        <w:rPr>
          <w:rFonts w:hint="eastAsia"/>
          <w:color w:val="auto"/>
        </w:rPr>
      </w:pPr>
      <w:r>
        <w:rPr>
          <w:rFonts w:hint="eastAsia"/>
          <w:color w:val="auto"/>
        </w:rPr>
        <w:t>（8）</w:t>
      </w:r>
      <w:r>
        <w:rPr>
          <w:color w:val="auto"/>
        </w:rPr>
        <w:t>与《新疆维吾尔自治区2025年空气质量持续改善行动实施方案》符合性分析</w:t>
      </w:r>
    </w:p>
    <w:p w14:paraId="238AAD01">
      <w:pPr>
        <w:pStyle w:val="86"/>
        <w:ind w:firstLine="480"/>
        <w:rPr>
          <w:rFonts w:hint="eastAsia"/>
          <w:color w:val="auto"/>
        </w:rPr>
      </w:pPr>
      <w:r>
        <w:rPr>
          <w:color w:val="auto"/>
        </w:rPr>
        <w:t>新疆维吾尔自治区2025年空气质量持续改善行动实施方案</w:t>
      </w:r>
      <w:r>
        <w:rPr>
          <w:rFonts w:hint="eastAsia"/>
          <w:color w:val="auto"/>
        </w:rPr>
        <w:t>：（一）坚决遏制高耗能、高排放、低水平项目盲目上马。（四）大力发展新能源和清洁能源。（五）严格合理控制煤炭消费总量。（六）持续开展燃煤锅炉综合整治。</w:t>
      </w:r>
    </w:p>
    <w:p w14:paraId="1A1BCB7E">
      <w:pPr>
        <w:pStyle w:val="86"/>
        <w:ind w:firstLine="480"/>
        <w:rPr>
          <w:rFonts w:hint="eastAsia"/>
          <w:color w:val="auto"/>
        </w:rPr>
      </w:pPr>
      <w:r>
        <w:rPr>
          <w:color w:val="auto"/>
        </w:rPr>
        <w:t>本项目属于</w:t>
      </w:r>
      <w:r>
        <w:rPr>
          <w:rFonts w:hint="eastAsia"/>
          <w:color w:val="auto"/>
        </w:rPr>
        <w:t>石油</w:t>
      </w:r>
      <w:r>
        <w:rPr>
          <w:color w:val="auto"/>
        </w:rPr>
        <w:t>开采项目，</w:t>
      </w:r>
      <w:r>
        <w:rPr>
          <w:rFonts w:hint="eastAsia"/>
          <w:color w:val="auto"/>
        </w:rPr>
        <w:t>不属于高耗能、高排放、低水平项目，</w:t>
      </w:r>
      <w:r>
        <w:rPr>
          <w:rFonts w:hint="eastAsia"/>
          <w:color w:val="auto"/>
        </w:rPr>
        <w:t>井口采用电加热和燃气发电，</w:t>
      </w:r>
      <w:r>
        <w:rPr>
          <w:rFonts w:hint="eastAsia"/>
          <w:color w:val="auto"/>
        </w:rPr>
        <w:t>不涉及燃煤。项目</w:t>
      </w:r>
      <w:r>
        <w:rPr>
          <w:color w:val="auto"/>
        </w:rPr>
        <w:t>建设对于满足油气田开发、保障下游天然气供气能力需求具有十分重要的意义，符合《新疆维吾尔自治区2025年空气质量持续改善行动实施方案》的要求。</w:t>
      </w:r>
    </w:p>
    <w:p w14:paraId="375A693B">
      <w:pPr>
        <w:pStyle w:val="86"/>
        <w:ind w:firstLine="480"/>
        <w:rPr>
          <w:rFonts w:hint="eastAsia"/>
          <w:color w:val="auto"/>
        </w:rPr>
      </w:pPr>
      <w:r>
        <w:rPr>
          <w:rFonts w:hint="eastAsia"/>
          <w:color w:val="auto"/>
        </w:rPr>
        <w:t>（9）</w:t>
      </w:r>
      <w:r>
        <w:rPr>
          <w:color w:val="auto"/>
        </w:rPr>
        <w:t>与《关于加快解决当前挥发性有机物治理突出问题的通知》符合性分析</w:t>
      </w:r>
    </w:p>
    <w:p w14:paraId="2283C8B6">
      <w:pPr>
        <w:pStyle w:val="86"/>
        <w:ind w:firstLine="480"/>
        <w:rPr>
          <w:rFonts w:hint="eastAsia"/>
          <w:color w:val="auto"/>
        </w:rPr>
      </w:pPr>
      <w:r>
        <w:rPr>
          <w:color w:val="auto"/>
        </w:rPr>
        <w:t>本工程与《关于加快解决当前挥发性有机物治理突出问题的通知》符合性分析</w:t>
      </w:r>
      <w:r>
        <w:rPr>
          <w:rFonts w:hint="eastAsia"/>
          <w:color w:val="auto"/>
        </w:rPr>
        <w:t>，</w:t>
      </w:r>
      <w:r>
        <w:rPr>
          <w:color w:val="auto"/>
        </w:rPr>
        <w:t>见表</w:t>
      </w:r>
      <w:r>
        <w:rPr>
          <w:rFonts w:hint="eastAsia"/>
          <w:color w:val="auto"/>
        </w:rPr>
        <w:t>2.9-11</w:t>
      </w:r>
      <w:r>
        <w:rPr>
          <w:color w:val="auto"/>
        </w:rPr>
        <w:t>。</w:t>
      </w:r>
    </w:p>
    <w:p w14:paraId="34B7C483">
      <w:pPr>
        <w:pStyle w:val="86"/>
        <w:ind w:firstLine="480"/>
        <w:rPr>
          <w:rFonts w:hint="eastAsia"/>
          <w:color w:val="auto"/>
        </w:rPr>
      </w:pPr>
    </w:p>
    <w:p w14:paraId="08FA99A1">
      <w:pPr>
        <w:pStyle w:val="86"/>
        <w:ind w:firstLine="480"/>
        <w:rPr>
          <w:rFonts w:hint="eastAsia"/>
          <w:color w:val="auto"/>
        </w:rPr>
      </w:pPr>
    </w:p>
    <w:p w14:paraId="10E46645">
      <w:pPr>
        <w:pStyle w:val="15"/>
        <w:rPr>
          <w:rFonts w:hint="eastAsia"/>
          <w:color w:val="auto"/>
        </w:rPr>
      </w:pPr>
      <w:r>
        <w:rPr>
          <w:color w:val="auto"/>
        </w:rPr>
        <w:t>表</w:t>
      </w:r>
      <w:r>
        <w:rPr>
          <w:rFonts w:hint="eastAsia"/>
          <w:color w:val="auto"/>
        </w:rPr>
        <w:t xml:space="preserve">2.9-11  </w:t>
      </w:r>
      <w:r>
        <w:rPr>
          <w:color w:val="auto"/>
        </w:rPr>
        <w:t>与《关于加快解决当前挥发性有机物治理突出问题的通知》符合性</w:t>
      </w:r>
    </w:p>
    <w:tbl>
      <w:tblPr>
        <w:tblStyle w:val="450"/>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810"/>
        <w:gridCol w:w="2283"/>
        <w:gridCol w:w="851"/>
      </w:tblGrid>
      <w:tr w14:paraId="24CB18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3" w:hRule="atLeast"/>
          <w:jc w:val="center"/>
        </w:trPr>
        <w:tc>
          <w:tcPr>
            <w:tcW w:w="3248" w:type="pct"/>
            <w:vAlign w:val="center"/>
          </w:tcPr>
          <w:p w14:paraId="2534220F">
            <w:pPr>
              <w:pStyle w:val="296"/>
              <w:adjustRightInd w:val="0"/>
              <w:snapToGrid w:val="0"/>
              <w:rPr>
                <w:rFonts w:hint="eastAsia"/>
                <w:color w:val="auto"/>
              </w:rPr>
            </w:pPr>
            <w:r>
              <w:rPr>
                <w:color w:val="auto"/>
              </w:rPr>
              <w:t>要求</w:t>
            </w:r>
          </w:p>
        </w:tc>
        <w:tc>
          <w:tcPr>
            <w:tcW w:w="1276" w:type="pct"/>
            <w:vAlign w:val="center"/>
          </w:tcPr>
          <w:p w14:paraId="5C0B6DBE">
            <w:pPr>
              <w:pStyle w:val="296"/>
              <w:adjustRightInd w:val="0"/>
              <w:snapToGrid w:val="0"/>
              <w:rPr>
                <w:rFonts w:hint="eastAsia"/>
                <w:color w:val="auto"/>
              </w:rPr>
            </w:pPr>
            <w:r>
              <w:rPr>
                <w:color w:val="auto"/>
              </w:rPr>
              <w:t>项目情况</w:t>
            </w:r>
          </w:p>
        </w:tc>
        <w:tc>
          <w:tcPr>
            <w:tcW w:w="476" w:type="pct"/>
            <w:vAlign w:val="center"/>
          </w:tcPr>
          <w:p w14:paraId="3D7DF920">
            <w:pPr>
              <w:pStyle w:val="296"/>
              <w:adjustRightInd w:val="0"/>
              <w:snapToGrid w:val="0"/>
              <w:rPr>
                <w:rFonts w:hint="eastAsia"/>
                <w:color w:val="auto"/>
              </w:rPr>
            </w:pPr>
            <w:r>
              <w:rPr>
                <w:color w:val="auto"/>
              </w:rPr>
              <w:t>符合性</w:t>
            </w:r>
          </w:p>
        </w:tc>
      </w:tr>
      <w:tr w14:paraId="400FDF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3" w:hRule="atLeast"/>
          <w:jc w:val="center"/>
        </w:trPr>
        <w:tc>
          <w:tcPr>
            <w:tcW w:w="3248" w:type="pct"/>
            <w:vAlign w:val="center"/>
          </w:tcPr>
          <w:p w14:paraId="1E671D0B">
            <w:pPr>
              <w:pStyle w:val="296"/>
              <w:adjustRightInd w:val="0"/>
              <w:snapToGrid w:val="0"/>
              <w:rPr>
                <w:rFonts w:hint="eastAsia"/>
                <w:color w:val="auto"/>
              </w:rPr>
            </w:pPr>
            <w:r>
              <w:rPr>
                <w:rFonts w:hint="eastAsia"/>
                <w:color w:val="auto"/>
              </w:rPr>
              <w:t>挥发性有机液体储罐：企业应按照标准要求，根据储存挥发性有机液体的真实蒸气压、储罐容积等进行储罐和浮盘边缘密封方式选型。重点区域存储汽油、航空煤油、石脑油以及苯、甲苯、二甲苯的内浮顶罐罐顶气未收集治理的，宜配备新型高效浮盘与配件，选用“全接液高效浮盘+二次密封”结构。鼓励使用低泄漏的储罐呼吸阀、紧急泄压阀；固定顶罐或建设有机废气治理设施的内浮顶罐宜配备压力监测设备，罐内压力低于50%设计开启压力时，呼吸阀、紧急泄压阀泄漏检测值不宜超过2000umol/mo1。充分考虑罐体变形或浮盘损坏、储罐附件破损等异常排放情况，鼓励对废气收集引气装置、处理装置设置冗余负荷；储罐排气回收处理后无法稳定达标排放的，应进一步优化治理设施或实施深度治理；鼓励企业对内浮顶罐排气进行收集处理。储罐罐体应保持完好，不应有孔洞、缝隙（除内浮顶罐边缘通气孔外）；除采样、计量、例行检查、维护和其他正常活动外，储罐附件的开口（孔）应保持密闭。</w:t>
            </w:r>
          </w:p>
        </w:tc>
        <w:tc>
          <w:tcPr>
            <w:tcW w:w="1276" w:type="pct"/>
            <w:vAlign w:val="center"/>
          </w:tcPr>
          <w:p w14:paraId="74D1F2CE">
            <w:pPr>
              <w:pStyle w:val="296"/>
              <w:adjustRightInd w:val="0"/>
              <w:snapToGrid w:val="0"/>
              <w:rPr>
                <w:rFonts w:hint="eastAsia"/>
                <w:color w:val="auto"/>
              </w:rPr>
            </w:pPr>
            <w:r>
              <w:rPr>
                <w:rFonts w:hint="eastAsia"/>
                <w:color w:val="auto"/>
              </w:rPr>
              <w:t xml:space="preserve">储油罐采用固定的罐，储罐罐体应保持完好，不应有孔洞、缝隙，除采样、计量、例行检查、维修外，储罐附件的开口（孔）保持密闭。 </w:t>
            </w:r>
          </w:p>
        </w:tc>
        <w:tc>
          <w:tcPr>
            <w:tcW w:w="476" w:type="pct"/>
            <w:vAlign w:val="center"/>
          </w:tcPr>
          <w:p w14:paraId="355CB170">
            <w:pPr>
              <w:pStyle w:val="296"/>
              <w:adjustRightInd w:val="0"/>
              <w:snapToGrid w:val="0"/>
              <w:rPr>
                <w:rFonts w:hint="eastAsia"/>
                <w:color w:val="auto"/>
              </w:rPr>
            </w:pPr>
            <w:r>
              <w:rPr>
                <w:color w:val="auto"/>
              </w:rPr>
              <w:t>符合</w:t>
            </w:r>
          </w:p>
        </w:tc>
      </w:tr>
      <w:tr w14:paraId="00DD17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978" w:hRule="atLeast"/>
          <w:jc w:val="center"/>
        </w:trPr>
        <w:tc>
          <w:tcPr>
            <w:tcW w:w="3248" w:type="pct"/>
            <w:vAlign w:val="center"/>
          </w:tcPr>
          <w:p w14:paraId="3BEC7C2B">
            <w:pPr>
              <w:pStyle w:val="296"/>
              <w:adjustRightInd w:val="0"/>
              <w:snapToGrid w:val="0"/>
              <w:rPr>
                <w:rFonts w:hint="eastAsia"/>
                <w:color w:val="auto"/>
              </w:rPr>
            </w:pPr>
            <w:r>
              <w:rPr>
                <w:rFonts w:hint="eastAsia"/>
                <w:color w:val="auto"/>
              </w:rPr>
              <w:t>挥发性有机液体装卸：汽车罐车按照标准采用适宜的装载方式，推广采用密封式快速接头等；铁路罐车推广使用锁紧式接头等。废气处理设施吸附剂应及时再生或更换，冷凝温度以及系统压力、气体流量装载量等相关参数应满足设计要求；装载作业排气经过回收处理后不能稳定达标的，应进一步优化治理设施或实施深度治理。万吨级以上具备发油功能的码头加快建设油气回收设施，8000总吨及以上油船加快建设密闭油气收集系统和惰性气体系统。开展铁路罐车扫仓过程VOCs收集治理，鼓励开展铁路罐车、汽车罐车及船舶油舱的清洗、压舱过程废气收集治理。</w:t>
            </w:r>
          </w:p>
        </w:tc>
        <w:tc>
          <w:tcPr>
            <w:tcW w:w="1276" w:type="pct"/>
            <w:vAlign w:val="center"/>
          </w:tcPr>
          <w:p w14:paraId="7A6448EC">
            <w:pPr>
              <w:pStyle w:val="296"/>
              <w:adjustRightInd w:val="0"/>
              <w:snapToGrid w:val="0"/>
              <w:rPr>
                <w:rFonts w:hint="eastAsia"/>
                <w:color w:val="auto"/>
              </w:rPr>
            </w:pPr>
            <w:r>
              <w:rPr>
                <w:rFonts w:hint="eastAsia"/>
                <w:color w:val="auto"/>
              </w:rPr>
              <w:t>装车采用顶部浸没式装载方式，建议采用密封式快速接头；装车采用气相平衡系统。</w:t>
            </w:r>
          </w:p>
        </w:tc>
        <w:tc>
          <w:tcPr>
            <w:tcW w:w="476" w:type="pct"/>
            <w:vAlign w:val="center"/>
          </w:tcPr>
          <w:p w14:paraId="744E74A0">
            <w:pPr>
              <w:pStyle w:val="296"/>
              <w:adjustRightInd w:val="0"/>
              <w:snapToGrid w:val="0"/>
              <w:rPr>
                <w:rFonts w:hint="eastAsia"/>
                <w:color w:val="auto"/>
              </w:rPr>
            </w:pPr>
            <w:r>
              <w:rPr>
                <w:color w:val="auto"/>
              </w:rPr>
              <w:t>符合</w:t>
            </w:r>
          </w:p>
        </w:tc>
      </w:tr>
      <w:tr w14:paraId="5E47F1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830" w:hRule="atLeast"/>
          <w:jc w:val="center"/>
        </w:trPr>
        <w:tc>
          <w:tcPr>
            <w:tcW w:w="3248" w:type="pct"/>
            <w:vAlign w:val="center"/>
          </w:tcPr>
          <w:p w14:paraId="3CE459A5">
            <w:pPr>
              <w:pStyle w:val="296"/>
              <w:adjustRightInd w:val="0"/>
              <w:snapToGrid w:val="0"/>
              <w:rPr>
                <w:rFonts w:hint="eastAsia"/>
                <w:color w:val="auto"/>
              </w:rPr>
            </w:pPr>
            <w:r>
              <w:rPr>
                <w:rFonts w:hint="eastAsia"/>
                <w:color w:val="auto"/>
              </w:rPr>
              <w:t>非正常工况：石化、化工企业提前向当地生态环境部门报告检维修计划，制定非正常工况V0Cs管控规程，严格按照规程进行操作。企业开停工、检维修期间，退料、清洗、吹扫等作业产生的V0Cs废气应及时收集处理，确保满足标准要求。停工退料时应密闭吹扫，最大化回收物料；产生的不凝气应分类进入管网，通过加热炉、火炬系统、治理设施或带有恶臭和V0Cs废气治理装置的污油罐、污水处理设施、酸性水罐等进行收集处置。在难以建立蒸罐、清洗、吹扫产物密闭排放管网的情况下，可采用移动式设备处理检维修过程排放的废气。蒸罐、清洗、吹扫产物全部处置完毕后，方可停运配套治理设施、气柜、火炬等。加强放空气体V0Cs浓度监测，一般低于200umo1/mo1或0.2%爆炸下限浓度后再进行放空作业，减少设备拆解过程中V0Cs排放。在停工检维修阶段，环保装置、气柜、火炬等应在生产装置开车前完成检维修；在开机进料时，应将置换出的废气排入火炬系统或采用其他有效方法进行处理；开工初始阶段产生的不合格产品应妥善处理，不得直排。企业检维修期间，当地生态环境部门可利用走航、网格化监测等方式加强监管，必要时可实施驻厂监管。石化、化工企业应加强可燃性气体的回收，火炬燃烧装置一般只用于应急处置，不作为日常大气污染处理设施；企业应按标准要求在火炬系统安装温度监控、废气流量计、助燃气体流量计等，鼓励安装热值检测仪；火炬排放废气热值达不到要求时应及时补充助燃气体。</w:t>
            </w:r>
          </w:p>
        </w:tc>
        <w:tc>
          <w:tcPr>
            <w:tcW w:w="1276" w:type="pct"/>
            <w:vAlign w:val="center"/>
          </w:tcPr>
          <w:p w14:paraId="1F4FDA53">
            <w:pPr>
              <w:pStyle w:val="296"/>
              <w:adjustRightInd w:val="0"/>
              <w:snapToGrid w:val="0"/>
              <w:rPr>
                <w:rFonts w:hint="eastAsia"/>
                <w:color w:val="auto"/>
              </w:rPr>
            </w:pPr>
            <w:r>
              <w:rPr>
                <w:rFonts w:hint="eastAsia"/>
                <w:color w:val="auto"/>
              </w:rPr>
              <w:t>非正常工况下，油气通过放空火炬燃烧放空，开停工、检维修期间，天然气经放空火炬燃烧放空，在停工检维修期阶段，火炬应在生产装置开车前完成键位许。</w:t>
            </w:r>
          </w:p>
        </w:tc>
        <w:tc>
          <w:tcPr>
            <w:tcW w:w="476" w:type="pct"/>
            <w:vAlign w:val="center"/>
          </w:tcPr>
          <w:p w14:paraId="557756C0">
            <w:pPr>
              <w:pStyle w:val="296"/>
              <w:adjustRightInd w:val="0"/>
              <w:snapToGrid w:val="0"/>
              <w:rPr>
                <w:rFonts w:hint="eastAsia"/>
                <w:color w:val="auto"/>
              </w:rPr>
            </w:pPr>
            <w:r>
              <w:rPr>
                <w:color w:val="auto"/>
              </w:rPr>
              <w:t>符合</w:t>
            </w:r>
          </w:p>
        </w:tc>
      </w:tr>
    </w:tbl>
    <w:p w14:paraId="08FDD9A6">
      <w:pPr>
        <w:pStyle w:val="86"/>
        <w:ind w:firstLine="480"/>
        <w:rPr>
          <w:rFonts w:hint="eastAsia"/>
          <w:color w:val="auto"/>
        </w:rPr>
      </w:pPr>
      <w:r>
        <w:rPr>
          <w:rFonts w:hint="eastAsia"/>
          <w:color w:val="auto"/>
        </w:rPr>
        <w:t>（11）与《关于进一步加强乌鲁木齐、昌吉、石河子、五家渠区域大气环境同防同治的意见》相关要求的符合性分析</w:t>
      </w:r>
    </w:p>
    <w:p w14:paraId="0D9362CA">
      <w:pPr>
        <w:pStyle w:val="86"/>
        <w:ind w:firstLine="480"/>
        <w:rPr>
          <w:rFonts w:hint="eastAsia"/>
          <w:color w:val="auto"/>
        </w:rPr>
      </w:pPr>
      <w:r>
        <w:rPr>
          <w:rFonts w:hint="eastAsia"/>
          <w:color w:val="auto"/>
        </w:rPr>
        <w:t>项目的建设符合《关于进一步加强乌鲁木齐、昌吉、石河子、五家渠区域大气环境同防同治的意见》（新政办发〔2023〕29号）中的相关要求，详见表2.9-12。</w:t>
      </w:r>
    </w:p>
    <w:p w14:paraId="6A419CAC">
      <w:pPr>
        <w:pStyle w:val="15"/>
        <w:rPr>
          <w:rFonts w:hint="eastAsia"/>
          <w:color w:val="auto"/>
        </w:rPr>
      </w:pPr>
      <w:r>
        <w:rPr>
          <w:rFonts w:hint="eastAsia"/>
          <w:color w:val="auto"/>
        </w:rPr>
        <w:t>表2.9-12  本工程与《关于进一步加强乌鲁木齐、昌吉、石河子、五家渠区域大气环境同防同治的意见》的相符性分析</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4111"/>
        <w:gridCol w:w="2977"/>
        <w:gridCol w:w="1075"/>
      </w:tblGrid>
      <w:tr w14:paraId="1DC997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67" w:type="dxa"/>
            <w:tcMar>
              <w:left w:w="0" w:type="dxa"/>
              <w:right w:w="0" w:type="dxa"/>
            </w:tcMar>
            <w:vAlign w:val="center"/>
          </w:tcPr>
          <w:p w14:paraId="722462A6">
            <w:pPr>
              <w:pStyle w:val="296"/>
              <w:rPr>
                <w:rFonts w:hint="eastAsia"/>
                <w:color w:val="auto"/>
              </w:rPr>
            </w:pPr>
            <w:r>
              <w:rPr>
                <w:rFonts w:hint="eastAsia"/>
                <w:color w:val="auto"/>
                <w:lang w:bidi="ar"/>
              </w:rPr>
              <w:t>序号</w:t>
            </w:r>
          </w:p>
        </w:tc>
        <w:tc>
          <w:tcPr>
            <w:tcW w:w="4111" w:type="dxa"/>
            <w:tcMar>
              <w:left w:w="0" w:type="dxa"/>
              <w:right w:w="0" w:type="dxa"/>
            </w:tcMar>
            <w:vAlign w:val="center"/>
          </w:tcPr>
          <w:p w14:paraId="78E97748">
            <w:pPr>
              <w:pStyle w:val="296"/>
              <w:rPr>
                <w:rFonts w:hint="eastAsia"/>
                <w:color w:val="auto"/>
              </w:rPr>
            </w:pPr>
            <w:r>
              <w:rPr>
                <w:rFonts w:hint="eastAsia"/>
                <w:color w:val="auto"/>
                <w:lang w:bidi="ar"/>
              </w:rPr>
              <w:t>条例规定</w:t>
            </w:r>
          </w:p>
        </w:tc>
        <w:tc>
          <w:tcPr>
            <w:tcW w:w="2977" w:type="dxa"/>
            <w:tcMar>
              <w:left w:w="0" w:type="dxa"/>
              <w:right w:w="0" w:type="dxa"/>
            </w:tcMar>
            <w:vAlign w:val="center"/>
          </w:tcPr>
          <w:p w14:paraId="2F920476">
            <w:pPr>
              <w:pStyle w:val="296"/>
              <w:rPr>
                <w:rFonts w:hint="eastAsia"/>
                <w:color w:val="auto"/>
              </w:rPr>
            </w:pPr>
            <w:r>
              <w:rPr>
                <w:rFonts w:hint="eastAsia"/>
                <w:color w:val="auto"/>
                <w:lang w:bidi="ar"/>
              </w:rPr>
              <w:t>拟采取的相关措施</w:t>
            </w:r>
          </w:p>
        </w:tc>
        <w:tc>
          <w:tcPr>
            <w:tcW w:w="1075" w:type="dxa"/>
            <w:tcMar>
              <w:left w:w="0" w:type="dxa"/>
              <w:right w:w="0" w:type="dxa"/>
            </w:tcMar>
            <w:vAlign w:val="center"/>
          </w:tcPr>
          <w:p w14:paraId="0FC1EDB9">
            <w:pPr>
              <w:pStyle w:val="296"/>
              <w:rPr>
                <w:rFonts w:hint="eastAsia"/>
                <w:color w:val="auto"/>
              </w:rPr>
            </w:pPr>
            <w:r>
              <w:rPr>
                <w:rFonts w:hint="eastAsia"/>
                <w:color w:val="auto"/>
                <w:lang w:bidi="ar"/>
              </w:rPr>
              <w:t>符合性分析</w:t>
            </w:r>
          </w:p>
        </w:tc>
      </w:tr>
      <w:tr w14:paraId="30EAA7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59BDDDDA">
            <w:pPr>
              <w:pStyle w:val="296"/>
              <w:rPr>
                <w:rFonts w:hint="eastAsia"/>
                <w:color w:val="auto"/>
                <w:lang w:bidi="ar"/>
              </w:rPr>
            </w:pPr>
            <w:r>
              <w:rPr>
                <w:color w:val="auto"/>
                <w:lang w:bidi="ar"/>
              </w:rPr>
              <w:t>1</w:t>
            </w:r>
          </w:p>
        </w:tc>
        <w:tc>
          <w:tcPr>
            <w:tcW w:w="4111" w:type="dxa"/>
            <w:tcMar>
              <w:left w:w="0" w:type="dxa"/>
              <w:right w:w="0" w:type="dxa"/>
            </w:tcMar>
            <w:vAlign w:val="center"/>
          </w:tcPr>
          <w:p w14:paraId="63F4EA95">
            <w:pPr>
              <w:pStyle w:val="296"/>
              <w:rPr>
                <w:rFonts w:hint="eastAsia"/>
                <w:color w:val="auto"/>
              </w:rPr>
            </w:pPr>
            <w:r>
              <w:rPr>
                <w:rFonts w:hint="eastAsia"/>
                <w:color w:val="auto"/>
              </w:rPr>
              <w:t>坚决遏制高耗能、高排放、低水平项目盲目发展。</w:t>
            </w:r>
          </w:p>
        </w:tc>
        <w:tc>
          <w:tcPr>
            <w:tcW w:w="2977" w:type="dxa"/>
            <w:tcMar>
              <w:left w:w="0" w:type="dxa"/>
              <w:right w:w="0" w:type="dxa"/>
            </w:tcMar>
            <w:vAlign w:val="center"/>
          </w:tcPr>
          <w:p w14:paraId="45D82FAB">
            <w:pPr>
              <w:pStyle w:val="296"/>
              <w:rPr>
                <w:rFonts w:hint="eastAsia"/>
                <w:color w:val="auto"/>
              </w:rPr>
            </w:pPr>
            <w:r>
              <w:rPr>
                <w:rFonts w:hint="eastAsia"/>
                <w:color w:val="auto"/>
              </w:rPr>
              <w:t>项目的建设符合区域生态环境准入清单要求，不属于过剩和落后产能项目。</w:t>
            </w:r>
          </w:p>
        </w:tc>
        <w:tc>
          <w:tcPr>
            <w:tcW w:w="1075" w:type="dxa"/>
            <w:tcMar>
              <w:left w:w="0" w:type="dxa"/>
              <w:right w:w="0" w:type="dxa"/>
            </w:tcMar>
            <w:vAlign w:val="center"/>
          </w:tcPr>
          <w:p w14:paraId="11A98F49">
            <w:pPr>
              <w:pStyle w:val="296"/>
              <w:rPr>
                <w:rFonts w:hint="eastAsia"/>
                <w:color w:val="auto"/>
                <w:lang w:bidi="ar"/>
              </w:rPr>
            </w:pPr>
            <w:r>
              <w:rPr>
                <w:rFonts w:hint="eastAsia"/>
                <w:color w:val="auto"/>
                <w:lang w:bidi="ar"/>
              </w:rPr>
              <w:t>符合</w:t>
            </w:r>
          </w:p>
        </w:tc>
      </w:tr>
      <w:tr w14:paraId="533AF1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3516AAA2">
            <w:pPr>
              <w:pStyle w:val="296"/>
              <w:rPr>
                <w:rFonts w:hint="eastAsia"/>
                <w:color w:val="auto"/>
                <w:lang w:bidi="ar"/>
              </w:rPr>
            </w:pPr>
            <w:r>
              <w:rPr>
                <w:color w:val="auto"/>
                <w:lang w:bidi="ar"/>
              </w:rPr>
              <w:t>2</w:t>
            </w:r>
          </w:p>
        </w:tc>
        <w:tc>
          <w:tcPr>
            <w:tcW w:w="4111" w:type="dxa"/>
            <w:tcMar>
              <w:left w:w="0" w:type="dxa"/>
              <w:right w:w="0" w:type="dxa"/>
            </w:tcMar>
            <w:vAlign w:val="center"/>
          </w:tcPr>
          <w:p w14:paraId="419CE2B1">
            <w:pPr>
              <w:pStyle w:val="296"/>
              <w:rPr>
                <w:rFonts w:hint="eastAsia"/>
                <w:color w:val="auto"/>
              </w:rPr>
            </w:pPr>
            <w:r>
              <w:rPr>
                <w:rFonts w:hint="eastAsia"/>
                <w:color w:val="auto"/>
              </w:rPr>
              <w:t>促进清洁生产。加强对重点企业的清洁生产审核和评估验收。对重点企业试行强制性清洁生产审核，按照行业清洁生产级标准实施技术改造。将清洁生产实施情况纳入企业环保绩效考核和企业环境行为评价范围。</w:t>
            </w:r>
          </w:p>
        </w:tc>
        <w:tc>
          <w:tcPr>
            <w:tcW w:w="2977" w:type="dxa"/>
            <w:tcMar>
              <w:left w:w="0" w:type="dxa"/>
              <w:right w:w="0" w:type="dxa"/>
            </w:tcMar>
            <w:vAlign w:val="center"/>
          </w:tcPr>
          <w:p w14:paraId="3AB171F9">
            <w:pPr>
              <w:pStyle w:val="296"/>
              <w:rPr>
                <w:rFonts w:hint="eastAsia"/>
                <w:color w:val="auto"/>
              </w:rPr>
            </w:pPr>
            <w:r>
              <w:rPr>
                <w:rFonts w:hint="eastAsia"/>
                <w:color w:val="auto"/>
              </w:rPr>
              <w:t>本项目从井下作业及气藏开采均采取了清洁生产措施，符合相关标准要求，属于清洁生产先进企业。</w:t>
            </w:r>
          </w:p>
        </w:tc>
        <w:tc>
          <w:tcPr>
            <w:tcW w:w="1075" w:type="dxa"/>
            <w:tcMar>
              <w:left w:w="0" w:type="dxa"/>
              <w:right w:w="0" w:type="dxa"/>
            </w:tcMar>
            <w:vAlign w:val="center"/>
          </w:tcPr>
          <w:p w14:paraId="446E36D9">
            <w:pPr>
              <w:pStyle w:val="296"/>
              <w:rPr>
                <w:rFonts w:hint="eastAsia"/>
                <w:color w:val="auto"/>
                <w:lang w:bidi="ar"/>
              </w:rPr>
            </w:pPr>
            <w:r>
              <w:rPr>
                <w:rFonts w:hint="eastAsia"/>
                <w:color w:val="auto"/>
                <w:lang w:bidi="ar"/>
              </w:rPr>
              <w:t>符合</w:t>
            </w:r>
          </w:p>
        </w:tc>
      </w:tr>
      <w:tr w14:paraId="4F83AD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173E9834">
            <w:pPr>
              <w:pStyle w:val="296"/>
              <w:rPr>
                <w:rFonts w:hint="eastAsia"/>
                <w:color w:val="auto"/>
                <w:lang w:bidi="ar"/>
              </w:rPr>
            </w:pPr>
            <w:r>
              <w:rPr>
                <w:rFonts w:hint="eastAsia"/>
                <w:color w:val="auto"/>
                <w:lang w:bidi="ar"/>
              </w:rPr>
              <w:t>3</w:t>
            </w:r>
          </w:p>
        </w:tc>
        <w:tc>
          <w:tcPr>
            <w:tcW w:w="4111" w:type="dxa"/>
            <w:tcMar>
              <w:left w:w="0" w:type="dxa"/>
              <w:right w:w="0" w:type="dxa"/>
            </w:tcMar>
            <w:vAlign w:val="center"/>
          </w:tcPr>
          <w:p w14:paraId="5761CEDE">
            <w:pPr>
              <w:pStyle w:val="296"/>
              <w:rPr>
                <w:rFonts w:hint="eastAsia"/>
                <w:color w:val="auto"/>
              </w:rPr>
            </w:pPr>
            <w:r>
              <w:rPr>
                <w:rFonts w:hint="eastAsia"/>
                <w:color w:val="auto"/>
              </w:rPr>
              <w:t>加快淘汰重点行业不符合环保要求的落后产能。</w:t>
            </w:r>
          </w:p>
        </w:tc>
        <w:tc>
          <w:tcPr>
            <w:tcW w:w="2977" w:type="dxa"/>
            <w:tcMar>
              <w:left w:w="0" w:type="dxa"/>
              <w:right w:w="0" w:type="dxa"/>
            </w:tcMar>
            <w:vAlign w:val="center"/>
          </w:tcPr>
          <w:p w14:paraId="5E49FB87">
            <w:pPr>
              <w:pStyle w:val="296"/>
              <w:rPr>
                <w:rFonts w:hint="eastAsia"/>
                <w:color w:val="auto"/>
              </w:rPr>
            </w:pPr>
            <w:r>
              <w:rPr>
                <w:rFonts w:hint="eastAsia"/>
                <w:color w:val="auto"/>
              </w:rPr>
              <w:t>项目的建设符合区域生态环境准入清单要求，不属于过剩和落后产能项目。</w:t>
            </w:r>
          </w:p>
        </w:tc>
        <w:tc>
          <w:tcPr>
            <w:tcW w:w="1075" w:type="dxa"/>
            <w:tcMar>
              <w:left w:w="0" w:type="dxa"/>
              <w:right w:w="0" w:type="dxa"/>
            </w:tcMar>
            <w:vAlign w:val="center"/>
          </w:tcPr>
          <w:p w14:paraId="574364ED">
            <w:pPr>
              <w:pStyle w:val="296"/>
              <w:rPr>
                <w:rFonts w:hint="eastAsia"/>
                <w:color w:val="auto"/>
                <w:lang w:bidi="ar"/>
              </w:rPr>
            </w:pPr>
            <w:r>
              <w:rPr>
                <w:rFonts w:hint="eastAsia"/>
                <w:color w:val="auto"/>
                <w:lang w:bidi="ar"/>
              </w:rPr>
              <w:t>符合</w:t>
            </w:r>
          </w:p>
        </w:tc>
      </w:tr>
      <w:tr w14:paraId="3BB54D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09AD1D1B">
            <w:pPr>
              <w:pStyle w:val="296"/>
              <w:rPr>
                <w:rFonts w:hint="eastAsia"/>
                <w:color w:val="auto"/>
                <w:lang w:bidi="ar"/>
              </w:rPr>
            </w:pPr>
            <w:r>
              <w:rPr>
                <w:rFonts w:hint="eastAsia"/>
                <w:color w:val="auto"/>
                <w:lang w:bidi="ar"/>
              </w:rPr>
              <w:t>4</w:t>
            </w:r>
          </w:p>
        </w:tc>
        <w:tc>
          <w:tcPr>
            <w:tcW w:w="4111" w:type="dxa"/>
            <w:tcMar>
              <w:left w:w="0" w:type="dxa"/>
              <w:right w:w="0" w:type="dxa"/>
            </w:tcMar>
            <w:vAlign w:val="center"/>
          </w:tcPr>
          <w:p w14:paraId="5142486F">
            <w:pPr>
              <w:pStyle w:val="296"/>
              <w:rPr>
                <w:rFonts w:hint="eastAsia"/>
                <w:color w:val="auto"/>
              </w:rPr>
            </w:pPr>
            <w:r>
              <w:rPr>
                <w:rFonts w:hint="eastAsia"/>
                <w:color w:val="auto"/>
              </w:rPr>
              <w:t>严格污染物排放标准。全面执行《关于“乌-昌-石”区域执行大气污染物特别排放排放标准限值的公告》。</w:t>
            </w:r>
          </w:p>
        </w:tc>
        <w:tc>
          <w:tcPr>
            <w:tcW w:w="2977" w:type="dxa"/>
            <w:tcMar>
              <w:left w:w="0" w:type="dxa"/>
              <w:right w:w="0" w:type="dxa"/>
            </w:tcMar>
            <w:vAlign w:val="center"/>
          </w:tcPr>
          <w:p w14:paraId="76E1A9EE">
            <w:pPr>
              <w:pStyle w:val="296"/>
              <w:rPr>
                <w:rFonts w:hint="eastAsia"/>
                <w:color w:val="auto"/>
              </w:rPr>
            </w:pPr>
            <w:r>
              <w:rPr>
                <w:rFonts w:hint="eastAsia"/>
                <w:color w:val="auto"/>
              </w:rPr>
              <w:t>项目废气排放均执行特别排放限值，运营期监测计划提出了厂界无组织废气的监测要求。</w:t>
            </w:r>
          </w:p>
        </w:tc>
        <w:tc>
          <w:tcPr>
            <w:tcW w:w="1075" w:type="dxa"/>
            <w:tcMar>
              <w:left w:w="0" w:type="dxa"/>
              <w:right w:w="0" w:type="dxa"/>
            </w:tcMar>
            <w:vAlign w:val="center"/>
          </w:tcPr>
          <w:p w14:paraId="4A4106F9">
            <w:pPr>
              <w:pStyle w:val="296"/>
              <w:rPr>
                <w:rFonts w:hint="eastAsia"/>
                <w:color w:val="auto"/>
                <w:lang w:bidi="ar"/>
              </w:rPr>
            </w:pPr>
            <w:r>
              <w:rPr>
                <w:rFonts w:hint="eastAsia"/>
                <w:color w:val="auto"/>
                <w:lang w:bidi="ar"/>
              </w:rPr>
              <w:t>符合</w:t>
            </w:r>
          </w:p>
        </w:tc>
      </w:tr>
      <w:tr w14:paraId="6738E0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356B3FE8">
            <w:pPr>
              <w:pStyle w:val="296"/>
              <w:rPr>
                <w:rFonts w:hint="eastAsia"/>
                <w:color w:val="auto"/>
                <w:lang w:bidi="ar"/>
              </w:rPr>
            </w:pPr>
            <w:r>
              <w:rPr>
                <w:rFonts w:hint="eastAsia"/>
                <w:color w:val="auto"/>
                <w:lang w:bidi="ar"/>
              </w:rPr>
              <w:t>5</w:t>
            </w:r>
          </w:p>
        </w:tc>
        <w:tc>
          <w:tcPr>
            <w:tcW w:w="4111" w:type="dxa"/>
            <w:tcMar>
              <w:left w:w="0" w:type="dxa"/>
              <w:right w:w="0" w:type="dxa"/>
            </w:tcMar>
            <w:vAlign w:val="center"/>
          </w:tcPr>
          <w:p w14:paraId="6E7F6C4A">
            <w:pPr>
              <w:pStyle w:val="296"/>
              <w:rPr>
                <w:rFonts w:hint="eastAsia"/>
                <w:color w:val="auto"/>
              </w:rPr>
            </w:pPr>
            <w:r>
              <w:rPr>
                <w:rFonts w:hint="eastAsia"/>
                <w:color w:val="auto"/>
              </w:rPr>
              <w:t>开展挥发性有机物和有毒有害废气防治。建立重点行业挥发性有机物重点监管企业名录，加强重点区域内挥发性有机物治理，推进征收挥发性有机物排污费。加强有毒有害废气排放企业环境监测监管，推进其工艺技术和污染治理技术改造。</w:t>
            </w:r>
          </w:p>
        </w:tc>
        <w:tc>
          <w:tcPr>
            <w:tcW w:w="2977" w:type="dxa"/>
            <w:tcMar>
              <w:left w:w="0" w:type="dxa"/>
              <w:right w:w="0" w:type="dxa"/>
            </w:tcMar>
            <w:vAlign w:val="center"/>
          </w:tcPr>
          <w:p w14:paraId="296A37E3">
            <w:pPr>
              <w:pStyle w:val="296"/>
              <w:rPr>
                <w:rFonts w:hint="eastAsia"/>
                <w:color w:val="auto"/>
              </w:rPr>
            </w:pPr>
            <w:r>
              <w:rPr>
                <w:rFonts w:hint="eastAsia"/>
                <w:color w:val="auto"/>
              </w:rPr>
              <w:t>本项目装车采用气相平衡装置，最大限度地减少了VOCs挥发及排放。</w:t>
            </w:r>
          </w:p>
        </w:tc>
        <w:tc>
          <w:tcPr>
            <w:tcW w:w="1075" w:type="dxa"/>
            <w:tcMar>
              <w:left w:w="0" w:type="dxa"/>
              <w:right w:w="0" w:type="dxa"/>
            </w:tcMar>
            <w:vAlign w:val="center"/>
          </w:tcPr>
          <w:p w14:paraId="6AEED39B">
            <w:pPr>
              <w:pStyle w:val="296"/>
              <w:rPr>
                <w:rFonts w:hint="eastAsia"/>
                <w:color w:val="auto"/>
                <w:lang w:bidi="ar"/>
              </w:rPr>
            </w:pPr>
            <w:r>
              <w:rPr>
                <w:rFonts w:hint="eastAsia"/>
                <w:color w:val="auto"/>
                <w:lang w:bidi="ar"/>
              </w:rPr>
              <w:t>符合</w:t>
            </w:r>
          </w:p>
        </w:tc>
      </w:tr>
    </w:tbl>
    <w:p w14:paraId="0C165194">
      <w:pPr>
        <w:pStyle w:val="86"/>
        <w:ind w:firstLine="480"/>
        <w:rPr>
          <w:rFonts w:hint="eastAsia"/>
          <w:color w:val="auto"/>
        </w:rPr>
      </w:pPr>
      <w:r>
        <w:rPr>
          <w:rFonts w:hint="eastAsia"/>
          <w:color w:val="auto"/>
        </w:rPr>
        <w:t>（12）与《生态环境部关于印发〈重点行业挥发性有机物综合治理方案〉的通知》（环大气〔2019〕53号）符合性分析</w:t>
      </w:r>
    </w:p>
    <w:p w14:paraId="4F445A74">
      <w:pPr>
        <w:pStyle w:val="15"/>
        <w:rPr>
          <w:rFonts w:hint="eastAsia" w:eastAsia="宋体"/>
          <w:color w:val="auto"/>
        </w:rPr>
      </w:pPr>
      <w:r>
        <w:rPr>
          <w:rFonts w:hint="eastAsia"/>
          <w:color w:val="auto"/>
        </w:rPr>
        <w:t>表2.9-13  本工程与《重点行业挥发性有机物综合治理方案》的相符性分析</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4111"/>
        <w:gridCol w:w="2977"/>
        <w:gridCol w:w="1075"/>
      </w:tblGrid>
      <w:tr w14:paraId="6E4E86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67" w:type="dxa"/>
            <w:tcMar>
              <w:left w:w="0" w:type="dxa"/>
              <w:right w:w="0" w:type="dxa"/>
            </w:tcMar>
            <w:vAlign w:val="center"/>
          </w:tcPr>
          <w:p w14:paraId="0C4EFD1E">
            <w:pPr>
              <w:pStyle w:val="296"/>
              <w:rPr>
                <w:rFonts w:hint="eastAsia"/>
                <w:color w:val="auto"/>
              </w:rPr>
            </w:pPr>
            <w:r>
              <w:rPr>
                <w:rFonts w:hint="eastAsia"/>
                <w:color w:val="auto"/>
                <w:lang w:bidi="ar"/>
              </w:rPr>
              <w:t>序号</w:t>
            </w:r>
          </w:p>
        </w:tc>
        <w:tc>
          <w:tcPr>
            <w:tcW w:w="4111" w:type="dxa"/>
            <w:tcMar>
              <w:left w:w="0" w:type="dxa"/>
              <w:right w:w="0" w:type="dxa"/>
            </w:tcMar>
            <w:vAlign w:val="center"/>
          </w:tcPr>
          <w:p w14:paraId="4D512DBB">
            <w:pPr>
              <w:pStyle w:val="296"/>
              <w:rPr>
                <w:rFonts w:hint="eastAsia"/>
                <w:color w:val="auto"/>
              </w:rPr>
            </w:pPr>
            <w:r>
              <w:rPr>
                <w:rFonts w:hint="eastAsia"/>
                <w:color w:val="auto"/>
                <w:lang w:bidi="ar"/>
              </w:rPr>
              <w:t>条例规定</w:t>
            </w:r>
          </w:p>
        </w:tc>
        <w:tc>
          <w:tcPr>
            <w:tcW w:w="2977" w:type="dxa"/>
            <w:tcMar>
              <w:left w:w="0" w:type="dxa"/>
              <w:right w:w="0" w:type="dxa"/>
            </w:tcMar>
            <w:vAlign w:val="center"/>
          </w:tcPr>
          <w:p w14:paraId="3E5443DD">
            <w:pPr>
              <w:pStyle w:val="296"/>
              <w:rPr>
                <w:rFonts w:hint="eastAsia"/>
                <w:color w:val="auto"/>
              </w:rPr>
            </w:pPr>
            <w:r>
              <w:rPr>
                <w:rFonts w:hint="eastAsia"/>
                <w:color w:val="auto"/>
                <w:lang w:bidi="ar"/>
              </w:rPr>
              <w:t>拟采取的相关措施</w:t>
            </w:r>
          </w:p>
        </w:tc>
        <w:tc>
          <w:tcPr>
            <w:tcW w:w="1075" w:type="dxa"/>
            <w:tcMar>
              <w:left w:w="0" w:type="dxa"/>
              <w:right w:w="0" w:type="dxa"/>
            </w:tcMar>
            <w:vAlign w:val="center"/>
          </w:tcPr>
          <w:p w14:paraId="41BC4276">
            <w:pPr>
              <w:pStyle w:val="296"/>
              <w:rPr>
                <w:rFonts w:hint="eastAsia"/>
                <w:color w:val="auto"/>
              </w:rPr>
            </w:pPr>
            <w:r>
              <w:rPr>
                <w:rFonts w:hint="eastAsia"/>
                <w:color w:val="auto"/>
                <w:lang w:bidi="ar"/>
              </w:rPr>
              <w:t>符合性分析</w:t>
            </w:r>
          </w:p>
        </w:tc>
      </w:tr>
      <w:tr w14:paraId="726DE8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Mar>
              <w:left w:w="0" w:type="dxa"/>
              <w:right w:w="0" w:type="dxa"/>
            </w:tcMar>
            <w:vAlign w:val="center"/>
          </w:tcPr>
          <w:p w14:paraId="557D657A">
            <w:pPr>
              <w:pStyle w:val="296"/>
              <w:rPr>
                <w:rFonts w:hint="eastAsia"/>
                <w:color w:val="auto"/>
                <w:lang w:bidi="ar"/>
              </w:rPr>
            </w:pPr>
            <w:r>
              <w:rPr>
                <w:color w:val="auto"/>
                <w:lang w:bidi="ar"/>
              </w:rPr>
              <w:t>1</w:t>
            </w:r>
          </w:p>
        </w:tc>
        <w:tc>
          <w:tcPr>
            <w:tcW w:w="4111" w:type="dxa"/>
            <w:tcMar>
              <w:left w:w="0" w:type="dxa"/>
              <w:right w:w="0" w:type="dxa"/>
            </w:tcMar>
            <w:vAlign w:val="center"/>
          </w:tcPr>
          <w:p w14:paraId="46AAD4F5">
            <w:pPr>
              <w:pStyle w:val="296"/>
              <w:rPr>
                <w:rFonts w:hint="eastAsia"/>
                <w:color w:val="auto"/>
              </w:rPr>
            </w:pPr>
            <w:r>
              <w:rPr>
                <w:rFonts w:hint="eastAsia"/>
                <w:color w:val="auto"/>
              </w:rPr>
              <w:t>加大汽油（含乙醇汽油）、石脑油、煤油（含航空煤油）以及原油等VOCs排放控制，重点推进加油站、油罐车、储油库油气回收治理。重点区域还应推进油船油气回收治理工作。</w:t>
            </w:r>
          </w:p>
        </w:tc>
        <w:tc>
          <w:tcPr>
            <w:tcW w:w="2977" w:type="dxa"/>
            <w:tcMar>
              <w:left w:w="0" w:type="dxa"/>
              <w:right w:w="0" w:type="dxa"/>
            </w:tcMar>
            <w:vAlign w:val="center"/>
          </w:tcPr>
          <w:p w14:paraId="22B89A77">
            <w:pPr>
              <w:pStyle w:val="296"/>
              <w:rPr>
                <w:rFonts w:hint="eastAsia"/>
                <w:color w:val="auto"/>
              </w:rPr>
            </w:pPr>
            <w:r>
              <w:rPr>
                <w:rFonts w:hint="eastAsia"/>
                <w:color w:val="auto"/>
              </w:rPr>
              <w:t>本项目装车采用气相平衡装置，最大限度地减少了VOCs挥发及排放。</w:t>
            </w:r>
          </w:p>
        </w:tc>
        <w:tc>
          <w:tcPr>
            <w:tcW w:w="1075" w:type="dxa"/>
            <w:tcMar>
              <w:left w:w="0" w:type="dxa"/>
              <w:right w:w="0" w:type="dxa"/>
            </w:tcMar>
            <w:vAlign w:val="center"/>
          </w:tcPr>
          <w:p w14:paraId="1F0A8A72">
            <w:pPr>
              <w:pStyle w:val="296"/>
              <w:rPr>
                <w:rFonts w:hint="eastAsia"/>
                <w:color w:val="auto"/>
                <w:lang w:bidi="ar"/>
              </w:rPr>
            </w:pPr>
            <w:r>
              <w:rPr>
                <w:rFonts w:hint="eastAsia"/>
                <w:color w:val="auto"/>
                <w:lang w:bidi="ar"/>
              </w:rPr>
              <w:t>符合</w:t>
            </w:r>
          </w:p>
        </w:tc>
      </w:tr>
    </w:tbl>
    <w:p w14:paraId="7D746306">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生态环境分区管控符合性分析</w:t>
      </w:r>
    </w:p>
    <w:p w14:paraId="7507D3CA">
      <w:pPr>
        <w:pStyle w:val="86"/>
        <w:ind w:firstLine="480"/>
        <w:rPr>
          <w:rFonts w:hint="eastAsia" w:cs="宋体"/>
          <w:color w:val="auto"/>
        </w:rPr>
      </w:pPr>
      <w:r>
        <w:rPr>
          <w:rFonts w:hint="eastAsia" w:cs="宋体"/>
          <w:color w:val="auto"/>
        </w:rPr>
        <w:t>（1）生态保护红线</w:t>
      </w:r>
    </w:p>
    <w:p w14:paraId="4854DAE7">
      <w:pPr>
        <w:pStyle w:val="86"/>
        <w:ind w:firstLine="480"/>
        <w:rPr>
          <w:rFonts w:hint="eastAsia" w:cs="宋体"/>
          <w:color w:val="auto"/>
        </w:rPr>
      </w:pPr>
      <w:bookmarkStart w:id="178" w:name="_Hlk92216543"/>
      <w:r>
        <w:rPr>
          <w:rFonts w:hint="eastAsia" w:cs="宋体"/>
          <w:color w:val="auto"/>
        </w:rPr>
        <w:t>项目区位于荒漠区，周围无世界文化和自然遗产地、自然保护区、国家公园、风景名胜区、饮用水水源保护区等；</w:t>
      </w:r>
      <w:r>
        <w:rPr>
          <w:rFonts w:hint="eastAsia"/>
          <w:color w:val="auto"/>
        </w:rPr>
        <w:t>根据《</w:t>
      </w:r>
      <w:r>
        <w:rPr>
          <w:color w:val="auto"/>
        </w:rPr>
        <w:t>昌吉回族自治州生态环境分区管控动态更新成果</w:t>
      </w:r>
      <w:r>
        <w:rPr>
          <w:rFonts w:hint="eastAsia"/>
          <w:color w:val="auto"/>
        </w:rPr>
        <w:t>（2024年）》可知</w:t>
      </w:r>
      <w:r>
        <w:rPr>
          <w:rFonts w:hint="eastAsia" w:cs="宋体"/>
          <w:color w:val="auto"/>
        </w:rPr>
        <w:t>，项目区位于玛纳斯县一般管控单元（</w:t>
      </w:r>
      <w:r>
        <w:rPr>
          <w:rFonts w:cs="宋体"/>
          <w:color w:val="auto"/>
        </w:rPr>
        <w:t>ZH65232430001</w:t>
      </w:r>
      <w:r>
        <w:rPr>
          <w:rFonts w:hint="eastAsia" w:cs="宋体"/>
          <w:color w:val="auto"/>
        </w:rPr>
        <w:t>），不涉及生态保护红线。莫27井西侧距</w:t>
      </w:r>
      <w:bookmarkStart w:id="179" w:name="OLE_LINK178"/>
      <w:r>
        <w:rPr>
          <w:rFonts w:hint="eastAsia" w:cs="宋体"/>
          <w:color w:val="auto"/>
        </w:rPr>
        <w:t>玛纳斯县土地沙化生态保护红线区</w:t>
      </w:r>
      <w:bookmarkEnd w:id="179"/>
      <w:r>
        <w:rPr>
          <w:rFonts w:hint="eastAsia" w:cs="宋体"/>
          <w:color w:val="auto"/>
        </w:rPr>
        <w:t>约110m。</w:t>
      </w:r>
    </w:p>
    <w:bookmarkEnd w:id="178"/>
    <w:p w14:paraId="7A5EA6C2">
      <w:pPr>
        <w:pStyle w:val="86"/>
        <w:ind w:firstLine="480"/>
        <w:rPr>
          <w:rFonts w:hint="eastAsia" w:cs="宋体"/>
          <w:color w:val="auto"/>
        </w:rPr>
      </w:pPr>
      <w:r>
        <w:rPr>
          <w:rFonts w:hint="eastAsia" w:cs="宋体"/>
          <w:color w:val="auto"/>
        </w:rPr>
        <w:t>（2）环境质量底线</w:t>
      </w:r>
    </w:p>
    <w:p w14:paraId="1C304E53">
      <w:pPr>
        <w:pStyle w:val="86"/>
        <w:ind w:firstLine="480" w:firstLineChars="0"/>
        <w:rPr>
          <w:rFonts w:hint="eastAsia"/>
          <w:color w:val="auto"/>
        </w:rPr>
      </w:pPr>
      <w:r>
        <w:rPr>
          <w:rStyle w:val="208"/>
          <w:rFonts w:hint="eastAsia"/>
          <w:color w:val="auto"/>
        </w:rPr>
        <w:t>废气主要为无组织非甲烷总烃和燃气发电机燃烧烟气，采取相应措施后采油井场厂界无组织非甲烷总烃满足《</w:t>
      </w:r>
      <w:r>
        <w:rPr>
          <w:color w:val="auto"/>
        </w:rPr>
        <w:fldChar w:fldCharType="begin"/>
      </w:r>
      <w:r>
        <w:rPr>
          <w:color w:val="auto"/>
        </w:rPr>
        <w:instrText xml:space="preserve"> HYPERLINK "http://www.mee.gov.cn/ywgz/fgbz/bz/bzwb/dqhjbh/dqgdwrywrwpfbz/202012/W020201225551948738018.pdf" </w:instrText>
      </w:r>
      <w:r>
        <w:rPr>
          <w:color w:val="auto"/>
        </w:rPr>
        <w:fldChar w:fldCharType="separate"/>
      </w:r>
      <w:r>
        <w:rPr>
          <w:rStyle w:val="208"/>
          <w:rFonts w:hint="eastAsia"/>
          <w:color w:val="auto"/>
        </w:rPr>
        <w:t>陆上石油天然气开采工业大气污染物排放标准》（GB39728—2020）</w:t>
      </w:r>
      <w:r>
        <w:rPr>
          <w:rStyle w:val="208"/>
          <w:rFonts w:hint="eastAsia"/>
          <w:color w:val="auto"/>
        </w:rPr>
        <w:fldChar w:fldCharType="end"/>
      </w:r>
      <w:r>
        <w:rPr>
          <w:rStyle w:val="208"/>
          <w:rFonts w:hint="eastAsia"/>
          <w:color w:val="auto"/>
        </w:rPr>
        <w:t>中企业边界污染物控制要求，燃气发电机燃烧烟气中各污染物均满足《大气污染物综合排放标准》（GB16297-1996）无组织排放监控浓度限值；</w:t>
      </w:r>
      <w:r>
        <w:rPr>
          <w:rFonts w:hint="eastAsia"/>
          <w:color w:val="auto"/>
        </w:rPr>
        <w:t>井下作业废液送至莫北转油站采出水处理系统处理，处理达标后回注地层，生活污水送至玛纳斯县生活污水处理厂处理；噪声源主要为井下作业时各类机泵、巡检车辆等，采取相应措施后站场边</w:t>
      </w:r>
      <w:r>
        <w:rPr>
          <w:color w:val="auto"/>
        </w:rPr>
        <w:t>界昼夜噪声满足《工业企业厂界环境噪声排放标准》（GB12348-2008）中的2类区标准</w:t>
      </w:r>
      <w:r>
        <w:rPr>
          <w:rFonts w:hint="eastAsia"/>
          <w:color w:val="auto"/>
        </w:rPr>
        <w:t>要求；固体废物清罐底泥、废分子筛、废滤料、</w:t>
      </w:r>
      <w:r>
        <w:rPr>
          <w:rFonts w:hint="eastAsia" w:cs="宋体"/>
          <w:color w:val="auto"/>
        </w:rPr>
        <w:t>废润滑油、废润滑油桶、沾油废防渗材料、</w:t>
      </w:r>
      <w:r>
        <w:rPr>
          <w:rFonts w:hint="eastAsia" w:cs="宋体"/>
          <w:color w:val="auto"/>
          <w:lang w:val="zh-CN"/>
        </w:rPr>
        <w:t>废含油抹布及劳保用品</w:t>
      </w:r>
      <w:r>
        <w:rPr>
          <w:rFonts w:hint="eastAsia"/>
          <w:color w:val="auto"/>
        </w:rPr>
        <w:t>属于</w:t>
      </w:r>
      <w:r>
        <w:rPr>
          <w:rFonts w:hint="eastAsia" w:cs="宋体"/>
          <w:color w:val="auto"/>
        </w:rPr>
        <w:t>《国家危险废物名录（</w:t>
      </w:r>
      <w:r>
        <w:rPr>
          <w:rFonts w:cs="宋体"/>
          <w:color w:val="auto"/>
        </w:rPr>
        <w:t>20</w:t>
      </w:r>
      <w:r>
        <w:rPr>
          <w:rFonts w:hint="eastAsia" w:cs="宋体"/>
          <w:color w:val="auto"/>
        </w:rPr>
        <w:t>25年版</w:t>
      </w:r>
      <w:r>
        <w:rPr>
          <w:rFonts w:cs="宋体"/>
          <w:color w:val="auto"/>
        </w:rPr>
        <w:t>）</w:t>
      </w:r>
      <w:r>
        <w:rPr>
          <w:rFonts w:hint="eastAsia" w:cs="宋体"/>
          <w:color w:val="auto"/>
        </w:rPr>
        <w:t>》中的</w:t>
      </w:r>
      <w:r>
        <w:rPr>
          <w:rFonts w:cs="宋体"/>
          <w:color w:val="auto"/>
        </w:rPr>
        <w:t>危险废物</w:t>
      </w:r>
      <w:r>
        <w:rPr>
          <w:rFonts w:hint="eastAsia" w:cs="宋体"/>
          <w:color w:val="auto"/>
        </w:rPr>
        <w:t>，交由有相应危险废物处理资质的单位回收处置；生活垃圾送至玛纳斯县生活垃圾填埋场处理。</w:t>
      </w:r>
    </w:p>
    <w:p w14:paraId="043984B9">
      <w:pPr>
        <w:pStyle w:val="86"/>
        <w:ind w:firstLine="480"/>
        <w:rPr>
          <w:rFonts w:hint="eastAsia" w:cs="宋体"/>
          <w:color w:val="auto"/>
        </w:rPr>
      </w:pPr>
      <w:r>
        <w:rPr>
          <w:rFonts w:hint="eastAsia" w:cs="宋体"/>
          <w:color w:val="auto"/>
        </w:rPr>
        <w:t>综上所述，废气、噪声均可实现达标排放，废水和固体废物均得到妥善处置，符合环境质量底线的要求。</w:t>
      </w:r>
    </w:p>
    <w:p w14:paraId="2DA55405">
      <w:pPr>
        <w:pStyle w:val="86"/>
        <w:ind w:firstLine="480"/>
        <w:rPr>
          <w:rFonts w:hint="eastAsia" w:cs="宋体"/>
          <w:color w:val="auto"/>
        </w:rPr>
      </w:pPr>
      <w:r>
        <w:rPr>
          <w:rFonts w:hint="eastAsia" w:cs="宋体"/>
          <w:color w:val="auto"/>
        </w:rPr>
        <w:t>（3）资源利用上线</w:t>
      </w:r>
    </w:p>
    <w:p w14:paraId="3A95211A">
      <w:pPr>
        <w:pStyle w:val="86"/>
        <w:ind w:firstLine="480"/>
        <w:rPr>
          <w:rFonts w:hint="eastAsia"/>
          <w:color w:val="auto"/>
        </w:rPr>
      </w:pPr>
      <w:r>
        <w:rPr>
          <w:rFonts w:hint="eastAsia"/>
          <w:color w:val="auto"/>
        </w:rPr>
        <w:t>运营期消耗仅消耗电能，用量相对较少，不会突破区域总量控制指标，符合资源上限要求。</w:t>
      </w:r>
    </w:p>
    <w:p w14:paraId="0623C1C2">
      <w:pPr>
        <w:pStyle w:val="86"/>
        <w:spacing w:line="480" w:lineRule="exact"/>
        <w:ind w:firstLine="480"/>
        <w:rPr>
          <w:rFonts w:hint="eastAsia" w:cs="宋体"/>
          <w:color w:val="auto"/>
        </w:rPr>
      </w:pPr>
      <w:r>
        <w:rPr>
          <w:rFonts w:hint="eastAsia" w:cs="宋体"/>
          <w:color w:val="auto"/>
        </w:rPr>
        <w:t>（4）生态环境准入清单</w:t>
      </w:r>
    </w:p>
    <w:p w14:paraId="24CCE4C1">
      <w:pPr>
        <w:pStyle w:val="86"/>
        <w:spacing w:line="480" w:lineRule="exact"/>
        <w:ind w:firstLine="480"/>
        <w:rPr>
          <w:rFonts w:hint="eastAsia" w:cs="宋体"/>
          <w:color w:val="auto"/>
        </w:rPr>
      </w:pPr>
      <w:r>
        <w:rPr>
          <w:rFonts w:hint="eastAsia" w:cs="宋体"/>
          <w:color w:val="auto"/>
        </w:rPr>
        <w:t>①</w:t>
      </w:r>
      <w:bookmarkStart w:id="180" w:name="_Hlk80047881"/>
      <w:r>
        <w:rPr>
          <w:rFonts w:hint="eastAsia" w:cs="宋体"/>
          <w:color w:val="auto"/>
        </w:rPr>
        <w:t>与《新疆维吾尔自治区生态环境分区管控动态更新成果》的符合性分析</w:t>
      </w:r>
    </w:p>
    <w:p w14:paraId="63707935">
      <w:pPr>
        <w:pStyle w:val="86"/>
        <w:spacing w:line="480" w:lineRule="exact"/>
        <w:ind w:firstLine="480"/>
        <w:rPr>
          <w:rFonts w:hint="eastAsia" w:cs="宋体"/>
          <w:color w:val="auto"/>
        </w:rPr>
      </w:pPr>
      <w:r>
        <w:rPr>
          <w:rFonts w:hint="eastAsia" w:cs="宋体"/>
          <w:color w:val="auto"/>
        </w:rPr>
        <w:t>项目与《新疆维吾尔自治区生态环境分区管控动态更新成果》的符合性分析，详见表2.9-9。</w:t>
      </w:r>
    </w:p>
    <w:bookmarkEnd w:id="180"/>
    <w:p w14:paraId="6CE6CFD3">
      <w:pPr>
        <w:snapToGrid w:val="0"/>
        <w:spacing w:line="400" w:lineRule="exact"/>
        <w:jc w:val="center"/>
        <w:rPr>
          <w:rFonts w:hint="eastAsia" w:ascii="黑体" w:hAnsi="宋体" w:eastAsia="黑体" w:cs="黑体"/>
          <w:color w:val="auto"/>
          <w:szCs w:val="21"/>
        </w:rPr>
      </w:pPr>
      <w:bookmarkStart w:id="181" w:name="_Hlk147580998"/>
      <w:r>
        <w:rPr>
          <w:rFonts w:hint="eastAsia" w:ascii="黑体" w:hAnsi="宋体" w:eastAsia="黑体" w:cs="黑体"/>
          <w:color w:val="auto"/>
          <w:szCs w:val="21"/>
          <w:lang w:bidi="ar"/>
        </w:rPr>
        <w:t>表2.9-9  本项目与相关环保政策的符合性分析一览表</w:t>
      </w:r>
    </w:p>
    <w:tbl>
      <w:tblPr>
        <w:tblStyle w:val="443"/>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11"/>
        <w:gridCol w:w="4292"/>
        <w:gridCol w:w="2539"/>
        <w:gridCol w:w="1104"/>
      </w:tblGrid>
      <w:tr w14:paraId="1EF455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964" w:type="pct"/>
            <w:gridSpan w:val="2"/>
            <w:vAlign w:val="center"/>
          </w:tcPr>
          <w:p w14:paraId="6DBFCF3B">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管控要求</w:t>
            </w:r>
          </w:p>
        </w:tc>
        <w:tc>
          <w:tcPr>
            <w:tcW w:w="1419" w:type="pct"/>
            <w:vAlign w:val="center"/>
          </w:tcPr>
          <w:p w14:paraId="727DF4C1">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lang w:bidi="ar"/>
              </w:rPr>
              <w:t>本项目拟采取的措施</w:t>
            </w:r>
          </w:p>
        </w:tc>
        <w:tc>
          <w:tcPr>
            <w:tcW w:w="617" w:type="pct"/>
            <w:vAlign w:val="center"/>
          </w:tcPr>
          <w:p w14:paraId="652386B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lang w:bidi="ar"/>
              </w:rPr>
              <w:t>相符性分析</w:t>
            </w:r>
          </w:p>
        </w:tc>
      </w:tr>
      <w:tr w14:paraId="35A91F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65" w:type="pct"/>
            <w:vAlign w:val="center"/>
          </w:tcPr>
          <w:p w14:paraId="1E899757">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A1空间布局约束</w:t>
            </w:r>
          </w:p>
        </w:tc>
        <w:tc>
          <w:tcPr>
            <w:tcW w:w="2399" w:type="pct"/>
            <w:vAlign w:val="center"/>
          </w:tcPr>
          <w:p w14:paraId="1F7FA51F">
            <w:pPr>
              <w:adjustRightInd w:val="0"/>
              <w:snapToGrid w:val="0"/>
              <w:spacing w:line="300" w:lineRule="exact"/>
              <w:rPr>
                <w:rFonts w:hint="eastAsia" w:ascii="宋体" w:hAnsi="宋体" w:cs="宋体"/>
                <w:color w:val="auto"/>
                <w:kern w:val="0"/>
                <w:szCs w:val="21"/>
                <w:lang w:bidi="ar"/>
              </w:rPr>
            </w:pPr>
            <w:r>
              <w:rPr>
                <w:rFonts w:hint="eastAsia" w:ascii="宋体" w:hAnsi="宋体" w:cs="宋体"/>
                <w:color w:val="auto"/>
                <w:kern w:val="0"/>
                <w:szCs w:val="21"/>
                <w:lang w:bidi="ar"/>
              </w:rPr>
              <w:t>〔</w:t>
            </w:r>
            <w:r>
              <w:rPr>
                <w:rFonts w:ascii="宋体" w:hAnsi="宋体" w:cs="宋体"/>
                <w:color w:val="auto"/>
                <w:kern w:val="0"/>
                <w:szCs w:val="21"/>
                <w:lang w:bidi="ar"/>
              </w:rPr>
              <w:t>A1.1-1</w:t>
            </w:r>
            <w:r>
              <w:rPr>
                <w:rFonts w:hint="eastAsia" w:ascii="宋体" w:hAnsi="宋体" w:cs="宋体"/>
                <w:color w:val="auto"/>
                <w:kern w:val="0"/>
                <w:szCs w:val="21"/>
                <w:lang w:bidi="ar"/>
              </w:rPr>
              <w:t>〕禁止新建、扩建《产业结构调整指导目录（</w:t>
            </w:r>
            <w:r>
              <w:rPr>
                <w:rFonts w:ascii="宋体" w:hAnsi="宋体" w:cs="宋体"/>
                <w:color w:val="auto"/>
                <w:kern w:val="0"/>
                <w:szCs w:val="21"/>
                <w:lang w:bidi="ar"/>
              </w:rPr>
              <w:t>2024</w:t>
            </w:r>
            <w:r>
              <w:rPr>
                <w:rFonts w:hint="eastAsia" w:ascii="宋体" w:hAnsi="宋体" w:cs="宋体"/>
                <w:color w:val="auto"/>
                <w:kern w:val="0"/>
                <w:szCs w:val="21"/>
                <w:lang w:bidi="ar"/>
              </w:rPr>
              <w:t>年本）》中淘汰类项目。禁止引入《市场准入负面清单（</w:t>
            </w:r>
            <w:r>
              <w:rPr>
                <w:rFonts w:ascii="宋体" w:hAnsi="宋体" w:cs="宋体"/>
                <w:color w:val="auto"/>
                <w:kern w:val="0"/>
                <w:szCs w:val="21"/>
                <w:lang w:bidi="ar"/>
              </w:rPr>
              <w:t>202</w:t>
            </w:r>
            <w:r>
              <w:rPr>
                <w:rFonts w:hint="eastAsia" w:ascii="宋体" w:hAnsi="宋体" w:cs="宋体"/>
                <w:color w:val="auto"/>
                <w:kern w:val="0"/>
                <w:szCs w:val="21"/>
                <w:lang w:bidi="ar"/>
              </w:rPr>
              <w:t>2年版）》禁止准入类事项。</w:t>
            </w:r>
          </w:p>
        </w:tc>
        <w:tc>
          <w:tcPr>
            <w:tcW w:w="1419" w:type="pct"/>
            <w:vAlign w:val="center"/>
          </w:tcPr>
          <w:p w14:paraId="7EEE58CB">
            <w:pPr>
              <w:adjustRightInd w:val="0"/>
              <w:snapToGrid w:val="0"/>
              <w:spacing w:line="300" w:lineRule="exact"/>
              <w:rPr>
                <w:rFonts w:hint="eastAsia" w:ascii="宋体" w:hAnsi="宋体" w:cs="宋体"/>
                <w:color w:val="auto"/>
                <w:kern w:val="0"/>
                <w:szCs w:val="21"/>
                <w:lang w:bidi="ar"/>
              </w:rPr>
            </w:pPr>
            <w:r>
              <w:rPr>
                <w:rFonts w:hint="eastAsia" w:ascii="宋体" w:hAnsi="宋体" w:cs="宋体"/>
                <w:color w:val="auto"/>
                <w:kern w:val="0"/>
                <w:szCs w:val="21"/>
                <w:lang w:bidi="ar"/>
              </w:rPr>
              <w:t>石油天然气开发是当前国民经济的重要基础产业和支柱产业，根据《产业结构调整指导目录（2024年本）》，将“石油、天然气勘探及开采”列入“鼓励类”项目。可知，石油天然气开发属于国家重点鼓励发展的产业，本工程的建设符合国家的相关政策。</w:t>
            </w:r>
          </w:p>
        </w:tc>
        <w:tc>
          <w:tcPr>
            <w:tcW w:w="617" w:type="pct"/>
            <w:vAlign w:val="center"/>
          </w:tcPr>
          <w:p w14:paraId="18D16F57">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符合</w:t>
            </w:r>
          </w:p>
        </w:tc>
      </w:tr>
      <w:tr w14:paraId="277295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65" w:type="pct"/>
            <w:vAlign w:val="center"/>
          </w:tcPr>
          <w:p w14:paraId="34252CEB">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A2污染物排放管控</w:t>
            </w:r>
          </w:p>
        </w:tc>
        <w:tc>
          <w:tcPr>
            <w:tcW w:w="2399" w:type="pct"/>
            <w:vAlign w:val="center"/>
          </w:tcPr>
          <w:p w14:paraId="11391010">
            <w:pPr>
              <w:adjustRightInd w:val="0"/>
              <w:snapToGrid w:val="0"/>
              <w:spacing w:line="300" w:lineRule="exact"/>
              <w:rPr>
                <w:rFonts w:hint="eastAsia" w:ascii="宋体" w:hAnsi="宋体" w:cs="宋体"/>
                <w:color w:val="auto"/>
                <w:kern w:val="0"/>
                <w:szCs w:val="21"/>
                <w:lang w:bidi="ar"/>
              </w:rPr>
            </w:pPr>
            <w:r>
              <w:rPr>
                <w:rFonts w:hint="eastAsia" w:ascii="宋体" w:hAnsi="宋体" w:cs="宋体"/>
                <w:color w:val="auto"/>
                <w:kern w:val="0"/>
                <w:szCs w:val="21"/>
                <w:lang w:bidi="ar"/>
              </w:rPr>
              <w:t>〔</w:t>
            </w:r>
            <w:r>
              <w:rPr>
                <w:rFonts w:ascii="宋体" w:hAnsi="宋体" w:cs="宋体"/>
                <w:color w:val="auto"/>
                <w:kern w:val="0"/>
                <w:szCs w:val="21"/>
                <w:lang w:bidi="ar"/>
              </w:rPr>
              <w:t>A2.1-1</w:t>
            </w:r>
            <w:r>
              <w:rPr>
                <w:rFonts w:hint="eastAsia" w:ascii="宋体" w:hAnsi="宋体" w:cs="宋体"/>
                <w:color w:val="auto"/>
                <w:kern w:val="0"/>
                <w:szCs w:val="21"/>
                <w:lang w:bidi="ar"/>
              </w:rPr>
              <w:t>〕新、改、扩建重点行业建设项目应符合“三线一单”、产业政策、区域环评、规划环评和行业环境准入管控要求。重点区域的新、改、扩建重点行业建设项目应遵循重点重金属污染物排放“减量替代”原则。</w:t>
            </w:r>
          </w:p>
        </w:tc>
        <w:tc>
          <w:tcPr>
            <w:tcW w:w="1419" w:type="pct"/>
            <w:vAlign w:val="center"/>
          </w:tcPr>
          <w:p w14:paraId="5529DD60">
            <w:pPr>
              <w:adjustRightInd w:val="0"/>
              <w:snapToGrid w:val="0"/>
              <w:spacing w:line="300" w:lineRule="exact"/>
              <w:rPr>
                <w:rFonts w:hint="eastAsia" w:ascii="宋体" w:hAnsi="宋体" w:cs="宋体"/>
                <w:color w:val="auto"/>
                <w:kern w:val="0"/>
                <w:szCs w:val="21"/>
                <w:lang w:bidi="ar"/>
              </w:rPr>
            </w:pPr>
            <w:r>
              <w:rPr>
                <w:rFonts w:hint="eastAsia" w:ascii="宋体" w:hAnsi="宋体" w:cs="宋体"/>
                <w:color w:val="auto"/>
                <w:kern w:val="0"/>
                <w:szCs w:val="21"/>
                <w:lang w:bidi="ar"/>
              </w:rPr>
              <w:t>本项目为新建项目符合“三线一单”、产业政策、区域环评、规划环评和行业环境准入管控要求。</w:t>
            </w:r>
          </w:p>
        </w:tc>
        <w:tc>
          <w:tcPr>
            <w:tcW w:w="617" w:type="pct"/>
            <w:vAlign w:val="center"/>
          </w:tcPr>
          <w:p w14:paraId="421E821E">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符合</w:t>
            </w:r>
          </w:p>
        </w:tc>
      </w:tr>
      <w:tr w14:paraId="25A1BF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65" w:type="pct"/>
            <w:vAlign w:val="center"/>
          </w:tcPr>
          <w:p w14:paraId="71D8C9CE">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A3环境风险防控</w:t>
            </w:r>
          </w:p>
        </w:tc>
        <w:tc>
          <w:tcPr>
            <w:tcW w:w="2399" w:type="pct"/>
            <w:vAlign w:val="center"/>
          </w:tcPr>
          <w:p w14:paraId="24C2C672">
            <w:pPr>
              <w:adjustRightInd w:val="0"/>
              <w:snapToGrid w:val="0"/>
              <w:spacing w:line="300" w:lineRule="exact"/>
              <w:rPr>
                <w:rFonts w:hint="eastAsia" w:ascii="宋体" w:hAnsi="宋体" w:cs="宋体"/>
                <w:color w:val="auto"/>
                <w:kern w:val="0"/>
                <w:szCs w:val="21"/>
                <w:lang w:bidi="ar"/>
              </w:rPr>
            </w:pPr>
            <w:r>
              <w:rPr>
                <w:rFonts w:hint="eastAsia" w:ascii="宋体" w:hAnsi="宋体" w:cs="宋体"/>
                <w:color w:val="auto"/>
                <w:kern w:val="0"/>
                <w:szCs w:val="21"/>
                <w:lang w:bidi="ar"/>
              </w:rPr>
              <w:t>〔</w:t>
            </w:r>
            <w:r>
              <w:rPr>
                <w:rFonts w:ascii="宋体" w:hAnsi="宋体" w:cs="宋体"/>
                <w:color w:val="auto"/>
                <w:kern w:val="0"/>
                <w:szCs w:val="21"/>
                <w:lang w:bidi="ar"/>
              </w:rPr>
              <w:t>A3.2-4</w:t>
            </w:r>
            <w:r>
              <w:rPr>
                <w:rFonts w:hint="eastAsia" w:ascii="宋体" w:hAnsi="宋体" w:cs="宋体"/>
                <w:color w:val="auto"/>
                <w:kern w:val="0"/>
                <w:szCs w:val="21"/>
                <w:lang w:bidi="ar"/>
              </w:rPr>
              <w:t>〕加强环境风险预警防控。加强涉危险废物企业、涉重金属企业、化工园区、集中式饮用水水源地及重点流域环境风险调查评估，实施分类分级风险管控，协同推进重点区域、流域生态环境污染综合防治、风险防控与生态修复。</w:t>
            </w:r>
          </w:p>
        </w:tc>
        <w:tc>
          <w:tcPr>
            <w:tcW w:w="1419" w:type="pct"/>
            <w:vAlign w:val="center"/>
          </w:tcPr>
          <w:p w14:paraId="5F43B863">
            <w:pPr>
              <w:adjustRightInd w:val="0"/>
              <w:snapToGrid w:val="0"/>
              <w:spacing w:line="300" w:lineRule="exact"/>
              <w:rPr>
                <w:rFonts w:hint="eastAsia" w:ascii="宋体" w:hAnsi="宋体" w:cs="宋体"/>
                <w:color w:val="auto"/>
                <w:kern w:val="0"/>
                <w:szCs w:val="21"/>
                <w:lang w:bidi="ar"/>
              </w:rPr>
            </w:pPr>
            <w:r>
              <w:rPr>
                <w:rFonts w:hint="eastAsia" w:ascii="宋体" w:hAnsi="宋体" w:cs="宋体"/>
                <w:color w:val="auto"/>
                <w:kern w:val="0"/>
                <w:szCs w:val="21"/>
                <w:lang w:bidi="ar"/>
              </w:rPr>
              <w:t>本项目属于油气开采项目，项目不涉及。</w:t>
            </w:r>
          </w:p>
        </w:tc>
        <w:tc>
          <w:tcPr>
            <w:tcW w:w="617" w:type="pct"/>
            <w:vAlign w:val="center"/>
          </w:tcPr>
          <w:p w14:paraId="440597EA">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符合</w:t>
            </w:r>
          </w:p>
        </w:tc>
      </w:tr>
      <w:tr w14:paraId="63280C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65" w:type="pct"/>
            <w:vAlign w:val="center"/>
          </w:tcPr>
          <w:p w14:paraId="4944321C">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A4资源利用要求</w:t>
            </w:r>
          </w:p>
        </w:tc>
        <w:tc>
          <w:tcPr>
            <w:tcW w:w="2399" w:type="pct"/>
            <w:vAlign w:val="center"/>
          </w:tcPr>
          <w:p w14:paraId="58432E38">
            <w:pPr>
              <w:adjustRightInd w:val="0"/>
              <w:snapToGrid w:val="0"/>
              <w:spacing w:line="300" w:lineRule="exact"/>
              <w:rPr>
                <w:rFonts w:hint="eastAsia" w:ascii="宋体" w:hAnsi="宋体" w:cs="宋体"/>
                <w:color w:val="auto"/>
                <w:kern w:val="0"/>
                <w:szCs w:val="21"/>
                <w:lang w:bidi="ar"/>
              </w:rPr>
            </w:pPr>
            <w:r>
              <w:rPr>
                <w:rFonts w:hint="eastAsia" w:ascii="宋体" w:hAnsi="宋体" w:cs="宋体"/>
                <w:color w:val="auto"/>
                <w:kern w:val="0"/>
                <w:szCs w:val="21"/>
                <w:lang w:bidi="ar"/>
              </w:rPr>
              <w:t>〔</w:t>
            </w:r>
            <w:r>
              <w:rPr>
                <w:rFonts w:ascii="宋体" w:hAnsi="宋体" w:cs="宋体"/>
                <w:color w:val="auto"/>
                <w:kern w:val="0"/>
                <w:szCs w:val="21"/>
                <w:lang w:bidi="ar"/>
              </w:rPr>
              <w:t>A4.4-1</w:t>
            </w:r>
            <w:r>
              <w:rPr>
                <w:rFonts w:hint="eastAsia" w:ascii="宋体" w:hAnsi="宋体" w:cs="宋体"/>
                <w:color w:val="auto"/>
                <w:kern w:val="0"/>
                <w:szCs w:val="21"/>
                <w:lang w:bidi="ar"/>
              </w:rPr>
              <w:t>〕在禁燃区内，禁止销售、燃用高污染燃料；禁止新建、扩建燃用高污染燃料的设施。已建成的，应当在规定期限内改用清洁能源。</w:t>
            </w:r>
          </w:p>
        </w:tc>
        <w:tc>
          <w:tcPr>
            <w:tcW w:w="1419" w:type="pct"/>
            <w:vAlign w:val="center"/>
          </w:tcPr>
          <w:p w14:paraId="2450F037">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项目不涉及</w:t>
            </w:r>
          </w:p>
        </w:tc>
        <w:tc>
          <w:tcPr>
            <w:tcW w:w="617" w:type="pct"/>
            <w:vAlign w:val="center"/>
          </w:tcPr>
          <w:p w14:paraId="501C279A">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符合</w:t>
            </w:r>
          </w:p>
        </w:tc>
      </w:tr>
    </w:tbl>
    <w:p w14:paraId="12771DC6">
      <w:pPr>
        <w:pStyle w:val="86"/>
        <w:spacing w:line="480" w:lineRule="exact"/>
        <w:ind w:firstLine="480"/>
        <w:rPr>
          <w:rFonts w:hint="eastAsia" w:cs="宋体"/>
          <w:color w:val="auto"/>
        </w:rPr>
      </w:pPr>
      <w:r>
        <w:rPr>
          <w:rFonts w:hint="eastAsia" w:cs="宋体"/>
          <w:color w:val="auto"/>
        </w:rPr>
        <w:t>②与《</w:t>
      </w:r>
      <w:r>
        <w:rPr>
          <w:rFonts w:cs="宋体"/>
          <w:color w:val="auto"/>
        </w:rPr>
        <w:t>昌吉回族自治州生态环境分区管控动态更新成果</w:t>
      </w:r>
      <w:r>
        <w:rPr>
          <w:rFonts w:hint="eastAsia" w:cs="宋体"/>
          <w:color w:val="auto"/>
        </w:rPr>
        <w:t>（2024年）》符合性分析</w:t>
      </w:r>
    </w:p>
    <w:p w14:paraId="7EBDFB82">
      <w:pPr>
        <w:pStyle w:val="86"/>
        <w:spacing w:line="480" w:lineRule="exact"/>
        <w:ind w:firstLine="480"/>
        <w:rPr>
          <w:rFonts w:hint="eastAsia" w:cs="宋体"/>
          <w:color w:val="auto"/>
        </w:rPr>
      </w:pPr>
      <w:r>
        <w:rPr>
          <w:rFonts w:hint="eastAsia" w:cs="宋体"/>
          <w:color w:val="auto"/>
        </w:rPr>
        <w:t>根据《</w:t>
      </w:r>
      <w:r>
        <w:rPr>
          <w:rFonts w:cs="宋体"/>
          <w:color w:val="auto"/>
        </w:rPr>
        <w:t>昌吉回族自治州生态环境分区管控动态更新成果</w:t>
      </w:r>
      <w:r>
        <w:rPr>
          <w:rFonts w:hint="eastAsia" w:cs="宋体"/>
          <w:color w:val="auto"/>
        </w:rPr>
        <w:t>（2024年）》可知，项目区位于</w:t>
      </w:r>
      <w:bookmarkStart w:id="182" w:name="_Hlk165761425"/>
      <w:r>
        <w:rPr>
          <w:rFonts w:hint="eastAsia" w:cs="宋体"/>
          <w:color w:val="auto"/>
        </w:rPr>
        <w:t>玛纳斯县一般管控单元（</w:t>
      </w:r>
      <w:r>
        <w:rPr>
          <w:rFonts w:cs="宋体"/>
          <w:color w:val="auto"/>
        </w:rPr>
        <w:t>ZH65232430001</w:t>
      </w:r>
      <w:r>
        <w:rPr>
          <w:rFonts w:hint="eastAsia" w:cs="宋体"/>
          <w:color w:val="auto"/>
        </w:rPr>
        <w:t>）</w:t>
      </w:r>
      <w:bookmarkEnd w:id="182"/>
      <w:r>
        <w:rPr>
          <w:rFonts w:hint="eastAsia" w:cs="宋体"/>
          <w:color w:val="auto"/>
        </w:rPr>
        <w:t>，其建设符合一般管控单元管控要求，具体见表2</w:t>
      </w:r>
      <w:r>
        <w:rPr>
          <w:rFonts w:cs="宋体"/>
          <w:color w:val="auto"/>
        </w:rPr>
        <w:t>.9</w:t>
      </w:r>
      <w:r>
        <w:rPr>
          <w:rFonts w:hint="eastAsia" w:cs="宋体"/>
          <w:color w:val="auto"/>
        </w:rPr>
        <w:t>-10和图2</w:t>
      </w:r>
      <w:r>
        <w:rPr>
          <w:rFonts w:cs="宋体"/>
          <w:color w:val="auto"/>
        </w:rPr>
        <w:t>.9</w:t>
      </w:r>
      <w:r>
        <w:rPr>
          <w:rFonts w:hint="eastAsia" w:cs="宋体"/>
          <w:color w:val="auto"/>
        </w:rPr>
        <w:t>-</w:t>
      </w:r>
      <w:r>
        <w:rPr>
          <w:rFonts w:cs="宋体"/>
          <w:color w:val="auto"/>
        </w:rPr>
        <w:t>1</w:t>
      </w:r>
      <w:r>
        <w:rPr>
          <w:rFonts w:hint="eastAsia" w:cs="宋体"/>
          <w:color w:val="auto"/>
        </w:rPr>
        <w:t>。</w:t>
      </w:r>
    </w:p>
    <w:p w14:paraId="5966AE79">
      <w:pPr>
        <w:pStyle w:val="86"/>
        <w:ind w:firstLine="0" w:firstLineChars="0"/>
        <w:jc w:val="center"/>
        <w:rPr>
          <w:rFonts w:hint="eastAsia" w:ascii="黑体" w:hAnsi="黑体" w:eastAsia="黑体"/>
          <w:color w:val="auto"/>
          <w:spacing w:val="-24"/>
          <w:sz w:val="21"/>
          <w:szCs w:val="21"/>
        </w:rPr>
      </w:pPr>
      <w:r>
        <w:rPr>
          <w:rFonts w:hint="eastAsia" w:ascii="黑体" w:hAnsi="黑体" w:eastAsia="黑体"/>
          <w:color w:val="auto"/>
          <w:spacing w:val="-24"/>
          <w:sz w:val="21"/>
          <w:szCs w:val="21"/>
        </w:rPr>
        <w:t>表2.9-10  与《</w:t>
      </w:r>
      <w:r>
        <w:rPr>
          <w:rFonts w:ascii="黑体" w:hAnsi="黑体" w:eastAsia="黑体"/>
          <w:color w:val="auto"/>
          <w:spacing w:val="-24"/>
          <w:sz w:val="21"/>
          <w:szCs w:val="21"/>
        </w:rPr>
        <w:t>昌吉回族自治州生态环境分区管控动态更新成果</w:t>
      </w:r>
      <w:r>
        <w:rPr>
          <w:rFonts w:hint="eastAsia" w:ascii="黑体" w:hAnsi="黑体" w:eastAsia="黑体"/>
          <w:color w:val="auto"/>
          <w:spacing w:val="-24"/>
          <w:sz w:val="21"/>
          <w:szCs w:val="21"/>
        </w:rPr>
        <w:t>（2024年）》符合性分析表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3"/>
        <w:gridCol w:w="765"/>
        <w:gridCol w:w="285"/>
        <w:gridCol w:w="2977"/>
        <w:gridCol w:w="3260"/>
        <w:gridCol w:w="650"/>
      </w:tblGrid>
      <w:tr w14:paraId="178779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54" w:type="pct"/>
            <w:tcMar>
              <w:top w:w="0" w:type="dxa"/>
              <w:left w:w="0" w:type="dxa"/>
              <w:bottom w:w="0" w:type="dxa"/>
              <w:right w:w="0" w:type="dxa"/>
            </w:tcMar>
            <w:vAlign w:val="center"/>
          </w:tcPr>
          <w:p w14:paraId="534048B9">
            <w:pPr>
              <w:pStyle w:val="288"/>
              <w:adjustRightInd w:val="0"/>
              <w:snapToGrid w:val="0"/>
              <w:spacing w:line="300" w:lineRule="exact"/>
              <w:rPr>
                <w:rFonts w:hint="eastAsia" w:eastAsia="宋体"/>
                <w:color w:val="auto"/>
                <w:lang w:bidi="ar"/>
              </w:rPr>
            </w:pPr>
            <w:r>
              <w:rPr>
                <w:rFonts w:hint="eastAsia" w:eastAsia="宋体"/>
                <w:color w:val="auto"/>
                <w:lang w:bidi="ar"/>
              </w:rPr>
              <w:t>管控单元名称及编码</w:t>
            </w:r>
          </w:p>
        </w:tc>
        <w:tc>
          <w:tcPr>
            <w:tcW w:w="2306" w:type="pct"/>
            <w:gridSpan w:val="3"/>
            <w:tcMar>
              <w:top w:w="0" w:type="dxa"/>
              <w:left w:w="0" w:type="dxa"/>
              <w:bottom w:w="0" w:type="dxa"/>
              <w:right w:w="0" w:type="dxa"/>
            </w:tcMar>
            <w:vAlign w:val="center"/>
          </w:tcPr>
          <w:p w14:paraId="6432C935">
            <w:pPr>
              <w:pStyle w:val="288"/>
              <w:adjustRightInd w:val="0"/>
              <w:snapToGrid w:val="0"/>
              <w:spacing w:line="300" w:lineRule="exact"/>
              <w:rPr>
                <w:rFonts w:hint="eastAsia" w:eastAsia="宋体"/>
                <w:color w:val="auto"/>
                <w:lang w:bidi="ar"/>
              </w:rPr>
            </w:pPr>
            <w:r>
              <w:rPr>
                <w:rFonts w:hint="eastAsia" w:eastAsia="宋体"/>
                <w:color w:val="auto"/>
                <w:lang w:bidi="ar"/>
              </w:rPr>
              <w:t>“三线一单”要求</w:t>
            </w:r>
          </w:p>
        </w:tc>
        <w:tc>
          <w:tcPr>
            <w:tcW w:w="1867" w:type="pct"/>
            <w:tcMar>
              <w:top w:w="0" w:type="dxa"/>
              <w:left w:w="0" w:type="dxa"/>
              <w:bottom w:w="0" w:type="dxa"/>
              <w:right w:w="0" w:type="dxa"/>
            </w:tcMar>
            <w:vAlign w:val="center"/>
          </w:tcPr>
          <w:p w14:paraId="0B5DD498">
            <w:pPr>
              <w:pStyle w:val="288"/>
              <w:adjustRightInd w:val="0"/>
              <w:snapToGrid w:val="0"/>
              <w:spacing w:line="300" w:lineRule="exact"/>
              <w:rPr>
                <w:rFonts w:hint="eastAsia" w:eastAsia="宋体"/>
                <w:color w:val="auto"/>
                <w:lang w:bidi="ar"/>
              </w:rPr>
            </w:pPr>
            <w:r>
              <w:rPr>
                <w:rFonts w:hint="eastAsia" w:eastAsia="宋体"/>
                <w:color w:val="auto"/>
                <w:lang w:bidi="ar"/>
              </w:rPr>
              <w:t>拟采取的相关措施</w:t>
            </w:r>
          </w:p>
        </w:tc>
        <w:tc>
          <w:tcPr>
            <w:tcW w:w="372" w:type="pct"/>
            <w:tcMar>
              <w:top w:w="0" w:type="dxa"/>
              <w:left w:w="0" w:type="dxa"/>
              <w:bottom w:w="0" w:type="dxa"/>
              <w:right w:w="0" w:type="dxa"/>
            </w:tcMar>
            <w:vAlign w:val="center"/>
          </w:tcPr>
          <w:p w14:paraId="29B172A2">
            <w:pPr>
              <w:pStyle w:val="288"/>
              <w:adjustRightInd w:val="0"/>
              <w:snapToGrid w:val="0"/>
              <w:spacing w:line="300" w:lineRule="exact"/>
              <w:rPr>
                <w:rFonts w:hint="eastAsia" w:eastAsia="宋体"/>
                <w:color w:val="auto"/>
                <w:lang w:bidi="ar"/>
              </w:rPr>
            </w:pPr>
            <w:r>
              <w:rPr>
                <w:rFonts w:hint="eastAsia" w:eastAsia="宋体"/>
                <w:color w:val="auto"/>
                <w:lang w:bidi="ar"/>
              </w:rPr>
              <w:t>符合性分析</w:t>
            </w:r>
          </w:p>
        </w:tc>
      </w:tr>
      <w:tr w14:paraId="31071C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restart"/>
            <w:tcMar>
              <w:top w:w="0" w:type="dxa"/>
              <w:left w:w="0" w:type="dxa"/>
              <w:bottom w:w="0" w:type="dxa"/>
              <w:right w:w="0" w:type="dxa"/>
            </w:tcMar>
            <w:vAlign w:val="center"/>
          </w:tcPr>
          <w:p w14:paraId="433FD83C">
            <w:pPr>
              <w:pStyle w:val="288"/>
              <w:adjustRightInd w:val="0"/>
              <w:snapToGrid w:val="0"/>
              <w:spacing w:line="300" w:lineRule="exact"/>
              <w:rPr>
                <w:rFonts w:hint="eastAsia" w:eastAsia="宋体"/>
                <w:color w:val="auto"/>
                <w:lang w:bidi="ar"/>
              </w:rPr>
            </w:pPr>
            <w:r>
              <w:rPr>
                <w:rFonts w:hint="eastAsia" w:eastAsia="宋体"/>
                <w:color w:val="auto"/>
                <w:lang w:bidi="ar"/>
              </w:rPr>
              <w:t>一般管控单元（</w:t>
            </w:r>
            <w:r>
              <w:rPr>
                <w:rFonts w:eastAsia="宋体"/>
                <w:color w:val="auto"/>
                <w:lang w:bidi="ar"/>
              </w:rPr>
              <w:t>ZH65232430001</w:t>
            </w:r>
            <w:r>
              <w:rPr>
                <w:rFonts w:hint="eastAsia" w:eastAsia="宋体"/>
                <w:color w:val="auto"/>
                <w:lang w:bidi="ar"/>
              </w:rPr>
              <w:t>）</w:t>
            </w:r>
          </w:p>
        </w:tc>
        <w:tc>
          <w:tcPr>
            <w:tcW w:w="438" w:type="pct"/>
            <w:tcMar>
              <w:top w:w="0" w:type="dxa"/>
              <w:left w:w="0" w:type="dxa"/>
              <w:bottom w:w="0" w:type="dxa"/>
              <w:right w:w="0" w:type="dxa"/>
            </w:tcMar>
            <w:vAlign w:val="center"/>
          </w:tcPr>
          <w:p w14:paraId="0357546F">
            <w:pPr>
              <w:pStyle w:val="288"/>
              <w:adjustRightInd w:val="0"/>
              <w:snapToGrid w:val="0"/>
              <w:spacing w:line="300" w:lineRule="exact"/>
              <w:rPr>
                <w:rFonts w:hint="eastAsia" w:eastAsia="宋体"/>
                <w:color w:val="auto"/>
                <w:lang w:bidi="ar"/>
              </w:rPr>
            </w:pPr>
            <w:r>
              <w:rPr>
                <w:rFonts w:hint="eastAsia" w:eastAsia="宋体"/>
                <w:color w:val="auto"/>
                <w:lang w:bidi="ar"/>
              </w:rPr>
              <w:t>空间布局约束</w:t>
            </w:r>
          </w:p>
        </w:tc>
        <w:tc>
          <w:tcPr>
            <w:tcW w:w="1868" w:type="pct"/>
            <w:gridSpan w:val="2"/>
            <w:tcMar>
              <w:top w:w="0" w:type="dxa"/>
              <w:left w:w="0" w:type="dxa"/>
              <w:bottom w:w="0" w:type="dxa"/>
              <w:right w:w="0" w:type="dxa"/>
            </w:tcMar>
            <w:vAlign w:val="center"/>
          </w:tcPr>
          <w:p w14:paraId="484EE99C">
            <w:pPr>
              <w:pStyle w:val="288"/>
              <w:adjustRightInd w:val="0"/>
              <w:snapToGrid w:val="0"/>
              <w:spacing w:line="300" w:lineRule="exact"/>
              <w:jc w:val="both"/>
              <w:rPr>
                <w:rFonts w:hint="eastAsia" w:eastAsia="宋体"/>
                <w:color w:val="auto"/>
                <w:lang w:bidi="ar"/>
              </w:rPr>
            </w:pPr>
            <w:r>
              <w:rPr>
                <w:rFonts w:hint="eastAsia" w:eastAsia="宋体"/>
                <w:color w:val="auto"/>
                <w:lang w:bidi="ar"/>
              </w:rPr>
              <w:t xml:space="preserve">1.应符合国土空间规划要求。 </w:t>
            </w:r>
          </w:p>
          <w:p w14:paraId="1664E3DC">
            <w:pPr>
              <w:pStyle w:val="288"/>
              <w:adjustRightInd w:val="0"/>
              <w:snapToGrid w:val="0"/>
              <w:spacing w:line="300" w:lineRule="exact"/>
              <w:jc w:val="both"/>
              <w:rPr>
                <w:rFonts w:hint="eastAsia" w:eastAsia="宋体"/>
                <w:color w:val="auto"/>
                <w:lang w:bidi="ar"/>
              </w:rPr>
            </w:pPr>
            <w:r>
              <w:rPr>
                <w:rFonts w:hint="eastAsia" w:eastAsia="宋体"/>
                <w:color w:val="auto"/>
                <w:lang w:bidi="ar"/>
              </w:rPr>
              <w:t>2.应符合《产业结构调整指导目录》（2024 年本）、《市场准入负面清单》（2022 年版）。</w:t>
            </w:r>
          </w:p>
        </w:tc>
        <w:tc>
          <w:tcPr>
            <w:tcW w:w="1867" w:type="pct"/>
            <w:tcMar>
              <w:top w:w="0" w:type="dxa"/>
              <w:left w:w="0" w:type="dxa"/>
              <w:bottom w:w="0" w:type="dxa"/>
              <w:right w:w="0" w:type="dxa"/>
            </w:tcMar>
            <w:vAlign w:val="center"/>
          </w:tcPr>
          <w:p w14:paraId="37862EC3">
            <w:pPr>
              <w:pStyle w:val="288"/>
              <w:adjustRightInd w:val="0"/>
              <w:snapToGrid w:val="0"/>
              <w:spacing w:line="300" w:lineRule="exact"/>
              <w:rPr>
                <w:rFonts w:hint="eastAsia" w:eastAsia="宋体"/>
                <w:color w:val="auto"/>
                <w:lang w:bidi="ar"/>
              </w:rPr>
            </w:pPr>
            <w:r>
              <w:rPr>
                <w:rFonts w:hint="eastAsia" w:eastAsia="宋体"/>
                <w:color w:val="auto"/>
                <w:lang w:bidi="ar"/>
              </w:rPr>
              <w:t>本项目不属于“高污染、高环境风险产品”的工业项目，本项目属于《产业结构调整指导目录（2024年本）》中的鼓励类，建设符合自治区主体功能区规划、生态环境功能区划、生态环境保护规划等</w:t>
            </w:r>
            <w:r>
              <w:rPr>
                <w:rFonts w:eastAsia="宋体"/>
                <w:color w:val="auto"/>
                <w:lang w:bidi="ar"/>
              </w:rPr>
              <w:t>。</w:t>
            </w:r>
          </w:p>
        </w:tc>
        <w:tc>
          <w:tcPr>
            <w:tcW w:w="372" w:type="pct"/>
            <w:tcMar>
              <w:top w:w="0" w:type="dxa"/>
              <w:left w:w="0" w:type="dxa"/>
              <w:bottom w:w="0" w:type="dxa"/>
              <w:right w:w="0" w:type="dxa"/>
            </w:tcMar>
            <w:vAlign w:val="center"/>
          </w:tcPr>
          <w:p w14:paraId="31BCBF64">
            <w:pPr>
              <w:pStyle w:val="288"/>
              <w:adjustRightInd w:val="0"/>
              <w:snapToGrid w:val="0"/>
              <w:spacing w:line="300" w:lineRule="exact"/>
              <w:rPr>
                <w:rFonts w:hint="eastAsia" w:eastAsia="宋体"/>
                <w:color w:val="auto"/>
                <w:lang w:bidi="ar"/>
              </w:rPr>
            </w:pPr>
            <w:r>
              <w:rPr>
                <w:rFonts w:hint="eastAsia" w:eastAsia="宋体"/>
                <w:color w:val="auto"/>
                <w:lang w:bidi="ar"/>
              </w:rPr>
              <w:t>符合</w:t>
            </w:r>
          </w:p>
        </w:tc>
      </w:tr>
      <w:tr w14:paraId="01FFA7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tcMar>
              <w:top w:w="0" w:type="dxa"/>
              <w:left w:w="0" w:type="dxa"/>
              <w:bottom w:w="0" w:type="dxa"/>
              <w:right w:w="0" w:type="dxa"/>
            </w:tcMar>
            <w:vAlign w:val="center"/>
          </w:tcPr>
          <w:p w14:paraId="78ED490C">
            <w:pPr>
              <w:pStyle w:val="288"/>
              <w:adjustRightInd w:val="0"/>
              <w:snapToGrid w:val="0"/>
              <w:spacing w:line="300" w:lineRule="exact"/>
              <w:rPr>
                <w:rFonts w:hint="eastAsia" w:eastAsia="宋体"/>
                <w:color w:val="auto"/>
                <w:lang w:bidi="ar"/>
              </w:rPr>
            </w:pPr>
          </w:p>
        </w:tc>
        <w:tc>
          <w:tcPr>
            <w:tcW w:w="438" w:type="pct"/>
            <w:tcMar>
              <w:top w:w="0" w:type="dxa"/>
              <w:left w:w="0" w:type="dxa"/>
              <w:bottom w:w="0" w:type="dxa"/>
              <w:right w:w="0" w:type="dxa"/>
            </w:tcMar>
            <w:vAlign w:val="center"/>
          </w:tcPr>
          <w:p w14:paraId="42183DDB">
            <w:pPr>
              <w:pStyle w:val="288"/>
              <w:adjustRightInd w:val="0"/>
              <w:snapToGrid w:val="0"/>
              <w:spacing w:line="300" w:lineRule="exact"/>
              <w:rPr>
                <w:rFonts w:hint="eastAsia" w:eastAsia="宋体"/>
                <w:color w:val="auto"/>
                <w:lang w:bidi="ar"/>
              </w:rPr>
            </w:pPr>
            <w:r>
              <w:rPr>
                <w:rFonts w:hint="eastAsia" w:eastAsia="宋体"/>
                <w:color w:val="auto"/>
                <w:lang w:bidi="ar"/>
              </w:rPr>
              <w:t>污染物排放管控</w:t>
            </w:r>
          </w:p>
        </w:tc>
        <w:tc>
          <w:tcPr>
            <w:tcW w:w="1868" w:type="pct"/>
            <w:gridSpan w:val="2"/>
            <w:tcMar>
              <w:top w:w="0" w:type="dxa"/>
              <w:left w:w="0" w:type="dxa"/>
              <w:bottom w:w="0" w:type="dxa"/>
              <w:right w:w="0" w:type="dxa"/>
            </w:tcMar>
            <w:vAlign w:val="center"/>
          </w:tcPr>
          <w:p w14:paraId="3709D4FF">
            <w:pPr>
              <w:pStyle w:val="288"/>
              <w:adjustRightInd w:val="0"/>
              <w:snapToGrid w:val="0"/>
              <w:spacing w:line="300" w:lineRule="exact"/>
              <w:jc w:val="both"/>
              <w:rPr>
                <w:rFonts w:hint="eastAsia" w:eastAsia="宋体"/>
                <w:color w:val="auto"/>
                <w:lang w:bidi="ar"/>
              </w:rPr>
            </w:pPr>
            <w:r>
              <w:rPr>
                <w:rFonts w:hint="eastAsia" w:eastAsia="宋体"/>
                <w:color w:val="auto"/>
                <w:lang w:bidi="ar"/>
              </w:rPr>
              <w:t xml:space="preserve">1.污染物排放执行国家和地方相关标准中普适性要求。 </w:t>
            </w:r>
          </w:p>
          <w:p w14:paraId="0F3D1DB2">
            <w:pPr>
              <w:pStyle w:val="288"/>
              <w:adjustRightInd w:val="0"/>
              <w:snapToGrid w:val="0"/>
              <w:spacing w:line="300" w:lineRule="exact"/>
              <w:jc w:val="both"/>
              <w:rPr>
                <w:rFonts w:hint="eastAsia" w:eastAsia="宋体"/>
                <w:color w:val="auto"/>
                <w:lang w:bidi="ar"/>
              </w:rPr>
            </w:pPr>
            <w:r>
              <w:rPr>
                <w:rFonts w:hint="eastAsia" w:eastAsia="宋体"/>
                <w:color w:val="auto"/>
                <w:lang w:bidi="ar"/>
              </w:rPr>
              <w:t xml:space="preserve">2.“乌-昌-石”区域内，已实施超低排放的涉气排污单位，其实施超低排放改造的污染因子执行超低排放限值，其他污染因子执行特别排放限值和特别控制要求。 </w:t>
            </w:r>
          </w:p>
          <w:p w14:paraId="36A8EE16">
            <w:pPr>
              <w:pStyle w:val="288"/>
              <w:adjustRightInd w:val="0"/>
              <w:snapToGrid w:val="0"/>
              <w:spacing w:line="300" w:lineRule="exact"/>
              <w:jc w:val="both"/>
              <w:rPr>
                <w:rFonts w:hint="eastAsia" w:eastAsia="宋体"/>
                <w:color w:val="auto"/>
                <w:lang w:bidi="ar"/>
              </w:rPr>
            </w:pPr>
            <w:r>
              <w:rPr>
                <w:rFonts w:hint="eastAsia" w:eastAsia="宋体"/>
                <w:color w:val="auto"/>
                <w:lang w:bidi="ar"/>
              </w:rPr>
              <w:t xml:space="preserve">3.加强农业面源污染治理，科学合理使用化肥农药，逐步削减农业面源污染物排放量。 </w:t>
            </w:r>
          </w:p>
          <w:p w14:paraId="09C29338">
            <w:pPr>
              <w:pStyle w:val="288"/>
              <w:adjustRightInd w:val="0"/>
              <w:snapToGrid w:val="0"/>
              <w:spacing w:line="300" w:lineRule="exact"/>
              <w:jc w:val="both"/>
              <w:rPr>
                <w:rFonts w:hint="eastAsia" w:eastAsia="宋体"/>
                <w:color w:val="auto"/>
                <w:lang w:bidi="ar"/>
              </w:rPr>
            </w:pPr>
            <w:r>
              <w:rPr>
                <w:rFonts w:hint="eastAsia" w:eastAsia="宋体"/>
                <w:color w:val="auto"/>
                <w:lang w:bidi="ar"/>
              </w:rPr>
              <w:t>4.施工工地全面落实“六个百分之百”（施工工地周边围挡、物料堆放覆盖、出入车辆冲洗、施工现场地面硬化、拆迁工地湿法作业、渣土车辆密闭运输）。</w:t>
            </w:r>
          </w:p>
        </w:tc>
        <w:tc>
          <w:tcPr>
            <w:tcW w:w="1867" w:type="pct"/>
            <w:tcMar>
              <w:top w:w="0" w:type="dxa"/>
              <w:left w:w="0" w:type="dxa"/>
              <w:bottom w:w="0" w:type="dxa"/>
              <w:right w:w="0" w:type="dxa"/>
            </w:tcMar>
            <w:vAlign w:val="center"/>
          </w:tcPr>
          <w:p w14:paraId="08967AED">
            <w:pPr>
              <w:pStyle w:val="288"/>
              <w:adjustRightInd w:val="0"/>
              <w:snapToGrid w:val="0"/>
              <w:spacing w:line="300" w:lineRule="exact"/>
              <w:jc w:val="both"/>
              <w:rPr>
                <w:rFonts w:hint="eastAsia" w:eastAsia="宋体"/>
                <w:color w:val="auto"/>
                <w:lang w:bidi="ar"/>
              </w:rPr>
            </w:pPr>
            <w:r>
              <w:rPr>
                <w:rFonts w:hint="eastAsia" w:eastAsia="宋体"/>
                <w:color w:val="auto"/>
                <w:lang w:bidi="ar"/>
              </w:rPr>
              <w:t>本项目不属于重点行业，施工期废气随着施工期的结束而消失，运营</w:t>
            </w:r>
            <w:r>
              <w:rPr>
                <w:rFonts w:hint="eastAsia" w:eastAsia="宋体"/>
                <w:color w:val="auto"/>
                <w:lang w:bidi="ar"/>
              </w:rPr>
              <w:t>期废气主要为无组织废气和燃气发电机燃烧烟气，</w:t>
            </w:r>
            <w:r>
              <w:rPr>
                <w:rFonts w:hint="eastAsia" w:eastAsia="宋体"/>
                <w:color w:val="auto"/>
                <w:lang w:bidi="ar"/>
              </w:rPr>
              <w:t>采取相应措施后井场厂界无组织非甲烷总烃满足《陆上石油天然气开采工业大气污染物排放标准》（GB39728-2020）中</w:t>
            </w:r>
            <w:r>
              <w:rPr>
                <w:rFonts w:eastAsia="宋体"/>
                <w:color w:val="auto"/>
                <w:lang w:bidi="ar"/>
              </w:rPr>
              <w:t>企业边界污染物控制要求</w:t>
            </w:r>
            <w:r>
              <w:rPr>
                <w:rFonts w:hint="eastAsia" w:eastAsia="宋体"/>
                <w:color w:val="auto"/>
                <w:lang w:bidi="ar"/>
              </w:rPr>
              <w:t>，燃气发电机燃烧烟气中各污染物均满足《大气污染物综合排放标准》（GB16297-1996）表2限值要求，</w:t>
            </w:r>
            <w:r>
              <w:rPr>
                <w:rFonts w:hint="eastAsia" w:eastAsia="宋体"/>
                <w:color w:val="auto"/>
                <w:lang w:bidi="ar"/>
              </w:rPr>
              <w:t>噪声源井场边</w:t>
            </w:r>
            <w:r>
              <w:rPr>
                <w:rFonts w:eastAsia="宋体"/>
                <w:color w:val="auto"/>
                <w:lang w:bidi="ar"/>
              </w:rPr>
              <w:t>界昼夜噪声满足《工业企业厂界环境噪声排放标准》（GB12348-2008）中的2类区标准</w:t>
            </w:r>
            <w:r>
              <w:rPr>
                <w:rFonts w:hint="eastAsia" w:eastAsia="宋体"/>
                <w:color w:val="auto"/>
                <w:lang w:bidi="ar"/>
              </w:rPr>
              <w:t>要求，废水和固体废物均可得到妥善处置。</w:t>
            </w:r>
          </w:p>
        </w:tc>
        <w:tc>
          <w:tcPr>
            <w:tcW w:w="372" w:type="pct"/>
            <w:tcMar>
              <w:top w:w="0" w:type="dxa"/>
              <w:left w:w="0" w:type="dxa"/>
              <w:bottom w:w="0" w:type="dxa"/>
              <w:right w:w="0" w:type="dxa"/>
            </w:tcMar>
            <w:vAlign w:val="center"/>
          </w:tcPr>
          <w:p w14:paraId="0FF696B0">
            <w:pPr>
              <w:pStyle w:val="288"/>
              <w:adjustRightInd w:val="0"/>
              <w:snapToGrid w:val="0"/>
              <w:spacing w:line="300" w:lineRule="exact"/>
              <w:rPr>
                <w:rFonts w:hint="eastAsia" w:eastAsia="宋体"/>
                <w:color w:val="auto"/>
                <w:lang w:bidi="ar"/>
              </w:rPr>
            </w:pPr>
            <w:r>
              <w:rPr>
                <w:rFonts w:hint="eastAsia" w:eastAsia="宋体"/>
                <w:color w:val="auto"/>
                <w:lang w:bidi="ar"/>
              </w:rPr>
              <w:t>符合</w:t>
            </w:r>
          </w:p>
        </w:tc>
      </w:tr>
      <w:tr w14:paraId="03A2CC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tcMar>
              <w:top w:w="0" w:type="dxa"/>
              <w:left w:w="0" w:type="dxa"/>
              <w:bottom w:w="0" w:type="dxa"/>
              <w:right w:w="0" w:type="dxa"/>
            </w:tcMar>
            <w:vAlign w:val="center"/>
          </w:tcPr>
          <w:p w14:paraId="47C77B28">
            <w:pPr>
              <w:pStyle w:val="288"/>
              <w:adjustRightInd w:val="0"/>
              <w:snapToGrid w:val="0"/>
              <w:spacing w:line="300" w:lineRule="exact"/>
              <w:rPr>
                <w:rFonts w:hint="eastAsia" w:eastAsia="宋体"/>
                <w:color w:val="auto"/>
                <w:lang w:bidi="ar"/>
              </w:rPr>
            </w:pPr>
          </w:p>
        </w:tc>
        <w:tc>
          <w:tcPr>
            <w:tcW w:w="438" w:type="pct"/>
            <w:vMerge w:val="restart"/>
            <w:tcMar>
              <w:top w:w="0" w:type="dxa"/>
              <w:left w:w="0" w:type="dxa"/>
              <w:bottom w:w="0" w:type="dxa"/>
              <w:right w:w="0" w:type="dxa"/>
            </w:tcMar>
            <w:vAlign w:val="center"/>
          </w:tcPr>
          <w:p w14:paraId="4ACC96F5">
            <w:pPr>
              <w:pStyle w:val="288"/>
              <w:adjustRightInd w:val="0"/>
              <w:snapToGrid w:val="0"/>
              <w:spacing w:line="300" w:lineRule="exact"/>
              <w:rPr>
                <w:rFonts w:hint="eastAsia" w:eastAsia="宋体"/>
                <w:color w:val="auto"/>
                <w:lang w:bidi="ar"/>
              </w:rPr>
            </w:pPr>
            <w:r>
              <w:rPr>
                <w:rFonts w:eastAsia="宋体"/>
                <w:color w:val="auto"/>
                <w:lang w:bidi="ar"/>
              </w:rPr>
              <w:t>环境风险防控</w:t>
            </w:r>
          </w:p>
        </w:tc>
        <w:tc>
          <w:tcPr>
            <w:tcW w:w="163" w:type="pct"/>
            <w:vMerge w:val="restart"/>
            <w:tcMar>
              <w:top w:w="0" w:type="dxa"/>
              <w:left w:w="0" w:type="dxa"/>
              <w:bottom w:w="0" w:type="dxa"/>
              <w:right w:w="0" w:type="dxa"/>
            </w:tcMar>
            <w:vAlign w:val="center"/>
          </w:tcPr>
          <w:p w14:paraId="25C8154A">
            <w:pPr>
              <w:pStyle w:val="288"/>
              <w:adjustRightInd w:val="0"/>
              <w:snapToGrid w:val="0"/>
              <w:spacing w:line="300" w:lineRule="exact"/>
              <w:rPr>
                <w:rFonts w:hint="eastAsia" w:eastAsia="宋体"/>
                <w:color w:val="auto"/>
                <w:lang w:bidi="ar"/>
              </w:rPr>
            </w:pPr>
            <w:r>
              <w:rPr>
                <w:rFonts w:hint="eastAsia" w:eastAsia="宋体"/>
                <w:color w:val="auto"/>
                <w:lang w:bidi="ar"/>
              </w:rPr>
              <w:t>联防联控要求</w:t>
            </w:r>
          </w:p>
        </w:tc>
        <w:tc>
          <w:tcPr>
            <w:tcW w:w="1705" w:type="pct"/>
            <w:vAlign w:val="center"/>
          </w:tcPr>
          <w:p w14:paraId="07E57B06">
            <w:pPr>
              <w:pStyle w:val="288"/>
              <w:adjustRightInd w:val="0"/>
              <w:snapToGrid w:val="0"/>
              <w:spacing w:line="300" w:lineRule="exact"/>
              <w:jc w:val="both"/>
              <w:rPr>
                <w:rFonts w:hint="eastAsia" w:eastAsia="宋体"/>
                <w:color w:val="auto"/>
                <w:lang w:bidi="ar"/>
              </w:rPr>
            </w:pPr>
            <w:r>
              <w:rPr>
                <w:rFonts w:hint="eastAsia" w:eastAsia="宋体"/>
                <w:color w:val="auto"/>
                <w:lang w:bidi="ar"/>
              </w:rPr>
              <w:t>1.执行区域生态环境保护的基本要求。</w:t>
            </w:r>
          </w:p>
          <w:p w14:paraId="09AD3F11">
            <w:pPr>
              <w:pStyle w:val="288"/>
              <w:adjustRightInd w:val="0"/>
              <w:snapToGrid w:val="0"/>
              <w:spacing w:line="300" w:lineRule="exact"/>
              <w:jc w:val="both"/>
              <w:rPr>
                <w:rFonts w:hint="eastAsia" w:eastAsia="宋体"/>
                <w:color w:val="auto"/>
                <w:lang w:bidi="ar"/>
              </w:rPr>
            </w:pPr>
            <w:r>
              <w:rPr>
                <w:rFonts w:hint="eastAsia" w:eastAsia="宋体"/>
                <w:color w:val="auto"/>
                <w:lang w:bidi="ar"/>
              </w:rPr>
              <w:t>2.加强土壤环境管理信息共享，建立部门联动监管机制。各级自然资源部门及时与生态环境部门共享用途变更为“一住两公”的地块信息，土壤污染重点监管单位生产经营用地用途变更或土地使用权收回、转让信息，以及涉及疑似污染地块、污染地块国土空间规划等相关信息。</w:t>
            </w:r>
          </w:p>
        </w:tc>
        <w:tc>
          <w:tcPr>
            <w:tcW w:w="1867" w:type="pct"/>
            <w:tcMar>
              <w:top w:w="0" w:type="dxa"/>
              <w:left w:w="0" w:type="dxa"/>
              <w:bottom w:w="0" w:type="dxa"/>
              <w:right w:w="0" w:type="dxa"/>
            </w:tcMar>
            <w:vAlign w:val="center"/>
          </w:tcPr>
          <w:p w14:paraId="56593741">
            <w:pPr>
              <w:pStyle w:val="288"/>
              <w:adjustRightInd w:val="0"/>
              <w:snapToGrid w:val="0"/>
              <w:spacing w:line="300" w:lineRule="exact"/>
              <w:rPr>
                <w:rFonts w:hint="eastAsia" w:eastAsia="宋体"/>
                <w:color w:val="auto"/>
                <w:lang w:bidi="ar"/>
              </w:rPr>
            </w:pPr>
            <w:r>
              <w:rPr>
                <w:rFonts w:hint="eastAsia" w:eastAsia="宋体"/>
                <w:color w:val="auto"/>
                <w:lang w:bidi="ar"/>
              </w:rPr>
              <w:t>项目周围无农用地，井下作业废液送至莫北转油站采出水处理系统处理；清罐底泥、废分子筛、废滤料、废润滑油、废润滑油桶、沾油废防渗材料、废含油抹布及劳保用品交由有相应危险废物处理资质的单位回收处理</w:t>
            </w:r>
          </w:p>
        </w:tc>
        <w:tc>
          <w:tcPr>
            <w:tcW w:w="372" w:type="pct"/>
            <w:tcMar>
              <w:top w:w="0" w:type="dxa"/>
              <w:left w:w="0" w:type="dxa"/>
              <w:bottom w:w="0" w:type="dxa"/>
              <w:right w:w="0" w:type="dxa"/>
            </w:tcMar>
            <w:vAlign w:val="center"/>
          </w:tcPr>
          <w:p w14:paraId="37A9AEC7">
            <w:pPr>
              <w:pStyle w:val="288"/>
              <w:adjustRightInd w:val="0"/>
              <w:snapToGrid w:val="0"/>
              <w:spacing w:line="300" w:lineRule="exact"/>
              <w:rPr>
                <w:rFonts w:hint="eastAsia" w:eastAsia="宋体"/>
                <w:color w:val="auto"/>
                <w:lang w:bidi="ar"/>
              </w:rPr>
            </w:pPr>
            <w:r>
              <w:rPr>
                <w:rFonts w:hint="eastAsia" w:eastAsia="宋体"/>
                <w:color w:val="auto"/>
                <w:lang w:bidi="ar"/>
              </w:rPr>
              <w:t>符合</w:t>
            </w:r>
          </w:p>
        </w:tc>
      </w:tr>
      <w:tr w14:paraId="76FFEF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tcMar>
              <w:top w:w="0" w:type="dxa"/>
              <w:left w:w="0" w:type="dxa"/>
              <w:bottom w:w="0" w:type="dxa"/>
              <w:right w:w="0" w:type="dxa"/>
            </w:tcMar>
            <w:vAlign w:val="center"/>
          </w:tcPr>
          <w:p w14:paraId="179C88A0">
            <w:pPr>
              <w:pStyle w:val="288"/>
              <w:adjustRightInd w:val="0"/>
              <w:snapToGrid w:val="0"/>
              <w:spacing w:line="300" w:lineRule="exact"/>
              <w:rPr>
                <w:rFonts w:hint="eastAsia" w:eastAsia="宋体"/>
                <w:color w:val="auto"/>
                <w:lang w:bidi="ar"/>
              </w:rPr>
            </w:pPr>
          </w:p>
        </w:tc>
        <w:tc>
          <w:tcPr>
            <w:tcW w:w="438" w:type="pct"/>
            <w:vMerge w:val="continue"/>
            <w:tcMar>
              <w:top w:w="0" w:type="dxa"/>
              <w:left w:w="0" w:type="dxa"/>
              <w:bottom w:w="0" w:type="dxa"/>
              <w:right w:w="0" w:type="dxa"/>
            </w:tcMar>
            <w:vAlign w:val="center"/>
          </w:tcPr>
          <w:p w14:paraId="6B322482">
            <w:pPr>
              <w:pStyle w:val="288"/>
              <w:adjustRightInd w:val="0"/>
              <w:snapToGrid w:val="0"/>
              <w:spacing w:line="300" w:lineRule="exact"/>
              <w:rPr>
                <w:rFonts w:hint="eastAsia" w:eastAsia="宋体"/>
                <w:color w:val="auto"/>
                <w:lang w:bidi="ar"/>
              </w:rPr>
            </w:pPr>
          </w:p>
        </w:tc>
        <w:tc>
          <w:tcPr>
            <w:tcW w:w="163" w:type="pct"/>
            <w:vMerge w:val="continue"/>
            <w:tcMar>
              <w:top w:w="0" w:type="dxa"/>
              <w:left w:w="0" w:type="dxa"/>
              <w:bottom w:w="0" w:type="dxa"/>
              <w:right w:w="0" w:type="dxa"/>
            </w:tcMar>
            <w:vAlign w:val="center"/>
          </w:tcPr>
          <w:p w14:paraId="7DAF8CE1">
            <w:pPr>
              <w:pStyle w:val="288"/>
              <w:adjustRightInd w:val="0"/>
              <w:snapToGrid w:val="0"/>
              <w:spacing w:line="300" w:lineRule="exact"/>
              <w:rPr>
                <w:rFonts w:hint="eastAsia" w:eastAsia="宋体"/>
                <w:color w:val="auto"/>
                <w:lang w:bidi="ar"/>
              </w:rPr>
            </w:pPr>
          </w:p>
        </w:tc>
        <w:tc>
          <w:tcPr>
            <w:tcW w:w="1705" w:type="pct"/>
            <w:vAlign w:val="center"/>
          </w:tcPr>
          <w:p w14:paraId="52BC851B">
            <w:pPr>
              <w:pStyle w:val="288"/>
              <w:adjustRightInd w:val="0"/>
              <w:snapToGrid w:val="0"/>
              <w:spacing w:line="300" w:lineRule="exact"/>
              <w:jc w:val="both"/>
              <w:rPr>
                <w:rFonts w:hint="eastAsia" w:eastAsia="宋体"/>
                <w:color w:val="auto"/>
                <w:lang w:bidi="ar"/>
              </w:rPr>
            </w:pPr>
            <w:r>
              <w:rPr>
                <w:rFonts w:hint="eastAsia" w:eastAsia="宋体"/>
                <w:color w:val="auto"/>
                <w:lang w:bidi="ar"/>
              </w:rPr>
              <w:t>1.以用途变更为住宅、公共管理与公共服务用地的地块，以及腾退工矿企业用地为重点，依法开展土壤污染状况调查和风险评估。</w:t>
            </w:r>
          </w:p>
          <w:p w14:paraId="254B2FE8">
            <w:pPr>
              <w:pStyle w:val="288"/>
              <w:adjustRightInd w:val="0"/>
              <w:snapToGrid w:val="0"/>
              <w:spacing w:line="300" w:lineRule="exact"/>
              <w:jc w:val="both"/>
              <w:rPr>
                <w:rFonts w:hint="eastAsia" w:eastAsia="宋体"/>
                <w:color w:val="auto"/>
                <w:lang w:bidi="ar"/>
              </w:rPr>
            </w:pPr>
            <w:r>
              <w:rPr>
                <w:rFonts w:hint="eastAsia" w:eastAsia="宋体"/>
                <w:color w:val="auto"/>
                <w:lang w:bidi="ar"/>
              </w:rPr>
              <w:t>2.列入建设用地土壤污染风险管控和修复名录的地块，不得作为住宅、公共管理与公共服务用地，未达到土壤污染风险评估报告确定的风险管控、修复目标的建设用地地块，禁止开工建设任何与风险管控、修复无关的项目。</w:t>
            </w:r>
          </w:p>
          <w:p w14:paraId="50799B9D">
            <w:pPr>
              <w:pStyle w:val="288"/>
              <w:adjustRightInd w:val="0"/>
              <w:snapToGrid w:val="0"/>
              <w:spacing w:line="300" w:lineRule="exact"/>
              <w:jc w:val="both"/>
              <w:rPr>
                <w:rFonts w:hint="eastAsia" w:eastAsia="宋体"/>
                <w:color w:val="auto"/>
                <w:lang w:bidi="ar"/>
              </w:rPr>
            </w:pPr>
            <w:r>
              <w:rPr>
                <w:rFonts w:hint="eastAsia" w:eastAsia="宋体"/>
                <w:color w:val="auto"/>
                <w:lang w:bidi="ar"/>
              </w:rPr>
              <w:t>3.重点强化准东开发区以及昌吉高新技术产业开发区、阜康市工业园区环境风险防控，深入推进园区有毒有害气体环境预警体系和水污染物多级防控体系试点建设。</w:t>
            </w:r>
          </w:p>
          <w:p w14:paraId="6453C90C">
            <w:pPr>
              <w:pStyle w:val="288"/>
              <w:adjustRightInd w:val="0"/>
              <w:snapToGrid w:val="0"/>
              <w:spacing w:line="300" w:lineRule="exact"/>
              <w:jc w:val="both"/>
              <w:rPr>
                <w:rFonts w:hint="eastAsia" w:eastAsia="宋体"/>
                <w:color w:val="auto"/>
                <w:lang w:bidi="ar"/>
              </w:rPr>
            </w:pPr>
            <w:r>
              <w:rPr>
                <w:rFonts w:hint="eastAsia" w:eastAsia="宋体"/>
                <w:color w:val="auto"/>
                <w:lang w:bidi="ar"/>
              </w:rPr>
              <w:t>4.健全环境应急管理指挥体系，加强应急、公安、消防、水利、交通运输、住建、生态环境等部门间的应急联动，推进跨行政区域、跨流域环境应急联动机制建设，提高信息互通、资源共享和协同处置能力。</w:t>
            </w:r>
          </w:p>
        </w:tc>
        <w:tc>
          <w:tcPr>
            <w:tcW w:w="1867" w:type="pct"/>
            <w:tcMar>
              <w:top w:w="0" w:type="dxa"/>
              <w:left w:w="0" w:type="dxa"/>
              <w:bottom w:w="0" w:type="dxa"/>
              <w:right w:w="0" w:type="dxa"/>
            </w:tcMar>
            <w:vAlign w:val="center"/>
          </w:tcPr>
          <w:p w14:paraId="7D54CA97">
            <w:pPr>
              <w:pStyle w:val="288"/>
              <w:adjustRightInd w:val="0"/>
              <w:snapToGrid w:val="0"/>
              <w:spacing w:line="300" w:lineRule="exact"/>
              <w:rPr>
                <w:rFonts w:hint="eastAsia" w:eastAsia="宋体"/>
                <w:color w:val="auto"/>
                <w:lang w:bidi="ar"/>
              </w:rPr>
            </w:pPr>
            <w:r>
              <w:rPr>
                <w:rFonts w:hint="eastAsia" w:eastAsia="宋体"/>
                <w:color w:val="auto"/>
                <w:lang w:bidi="ar"/>
              </w:rPr>
              <w:t>本项目不涉及</w:t>
            </w:r>
          </w:p>
        </w:tc>
        <w:tc>
          <w:tcPr>
            <w:tcW w:w="372" w:type="pct"/>
            <w:tcMar>
              <w:top w:w="0" w:type="dxa"/>
              <w:left w:w="0" w:type="dxa"/>
              <w:bottom w:w="0" w:type="dxa"/>
              <w:right w:w="0" w:type="dxa"/>
            </w:tcMar>
            <w:vAlign w:val="center"/>
          </w:tcPr>
          <w:p w14:paraId="38ECFF03">
            <w:pPr>
              <w:pStyle w:val="288"/>
              <w:adjustRightInd w:val="0"/>
              <w:snapToGrid w:val="0"/>
              <w:spacing w:line="300" w:lineRule="exact"/>
              <w:rPr>
                <w:rFonts w:hint="eastAsia" w:eastAsia="宋体"/>
                <w:color w:val="auto"/>
                <w:lang w:bidi="ar"/>
              </w:rPr>
            </w:pPr>
            <w:r>
              <w:rPr>
                <w:rFonts w:hint="eastAsia" w:eastAsia="宋体"/>
                <w:color w:val="auto"/>
                <w:lang w:bidi="ar"/>
              </w:rPr>
              <w:t>符合</w:t>
            </w:r>
          </w:p>
        </w:tc>
      </w:tr>
      <w:tr w14:paraId="3E5C8C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tcMar>
              <w:top w:w="0" w:type="dxa"/>
              <w:left w:w="0" w:type="dxa"/>
              <w:bottom w:w="0" w:type="dxa"/>
              <w:right w:w="0" w:type="dxa"/>
            </w:tcMar>
            <w:vAlign w:val="center"/>
          </w:tcPr>
          <w:p w14:paraId="5387906D">
            <w:pPr>
              <w:pStyle w:val="288"/>
              <w:adjustRightInd w:val="0"/>
              <w:snapToGrid w:val="0"/>
              <w:spacing w:line="300" w:lineRule="exact"/>
              <w:rPr>
                <w:rFonts w:hint="eastAsia" w:eastAsia="宋体"/>
                <w:color w:val="auto"/>
                <w:lang w:bidi="ar"/>
              </w:rPr>
            </w:pPr>
          </w:p>
        </w:tc>
        <w:tc>
          <w:tcPr>
            <w:tcW w:w="438" w:type="pct"/>
            <w:vMerge w:val="continue"/>
            <w:tcMar>
              <w:top w:w="0" w:type="dxa"/>
              <w:left w:w="0" w:type="dxa"/>
              <w:bottom w:w="0" w:type="dxa"/>
              <w:right w:w="0" w:type="dxa"/>
            </w:tcMar>
            <w:vAlign w:val="center"/>
          </w:tcPr>
          <w:p w14:paraId="12BC81D6">
            <w:pPr>
              <w:pStyle w:val="288"/>
              <w:adjustRightInd w:val="0"/>
              <w:snapToGrid w:val="0"/>
              <w:spacing w:line="300" w:lineRule="exact"/>
              <w:rPr>
                <w:rFonts w:hint="eastAsia" w:eastAsia="宋体"/>
                <w:color w:val="auto"/>
                <w:lang w:bidi="ar"/>
              </w:rPr>
            </w:pPr>
          </w:p>
        </w:tc>
        <w:tc>
          <w:tcPr>
            <w:tcW w:w="163" w:type="pct"/>
            <w:vMerge w:val="continue"/>
            <w:tcMar>
              <w:top w:w="0" w:type="dxa"/>
              <w:left w:w="0" w:type="dxa"/>
              <w:bottom w:w="0" w:type="dxa"/>
              <w:right w:w="0" w:type="dxa"/>
            </w:tcMar>
            <w:vAlign w:val="center"/>
          </w:tcPr>
          <w:p w14:paraId="64CDB938">
            <w:pPr>
              <w:pStyle w:val="288"/>
              <w:adjustRightInd w:val="0"/>
              <w:snapToGrid w:val="0"/>
              <w:spacing w:line="300" w:lineRule="exact"/>
              <w:rPr>
                <w:rFonts w:hint="eastAsia" w:eastAsia="宋体"/>
                <w:color w:val="auto"/>
                <w:lang w:bidi="ar"/>
              </w:rPr>
            </w:pPr>
          </w:p>
        </w:tc>
        <w:tc>
          <w:tcPr>
            <w:tcW w:w="1705" w:type="pct"/>
            <w:vAlign w:val="center"/>
          </w:tcPr>
          <w:p w14:paraId="43478850">
            <w:pPr>
              <w:pStyle w:val="288"/>
              <w:adjustRightInd w:val="0"/>
              <w:snapToGrid w:val="0"/>
              <w:spacing w:line="300" w:lineRule="exact"/>
              <w:jc w:val="both"/>
              <w:rPr>
                <w:rFonts w:hint="eastAsia" w:eastAsia="宋体"/>
                <w:color w:val="auto"/>
                <w:lang w:bidi="ar"/>
              </w:rPr>
            </w:pPr>
            <w:r>
              <w:rPr>
                <w:rFonts w:hint="eastAsia" w:eastAsia="宋体"/>
                <w:color w:val="auto"/>
                <w:lang w:bidi="ar"/>
              </w:rPr>
              <w:t>1.加强流域环境应急队伍建设，定期开展流域环境应急演练。各县（市、区）重点针对重大环境风险企业突发污染事件，开展应急演练，加强多部门联合演练，加强环境应急专家队伍与救援队伍建设，加大环境应急资金投入。</w:t>
            </w:r>
          </w:p>
        </w:tc>
        <w:tc>
          <w:tcPr>
            <w:tcW w:w="1867" w:type="pct"/>
            <w:tcMar>
              <w:top w:w="0" w:type="dxa"/>
              <w:left w:w="0" w:type="dxa"/>
              <w:bottom w:w="0" w:type="dxa"/>
              <w:right w:w="0" w:type="dxa"/>
            </w:tcMar>
            <w:vAlign w:val="center"/>
          </w:tcPr>
          <w:p w14:paraId="2A453F47">
            <w:pPr>
              <w:pStyle w:val="288"/>
              <w:adjustRightInd w:val="0"/>
              <w:snapToGrid w:val="0"/>
              <w:spacing w:line="300" w:lineRule="exact"/>
              <w:jc w:val="both"/>
              <w:rPr>
                <w:rFonts w:hint="eastAsia" w:eastAsia="宋体"/>
                <w:color w:val="auto"/>
                <w:lang w:bidi="ar"/>
              </w:rPr>
            </w:pPr>
            <w:r>
              <w:rPr>
                <w:rFonts w:hint="eastAsia" w:eastAsia="宋体"/>
                <w:color w:val="auto"/>
                <w:lang w:bidi="ar"/>
              </w:rPr>
              <w:t>环境风险防范执行《中国石油新疆油田分公司勘探事业部突发环境事件应急预案》，同时落实中国石油新疆油田分公司已建立的健康、安全与环境（HSE）管理体系。</w:t>
            </w:r>
          </w:p>
        </w:tc>
        <w:tc>
          <w:tcPr>
            <w:tcW w:w="372" w:type="pct"/>
            <w:tcMar>
              <w:top w:w="0" w:type="dxa"/>
              <w:left w:w="0" w:type="dxa"/>
              <w:bottom w:w="0" w:type="dxa"/>
              <w:right w:w="0" w:type="dxa"/>
            </w:tcMar>
            <w:vAlign w:val="center"/>
          </w:tcPr>
          <w:p w14:paraId="3D9954F2">
            <w:pPr>
              <w:pStyle w:val="288"/>
              <w:adjustRightInd w:val="0"/>
              <w:snapToGrid w:val="0"/>
              <w:spacing w:line="300" w:lineRule="exact"/>
              <w:rPr>
                <w:rFonts w:hint="eastAsia" w:eastAsia="宋体"/>
                <w:color w:val="auto"/>
                <w:lang w:bidi="ar"/>
              </w:rPr>
            </w:pPr>
            <w:r>
              <w:rPr>
                <w:rFonts w:hint="eastAsia" w:eastAsia="宋体"/>
                <w:color w:val="auto"/>
                <w:lang w:bidi="ar"/>
              </w:rPr>
              <w:t>符合</w:t>
            </w:r>
          </w:p>
        </w:tc>
      </w:tr>
      <w:tr w14:paraId="72BF31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tcMar>
              <w:top w:w="0" w:type="dxa"/>
              <w:left w:w="0" w:type="dxa"/>
              <w:bottom w:w="0" w:type="dxa"/>
              <w:right w:w="0" w:type="dxa"/>
            </w:tcMar>
            <w:vAlign w:val="center"/>
          </w:tcPr>
          <w:p w14:paraId="7F8E7F1F">
            <w:pPr>
              <w:pStyle w:val="288"/>
              <w:adjustRightInd w:val="0"/>
              <w:snapToGrid w:val="0"/>
              <w:spacing w:line="300" w:lineRule="exact"/>
              <w:rPr>
                <w:rFonts w:hint="eastAsia" w:eastAsia="宋体"/>
                <w:color w:val="auto"/>
                <w:lang w:bidi="ar"/>
              </w:rPr>
            </w:pPr>
          </w:p>
        </w:tc>
        <w:tc>
          <w:tcPr>
            <w:tcW w:w="438" w:type="pct"/>
            <w:vMerge w:val="continue"/>
            <w:tcMar>
              <w:top w:w="0" w:type="dxa"/>
              <w:left w:w="0" w:type="dxa"/>
              <w:bottom w:w="0" w:type="dxa"/>
              <w:right w:w="0" w:type="dxa"/>
            </w:tcMar>
            <w:vAlign w:val="center"/>
          </w:tcPr>
          <w:p w14:paraId="18AFCF23">
            <w:pPr>
              <w:pStyle w:val="288"/>
              <w:adjustRightInd w:val="0"/>
              <w:snapToGrid w:val="0"/>
              <w:spacing w:line="300" w:lineRule="exact"/>
              <w:rPr>
                <w:rFonts w:hint="eastAsia" w:eastAsia="宋体"/>
                <w:color w:val="auto"/>
                <w:lang w:bidi="ar"/>
              </w:rPr>
            </w:pPr>
          </w:p>
        </w:tc>
        <w:tc>
          <w:tcPr>
            <w:tcW w:w="163" w:type="pct"/>
            <w:vMerge w:val="continue"/>
            <w:tcMar>
              <w:top w:w="0" w:type="dxa"/>
              <w:left w:w="0" w:type="dxa"/>
              <w:bottom w:w="0" w:type="dxa"/>
              <w:right w:w="0" w:type="dxa"/>
            </w:tcMar>
            <w:vAlign w:val="center"/>
          </w:tcPr>
          <w:p w14:paraId="2BAA2365">
            <w:pPr>
              <w:pStyle w:val="288"/>
              <w:adjustRightInd w:val="0"/>
              <w:snapToGrid w:val="0"/>
              <w:spacing w:line="300" w:lineRule="exact"/>
              <w:rPr>
                <w:rFonts w:hint="eastAsia" w:eastAsia="宋体"/>
                <w:color w:val="auto"/>
                <w:lang w:bidi="ar"/>
              </w:rPr>
            </w:pPr>
          </w:p>
        </w:tc>
        <w:tc>
          <w:tcPr>
            <w:tcW w:w="1705" w:type="pct"/>
            <w:vAlign w:val="center"/>
          </w:tcPr>
          <w:p w14:paraId="391C9D94">
            <w:pPr>
              <w:pStyle w:val="288"/>
              <w:adjustRightInd w:val="0"/>
              <w:snapToGrid w:val="0"/>
              <w:spacing w:line="300" w:lineRule="exact"/>
              <w:jc w:val="both"/>
              <w:rPr>
                <w:rFonts w:hint="eastAsia" w:eastAsia="宋体"/>
                <w:color w:val="auto"/>
                <w:lang w:bidi="ar"/>
              </w:rPr>
            </w:pPr>
            <w:r>
              <w:rPr>
                <w:rFonts w:hint="eastAsia" w:eastAsia="宋体"/>
                <w:color w:val="auto"/>
                <w:lang w:bidi="ar"/>
              </w:rPr>
              <w:t>1.头屯河、三屯河、塔西河、呼图壁河、三工河、甘河子河、开垦河、木垒河等主要流域干流沿岸，要严格控制石油加工、化工原料和化学制品制造、医药制造、化学纤维制造、有色金属冶炼、造纸等项目环境风险，合理布局生产装置及危险化学品仓储等设施。根据县市人民政府批复的生态基流方案，保障重点河流生态基流，逐步恢复河湖生态环境。</w:t>
            </w:r>
          </w:p>
        </w:tc>
        <w:tc>
          <w:tcPr>
            <w:tcW w:w="1867" w:type="pct"/>
            <w:tcMar>
              <w:top w:w="0" w:type="dxa"/>
              <w:left w:w="0" w:type="dxa"/>
              <w:bottom w:w="0" w:type="dxa"/>
              <w:right w:w="0" w:type="dxa"/>
            </w:tcMar>
            <w:vAlign w:val="center"/>
          </w:tcPr>
          <w:p w14:paraId="19D5FFF9">
            <w:pPr>
              <w:pStyle w:val="288"/>
              <w:adjustRightInd w:val="0"/>
              <w:snapToGrid w:val="0"/>
              <w:spacing w:line="300" w:lineRule="exact"/>
              <w:rPr>
                <w:rFonts w:hint="eastAsia" w:eastAsia="宋体"/>
                <w:color w:val="auto"/>
                <w:lang w:bidi="ar"/>
              </w:rPr>
            </w:pPr>
            <w:r>
              <w:rPr>
                <w:rFonts w:hint="eastAsia" w:eastAsia="宋体"/>
                <w:color w:val="auto"/>
                <w:lang w:bidi="ar"/>
              </w:rPr>
              <w:t>本项目不涉及</w:t>
            </w:r>
          </w:p>
        </w:tc>
        <w:tc>
          <w:tcPr>
            <w:tcW w:w="372" w:type="pct"/>
            <w:tcMar>
              <w:top w:w="0" w:type="dxa"/>
              <w:left w:w="0" w:type="dxa"/>
              <w:bottom w:w="0" w:type="dxa"/>
              <w:right w:w="0" w:type="dxa"/>
            </w:tcMar>
            <w:vAlign w:val="center"/>
          </w:tcPr>
          <w:p w14:paraId="41C9B8B1">
            <w:pPr>
              <w:pStyle w:val="288"/>
              <w:adjustRightInd w:val="0"/>
              <w:snapToGrid w:val="0"/>
              <w:spacing w:line="300" w:lineRule="exact"/>
              <w:rPr>
                <w:rFonts w:hint="eastAsia" w:eastAsia="宋体"/>
                <w:color w:val="auto"/>
                <w:lang w:bidi="ar"/>
              </w:rPr>
            </w:pPr>
            <w:r>
              <w:rPr>
                <w:rFonts w:hint="eastAsia" w:eastAsia="宋体"/>
                <w:color w:val="auto"/>
                <w:lang w:bidi="ar"/>
              </w:rPr>
              <w:t>符合</w:t>
            </w:r>
          </w:p>
        </w:tc>
      </w:tr>
      <w:tr w14:paraId="0C40A6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tcMar>
              <w:top w:w="0" w:type="dxa"/>
              <w:left w:w="0" w:type="dxa"/>
              <w:bottom w:w="0" w:type="dxa"/>
              <w:right w:w="0" w:type="dxa"/>
            </w:tcMar>
            <w:vAlign w:val="center"/>
          </w:tcPr>
          <w:p w14:paraId="2BE8199D">
            <w:pPr>
              <w:pStyle w:val="288"/>
              <w:adjustRightInd w:val="0"/>
              <w:snapToGrid w:val="0"/>
              <w:spacing w:line="300" w:lineRule="exact"/>
              <w:rPr>
                <w:rFonts w:hint="eastAsia" w:eastAsia="宋体"/>
                <w:color w:val="auto"/>
                <w:lang w:bidi="ar"/>
              </w:rPr>
            </w:pPr>
          </w:p>
        </w:tc>
        <w:tc>
          <w:tcPr>
            <w:tcW w:w="438" w:type="pct"/>
            <w:vMerge w:val="restart"/>
            <w:tcMar>
              <w:top w:w="0" w:type="dxa"/>
              <w:left w:w="0" w:type="dxa"/>
              <w:bottom w:w="0" w:type="dxa"/>
              <w:right w:w="0" w:type="dxa"/>
            </w:tcMar>
            <w:vAlign w:val="center"/>
          </w:tcPr>
          <w:p w14:paraId="022B767A">
            <w:pPr>
              <w:pStyle w:val="288"/>
              <w:adjustRightInd w:val="0"/>
              <w:snapToGrid w:val="0"/>
              <w:spacing w:line="300" w:lineRule="exact"/>
              <w:rPr>
                <w:rFonts w:hint="eastAsia" w:eastAsia="宋体"/>
                <w:color w:val="auto"/>
                <w:lang w:bidi="ar"/>
              </w:rPr>
            </w:pPr>
            <w:r>
              <w:rPr>
                <w:rFonts w:eastAsia="宋体"/>
                <w:color w:val="auto"/>
                <w:lang w:bidi="ar"/>
              </w:rPr>
              <w:t>资源利用效率</w:t>
            </w:r>
          </w:p>
        </w:tc>
        <w:tc>
          <w:tcPr>
            <w:tcW w:w="163" w:type="pct"/>
            <w:vMerge w:val="restart"/>
            <w:tcMar>
              <w:top w:w="0" w:type="dxa"/>
              <w:left w:w="0" w:type="dxa"/>
              <w:bottom w:w="0" w:type="dxa"/>
              <w:right w:w="0" w:type="dxa"/>
            </w:tcMar>
            <w:vAlign w:val="center"/>
          </w:tcPr>
          <w:p w14:paraId="586CE303">
            <w:pPr>
              <w:adjustRightInd w:val="0"/>
              <w:snapToGrid w:val="0"/>
              <w:spacing w:line="400" w:lineRule="exact"/>
              <w:rPr>
                <w:rFonts w:hint="eastAsia" w:ascii="宋体" w:hAnsi="宋体" w:cstheme="minorBidi"/>
                <w:color w:val="auto"/>
                <w:szCs w:val="21"/>
                <w:lang w:bidi="ar"/>
              </w:rPr>
            </w:pPr>
            <w:r>
              <w:rPr>
                <w:rFonts w:hint="eastAsia" w:ascii="宋体" w:hAnsi="宋体" w:cstheme="minorBidi"/>
                <w:color w:val="auto"/>
                <w:szCs w:val="21"/>
                <w:lang w:bidi="ar"/>
              </w:rPr>
              <w:t>水资源利用总</w:t>
            </w:r>
          </w:p>
          <w:p w14:paraId="644DC8E0">
            <w:pPr>
              <w:pStyle w:val="288"/>
              <w:adjustRightInd w:val="0"/>
              <w:snapToGrid w:val="0"/>
              <w:spacing w:line="300" w:lineRule="exact"/>
              <w:rPr>
                <w:rFonts w:hint="eastAsia" w:eastAsia="宋体"/>
                <w:color w:val="auto"/>
                <w:lang w:bidi="ar"/>
              </w:rPr>
            </w:pPr>
            <w:r>
              <w:rPr>
                <w:rFonts w:hint="eastAsia" w:eastAsia="宋体"/>
                <w:color w:val="auto"/>
                <w:lang w:bidi="ar"/>
              </w:rPr>
              <w:t>量及效率要求</w:t>
            </w:r>
          </w:p>
        </w:tc>
        <w:tc>
          <w:tcPr>
            <w:tcW w:w="1705" w:type="pct"/>
            <w:vAlign w:val="center"/>
          </w:tcPr>
          <w:p w14:paraId="1720219A">
            <w:pPr>
              <w:pStyle w:val="288"/>
              <w:adjustRightInd w:val="0"/>
              <w:snapToGrid w:val="0"/>
              <w:spacing w:line="300" w:lineRule="exact"/>
              <w:jc w:val="both"/>
              <w:rPr>
                <w:rFonts w:hint="eastAsia" w:eastAsia="宋体"/>
                <w:color w:val="auto"/>
                <w:lang w:bidi="ar"/>
              </w:rPr>
            </w:pPr>
            <w:r>
              <w:rPr>
                <w:rFonts w:hint="eastAsia" w:eastAsia="宋体"/>
                <w:color w:val="auto"/>
                <w:lang w:bidi="ar"/>
              </w:rPr>
              <w:t>1.执行区域资源能源利用的基本要求。</w:t>
            </w:r>
          </w:p>
          <w:p w14:paraId="46B5DDD2">
            <w:pPr>
              <w:pStyle w:val="288"/>
              <w:adjustRightInd w:val="0"/>
              <w:snapToGrid w:val="0"/>
              <w:spacing w:line="300" w:lineRule="exact"/>
              <w:jc w:val="both"/>
              <w:rPr>
                <w:rFonts w:hint="eastAsia" w:eastAsia="宋体"/>
                <w:color w:val="auto"/>
                <w:lang w:bidi="ar"/>
              </w:rPr>
            </w:pPr>
            <w:r>
              <w:rPr>
                <w:rFonts w:hint="eastAsia" w:eastAsia="宋体"/>
                <w:color w:val="auto"/>
                <w:lang w:bidi="ar"/>
              </w:rPr>
              <w:t>2.用水总量控制在自治区下达的用水总量指标内。</w:t>
            </w:r>
          </w:p>
        </w:tc>
        <w:tc>
          <w:tcPr>
            <w:tcW w:w="1867" w:type="pct"/>
            <w:vMerge w:val="restart"/>
            <w:tcMar>
              <w:top w:w="0" w:type="dxa"/>
              <w:left w:w="0" w:type="dxa"/>
              <w:bottom w:w="0" w:type="dxa"/>
              <w:right w:w="0" w:type="dxa"/>
            </w:tcMar>
            <w:vAlign w:val="center"/>
          </w:tcPr>
          <w:p w14:paraId="4A0BA911">
            <w:pPr>
              <w:pStyle w:val="288"/>
              <w:adjustRightInd w:val="0"/>
              <w:snapToGrid w:val="0"/>
              <w:spacing w:line="300" w:lineRule="exact"/>
              <w:jc w:val="both"/>
              <w:rPr>
                <w:rFonts w:hint="eastAsia" w:eastAsia="宋体"/>
                <w:color w:val="auto"/>
                <w:lang w:bidi="ar"/>
              </w:rPr>
            </w:pPr>
            <w:r>
              <w:rPr>
                <w:rFonts w:hint="eastAsia" w:eastAsia="宋体"/>
                <w:color w:val="auto"/>
                <w:lang w:bidi="ar"/>
              </w:rPr>
              <w:t>新鲜水由罐车从石西油田作业区拉运至项目区，不开采地下水；井下作业废液和采出液送至莫北转油站采出水处理系统处理。</w:t>
            </w:r>
          </w:p>
        </w:tc>
        <w:tc>
          <w:tcPr>
            <w:tcW w:w="372" w:type="pct"/>
            <w:vMerge w:val="restart"/>
            <w:tcMar>
              <w:top w:w="0" w:type="dxa"/>
              <w:left w:w="0" w:type="dxa"/>
              <w:bottom w:w="0" w:type="dxa"/>
              <w:right w:w="0" w:type="dxa"/>
            </w:tcMar>
            <w:vAlign w:val="center"/>
          </w:tcPr>
          <w:p w14:paraId="3C61BA9B">
            <w:pPr>
              <w:pStyle w:val="288"/>
              <w:adjustRightInd w:val="0"/>
              <w:snapToGrid w:val="0"/>
              <w:spacing w:line="300" w:lineRule="exact"/>
              <w:rPr>
                <w:rFonts w:hint="eastAsia" w:eastAsia="宋体"/>
                <w:color w:val="auto"/>
                <w:lang w:bidi="ar"/>
              </w:rPr>
            </w:pPr>
            <w:r>
              <w:rPr>
                <w:rFonts w:hint="eastAsia" w:eastAsia="宋体"/>
                <w:color w:val="auto"/>
                <w:lang w:bidi="ar"/>
              </w:rPr>
              <w:t>符合</w:t>
            </w:r>
          </w:p>
        </w:tc>
      </w:tr>
      <w:tr w14:paraId="23C23C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tcMar>
              <w:top w:w="0" w:type="dxa"/>
              <w:left w:w="0" w:type="dxa"/>
              <w:bottom w:w="0" w:type="dxa"/>
              <w:right w:w="0" w:type="dxa"/>
            </w:tcMar>
            <w:vAlign w:val="center"/>
          </w:tcPr>
          <w:p w14:paraId="273E50F6">
            <w:pPr>
              <w:pStyle w:val="288"/>
              <w:adjustRightInd w:val="0"/>
              <w:snapToGrid w:val="0"/>
              <w:spacing w:line="300" w:lineRule="exact"/>
              <w:rPr>
                <w:rFonts w:hint="eastAsia" w:eastAsia="宋体"/>
                <w:color w:val="auto"/>
                <w:lang w:bidi="ar"/>
              </w:rPr>
            </w:pPr>
          </w:p>
        </w:tc>
        <w:tc>
          <w:tcPr>
            <w:tcW w:w="438" w:type="pct"/>
            <w:vMerge w:val="continue"/>
            <w:tcMar>
              <w:top w:w="0" w:type="dxa"/>
              <w:left w:w="0" w:type="dxa"/>
              <w:bottom w:w="0" w:type="dxa"/>
              <w:right w:w="0" w:type="dxa"/>
            </w:tcMar>
            <w:vAlign w:val="center"/>
          </w:tcPr>
          <w:p w14:paraId="1CB4B646">
            <w:pPr>
              <w:pStyle w:val="288"/>
              <w:adjustRightInd w:val="0"/>
              <w:snapToGrid w:val="0"/>
              <w:spacing w:line="300" w:lineRule="exact"/>
              <w:rPr>
                <w:rFonts w:hint="eastAsia" w:eastAsia="宋体"/>
                <w:color w:val="auto"/>
                <w:lang w:bidi="ar"/>
              </w:rPr>
            </w:pPr>
          </w:p>
        </w:tc>
        <w:tc>
          <w:tcPr>
            <w:tcW w:w="163" w:type="pct"/>
            <w:vMerge w:val="continue"/>
            <w:tcMar>
              <w:top w:w="0" w:type="dxa"/>
              <w:left w:w="0" w:type="dxa"/>
              <w:bottom w:w="0" w:type="dxa"/>
              <w:right w:w="0" w:type="dxa"/>
            </w:tcMar>
            <w:vAlign w:val="center"/>
          </w:tcPr>
          <w:p w14:paraId="5BC16B27">
            <w:pPr>
              <w:adjustRightInd w:val="0"/>
              <w:snapToGrid w:val="0"/>
              <w:spacing w:line="400" w:lineRule="exact"/>
              <w:rPr>
                <w:rFonts w:hint="eastAsia" w:ascii="宋体" w:hAnsi="宋体" w:cstheme="minorBidi"/>
                <w:color w:val="auto"/>
                <w:szCs w:val="21"/>
                <w:lang w:bidi="ar"/>
              </w:rPr>
            </w:pPr>
          </w:p>
        </w:tc>
        <w:tc>
          <w:tcPr>
            <w:tcW w:w="1705" w:type="pct"/>
            <w:vAlign w:val="center"/>
          </w:tcPr>
          <w:p w14:paraId="26389B33">
            <w:pPr>
              <w:pStyle w:val="288"/>
              <w:adjustRightInd w:val="0"/>
              <w:snapToGrid w:val="0"/>
              <w:spacing w:line="300" w:lineRule="exact"/>
              <w:jc w:val="both"/>
              <w:rPr>
                <w:rFonts w:hint="eastAsia" w:eastAsia="宋体"/>
                <w:color w:val="auto"/>
                <w:lang w:bidi="ar"/>
              </w:rPr>
            </w:pPr>
            <w:r>
              <w:rPr>
                <w:rFonts w:hint="eastAsia" w:eastAsia="宋体"/>
                <w:color w:val="auto"/>
                <w:lang w:bidi="ar"/>
              </w:rPr>
              <w:t>1.深入实施最严格水资源管理。严守水资源开发利用控制、用水效率控制和水功能区限制纳污“三条红线”，严格实行区域用水总量和强度控制，强化用水定额管理。推进地下水超采综合治理。开展河湖生态流量（水量）确定工作，强化生态用水保障。</w:t>
            </w:r>
          </w:p>
        </w:tc>
        <w:tc>
          <w:tcPr>
            <w:tcW w:w="1867" w:type="pct"/>
            <w:vMerge w:val="continue"/>
            <w:tcMar>
              <w:top w:w="0" w:type="dxa"/>
              <w:left w:w="0" w:type="dxa"/>
              <w:bottom w:w="0" w:type="dxa"/>
              <w:right w:w="0" w:type="dxa"/>
            </w:tcMar>
            <w:vAlign w:val="center"/>
          </w:tcPr>
          <w:p w14:paraId="64A6B9CF">
            <w:pPr>
              <w:pStyle w:val="288"/>
              <w:adjustRightInd w:val="0"/>
              <w:snapToGrid w:val="0"/>
              <w:spacing w:line="300" w:lineRule="exact"/>
              <w:jc w:val="both"/>
              <w:rPr>
                <w:rFonts w:hint="eastAsia" w:eastAsia="宋体"/>
                <w:color w:val="auto"/>
                <w:lang w:bidi="ar"/>
              </w:rPr>
            </w:pPr>
          </w:p>
        </w:tc>
        <w:tc>
          <w:tcPr>
            <w:tcW w:w="372" w:type="pct"/>
            <w:vMerge w:val="continue"/>
            <w:tcMar>
              <w:top w:w="0" w:type="dxa"/>
              <w:left w:w="0" w:type="dxa"/>
              <w:bottom w:w="0" w:type="dxa"/>
              <w:right w:w="0" w:type="dxa"/>
            </w:tcMar>
            <w:vAlign w:val="center"/>
          </w:tcPr>
          <w:p w14:paraId="6B332292">
            <w:pPr>
              <w:pStyle w:val="288"/>
              <w:adjustRightInd w:val="0"/>
              <w:snapToGrid w:val="0"/>
              <w:spacing w:line="300" w:lineRule="exact"/>
              <w:rPr>
                <w:rFonts w:hint="eastAsia" w:eastAsia="宋体"/>
                <w:color w:val="auto"/>
                <w:lang w:bidi="ar"/>
              </w:rPr>
            </w:pPr>
          </w:p>
        </w:tc>
      </w:tr>
      <w:tr w14:paraId="354087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tcMar>
              <w:top w:w="0" w:type="dxa"/>
              <w:left w:w="0" w:type="dxa"/>
              <w:bottom w:w="0" w:type="dxa"/>
              <w:right w:w="0" w:type="dxa"/>
            </w:tcMar>
            <w:vAlign w:val="center"/>
          </w:tcPr>
          <w:p w14:paraId="6D8CE983">
            <w:pPr>
              <w:pStyle w:val="288"/>
              <w:adjustRightInd w:val="0"/>
              <w:snapToGrid w:val="0"/>
              <w:spacing w:line="300" w:lineRule="exact"/>
              <w:rPr>
                <w:rFonts w:hint="eastAsia" w:eastAsia="宋体"/>
                <w:color w:val="auto"/>
                <w:lang w:bidi="ar"/>
              </w:rPr>
            </w:pPr>
          </w:p>
        </w:tc>
        <w:tc>
          <w:tcPr>
            <w:tcW w:w="438" w:type="pct"/>
            <w:vMerge w:val="continue"/>
            <w:tcMar>
              <w:top w:w="0" w:type="dxa"/>
              <w:left w:w="0" w:type="dxa"/>
              <w:bottom w:w="0" w:type="dxa"/>
              <w:right w:w="0" w:type="dxa"/>
            </w:tcMar>
            <w:vAlign w:val="center"/>
          </w:tcPr>
          <w:p w14:paraId="51E73722">
            <w:pPr>
              <w:pStyle w:val="288"/>
              <w:adjustRightInd w:val="0"/>
              <w:snapToGrid w:val="0"/>
              <w:spacing w:line="300" w:lineRule="exact"/>
              <w:rPr>
                <w:rFonts w:hint="eastAsia" w:eastAsia="宋体"/>
                <w:color w:val="auto"/>
                <w:lang w:bidi="ar"/>
              </w:rPr>
            </w:pPr>
          </w:p>
        </w:tc>
        <w:tc>
          <w:tcPr>
            <w:tcW w:w="163" w:type="pct"/>
            <w:vMerge w:val="restart"/>
            <w:tcMar>
              <w:top w:w="0" w:type="dxa"/>
              <w:left w:w="0" w:type="dxa"/>
              <w:bottom w:w="0" w:type="dxa"/>
              <w:right w:w="0" w:type="dxa"/>
            </w:tcMar>
            <w:vAlign w:val="center"/>
          </w:tcPr>
          <w:p w14:paraId="2E3AE699">
            <w:pPr>
              <w:adjustRightInd w:val="0"/>
              <w:snapToGrid w:val="0"/>
              <w:spacing w:line="400" w:lineRule="exact"/>
              <w:rPr>
                <w:rFonts w:hint="eastAsia" w:ascii="宋体" w:hAnsi="宋体" w:cstheme="minorBidi"/>
                <w:color w:val="auto"/>
                <w:szCs w:val="21"/>
                <w:lang w:bidi="ar"/>
              </w:rPr>
            </w:pPr>
            <w:r>
              <w:rPr>
                <w:rFonts w:hint="eastAsia" w:ascii="宋体" w:hAnsi="宋体" w:cstheme="minorBidi"/>
                <w:color w:val="auto"/>
                <w:szCs w:val="21"/>
                <w:lang w:bidi="ar"/>
              </w:rPr>
              <w:t>能源利用总量及效率要求</w:t>
            </w:r>
          </w:p>
        </w:tc>
        <w:tc>
          <w:tcPr>
            <w:tcW w:w="1705" w:type="pct"/>
            <w:vAlign w:val="center"/>
          </w:tcPr>
          <w:p w14:paraId="24AD4DDB">
            <w:pPr>
              <w:pStyle w:val="288"/>
              <w:adjustRightInd w:val="0"/>
              <w:snapToGrid w:val="0"/>
              <w:spacing w:line="300" w:lineRule="exact"/>
              <w:jc w:val="both"/>
              <w:rPr>
                <w:rFonts w:hint="eastAsia" w:eastAsia="宋体"/>
                <w:color w:val="auto"/>
                <w:lang w:bidi="ar"/>
              </w:rPr>
            </w:pPr>
            <w:r>
              <w:rPr>
                <w:rFonts w:hint="eastAsia" w:eastAsia="宋体"/>
                <w:color w:val="auto"/>
                <w:lang w:bidi="ar"/>
              </w:rPr>
              <w:t>1.“十四五”期间，昌吉州单位地区生产总值能耗下降 15.5%，规模以上单位工业增加值能耗下降18%。</w:t>
            </w:r>
          </w:p>
          <w:p w14:paraId="27908EF8">
            <w:pPr>
              <w:pStyle w:val="288"/>
              <w:adjustRightInd w:val="0"/>
              <w:snapToGrid w:val="0"/>
              <w:spacing w:line="300" w:lineRule="exact"/>
              <w:jc w:val="both"/>
              <w:rPr>
                <w:rFonts w:hint="eastAsia" w:eastAsia="宋体"/>
                <w:color w:val="auto"/>
                <w:lang w:bidi="ar"/>
              </w:rPr>
            </w:pPr>
            <w:r>
              <w:rPr>
                <w:rFonts w:hint="eastAsia" w:eastAsia="宋体"/>
                <w:color w:val="auto"/>
                <w:lang w:bidi="ar"/>
              </w:rPr>
              <w:t>2.新上项目的单位工业增加值能耗原则上要低于全州和所属行业规模以上工业增加值能耗均值，仅低于其中一项的，实行能耗等量减量替代；新上项目可采用新增负荷消纳等方式配套建设新能源项目，实现用能绿色替代。</w:t>
            </w:r>
          </w:p>
        </w:tc>
        <w:tc>
          <w:tcPr>
            <w:tcW w:w="1867" w:type="pct"/>
            <w:tcMar>
              <w:top w:w="0" w:type="dxa"/>
              <w:left w:w="0" w:type="dxa"/>
              <w:bottom w:w="0" w:type="dxa"/>
              <w:right w:w="0" w:type="dxa"/>
            </w:tcMar>
            <w:vAlign w:val="center"/>
          </w:tcPr>
          <w:p w14:paraId="6FC993B6">
            <w:pPr>
              <w:pStyle w:val="288"/>
              <w:adjustRightInd w:val="0"/>
              <w:snapToGrid w:val="0"/>
              <w:spacing w:line="300" w:lineRule="exact"/>
              <w:rPr>
                <w:rFonts w:hint="eastAsia" w:eastAsia="宋体"/>
                <w:color w:val="auto"/>
                <w:lang w:bidi="ar"/>
              </w:rPr>
            </w:pPr>
            <w:r>
              <w:rPr>
                <w:rFonts w:hint="eastAsia" w:eastAsia="宋体"/>
                <w:color w:val="auto"/>
                <w:lang w:bidi="ar"/>
              </w:rPr>
              <w:t>本项目不涉及</w:t>
            </w:r>
          </w:p>
        </w:tc>
        <w:tc>
          <w:tcPr>
            <w:tcW w:w="372" w:type="pct"/>
            <w:tcMar>
              <w:top w:w="0" w:type="dxa"/>
              <w:left w:w="0" w:type="dxa"/>
              <w:bottom w:w="0" w:type="dxa"/>
              <w:right w:w="0" w:type="dxa"/>
            </w:tcMar>
            <w:vAlign w:val="center"/>
          </w:tcPr>
          <w:p w14:paraId="2334A23B">
            <w:pPr>
              <w:pStyle w:val="288"/>
              <w:adjustRightInd w:val="0"/>
              <w:snapToGrid w:val="0"/>
              <w:spacing w:line="300" w:lineRule="exact"/>
              <w:rPr>
                <w:rFonts w:hint="eastAsia" w:eastAsia="宋体"/>
                <w:color w:val="auto"/>
                <w:lang w:bidi="ar"/>
              </w:rPr>
            </w:pPr>
            <w:r>
              <w:rPr>
                <w:rFonts w:hint="eastAsia" w:eastAsia="宋体"/>
                <w:color w:val="auto"/>
                <w:lang w:bidi="ar"/>
              </w:rPr>
              <w:t>符合</w:t>
            </w:r>
          </w:p>
        </w:tc>
      </w:tr>
      <w:tr w14:paraId="694B87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tcMar>
              <w:top w:w="0" w:type="dxa"/>
              <w:left w:w="0" w:type="dxa"/>
              <w:bottom w:w="0" w:type="dxa"/>
              <w:right w:w="0" w:type="dxa"/>
            </w:tcMar>
            <w:vAlign w:val="center"/>
          </w:tcPr>
          <w:p w14:paraId="07A1D450">
            <w:pPr>
              <w:pStyle w:val="288"/>
              <w:adjustRightInd w:val="0"/>
              <w:snapToGrid w:val="0"/>
              <w:spacing w:line="300" w:lineRule="exact"/>
              <w:rPr>
                <w:rFonts w:hint="eastAsia" w:eastAsia="宋体"/>
                <w:color w:val="auto"/>
                <w:lang w:bidi="ar"/>
              </w:rPr>
            </w:pPr>
          </w:p>
        </w:tc>
        <w:tc>
          <w:tcPr>
            <w:tcW w:w="438" w:type="pct"/>
            <w:vMerge w:val="continue"/>
            <w:tcMar>
              <w:top w:w="0" w:type="dxa"/>
              <w:left w:w="0" w:type="dxa"/>
              <w:bottom w:w="0" w:type="dxa"/>
              <w:right w:w="0" w:type="dxa"/>
            </w:tcMar>
            <w:vAlign w:val="center"/>
          </w:tcPr>
          <w:p w14:paraId="665ABA15">
            <w:pPr>
              <w:pStyle w:val="288"/>
              <w:adjustRightInd w:val="0"/>
              <w:snapToGrid w:val="0"/>
              <w:spacing w:line="300" w:lineRule="exact"/>
              <w:rPr>
                <w:rFonts w:hint="eastAsia" w:eastAsia="宋体"/>
                <w:color w:val="auto"/>
                <w:lang w:bidi="ar"/>
              </w:rPr>
            </w:pPr>
          </w:p>
        </w:tc>
        <w:tc>
          <w:tcPr>
            <w:tcW w:w="163" w:type="pct"/>
            <w:vMerge w:val="continue"/>
            <w:tcMar>
              <w:top w:w="0" w:type="dxa"/>
              <w:left w:w="0" w:type="dxa"/>
              <w:bottom w:w="0" w:type="dxa"/>
              <w:right w:w="0" w:type="dxa"/>
            </w:tcMar>
            <w:vAlign w:val="center"/>
          </w:tcPr>
          <w:p w14:paraId="41A19A3C">
            <w:pPr>
              <w:adjustRightInd w:val="0"/>
              <w:snapToGrid w:val="0"/>
              <w:spacing w:line="400" w:lineRule="exact"/>
              <w:rPr>
                <w:rFonts w:hint="eastAsia" w:ascii="宋体" w:hAnsi="宋体" w:cstheme="minorBidi"/>
                <w:color w:val="auto"/>
                <w:szCs w:val="21"/>
                <w:lang w:bidi="ar"/>
              </w:rPr>
            </w:pPr>
          </w:p>
        </w:tc>
        <w:tc>
          <w:tcPr>
            <w:tcW w:w="1705" w:type="pct"/>
            <w:vAlign w:val="center"/>
          </w:tcPr>
          <w:p w14:paraId="6FA6CB22">
            <w:pPr>
              <w:pStyle w:val="288"/>
              <w:adjustRightInd w:val="0"/>
              <w:snapToGrid w:val="0"/>
              <w:spacing w:line="300" w:lineRule="exact"/>
              <w:jc w:val="both"/>
              <w:rPr>
                <w:rFonts w:hint="eastAsia" w:eastAsia="宋体"/>
                <w:color w:val="auto"/>
                <w:lang w:bidi="ar"/>
              </w:rPr>
            </w:pPr>
            <w:r>
              <w:rPr>
                <w:rFonts w:hint="eastAsia" w:eastAsia="宋体"/>
                <w:color w:val="auto"/>
                <w:lang w:bidi="ar"/>
              </w:rPr>
              <w:t>1.到2025年，绿色低碳循环发展经济体系初步形成。单位地区生产总值二氧化碳排放下降强度完成国家和自治区下达指标。</w:t>
            </w:r>
          </w:p>
        </w:tc>
        <w:tc>
          <w:tcPr>
            <w:tcW w:w="1867" w:type="pct"/>
            <w:tcMar>
              <w:top w:w="0" w:type="dxa"/>
              <w:left w:w="0" w:type="dxa"/>
              <w:bottom w:w="0" w:type="dxa"/>
              <w:right w:w="0" w:type="dxa"/>
            </w:tcMar>
            <w:vAlign w:val="center"/>
          </w:tcPr>
          <w:p w14:paraId="6CCBC14C">
            <w:pPr>
              <w:pStyle w:val="288"/>
              <w:adjustRightInd w:val="0"/>
              <w:snapToGrid w:val="0"/>
              <w:spacing w:line="300" w:lineRule="exact"/>
              <w:rPr>
                <w:rFonts w:hint="eastAsia" w:eastAsia="宋体"/>
                <w:color w:val="auto"/>
                <w:lang w:bidi="ar"/>
              </w:rPr>
            </w:pPr>
            <w:r>
              <w:rPr>
                <w:rFonts w:hint="eastAsia" w:eastAsia="宋体"/>
                <w:color w:val="auto"/>
                <w:lang w:bidi="ar"/>
              </w:rPr>
              <w:t>本项目不涉及</w:t>
            </w:r>
          </w:p>
        </w:tc>
        <w:tc>
          <w:tcPr>
            <w:tcW w:w="372" w:type="pct"/>
            <w:tcMar>
              <w:top w:w="0" w:type="dxa"/>
              <w:left w:w="0" w:type="dxa"/>
              <w:bottom w:w="0" w:type="dxa"/>
              <w:right w:w="0" w:type="dxa"/>
            </w:tcMar>
            <w:vAlign w:val="center"/>
          </w:tcPr>
          <w:p w14:paraId="5FC37AD1">
            <w:pPr>
              <w:pStyle w:val="288"/>
              <w:adjustRightInd w:val="0"/>
              <w:snapToGrid w:val="0"/>
              <w:spacing w:line="300" w:lineRule="exact"/>
              <w:rPr>
                <w:rFonts w:hint="eastAsia" w:eastAsia="宋体"/>
                <w:color w:val="auto"/>
                <w:lang w:bidi="ar"/>
              </w:rPr>
            </w:pPr>
            <w:r>
              <w:rPr>
                <w:rFonts w:hint="eastAsia" w:eastAsia="宋体"/>
                <w:color w:val="auto"/>
                <w:lang w:bidi="ar"/>
              </w:rPr>
              <w:t>符合</w:t>
            </w:r>
          </w:p>
        </w:tc>
      </w:tr>
      <w:tr w14:paraId="60F90A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tcMar>
              <w:top w:w="0" w:type="dxa"/>
              <w:left w:w="0" w:type="dxa"/>
              <w:bottom w:w="0" w:type="dxa"/>
              <w:right w:w="0" w:type="dxa"/>
            </w:tcMar>
            <w:vAlign w:val="center"/>
          </w:tcPr>
          <w:p w14:paraId="11A008CF">
            <w:pPr>
              <w:pStyle w:val="288"/>
              <w:adjustRightInd w:val="0"/>
              <w:snapToGrid w:val="0"/>
              <w:spacing w:line="300" w:lineRule="exact"/>
              <w:rPr>
                <w:rFonts w:hint="eastAsia" w:eastAsia="宋体"/>
                <w:color w:val="auto"/>
                <w:lang w:bidi="ar"/>
              </w:rPr>
            </w:pPr>
          </w:p>
        </w:tc>
        <w:tc>
          <w:tcPr>
            <w:tcW w:w="438" w:type="pct"/>
            <w:vMerge w:val="continue"/>
            <w:tcMar>
              <w:top w:w="0" w:type="dxa"/>
              <w:left w:w="0" w:type="dxa"/>
              <w:bottom w:w="0" w:type="dxa"/>
              <w:right w:w="0" w:type="dxa"/>
            </w:tcMar>
            <w:vAlign w:val="center"/>
          </w:tcPr>
          <w:p w14:paraId="437E9955">
            <w:pPr>
              <w:pStyle w:val="288"/>
              <w:adjustRightInd w:val="0"/>
              <w:snapToGrid w:val="0"/>
              <w:spacing w:line="300" w:lineRule="exact"/>
              <w:rPr>
                <w:rFonts w:hint="eastAsia" w:eastAsia="宋体"/>
                <w:color w:val="auto"/>
                <w:lang w:bidi="ar"/>
              </w:rPr>
            </w:pPr>
          </w:p>
        </w:tc>
        <w:tc>
          <w:tcPr>
            <w:tcW w:w="163" w:type="pct"/>
            <w:tcMar>
              <w:top w:w="0" w:type="dxa"/>
              <w:left w:w="0" w:type="dxa"/>
              <w:bottom w:w="0" w:type="dxa"/>
              <w:right w:w="0" w:type="dxa"/>
            </w:tcMar>
            <w:vAlign w:val="center"/>
          </w:tcPr>
          <w:p w14:paraId="6ACD2B31">
            <w:pPr>
              <w:adjustRightInd w:val="0"/>
              <w:snapToGrid w:val="0"/>
              <w:spacing w:line="400" w:lineRule="exact"/>
              <w:rPr>
                <w:rFonts w:hint="eastAsia" w:ascii="宋体" w:hAnsi="宋体" w:cstheme="minorBidi"/>
                <w:color w:val="auto"/>
                <w:szCs w:val="21"/>
                <w:lang w:bidi="ar"/>
              </w:rPr>
            </w:pPr>
            <w:r>
              <w:rPr>
                <w:rFonts w:hint="eastAsia" w:ascii="宋体" w:hAnsi="宋体" w:cstheme="minorBidi"/>
                <w:color w:val="auto"/>
                <w:szCs w:val="21"/>
                <w:lang w:bidi="ar"/>
              </w:rPr>
              <w:t>禁燃区要求</w:t>
            </w:r>
          </w:p>
        </w:tc>
        <w:tc>
          <w:tcPr>
            <w:tcW w:w="1705" w:type="pct"/>
            <w:vAlign w:val="center"/>
          </w:tcPr>
          <w:p w14:paraId="5BFEE46B">
            <w:pPr>
              <w:pStyle w:val="288"/>
              <w:adjustRightInd w:val="0"/>
              <w:snapToGrid w:val="0"/>
              <w:spacing w:line="300" w:lineRule="exact"/>
              <w:jc w:val="both"/>
              <w:rPr>
                <w:rFonts w:hint="eastAsia" w:eastAsia="宋体"/>
                <w:color w:val="auto"/>
                <w:lang w:bidi="ar"/>
              </w:rPr>
            </w:pPr>
            <w:r>
              <w:rPr>
                <w:rFonts w:hint="eastAsia" w:eastAsia="宋体"/>
                <w:color w:val="auto"/>
                <w:lang w:bidi="ar"/>
              </w:rPr>
              <w:t>1.禁燃区内的单位、个体经营户和个人禁止生产、销售、燃用高污染燃料。</w:t>
            </w:r>
          </w:p>
          <w:p w14:paraId="5C8DD32E">
            <w:pPr>
              <w:pStyle w:val="288"/>
              <w:adjustRightInd w:val="0"/>
              <w:snapToGrid w:val="0"/>
              <w:spacing w:line="300" w:lineRule="exact"/>
              <w:jc w:val="both"/>
              <w:rPr>
                <w:rFonts w:hint="eastAsia" w:eastAsia="宋体"/>
                <w:color w:val="auto"/>
                <w:lang w:bidi="ar"/>
              </w:rPr>
            </w:pPr>
            <w:r>
              <w:rPr>
                <w:rFonts w:hint="eastAsia" w:eastAsia="宋体"/>
                <w:color w:val="auto"/>
                <w:lang w:bidi="ar"/>
              </w:rPr>
              <w:t>2.禁燃区内的单位、个体经营户和个人禁止新建、扩建使用高污染燃料的设施；已建成的应当在各县（市）人民政府规定的期限内停止燃用高污染燃料，改用天然气、页岩气、液化气、油气、电等清洁能源或者在规定的期限内拆除。</w:t>
            </w:r>
          </w:p>
        </w:tc>
        <w:tc>
          <w:tcPr>
            <w:tcW w:w="1867" w:type="pct"/>
            <w:tcMar>
              <w:top w:w="0" w:type="dxa"/>
              <w:left w:w="0" w:type="dxa"/>
              <w:bottom w:w="0" w:type="dxa"/>
              <w:right w:w="0" w:type="dxa"/>
            </w:tcMar>
            <w:vAlign w:val="center"/>
          </w:tcPr>
          <w:p w14:paraId="47EB84A5">
            <w:pPr>
              <w:pStyle w:val="288"/>
              <w:adjustRightInd w:val="0"/>
              <w:snapToGrid w:val="0"/>
              <w:spacing w:line="300" w:lineRule="exact"/>
              <w:rPr>
                <w:rFonts w:hint="eastAsia" w:eastAsia="宋体"/>
                <w:color w:val="auto"/>
                <w:lang w:bidi="ar"/>
              </w:rPr>
            </w:pPr>
            <w:r>
              <w:rPr>
                <w:rFonts w:hint="eastAsia" w:eastAsia="宋体"/>
                <w:color w:val="auto"/>
                <w:lang w:bidi="ar"/>
              </w:rPr>
              <w:t>本项目不涉及</w:t>
            </w:r>
          </w:p>
        </w:tc>
        <w:tc>
          <w:tcPr>
            <w:tcW w:w="372" w:type="pct"/>
            <w:tcMar>
              <w:top w:w="0" w:type="dxa"/>
              <w:left w:w="0" w:type="dxa"/>
              <w:bottom w:w="0" w:type="dxa"/>
              <w:right w:w="0" w:type="dxa"/>
            </w:tcMar>
            <w:vAlign w:val="center"/>
          </w:tcPr>
          <w:p w14:paraId="314C8E3A">
            <w:pPr>
              <w:pStyle w:val="288"/>
              <w:adjustRightInd w:val="0"/>
              <w:snapToGrid w:val="0"/>
              <w:spacing w:line="300" w:lineRule="exact"/>
              <w:rPr>
                <w:rFonts w:hint="eastAsia" w:eastAsia="宋体"/>
                <w:color w:val="auto"/>
                <w:lang w:bidi="ar"/>
              </w:rPr>
            </w:pPr>
            <w:r>
              <w:rPr>
                <w:rFonts w:hint="eastAsia" w:eastAsia="宋体"/>
                <w:color w:val="auto"/>
                <w:lang w:bidi="ar"/>
              </w:rPr>
              <w:t>符合</w:t>
            </w:r>
          </w:p>
        </w:tc>
      </w:tr>
    </w:tbl>
    <w:p w14:paraId="4D096380">
      <w:pPr>
        <w:pStyle w:val="86"/>
        <w:ind w:firstLine="480"/>
        <w:rPr>
          <w:rFonts w:hint="eastAsia" w:cs="宋体"/>
          <w:color w:val="auto"/>
          <w:lang w:val="zh-CN"/>
        </w:rPr>
        <w:sectPr>
          <w:headerReference r:id="rId6" w:type="default"/>
          <w:pgSz w:w="11906" w:h="16838"/>
          <w:pgMar w:top="1418" w:right="1588" w:bottom="1418" w:left="1588" w:header="1020" w:footer="1020" w:gutter="0"/>
          <w:cols w:space="720" w:num="1"/>
          <w:docGrid w:type="lines" w:linePitch="312" w:charSpace="0"/>
        </w:sectPr>
      </w:pPr>
    </w:p>
    <w:bookmarkEnd w:id="181"/>
    <w:p w14:paraId="7C3B13F1">
      <w:pPr>
        <w:pStyle w:val="86"/>
        <w:spacing w:line="360" w:lineRule="auto"/>
        <w:ind w:firstLine="0" w:firstLineChars="0"/>
        <w:jc w:val="center"/>
        <w:rPr>
          <w:rFonts w:hint="eastAsia" w:ascii="黑体" w:hAnsi="黑体" w:eastAsia="黑体"/>
          <w:color w:val="auto"/>
          <w:sz w:val="21"/>
          <w:szCs w:val="21"/>
          <w:lang w:bidi="ar"/>
        </w:rPr>
      </w:pPr>
      <w:r>
        <w:rPr>
          <w:rFonts w:ascii="黑体" w:hAnsi="黑体" w:eastAsia="黑体"/>
          <w:color w:val="auto"/>
          <w:sz w:val="21"/>
          <w:szCs w:val="21"/>
          <w:lang w:bidi="ar"/>
        </w:rPr>
        <mc:AlternateContent>
          <mc:Choice Requires="wps">
            <w:drawing>
              <wp:anchor distT="0" distB="0" distL="114300" distR="114300" simplePos="0" relativeHeight="251666432" behindDoc="0" locked="0" layoutInCell="1" allowOverlap="1">
                <wp:simplePos x="0" y="0"/>
                <wp:positionH relativeFrom="column">
                  <wp:posOffset>1822450</wp:posOffset>
                </wp:positionH>
                <wp:positionV relativeFrom="paragraph">
                  <wp:posOffset>1710690</wp:posOffset>
                </wp:positionV>
                <wp:extent cx="62230" cy="63500"/>
                <wp:effectExtent l="19050" t="38100" r="33655" b="32385"/>
                <wp:wrapNone/>
                <wp:docPr id="4" name="星形: 五角 4"/>
                <wp:cNvGraphicFramePr/>
                <a:graphic xmlns:a="http://schemas.openxmlformats.org/drawingml/2006/main">
                  <a:graphicData uri="http://schemas.microsoft.com/office/word/2010/wordprocessingShape">
                    <wps:wsp>
                      <wps:cNvSpPr/>
                      <wps:spPr>
                        <a:xfrm>
                          <a:off x="0" y="0"/>
                          <a:ext cx="61971" cy="63284"/>
                        </a:xfrm>
                        <a:prstGeom prst="star5">
                          <a:avLst/>
                        </a:prstGeom>
                        <a:solidFill>
                          <a:srgbClr val="0000FF"/>
                        </a:solidFill>
                        <a:ln w="12700" cap="flat" cmpd="sng" algn="ctr">
                          <a:solidFill>
                            <a:srgbClr val="0000FF"/>
                          </a:solidFill>
                          <a:prstDash val="solid"/>
                          <a:miter lim="800000"/>
                        </a:ln>
                        <a:effectLst/>
                      </wps:spPr>
                      <wps:txbx>
                        <w:txbxContent>
                          <w:p w14:paraId="59842CDA">
                            <w:pPr>
                              <w:jc w:val="center"/>
                            </w:pPr>
                            <w:r>
                              <w:rPr>
                                <w:rFonts w:cs="Calibri"/>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4" o:spid="_x0000_s1026" style="position:absolute;left:0pt;margin-left:143.5pt;margin-top:134.7pt;height:5pt;width:4.9pt;z-index:251666432;v-text-anchor:middle;mso-width-relative:page;mso-height-relative:page;" fillcolor="#0000FF" filled="t" stroked="t" coordsize="61971,63284" o:gfxdata="UEsDBAoAAAAAAIdO4kAAAAAAAAAAAAAAAAAEAAAAZHJzL1BLAwQUAAAACACHTuJA0t8CRNYAAAAL&#10;AQAADwAAAGRycy9kb3ducmV2LnhtbE1Py07DMBC8I/EP1iJxo3aiKm1DnApVcESIAuLqxtskqr2O&#10;YrcJfD3LCW6zO6N5VNvZO3HBMfaBNGQLBQKpCbanVsP729PdGkRMhqxxgVDDF0bY1tdXlSltmOgV&#10;L/vUCjahWBoNXUpDKWVsOvQmLsKAxNwxjN4kPsdW2tFMbO6dzJUqpDc9cUJnBtx12Jz2Z88hj+5B&#10;fWdqOkqcn08vS8p2H59a395k6h5Ewjn9ieG3PleHmjsdwplsFE5Dvl7xlsSg2CxBsCLfFDzmwGDF&#10;H1lX8v+G+gdQSwMEFAAAAAgAh07iQL0W6WSHAgAAEwUAAA4AAABkcnMvZTJvRG9jLnhtbK1UzW4T&#10;MRC+I/EOlu90k5C2adRNFTUKQqpopYI4O15v1pL/sJ1symMgDtyQuPAOSLwNIB6Dz97tLxx6IAdn&#10;xjOen2++2eOTnVZkK3yQ1pR0uDegRBhuK2nWJX3zevlsQkmIzFRMWSNKeiUCPZk9fXLcuqkY2caq&#10;SniCICZMW1fSJkY3LYrAG6FZ2LNOGBhr6zWLUP26qDxrEV2rYjQYHBSt9ZXzlosQcLvojLSP6B8T&#10;0Na15GJh+UYLE7uoXigW0VJopAt0lquta8HjeV0HEYkqKTqN+UQSyKt0FrNjNl175hrJ+xLYY0p4&#10;0JNm0iDpTagFi4xsvPwrlJbc22DruMetLrpGMiLoYjh4gM1lw5zIvQDq4G5AD/8vLH+1vfBEViUd&#10;U2KYxsB/ffr88/uXKfnx7ePvrx/IOGHUujCF66W78L0WIKaGd7XX6R+tkF3G9eoGV7GLhOPyYHh0&#10;OKSEw3LwfDTJEYvbp86H+EJYTZJQUpDP72cw2fYsROSD77VPShWsktVSKpUVv16dKk+2LE0Yv+Uy&#10;FYwn99yUIS3YPjocYPKcgbc1+AJRO/QezJoSptZYCB59zn3vdXhcklTkgoWmKyZH6AimZcTOKKlL&#10;Okk1Zt6hRGVSCyLztG81Id1hm6S4W+16wFe2usKovO04HBxfSuQ7YyFeMA/SojGsdTzHUSuLbm0v&#10;UdJY//5f98kfXIKVkhZLACTebZgXlKiXBiw7Go7HaWuyMt4/HEHxdy2ruxaz0acWU8CoUV0Wk39U&#10;12LtrX6L7Z+nrDAxw5G7w7xXTmO3nPh+cDGfZzdsimPxzFw6noInyIydb6KtZWZHAqpDB3NPCnYl&#10;M6Df67SMd/Xsdfstm/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0t8CRNYAAAALAQAADwAAAAAA&#10;AAABACAAAAAiAAAAZHJzL2Rvd25yZXYueG1sUEsBAhQAFAAAAAgAh07iQL0W6WSHAgAAEwUAAA4A&#10;AAAAAAAAAQAgAAAAJQEAAGRycy9lMm9Eb2MueG1sUEsFBgAAAAAGAAYAWQEAAB4GAAAAAA==&#10;" path="m0,24172l23670,24172,30985,0,38300,24172,61970,24172,42820,39111,50135,63283,30985,48344,11835,63283,19150,39111xe">
                <v:path textboxrect="0,0,61971,63284" o:connectlocs="30985,0;0,24172;11835,63283;50135,63283;61970,24172" o:connectangles="247,164,82,82,0"/>
                <v:fill on="t" focussize="0,0"/>
                <v:stroke weight="1pt" color="#0000FF" miterlimit="8" joinstyle="miter"/>
                <v:imagedata o:title=""/>
                <o:lock v:ext="edit" aspectratio="f"/>
                <v:textbox>
                  <w:txbxContent>
                    <w:p w14:paraId="59842CDA">
                      <w:pPr>
                        <w:jc w:val="center"/>
                      </w:pPr>
                      <w:r>
                        <w:rPr>
                          <w:rFonts w:cs="Calibri"/>
                        </w:rPr>
                        <w:t>￼</w:t>
                      </w:r>
                    </w:p>
                  </w:txbxContent>
                </v:textbox>
              </v:shape>
            </w:pict>
          </mc:Fallback>
        </mc:AlternateContent>
      </w:r>
      <w:r>
        <w:rPr>
          <w:rFonts w:hint="eastAsia" w:cs="宋体"/>
          <w:color w:val="auto"/>
          <w:sz w:val="28"/>
          <w:szCs w:val="28"/>
        </w:rPr>
        <w:t>￼</w:t>
      </w:r>
      <w:r>
        <w:rPr>
          <w:rFonts w:ascii="黑体" w:hAnsi="黑体" w:eastAsia="黑体"/>
          <w:color w:val="auto"/>
          <w:sz w:val="21"/>
          <w:szCs w:val="21"/>
          <w:lang w:bidi="ar"/>
        </w:rPr>
        <mc:AlternateContent>
          <mc:Choice Requires="wps">
            <w:drawing>
              <wp:anchor distT="0" distB="0" distL="114300" distR="114300" simplePos="0" relativeHeight="251667456" behindDoc="0" locked="0" layoutInCell="1" allowOverlap="1">
                <wp:simplePos x="0" y="0"/>
                <wp:positionH relativeFrom="column">
                  <wp:posOffset>1842770</wp:posOffset>
                </wp:positionH>
                <wp:positionV relativeFrom="paragraph">
                  <wp:posOffset>1245235</wp:posOffset>
                </wp:positionV>
                <wp:extent cx="941705" cy="277495"/>
                <wp:effectExtent l="38100" t="0" r="10795" b="274955"/>
                <wp:wrapNone/>
                <wp:docPr id="35" name="对话气泡: 矩形 35"/>
                <wp:cNvGraphicFramePr/>
                <a:graphic xmlns:a="http://schemas.openxmlformats.org/drawingml/2006/main">
                  <a:graphicData uri="http://schemas.microsoft.com/office/word/2010/wordprocessingShape">
                    <wps:wsp>
                      <wps:cNvSpPr/>
                      <wps:spPr>
                        <a:xfrm>
                          <a:off x="0" y="0"/>
                          <a:ext cx="941705" cy="277610"/>
                        </a:xfrm>
                        <a:prstGeom prst="wedgeRectCallout">
                          <a:avLst>
                            <a:gd name="adj1" fmla="val -50231"/>
                            <a:gd name="adj2" fmla="val 127347"/>
                          </a:avLst>
                        </a:prstGeom>
                        <a:solidFill>
                          <a:srgbClr val="00FFFF"/>
                        </a:solidFill>
                        <a:ln w="12700" cap="flat" cmpd="sng" algn="ctr">
                          <a:solidFill>
                            <a:srgbClr val="0000FF"/>
                          </a:solidFill>
                          <a:prstDash val="solid"/>
                          <a:miter lim="800000"/>
                        </a:ln>
                        <a:effectLst/>
                      </wps:spPr>
                      <wps:txbx>
                        <w:txbxContent>
                          <w:p w14:paraId="6E921CB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项目区位置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5" o:spid="_x0000_s1026" o:spt="61" type="#_x0000_t61" style="position:absolute;left:0pt;margin-left:145.1pt;margin-top:98.05pt;height:21.85pt;width:74.15pt;z-index:251667456;v-text-anchor:middle;mso-width-relative:page;mso-height-relative:page;" fillcolor="#00FFFF" filled="t" stroked="t" coordsize="21600,21600" o:gfxdata="UEsDBAoAAAAAAIdO4kAAAAAAAAAAAAAAAAAEAAAAZHJzL1BLAwQUAAAACACHTuJA8K8UaNsAAAAL&#10;AQAADwAAAGRycy9kb3ducmV2LnhtbE2Py07DMBBF90j8gzVIbBC1k0KUhDhdIIqQ6ALaIrZO7MYR&#10;fkS225S/Z1jBcnSu7j3TrM7WkJMKcfSOQ7ZgQJTrvRzdwGG/W9+WQGISTgrjneLwrSKs2suLRtTS&#10;z+5dnbZpIFjiYi046JSmmtLYa2VFXPhJOWQHH6xIeIaByiBmLLeG5owV1IrR4YIWk3rUqv/aHi2H&#10;j0Lvd8/zy+eNCGazfipfu8Nb4Pz6KmMPQJI6p78w/OqjOrTo1Pmjk5EYDnnFcowiqIoMCCbuluU9&#10;kA7RsiqBtg39/0P7A1BLAwQUAAAACACHTuJA1Ty6GsACAAB7BQAADgAAAGRycy9lMm9Eb2MueG1s&#10;rVTNbhMxEL4j8Q6W7+3+NG3aqJsqShSEVEFFQZwdr3fXyH/YTjblObgiBDdOReLEgcdp4TEYe7dp&#10;WnrogT14Zzzjmfm+8fj4ZC0FWjHruFYFznZTjJiiuuSqLvCb1/OdQ4ycJ6okQitW4Avm8Mn46ZPj&#10;1oxYrhstSmYRBFFu1JoCN96bUZI42jBJ3K42TIGx0lYSD6qtk9KSFqJLkeRpepC02pbGasqcg91Z&#10;Z8R9RPuYgLqqOGUzTZeSKd9FtUwQD5Bcw43D41htVTHqX1aVYx6JAgNSH1dIAvIirMn4mIxqS0zD&#10;aV8CeUwJ9zBJwhUk3YSaEU/Q0vJ/QklOrXa68rtUy6QDEhkBFFl6j5vzhhgWsQDVzmxId/8vLH2x&#10;OrOIlwXe28dIEQkdv7r8+efy0/X3j9c/vozQ78/frn59RWAGrlrjRnDk3JzZXnMgBuDrysrwB0ho&#10;Hfm92PDL1h5R2DwaZMMU0lAw5cPhQRb5T24PG+v8M6YlCkKBW1bW7BX0cEqE0EsfGSarU+cj1WVf&#10;LynfZRhVUkDnVkSgnf0038v61m455dtOWT7cGwyDE+TvY4J0U0FI4LTg5ZwLERVbL6bCIkgAuNI5&#10;fP3hO25CoRamKh+mcMMogfmo4F6CKA1w7FSNERE1DB71NsK5c9rdTRLSPJQkFDkjrumKiRE6tJJ7&#10;mE3BZYEP0/D1p4UKEFicB2AvgA6d7HoXJL9erPuGLnR5AVfC6m5WnKFzDvlOifNnxALFAAyeD/8S&#10;lkpoQKt7CaNG2w8P7Qd/uLNgxaiFYQMm3i+JZRiJ5wpu81E2GITpjMpgf5iDYrcti22LWsqphi5A&#10;06G6KAZ/L27Eymr5Fl6ZScgKJqIo5O4475Wp7x4BeKcom0yiG0ykIf5UnRsaggfKlJ4sva74hrKO&#10;nZ4/mMl4ffr3Iwz9th69bt/M8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DwrxRo2wAAAAsBAAAP&#10;AAAAAAAAAAEAIAAAACIAAABkcnMvZG93bnJldi54bWxQSwECFAAUAAAACACHTuJA1Ty6GsACAAB7&#10;BQAADgAAAAAAAAABACAAAAAqAQAAZHJzL2Uyb0RvYy54bWxQSwUGAAAAAAYABgBZAQAAXAYAAAAA&#10;" adj="-50,38307">
                <v:fill on="t" focussize="0,0"/>
                <v:stroke weight="1pt" color="#0000FF" miterlimit="8" joinstyle="miter"/>
                <v:imagedata o:title=""/>
                <o:lock v:ext="edit" aspectratio="f"/>
                <v:textbox>
                  <w:txbxContent>
                    <w:p w14:paraId="6E921CB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项目区位置</w:t>
                      </w:r>
                    </w:p>
                  </w:txbxContent>
                </v:textbox>
              </v:shape>
            </w:pict>
          </mc:Fallback>
        </mc:AlternateContent>
      </w:r>
      <w:r>
        <w:rPr>
          <w:rFonts w:hint="eastAsia" w:ascii="仿宋_GB2312" w:eastAsia="仿宋_GB2312"/>
          <w:color w:val="auto"/>
          <w:sz w:val="28"/>
          <w:szCs w:val="28"/>
        </w:rPr>
        <w:drawing>
          <wp:inline distT="0" distB="0" distL="0" distR="0">
            <wp:extent cx="7996555" cy="4996815"/>
            <wp:effectExtent l="0" t="0" r="444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50" cstate="print">
                      <a:extLst>
                        <a:ext uri="{28A0092B-C50C-407E-A947-70E740481C1C}">
                          <a14:useLocalDpi xmlns:a14="http://schemas.microsoft.com/office/drawing/2010/main" val="0"/>
                        </a:ext>
                      </a:extLst>
                    </a:blip>
                    <a:srcRect l="1164" t="1788" r="1392" b="1793"/>
                    <a:stretch>
                      <a:fillRect/>
                    </a:stretch>
                  </pic:blipFill>
                  <pic:spPr>
                    <a:xfrm>
                      <a:off x="0" y="0"/>
                      <a:ext cx="7998901" cy="4998213"/>
                    </a:xfrm>
                    <a:prstGeom prst="rect">
                      <a:avLst/>
                    </a:prstGeom>
                    <a:ln>
                      <a:noFill/>
                    </a:ln>
                  </pic:spPr>
                </pic:pic>
              </a:graphicData>
            </a:graphic>
          </wp:inline>
        </w:drawing>
      </w:r>
    </w:p>
    <w:p w14:paraId="0178FAB8">
      <w:pPr>
        <w:jc w:val="center"/>
        <w:rPr>
          <w:rFonts w:hint="eastAsia" w:ascii="黑体" w:hAnsi="黑体" w:eastAsia="黑体"/>
          <w:color w:val="auto"/>
          <w:szCs w:val="21"/>
          <w:lang w:bidi="ar"/>
        </w:rPr>
      </w:pPr>
      <w:r>
        <w:rPr>
          <w:rFonts w:hint="eastAsia" w:ascii="黑体" w:hAnsi="黑体" w:eastAsia="黑体"/>
          <w:color w:val="auto"/>
          <w:szCs w:val="21"/>
          <w:lang w:bidi="ar"/>
        </w:rPr>
        <w:t>图2</w:t>
      </w:r>
      <w:r>
        <w:rPr>
          <w:rFonts w:ascii="黑体" w:hAnsi="黑体" w:eastAsia="黑体"/>
          <w:color w:val="auto"/>
          <w:szCs w:val="21"/>
          <w:lang w:bidi="ar"/>
        </w:rPr>
        <w:t>.9</w:t>
      </w:r>
      <w:r>
        <w:rPr>
          <w:rFonts w:hint="eastAsia" w:ascii="黑体" w:hAnsi="黑体" w:eastAsia="黑体"/>
          <w:color w:val="auto"/>
          <w:szCs w:val="21"/>
          <w:lang w:bidi="ar"/>
        </w:rPr>
        <w:t>-</w:t>
      </w:r>
      <w:r>
        <w:rPr>
          <w:rFonts w:ascii="黑体" w:hAnsi="黑体" w:eastAsia="黑体"/>
          <w:color w:val="auto"/>
          <w:szCs w:val="21"/>
          <w:lang w:bidi="ar"/>
        </w:rPr>
        <w:t xml:space="preserve">1  </w:t>
      </w:r>
      <w:r>
        <w:rPr>
          <w:rFonts w:hint="eastAsia" w:ascii="黑体" w:hAnsi="黑体" w:eastAsia="黑体"/>
          <w:color w:val="auto"/>
          <w:szCs w:val="21"/>
          <w:lang w:bidi="ar"/>
        </w:rPr>
        <w:t>项目在昌吉回族自治州环境管控单元位置示意图</w:t>
      </w:r>
    </w:p>
    <w:p w14:paraId="19370331">
      <w:pPr>
        <w:widowControl/>
        <w:adjustRightInd w:val="0"/>
        <w:snapToGrid w:val="0"/>
        <w:jc w:val="center"/>
        <w:rPr>
          <w:color w:val="auto"/>
          <w:lang w:bidi="ar"/>
        </w:rPr>
      </w:pPr>
    </w:p>
    <w:p w14:paraId="6E8237EE">
      <w:pPr>
        <w:jc w:val="center"/>
        <w:rPr>
          <w:rFonts w:hint="eastAsia" w:ascii="黑体" w:hAnsi="黑体" w:eastAsia="黑体"/>
          <w:color w:val="auto"/>
          <w:szCs w:val="21"/>
          <w:lang w:bidi="ar"/>
        </w:rPr>
        <w:sectPr>
          <w:headerReference r:id="rId7" w:type="default"/>
          <w:footerReference r:id="rId8" w:type="default"/>
          <w:pgSz w:w="16838" w:h="11906" w:orient="landscape"/>
          <w:pgMar w:top="1588" w:right="1418" w:bottom="1588" w:left="1418" w:header="851" w:footer="992" w:gutter="0"/>
          <w:cols w:space="425" w:num="1"/>
          <w:docGrid w:type="lines" w:linePitch="312" w:charSpace="0"/>
        </w:sectPr>
      </w:pPr>
    </w:p>
    <w:p w14:paraId="14A89598">
      <w:pPr>
        <w:widowControl/>
        <w:adjustRightInd w:val="0"/>
        <w:snapToGrid w:val="0"/>
        <w:rPr>
          <w:rFonts w:hint="eastAsia" w:ascii="黑体" w:hAnsi="黑体" w:eastAsia="黑体"/>
          <w:b/>
          <w:bCs/>
          <w:color w:val="auto"/>
          <w:sz w:val="32"/>
          <w:szCs w:val="20"/>
          <w14:ligatures w14:val="none"/>
        </w:rPr>
      </w:pPr>
      <w:r>
        <w:rPr>
          <w:color w:val="auto"/>
        </w:rPr>
        <w:drawing>
          <wp:inline distT="0" distB="0" distL="0" distR="0">
            <wp:extent cx="5626735" cy="7837170"/>
            <wp:effectExtent l="0" t="0" r="0" b="0"/>
            <wp:docPr id="15127302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30282" name="图片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642150" cy="7858712"/>
                    </a:xfrm>
                    <a:prstGeom prst="rect">
                      <a:avLst/>
                    </a:prstGeom>
                    <a:noFill/>
                    <a:ln>
                      <a:noFill/>
                    </a:ln>
                  </pic:spPr>
                </pic:pic>
              </a:graphicData>
            </a:graphic>
          </wp:inline>
        </w:drawing>
      </w:r>
    </w:p>
    <w:p w14:paraId="227FA849">
      <w:pPr>
        <w:jc w:val="center"/>
        <w:rPr>
          <w:rFonts w:hint="eastAsia" w:ascii="黑体" w:hAnsi="黑体" w:eastAsia="黑体"/>
          <w:color w:val="auto"/>
          <w:szCs w:val="21"/>
          <w:lang w:bidi="ar"/>
        </w:rPr>
      </w:pPr>
      <w:r>
        <w:rPr>
          <w:rFonts w:hint="eastAsia" w:ascii="黑体" w:hAnsi="黑体" w:eastAsia="黑体"/>
          <w:color w:val="auto"/>
          <w:szCs w:val="21"/>
          <w:lang w:bidi="ar"/>
        </w:rPr>
        <w:t>图2.9-2    本工程与生态保护红线位置图</w:t>
      </w:r>
    </w:p>
    <w:p w14:paraId="1667B79D">
      <w:pPr>
        <w:pStyle w:val="2"/>
        <w:keepLines w:val="0"/>
        <w:widowControl/>
        <w:numPr>
          <w:ilvl w:val="0"/>
          <w:numId w:val="2"/>
        </w:numPr>
        <w:spacing w:before="200" w:after="200" w:line="360" w:lineRule="auto"/>
        <w:ind w:hanging="567"/>
        <w:jc w:val="left"/>
        <w:rPr>
          <w:rFonts w:hint="eastAsia" w:ascii="黑体" w:hAnsi="黑体" w:eastAsia="黑体"/>
          <w:b w:val="0"/>
          <w:bCs w:val="0"/>
          <w:color w:val="auto"/>
          <w:kern w:val="2"/>
          <w:sz w:val="32"/>
          <w:szCs w:val="20"/>
          <w14:ligatures w14:val="none"/>
        </w:rPr>
      </w:pPr>
      <w:bookmarkStart w:id="183" w:name="_Toc224405924"/>
      <w:r>
        <w:rPr>
          <w:rFonts w:hint="eastAsia" w:ascii="黑体" w:hAnsi="黑体" w:eastAsia="黑体"/>
          <w:b w:val="0"/>
          <w:bCs w:val="0"/>
          <w:color w:val="auto"/>
          <w:kern w:val="2"/>
          <w:sz w:val="32"/>
          <w:szCs w:val="20"/>
          <w14:ligatures w14:val="none"/>
        </w:rPr>
        <w:t>建设项目工程分析</w:t>
      </w:r>
      <w:bookmarkEnd w:id="183"/>
    </w:p>
    <w:p w14:paraId="23FBB344">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184" w:name="_Toc224405925"/>
      <w:r>
        <w:rPr>
          <w:rFonts w:hint="eastAsia" w:ascii="黑体" w:hAnsi="黑体" w:eastAsia="黑体" w:cs="Times New Roman"/>
          <w:bCs/>
          <w:color w:val="auto"/>
          <w:sz w:val="28"/>
          <w:szCs w:val="32"/>
          <w14:ligatures w14:val="none"/>
        </w:rPr>
        <w:t>现有工程概况及环境影响回顾</w:t>
      </w:r>
      <w:bookmarkEnd w:id="184"/>
    </w:p>
    <w:p w14:paraId="0A18F825">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莫27井、莫172H井和莫174H井为评价井转为生产井，莫17井区位于未确定产能规模的新区块，本次现有工程对拟转产井钻试工程进行环境影响回顾。</w:t>
      </w:r>
    </w:p>
    <w:p w14:paraId="7AF45F02">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区域位置</w:t>
      </w:r>
    </w:p>
    <w:p w14:paraId="0BEDB914">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莫17井区行政隶属于新疆维吾尔自治区昌吉回族自治州玛纳斯县，</w:t>
      </w:r>
      <w:bookmarkStart w:id="185" w:name="_Hlk160366780"/>
      <w:r>
        <w:rPr>
          <w:rFonts w:hint="eastAsia" w:ascii="宋体" w:hAnsi="宋体" w:cs="宋体"/>
          <w:color w:val="auto"/>
          <w:sz w:val="24"/>
          <w:szCs w:val="24"/>
        </w:rPr>
        <w:t>莫27井西南距玛纳斯县城约95.6km，东南距呼图壁县约108.9km；莫172H井西南距玛纳斯县城约96.9km，东南距呼图壁县约111km；莫174H井西南距玛纳斯县约94.4</w:t>
      </w:r>
      <w:r>
        <w:rPr>
          <w:rFonts w:ascii="宋体" w:hAnsi="宋体" w:cs="宋体"/>
          <w:color w:val="auto"/>
          <w:sz w:val="24"/>
          <w:szCs w:val="24"/>
        </w:rPr>
        <w:t>km</w:t>
      </w:r>
      <w:r>
        <w:rPr>
          <w:rFonts w:hint="eastAsia" w:ascii="宋体" w:hAnsi="宋体" w:cs="宋体"/>
          <w:color w:val="auto"/>
          <w:sz w:val="24"/>
          <w:szCs w:val="24"/>
        </w:rPr>
        <w:t>，东南距呼图壁县约107.3km</w:t>
      </w:r>
      <w:bookmarkEnd w:id="185"/>
      <w:r>
        <w:rPr>
          <w:rFonts w:hint="eastAsia" w:ascii="宋体" w:hAnsi="宋体" w:cs="宋体"/>
          <w:color w:val="auto"/>
          <w:sz w:val="24"/>
          <w:szCs w:val="24"/>
        </w:rPr>
        <w:t>，中心地理坐标为N</w:t>
      </w:r>
      <w:r>
        <w:rPr>
          <w:rFonts w:ascii="宋体" w:hAnsi="宋体" w:cs="宋体"/>
          <w:color w:val="auto"/>
          <w:sz w:val="24"/>
          <w:szCs w:val="24"/>
        </w:rPr>
        <w:t>45°</w:t>
      </w:r>
      <w:r>
        <w:rPr>
          <w:rFonts w:hint="eastAsia" w:ascii="宋体" w:hAnsi="宋体" w:cs="宋体"/>
          <w:color w:val="auto"/>
          <w:sz w:val="24"/>
          <w:szCs w:val="24"/>
        </w:rPr>
        <w:t>8</w:t>
      </w:r>
      <w:r>
        <w:rPr>
          <w:rFonts w:ascii="宋体" w:hAnsi="宋体" w:cs="宋体"/>
          <w:color w:val="auto"/>
          <w:sz w:val="24"/>
          <w:szCs w:val="24"/>
        </w:rPr>
        <w:t>'</w:t>
      </w:r>
      <w:r>
        <w:rPr>
          <w:rFonts w:hint="eastAsia" w:ascii="宋体" w:hAnsi="宋体" w:cs="宋体"/>
          <w:color w:val="auto"/>
          <w:sz w:val="24"/>
          <w:szCs w:val="24"/>
        </w:rPr>
        <w:t>4.84</w:t>
      </w:r>
      <w:r>
        <w:rPr>
          <w:rFonts w:ascii="宋体" w:hAnsi="宋体" w:cs="宋体"/>
          <w:color w:val="auto"/>
          <w:sz w:val="24"/>
          <w:szCs w:val="24"/>
        </w:rPr>
        <w:t>"</w:t>
      </w:r>
      <w:r>
        <w:rPr>
          <w:rFonts w:hint="eastAsia" w:ascii="宋体" w:hAnsi="宋体" w:cs="宋体"/>
          <w:color w:val="auto"/>
          <w:sz w:val="24"/>
          <w:szCs w:val="24"/>
        </w:rPr>
        <w:t>、E</w:t>
      </w:r>
      <w:r>
        <w:rPr>
          <w:rFonts w:ascii="宋体" w:hAnsi="宋体" w:cs="宋体"/>
          <w:color w:val="auto"/>
          <w:sz w:val="24"/>
          <w:szCs w:val="24"/>
        </w:rPr>
        <w:t>86°</w:t>
      </w:r>
      <w:r>
        <w:rPr>
          <w:rFonts w:hint="eastAsia" w:ascii="宋体" w:hAnsi="宋体" w:cs="宋体"/>
          <w:color w:val="auto"/>
          <w:sz w:val="24"/>
          <w:szCs w:val="24"/>
        </w:rPr>
        <w:t>27</w:t>
      </w:r>
      <w:r>
        <w:rPr>
          <w:rFonts w:ascii="宋体" w:hAnsi="宋体" w:cs="宋体"/>
          <w:color w:val="auto"/>
          <w:sz w:val="24"/>
          <w:szCs w:val="24"/>
        </w:rPr>
        <w:t>'</w:t>
      </w:r>
      <w:r>
        <w:rPr>
          <w:rFonts w:hint="eastAsia" w:ascii="宋体" w:hAnsi="宋体" w:cs="宋体"/>
          <w:color w:val="auto"/>
          <w:sz w:val="24"/>
          <w:szCs w:val="24"/>
        </w:rPr>
        <w:t>46.65</w:t>
      </w:r>
      <w:r>
        <w:rPr>
          <w:rFonts w:ascii="宋体" w:hAnsi="宋体" w:cs="宋体"/>
          <w:color w:val="auto"/>
          <w:sz w:val="24"/>
          <w:szCs w:val="24"/>
        </w:rPr>
        <w:t>"</w:t>
      </w:r>
      <w:r>
        <w:rPr>
          <w:rFonts w:hint="eastAsia" w:ascii="宋体" w:hAnsi="宋体" w:cs="宋体"/>
          <w:color w:val="auto"/>
          <w:sz w:val="24"/>
          <w:szCs w:val="24"/>
        </w:rPr>
        <w:t>。区域位置见图3</w:t>
      </w:r>
      <w:r>
        <w:rPr>
          <w:rFonts w:ascii="宋体" w:hAnsi="宋体" w:cs="宋体"/>
          <w:color w:val="auto"/>
          <w:sz w:val="24"/>
          <w:szCs w:val="24"/>
        </w:rPr>
        <w:t>.1</w:t>
      </w:r>
      <w:r>
        <w:rPr>
          <w:rFonts w:hint="eastAsia" w:ascii="宋体" w:hAnsi="宋体" w:cs="宋体"/>
          <w:color w:val="auto"/>
          <w:sz w:val="24"/>
          <w:szCs w:val="24"/>
        </w:rPr>
        <w:t>-</w:t>
      </w:r>
      <w:r>
        <w:rPr>
          <w:rFonts w:ascii="宋体" w:hAnsi="宋体" w:cs="宋体"/>
          <w:color w:val="auto"/>
          <w:sz w:val="24"/>
          <w:szCs w:val="24"/>
        </w:rPr>
        <w:t>1</w:t>
      </w:r>
      <w:r>
        <w:rPr>
          <w:rFonts w:hint="eastAsia" w:ascii="宋体" w:hAnsi="宋体" w:cs="宋体"/>
          <w:color w:val="auto"/>
          <w:sz w:val="24"/>
          <w:szCs w:val="24"/>
        </w:rPr>
        <w:t>。</w:t>
      </w:r>
    </w:p>
    <w:p w14:paraId="39E1F6BA">
      <w:pPr>
        <w:widowControl/>
        <w:adjustRightInd w:val="0"/>
        <w:snapToGrid w:val="0"/>
        <w:spacing w:line="360" w:lineRule="auto"/>
        <w:rPr>
          <w:rFonts w:hint="eastAsia" w:ascii="宋体" w:hAnsi="宋体" w:cs="宋体"/>
          <w:color w:val="auto"/>
          <w:sz w:val="24"/>
          <w:szCs w:val="24"/>
        </w:rPr>
      </w:pPr>
      <w:r>
        <w:rPr>
          <w:color w:val="auto"/>
        </w:rPr>
        <w:drawing>
          <wp:inline distT="0" distB="0" distL="0" distR="0">
            <wp:extent cx="5543550" cy="3453765"/>
            <wp:effectExtent l="0" t="0" r="0" b="0"/>
            <wp:docPr id="9486882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688212" name="图片 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543550" cy="3453765"/>
                    </a:xfrm>
                    <a:prstGeom prst="rect">
                      <a:avLst/>
                    </a:prstGeom>
                    <a:noFill/>
                    <a:ln>
                      <a:noFill/>
                    </a:ln>
                  </pic:spPr>
                </pic:pic>
              </a:graphicData>
            </a:graphic>
          </wp:inline>
        </w:drawing>
      </w:r>
    </w:p>
    <w:p w14:paraId="2CC31BD5">
      <w:pPr>
        <w:pStyle w:val="86"/>
        <w:spacing w:line="240" w:lineRule="auto"/>
        <w:ind w:firstLine="0" w:firstLineChars="0"/>
        <w:jc w:val="center"/>
        <w:rPr>
          <w:rFonts w:hint="eastAsia" w:ascii="黑体" w:hAnsi="黑体" w:eastAsia="黑体"/>
          <w:color w:val="auto"/>
          <w:sz w:val="21"/>
          <w:szCs w:val="21"/>
        </w:rPr>
      </w:pPr>
      <w:r>
        <w:rPr>
          <w:rFonts w:hint="eastAsia" w:ascii="黑体" w:hAnsi="黑体" w:eastAsia="黑体"/>
          <w:color w:val="auto"/>
          <w:sz w:val="21"/>
          <w:szCs w:val="21"/>
        </w:rPr>
        <w:t>图3</w:t>
      </w:r>
      <w:r>
        <w:rPr>
          <w:rFonts w:ascii="黑体" w:hAnsi="黑体" w:eastAsia="黑体"/>
          <w:color w:val="auto"/>
          <w:sz w:val="21"/>
          <w:szCs w:val="21"/>
        </w:rPr>
        <w:t>.1</w:t>
      </w:r>
      <w:r>
        <w:rPr>
          <w:rFonts w:hint="eastAsia" w:ascii="黑体" w:hAnsi="黑体" w:eastAsia="黑体"/>
          <w:color w:val="auto"/>
          <w:sz w:val="21"/>
          <w:szCs w:val="21"/>
        </w:rPr>
        <w:t>-</w:t>
      </w:r>
      <w:r>
        <w:rPr>
          <w:rFonts w:ascii="黑体" w:hAnsi="黑体" w:eastAsia="黑体"/>
          <w:color w:val="auto"/>
          <w:sz w:val="21"/>
          <w:szCs w:val="21"/>
        </w:rPr>
        <w:t xml:space="preserve">1  </w:t>
      </w:r>
      <w:r>
        <w:rPr>
          <w:rFonts w:hint="eastAsia" w:ascii="黑体" w:hAnsi="黑体" w:eastAsia="黑体"/>
          <w:color w:val="auto"/>
          <w:sz w:val="21"/>
          <w:szCs w:val="21"/>
        </w:rPr>
        <w:t>区域位置示意图</w:t>
      </w:r>
    </w:p>
    <w:p w14:paraId="540F812F">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拟转产井概况</w:t>
      </w:r>
    </w:p>
    <w:p w14:paraId="71DBDADD">
      <w:pPr>
        <w:adjustRightInd w:val="0"/>
        <w:snapToGrid w:val="0"/>
        <w:spacing w:line="56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（1）拟转产井概况</w:t>
      </w:r>
    </w:p>
    <w:p w14:paraId="1A68349E">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本次拟将莫27井、莫172H井、莫174H井转为生产井，三口井的基本情况见表3.1-2。</w:t>
      </w:r>
    </w:p>
    <w:p w14:paraId="2AB74D45">
      <w:pPr>
        <w:pStyle w:val="86"/>
        <w:spacing w:line="240" w:lineRule="auto"/>
        <w:ind w:firstLine="0" w:firstLineChars="0"/>
        <w:jc w:val="center"/>
        <w:rPr>
          <w:rFonts w:hint="eastAsia" w:ascii="黑体" w:hAnsi="黑体" w:eastAsia="黑体"/>
          <w:color w:val="auto"/>
          <w:sz w:val="21"/>
          <w:szCs w:val="21"/>
        </w:rPr>
      </w:pPr>
      <w:bookmarkStart w:id="186" w:name="_Hlk161332362"/>
      <w:r>
        <w:rPr>
          <w:rFonts w:hint="eastAsia" w:ascii="黑体" w:hAnsi="黑体" w:eastAsia="黑体"/>
          <w:color w:val="auto"/>
          <w:sz w:val="21"/>
          <w:szCs w:val="21"/>
        </w:rPr>
        <w:t xml:space="preserve">表3.1-2 </w:t>
      </w:r>
      <w:r>
        <w:rPr>
          <w:rFonts w:ascii="黑体" w:hAnsi="黑体" w:eastAsia="黑体"/>
          <w:color w:val="auto"/>
          <w:sz w:val="21"/>
          <w:szCs w:val="21"/>
        </w:rPr>
        <w:t xml:space="preserve"> </w:t>
      </w:r>
      <w:r>
        <w:rPr>
          <w:rFonts w:hint="eastAsia" w:ascii="黑体" w:hAnsi="黑体" w:eastAsia="黑体"/>
          <w:color w:val="auto"/>
          <w:sz w:val="21"/>
          <w:szCs w:val="21"/>
        </w:rPr>
        <w:t>拟转产井基本情况一览表</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421"/>
        <w:gridCol w:w="2097"/>
        <w:gridCol w:w="867"/>
        <w:gridCol w:w="867"/>
        <w:gridCol w:w="850"/>
        <w:gridCol w:w="709"/>
        <w:gridCol w:w="709"/>
        <w:gridCol w:w="425"/>
        <w:gridCol w:w="650"/>
      </w:tblGrid>
      <w:tr w14:paraId="4734FF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5" w:type="dxa"/>
            <w:noWrap/>
            <w:vAlign w:val="center"/>
          </w:tcPr>
          <w:p w14:paraId="551C0890">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井号</w:t>
            </w:r>
          </w:p>
        </w:tc>
        <w:tc>
          <w:tcPr>
            <w:tcW w:w="421" w:type="dxa"/>
            <w:vAlign w:val="center"/>
          </w:tcPr>
          <w:p w14:paraId="2F815481">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类别</w:t>
            </w:r>
          </w:p>
        </w:tc>
        <w:tc>
          <w:tcPr>
            <w:tcW w:w="2097" w:type="dxa"/>
            <w:noWrap/>
            <w:vAlign w:val="center"/>
          </w:tcPr>
          <w:p w14:paraId="0F93AAB0">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井位坐标</w:t>
            </w:r>
          </w:p>
        </w:tc>
        <w:tc>
          <w:tcPr>
            <w:tcW w:w="867" w:type="dxa"/>
            <w:noWrap/>
            <w:vAlign w:val="center"/>
          </w:tcPr>
          <w:p w14:paraId="2F07E2E7">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井深（m）</w:t>
            </w:r>
          </w:p>
        </w:tc>
        <w:tc>
          <w:tcPr>
            <w:tcW w:w="867" w:type="dxa"/>
            <w:vAlign w:val="center"/>
          </w:tcPr>
          <w:p w14:paraId="5C987DE6">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开钻时间</w:t>
            </w:r>
          </w:p>
        </w:tc>
        <w:tc>
          <w:tcPr>
            <w:tcW w:w="850" w:type="dxa"/>
            <w:vAlign w:val="center"/>
          </w:tcPr>
          <w:p w14:paraId="6122D36B">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完钻时间</w:t>
            </w:r>
          </w:p>
        </w:tc>
        <w:tc>
          <w:tcPr>
            <w:tcW w:w="709" w:type="dxa"/>
            <w:vAlign w:val="center"/>
          </w:tcPr>
          <w:p w14:paraId="10159B2C">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井型</w:t>
            </w:r>
          </w:p>
        </w:tc>
        <w:tc>
          <w:tcPr>
            <w:tcW w:w="709" w:type="dxa"/>
            <w:vAlign w:val="center"/>
          </w:tcPr>
          <w:p w14:paraId="27EE9EA8">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目的层</w:t>
            </w:r>
          </w:p>
        </w:tc>
        <w:tc>
          <w:tcPr>
            <w:tcW w:w="425" w:type="dxa"/>
            <w:vAlign w:val="center"/>
          </w:tcPr>
          <w:p w14:paraId="08496B4D">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固井</w:t>
            </w:r>
          </w:p>
          <w:p w14:paraId="03A61B67">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质量</w:t>
            </w:r>
          </w:p>
        </w:tc>
        <w:tc>
          <w:tcPr>
            <w:tcW w:w="650" w:type="dxa"/>
            <w:vAlign w:val="center"/>
          </w:tcPr>
          <w:p w14:paraId="1675FB43">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封井状况</w:t>
            </w:r>
          </w:p>
        </w:tc>
      </w:tr>
      <w:tr w14:paraId="774ECC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5" w:type="dxa"/>
            <w:noWrap/>
            <w:vAlign w:val="center"/>
          </w:tcPr>
          <w:p w14:paraId="57423F02">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莫27井</w:t>
            </w:r>
          </w:p>
        </w:tc>
        <w:tc>
          <w:tcPr>
            <w:tcW w:w="421" w:type="dxa"/>
            <w:vAlign w:val="center"/>
          </w:tcPr>
          <w:p w14:paraId="2378066C">
            <w:pPr>
              <w:widowControl/>
              <w:adjustRightInd w:val="0"/>
              <w:snapToGrid w:val="0"/>
              <w:jc w:val="center"/>
              <w:rPr>
                <w:rFonts w:hint="eastAsia" w:ascii="宋体" w:hAnsi="宋体"/>
                <w:color w:val="auto"/>
              </w:rPr>
            </w:pPr>
            <w:r>
              <w:rPr>
                <w:rFonts w:hint="eastAsia" w:ascii="宋体" w:hAnsi="宋体"/>
                <w:color w:val="auto"/>
              </w:rPr>
              <w:t>勘探井</w:t>
            </w:r>
          </w:p>
        </w:tc>
        <w:tc>
          <w:tcPr>
            <w:tcW w:w="2097" w:type="dxa"/>
            <w:noWrap/>
            <w:vAlign w:val="center"/>
          </w:tcPr>
          <w:p w14:paraId="4E9B16C7">
            <w:pPr>
              <w:widowControl/>
              <w:adjustRightInd w:val="0"/>
              <w:snapToGrid w:val="0"/>
              <w:jc w:val="center"/>
              <w:rPr>
                <w:rFonts w:hint="eastAsia" w:ascii="宋体" w:hAnsi="宋体"/>
                <w:color w:val="auto"/>
              </w:rPr>
            </w:pPr>
            <w:r>
              <w:rPr>
                <w:rFonts w:ascii="宋体" w:hAnsi="宋体"/>
                <w:color w:val="auto"/>
              </w:rPr>
              <w:t>N45° 7'30.29"</w:t>
            </w:r>
          </w:p>
          <w:p w14:paraId="2EC5BD51">
            <w:pPr>
              <w:widowControl/>
              <w:adjustRightInd w:val="0"/>
              <w:snapToGrid w:val="0"/>
              <w:jc w:val="center"/>
              <w:rPr>
                <w:rFonts w:hint="eastAsia" w:ascii="宋体" w:hAnsi="宋体"/>
                <w:color w:val="auto"/>
              </w:rPr>
            </w:pPr>
            <w:r>
              <w:rPr>
                <w:rFonts w:ascii="宋体" w:hAnsi="宋体"/>
                <w:color w:val="auto"/>
              </w:rPr>
              <w:t>E86°27'38.51"</w:t>
            </w:r>
          </w:p>
        </w:tc>
        <w:tc>
          <w:tcPr>
            <w:tcW w:w="867" w:type="dxa"/>
            <w:noWrap/>
            <w:vAlign w:val="center"/>
          </w:tcPr>
          <w:p w14:paraId="72FC8AEA">
            <w:pPr>
              <w:widowControl/>
              <w:adjustRightInd w:val="0"/>
              <w:snapToGrid w:val="0"/>
              <w:jc w:val="center"/>
              <w:rPr>
                <w:rFonts w:hint="eastAsia" w:ascii="宋体" w:hAnsi="宋体"/>
                <w:color w:val="auto"/>
              </w:rPr>
            </w:pPr>
            <w:r>
              <w:rPr>
                <w:rFonts w:ascii="宋体" w:hAnsi="宋体"/>
                <w:color w:val="auto"/>
              </w:rPr>
              <w:t>4284</w:t>
            </w:r>
          </w:p>
        </w:tc>
        <w:tc>
          <w:tcPr>
            <w:tcW w:w="867" w:type="dxa"/>
            <w:vAlign w:val="center"/>
          </w:tcPr>
          <w:p w14:paraId="5D6A1F94">
            <w:pPr>
              <w:widowControl/>
              <w:adjustRightInd w:val="0"/>
              <w:snapToGrid w:val="0"/>
              <w:jc w:val="center"/>
              <w:rPr>
                <w:rFonts w:hint="eastAsia" w:ascii="宋体" w:hAnsi="宋体"/>
                <w:color w:val="auto"/>
              </w:rPr>
            </w:pPr>
            <w:r>
              <w:rPr>
                <w:rFonts w:hint="eastAsia" w:ascii="宋体" w:hAnsi="宋体"/>
                <w:color w:val="auto"/>
              </w:rPr>
              <w:t>2021.8</w:t>
            </w:r>
          </w:p>
        </w:tc>
        <w:tc>
          <w:tcPr>
            <w:tcW w:w="850" w:type="dxa"/>
            <w:vAlign w:val="center"/>
          </w:tcPr>
          <w:p w14:paraId="4B4A523F">
            <w:pPr>
              <w:widowControl/>
              <w:adjustRightInd w:val="0"/>
              <w:snapToGrid w:val="0"/>
              <w:jc w:val="center"/>
              <w:rPr>
                <w:rFonts w:hint="eastAsia" w:ascii="宋体" w:hAnsi="宋体"/>
                <w:color w:val="auto"/>
              </w:rPr>
            </w:pPr>
            <w:r>
              <w:rPr>
                <w:rFonts w:hint="eastAsia" w:ascii="宋体" w:hAnsi="宋体"/>
                <w:color w:val="auto"/>
              </w:rPr>
              <w:t>2021.9</w:t>
            </w:r>
          </w:p>
        </w:tc>
        <w:tc>
          <w:tcPr>
            <w:tcW w:w="709" w:type="dxa"/>
            <w:vAlign w:val="center"/>
          </w:tcPr>
          <w:p w14:paraId="7D4220C9">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直井</w:t>
            </w:r>
          </w:p>
        </w:tc>
        <w:tc>
          <w:tcPr>
            <w:tcW w:w="709" w:type="dxa"/>
            <w:vAlign w:val="center"/>
          </w:tcPr>
          <w:p w14:paraId="6CF0C06B">
            <w:pPr>
              <w:widowControl/>
              <w:adjustRightInd w:val="0"/>
              <w:snapToGrid w:val="0"/>
              <w:jc w:val="center"/>
              <w:rPr>
                <w:rFonts w:hint="eastAsia" w:ascii="宋体" w:hAnsi="宋体" w:cs="宋体"/>
                <w:i/>
                <w:iCs/>
                <w:color w:val="auto"/>
                <w:kern w:val="0"/>
                <w:szCs w:val="21"/>
              </w:rPr>
            </w:pPr>
            <w:r>
              <w:rPr>
                <w:rFonts w:ascii="宋体" w:hAnsi="宋体" w:cs="宋体"/>
                <w:i/>
                <w:iCs/>
                <w:color w:val="auto"/>
                <w:kern w:val="0"/>
                <w:szCs w:val="21"/>
              </w:rPr>
              <w:t>J</w:t>
            </w:r>
            <w:r>
              <w:rPr>
                <w:rFonts w:ascii="宋体" w:hAnsi="宋体" w:cs="宋体"/>
                <w:i/>
                <w:iCs/>
                <w:color w:val="auto"/>
                <w:kern w:val="0"/>
                <w:szCs w:val="21"/>
                <w:vertAlign w:val="subscript"/>
              </w:rPr>
              <w:t>1</w:t>
            </w:r>
            <w:r>
              <w:rPr>
                <w:rFonts w:ascii="宋体" w:hAnsi="宋体" w:cs="宋体"/>
                <w:i/>
                <w:iCs/>
                <w:color w:val="auto"/>
                <w:kern w:val="0"/>
                <w:szCs w:val="21"/>
              </w:rPr>
              <w:t>s</w:t>
            </w:r>
            <w:r>
              <w:rPr>
                <w:rFonts w:ascii="宋体" w:hAnsi="宋体" w:cs="宋体"/>
                <w:i/>
                <w:iCs/>
                <w:color w:val="auto"/>
                <w:kern w:val="0"/>
                <w:szCs w:val="21"/>
                <w:vertAlign w:val="subscript"/>
              </w:rPr>
              <w:t>2</w:t>
            </w:r>
            <w:r>
              <w:rPr>
                <w:rFonts w:ascii="宋体" w:hAnsi="宋体" w:cs="宋体"/>
                <w:i/>
                <w:iCs/>
                <w:color w:val="auto"/>
                <w:kern w:val="0"/>
                <w:szCs w:val="21"/>
                <w:vertAlign w:val="superscript"/>
              </w:rPr>
              <w:t>1</w:t>
            </w:r>
          </w:p>
        </w:tc>
        <w:tc>
          <w:tcPr>
            <w:tcW w:w="425" w:type="dxa"/>
            <w:vAlign w:val="center"/>
          </w:tcPr>
          <w:p w14:paraId="6B12BD62">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良好</w:t>
            </w:r>
          </w:p>
        </w:tc>
        <w:tc>
          <w:tcPr>
            <w:tcW w:w="650" w:type="dxa"/>
            <w:vAlign w:val="center"/>
          </w:tcPr>
          <w:p w14:paraId="48F843D3">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未封井</w:t>
            </w:r>
          </w:p>
        </w:tc>
      </w:tr>
      <w:tr w14:paraId="3659DE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5" w:type="dxa"/>
            <w:noWrap/>
            <w:vAlign w:val="center"/>
          </w:tcPr>
          <w:p w14:paraId="25136B1A">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莫172H井</w:t>
            </w:r>
          </w:p>
        </w:tc>
        <w:tc>
          <w:tcPr>
            <w:tcW w:w="421" w:type="dxa"/>
            <w:vAlign w:val="center"/>
          </w:tcPr>
          <w:p w14:paraId="750098E3">
            <w:pPr>
              <w:widowControl/>
              <w:adjustRightInd w:val="0"/>
              <w:snapToGrid w:val="0"/>
              <w:jc w:val="center"/>
              <w:rPr>
                <w:rFonts w:hint="eastAsia" w:ascii="宋体" w:hAnsi="宋体"/>
                <w:color w:val="auto"/>
              </w:rPr>
            </w:pPr>
            <w:r>
              <w:rPr>
                <w:rFonts w:hint="eastAsia" w:ascii="宋体" w:hAnsi="宋体"/>
                <w:color w:val="auto"/>
              </w:rPr>
              <w:t>评价井</w:t>
            </w:r>
          </w:p>
        </w:tc>
        <w:tc>
          <w:tcPr>
            <w:tcW w:w="2097" w:type="dxa"/>
            <w:noWrap/>
            <w:vAlign w:val="center"/>
          </w:tcPr>
          <w:p w14:paraId="32F63181">
            <w:pPr>
              <w:widowControl/>
              <w:adjustRightInd w:val="0"/>
              <w:snapToGrid w:val="0"/>
              <w:jc w:val="center"/>
              <w:rPr>
                <w:rFonts w:hint="eastAsia" w:ascii="宋体" w:hAnsi="宋体"/>
                <w:color w:val="auto"/>
              </w:rPr>
            </w:pPr>
            <w:r>
              <w:rPr>
                <w:rFonts w:ascii="宋体" w:hAnsi="宋体"/>
                <w:color w:val="auto"/>
              </w:rPr>
              <w:t>N45°8′2.894″</w:t>
            </w:r>
          </w:p>
          <w:p w14:paraId="29D5F137">
            <w:pPr>
              <w:widowControl/>
              <w:adjustRightInd w:val="0"/>
              <w:snapToGrid w:val="0"/>
              <w:jc w:val="center"/>
              <w:rPr>
                <w:rFonts w:hint="eastAsia" w:ascii="宋体" w:hAnsi="宋体"/>
                <w:color w:val="auto"/>
              </w:rPr>
            </w:pPr>
            <w:r>
              <w:rPr>
                <w:rFonts w:ascii="宋体" w:hAnsi="宋体"/>
                <w:color w:val="auto"/>
              </w:rPr>
              <w:t>E86°27′46.458″</w:t>
            </w:r>
          </w:p>
        </w:tc>
        <w:tc>
          <w:tcPr>
            <w:tcW w:w="867" w:type="dxa"/>
            <w:noWrap/>
            <w:vAlign w:val="center"/>
          </w:tcPr>
          <w:p w14:paraId="0F938C2C">
            <w:pPr>
              <w:widowControl/>
              <w:adjustRightInd w:val="0"/>
              <w:snapToGrid w:val="0"/>
              <w:jc w:val="center"/>
              <w:rPr>
                <w:rFonts w:hint="eastAsia" w:ascii="宋体" w:hAnsi="宋体"/>
                <w:color w:val="auto"/>
              </w:rPr>
            </w:pPr>
            <w:r>
              <w:rPr>
                <w:rFonts w:hint="eastAsia" w:ascii="宋体" w:hAnsi="宋体"/>
                <w:color w:val="auto"/>
              </w:rPr>
              <w:t>5858</w:t>
            </w:r>
          </w:p>
        </w:tc>
        <w:tc>
          <w:tcPr>
            <w:tcW w:w="867" w:type="dxa"/>
            <w:vAlign w:val="center"/>
          </w:tcPr>
          <w:p w14:paraId="2A752883">
            <w:pPr>
              <w:widowControl/>
              <w:adjustRightInd w:val="0"/>
              <w:snapToGrid w:val="0"/>
              <w:jc w:val="center"/>
              <w:rPr>
                <w:rFonts w:hint="eastAsia" w:ascii="宋体" w:hAnsi="宋体"/>
                <w:color w:val="auto"/>
              </w:rPr>
            </w:pPr>
            <w:r>
              <w:rPr>
                <w:rFonts w:hint="eastAsia" w:ascii="宋体" w:hAnsi="宋体"/>
                <w:color w:val="auto"/>
              </w:rPr>
              <w:t>2024.11.22</w:t>
            </w:r>
          </w:p>
        </w:tc>
        <w:tc>
          <w:tcPr>
            <w:tcW w:w="850" w:type="dxa"/>
            <w:vAlign w:val="center"/>
          </w:tcPr>
          <w:p w14:paraId="6B9FE9BA">
            <w:pPr>
              <w:widowControl/>
              <w:adjustRightInd w:val="0"/>
              <w:snapToGrid w:val="0"/>
              <w:jc w:val="center"/>
              <w:rPr>
                <w:rFonts w:hint="eastAsia" w:ascii="宋体" w:hAnsi="宋体"/>
                <w:color w:val="auto"/>
              </w:rPr>
            </w:pPr>
            <w:r>
              <w:rPr>
                <w:rFonts w:hint="eastAsia" w:ascii="宋体" w:hAnsi="宋体"/>
                <w:color w:val="auto"/>
              </w:rPr>
              <w:t>2025.4.13</w:t>
            </w:r>
          </w:p>
        </w:tc>
        <w:tc>
          <w:tcPr>
            <w:tcW w:w="709" w:type="dxa"/>
            <w:vAlign w:val="center"/>
          </w:tcPr>
          <w:p w14:paraId="70D670FD">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水平井</w:t>
            </w:r>
          </w:p>
        </w:tc>
        <w:tc>
          <w:tcPr>
            <w:tcW w:w="709" w:type="dxa"/>
            <w:vAlign w:val="center"/>
          </w:tcPr>
          <w:p w14:paraId="6DB993D1">
            <w:pPr>
              <w:widowControl/>
              <w:adjustRightInd w:val="0"/>
              <w:snapToGrid w:val="0"/>
              <w:jc w:val="center"/>
              <w:rPr>
                <w:rFonts w:hint="eastAsia" w:ascii="宋体" w:hAnsi="宋体" w:cs="宋体"/>
                <w:i/>
                <w:iCs/>
                <w:color w:val="auto"/>
                <w:kern w:val="0"/>
                <w:szCs w:val="21"/>
              </w:rPr>
            </w:pPr>
            <w:r>
              <w:rPr>
                <w:rFonts w:ascii="宋体" w:hAnsi="宋体" w:cs="宋体"/>
                <w:i/>
                <w:iCs/>
                <w:color w:val="auto"/>
                <w:kern w:val="0"/>
                <w:szCs w:val="21"/>
              </w:rPr>
              <w:t>J</w:t>
            </w:r>
            <w:r>
              <w:rPr>
                <w:rFonts w:ascii="宋体" w:hAnsi="宋体" w:cs="宋体"/>
                <w:i/>
                <w:iCs/>
                <w:color w:val="auto"/>
                <w:kern w:val="0"/>
                <w:szCs w:val="21"/>
                <w:vertAlign w:val="subscript"/>
              </w:rPr>
              <w:t>1</w:t>
            </w:r>
            <w:r>
              <w:rPr>
                <w:rFonts w:ascii="宋体" w:hAnsi="宋体" w:cs="宋体"/>
                <w:i/>
                <w:iCs/>
                <w:color w:val="auto"/>
                <w:kern w:val="0"/>
                <w:szCs w:val="21"/>
              </w:rPr>
              <w:t>s</w:t>
            </w:r>
            <w:r>
              <w:rPr>
                <w:rFonts w:ascii="宋体" w:hAnsi="宋体" w:cs="宋体"/>
                <w:i/>
                <w:iCs/>
                <w:color w:val="auto"/>
                <w:kern w:val="0"/>
                <w:szCs w:val="21"/>
                <w:vertAlign w:val="subscript"/>
              </w:rPr>
              <w:t>2</w:t>
            </w:r>
            <w:r>
              <w:rPr>
                <w:rFonts w:ascii="宋体" w:hAnsi="宋体" w:cs="宋体"/>
                <w:i/>
                <w:iCs/>
                <w:color w:val="auto"/>
                <w:kern w:val="0"/>
                <w:szCs w:val="21"/>
                <w:vertAlign w:val="superscript"/>
              </w:rPr>
              <w:t>1</w:t>
            </w:r>
          </w:p>
        </w:tc>
        <w:tc>
          <w:tcPr>
            <w:tcW w:w="425" w:type="dxa"/>
            <w:vAlign w:val="center"/>
          </w:tcPr>
          <w:p w14:paraId="0368A726">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良好</w:t>
            </w:r>
          </w:p>
        </w:tc>
        <w:tc>
          <w:tcPr>
            <w:tcW w:w="650" w:type="dxa"/>
            <w:vAlign w:val="center"/>
          </w:tcPr>
          <w:p w14:paraId="60E117C6">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未封井</w:t>
            </w:r>
          </w:p>
        </w:tc>
      </w:tr>
      <w:tr w14:paraId="65DD70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5" w:type="dxa"/>
            <w:noWrap/>
            <w:vAlign w:val="center"/>
          </w:tcPr>
          <w:p w14:paraId="30C8DA79">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莫174H井</w:t>
            </w:r>
          </w:p>
        </w:tc>
        <w:tc>
          <w:tcPr>
            <w:tcW w:w="421" w:type="dxa"/>
            <w:vAlign w:val="center"/>
          </w:tcPr>
          <w:p w14:paraId="24722149">
            <w:pPr>
              <w:widowControl/>
              <w:adjustRightInd w:val="0"/>
              <w:snapToGrid w:val="0"/>
              <w:jc w:val="center"/>
              <w:rPr>
                <w:rFonts w:hint="eastAsia" w:ascii="宋体" w:hAnsi="宋体" w:cs="宋体"/>
                <w:color w:val="auto"/>
                <w:kern w:val="0"/>
                <w:szCs w:val="21"/>
              </w:rPr>
            </w:pPr>
            <w:r>
              <w:rPr>
                <w:rFonts w:hint="eastAsia" w:ascii="宋体" w:hAnsi="宋体"/>
                <w:color w:val="auto"/>
              </w:rPr>
              <w:t>评价井</w:t>
            </w:r>
          </w:p>
        </w:tc>
        <w:tc>
          <w:tcPr>
            <w:tcW w:w="2097" w:type="dxa"/>
            <w:noWrap/>
            <w:vAlign w:val="center"/>
          </w:tcPr>
          <w:p w14:paraId="4973B261">
            <w:pPr>
              <w:widowControl/>
              <w:adjustRightInd w:val="0"/>
              <w:snapToGrid w:val="0"/>
              <w:jc w:val="center"/>
              <w:rPr>
                <w:rFonts w:hint="eastAsia" w:ascii="宋体" w:hAnsi="宋体" w:cs="宋体"/>
                <w:color w:val="auto"/>
                <w:kern w:val="0"/>
                <w:szCs w:val="21"/>
              </w:rPr>
            </w:pPr>
            <w:r>
              <w:rPr>
                <w:rFonts w:ascii="宋体" w:hAnsi="宋体" w:cs="宋体"/>
                <w:color w:val="auto"/>
                <w:kern w:val="0"/>
                <w:szCs w:val="21"/>
              </w:rPr>
              <w:t>N45°</w:t>
            </w:r>
            <w:r>
              <w:rPr>
                <w:rFonts w:hint="eastAsia" w:ascii="宋体" w:hAnsi="宋体" w:cs="宋体"/>
                <w:color w:val="auto"/>
                <w:kern w:val="0"/>
                <w:szCs w:val="21"/>
              </w:rPr>
              <w:t>6</w:t>
            </w:r>
            <w:r>
              <w:rPr>
                <w:rFonts w:ascii="宋体" w:hAnsi="宋体"/>
                <w:color w:val="auto"/>
              </w:rPr>
              <w:t>′</w:t>
            </w:r>
            <w:r>
              <w:rPr>
                <w:rFonts w:hint="eastAsia" w:ascii="宋体" w:hAnsi="宋体" w:cs="宋体"/>
                <w:color w:val="auto"/>
                <w:kern w:val="0"/>
                <w:szCs w:val="21"/>
              </w:rPr>
              <w:t>7.596</w:t>
            </w:r>
            <w:r>
              <w:rPr>
                <w:rFonts w:ascii="宋体" w:hAnsi="宋体" w:cs="宋体"/>
                <w:color w:val="auto"/>
                <w:kern w:val="0"/>
                <w:szCs w:val="21"/>
              </w:rPr>
              <w:t xml:space="preserve">" </w:t>
            </w:r>
          </w:p>
          <w:p w14:paraId="768F0A4D">
            <w:pPr>
              <w:widowControl/>
              <w:adjustRightInd w:val="0"/>
              <w:snapToGrid w:val="0"/>
              <w:jc w:val="center"/>
              <w:rPr>
                <w:rFonts w:hint="eastAsia" w:ascii="宋体" w:hAnsi="宋体" w:cs="宋体"/>
                <w:color w:val="auto"/>
                <w:kern w:val="0"/>
                <w:szCs w:val="21"/>
              </w:rPr>
            </w:pPr>
            <w:r>
              <w:rPr>
                <w:rFonts w:ascii="宋体" w:hAnsi="宋体" w:cs="宋体"/>
                <w:color w:val="auto"/>
                <w:kern w:val="0"/>
                <w:szCs w:val="21"/>
              </w:rPr>
              <w:t>E86°2</w:t>
            </w:r>
            <w:r>
              <w:rPr>
                <w:rFonts w:hint="eastAsia" w:ascii="宋体" w:hAnsi="宋体" w:cs="宋体"/>
                <w:color w:val="auto"/>
                <w:kern w:val="0"/>
                <w:szCs w:val="21"/>
              </w:rPr>
              <w:t>8</w:t>
            </w:r>
            <w:r>
              <w:rPr>
                <w:rFonts w:ascii="宋体" w:hAnsi="宋体"/>
                <w:color w:val="auto"/>
              </w:rPr>
              <w:t>′</w:t>
            </w:r>
            <w:r>
              <w:rPr>
                <w:rFonts w:hint="eastAsia" w:ascii="宋体" w:hAnsi="宋体" w:cs="宋体"/>
                <w:color w:val="auto"/>
                <w:kern w:val="0"/>
                <w:szCs w:val="21"/>
              </w:rPr>
              <w:t>48.193</w:t>
            </w:r>
            <w:r>
              <w:rPr>
                <w:rFonts w:ascii="宋体" w:hAnsi="宋体" w:cs="宋体"/>
                <w:color w:val="auto"/>
                <w:kern w:val="0"/>
                <w:szCs w:val="21"/>
              </w:rPr>
              <w:t>"</w:t>
            </w:r>
          </w:p>
        </w:tc>
        <w:tc>
          <w:tcPr>
            <w:tcW w:w="867" w:type="dxa"/>
            <w:noWrap/>
            <w:vAlign w:val="center"/>
          </w:tcPr>
          <w:p w14:paraId="688B2EB8">
            <w:pPr>
              <w:widowControl/>
              <w:adjustRightInd w:val="0"/>
              <w:snapToGrid w:val="0"/>
              <w:jc w:val="center"/>
              <w:rPr>
                <w:rFonts w:hint="eastAsia" w:ascii="宋体" w:hAnsi="宋体"/>
                <w:color w:val="auto"/>
              </w:rPr>
            </w:pPr>
            <w:r>
              <w:rPr>
                <w:rFonts w:hint="eastAsia" w:ascii="宋体" w:hAnsi="宋体"/>
                <w:color w:val="auto"/>
              </w:rPr>
              <w:t>4292</w:t>
            </w:r>
          </w:p>
        </w:tc>
        <w:tc>
          <w:tcPr>
            <w:tcW w:w="1717" w:type="dxa"/>
            <w:gridSpan w:val="2"/>
            <w:vAlign w:val="center"/>
          </w:tcPr>
          <w:p w14:paraId="3E8C47B3">
            <w:pPr>
              <w:widowControl/>
              <w:adjustRightInd w:val="0"/>
              <w:snapToGrid w:val="0"/>
              <w:jc w:val="center"/>
              <w:rPr>
                <w:rFonts w:hint="eastAsia" w:ascii="宋体" w:hAnsi="宋体"/>
                <w:color w:val="auto"/>
              </w:rPr>
            </w:pPr>
            <w:r>
              <w:rPr>
                <w:rFonts w:hint="eastAsia" w:ascii="宋体" w:hAnsi="宋体"/>
                <w:color w:val="auto"/>
              </w:rPr>
              <w:t>未开钻</w:t>
            </w:r>
          </w:p>
        </w:tc>
        <w:tc>
          <w:tcPr>
            <w:tcW w:w="709" w:type="dxa"/>
            <w:vAlign w:val="center"/>
          </w:tcPr>
          <w:p w14:paraId="26A7655C">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水平井</w:t>
            </w:r>
          </w:p>
        </w:tc>
        <w:tc>
          <w:tcPr>
            <w:tcW w:w="709" w:type="dxa"/>
            <w:vAlign w:val="center"/>
          </w:tcPr>
          <w:p w14:paraId="7EE85143">
            <w:pPr>
              <w:widowControl/>
              <w:adjustRightInd w:val="0"/>
              <w:snapToGrid w:val="0"/>
              <w:jc w:val="center"/>
              <w:rPr>
                <w:rFonts w:hint="eastAsia" w:ascii="宋体" w:hAnsi="宋体" w:cs="宋体"/>
                <w:i/>
                <w:iCs/>
                <w:color w:val="auto"/>
                <w:kern w:val="0"/>
                <w:szCs w:val="21"/>
              </w:rPr>
            </w:pPr>
            <w:r>
              <w:rPr>
                <w:rFonts w:ascii="宋体" w:hAnsi="宋体" w:cs="宋体"/>
                <w:i/>
                <w:iCs/>
                <w:color w:val="auto"/>
                <w:kern w:val="0"/>
                <w:szCs w:val="21"/>
              </w:rPr>
              <w:t>J</w:t>
            </w:r>
            <w:r>
              <w:rPr>
                <w:rFonts w:ascii="宋体" w:hAnsi="宋体" w:cs="宋体"/>
                <w:i/>
                <w:iCs/>
                <w:color w:val="auto"/>
                <w:kern w:val="0"/>
                <w:szCs w:val="21"/>
                <w:vertAlign w:val="subscript"/>
              </w:rPr>
              <w:t>1</w:t>
            </w:r>
            <w:r>
              <w:rPr>
                <w:rFonts w:ascii="宋体" w:hAnsi="宋体" w:cs="宋体"/>
                <w:i/>
                <w:iCs/>
                <w:color w:val="auto"/>
                <w:kern w:val="0"/>
                <w:szCs w:val="21"/>
              </w:rPr>
              <w:t>s</w:t>
            </w:r>
            <w:r>
              <w:rPr>
                <w:rFonts w:ascii="宋体" w:hAnsi="宋体" w:cs="宋体"/>
                <w:i/>
                <w:iCs/>
                <w:color w:val="auto"/>
                <w:kern w:val="0"/>
                <w:szCs w:val="21"/>
                <w:vertAlign w:val="subscript"/>
              </w:rPr>
              <w:t>2</w:t>
            </w:r>
            <w:r>
              <w:rPr>
                <w:rFonts w:ascii="宋体" w:hAnsi="宋体" w:cs="宋体"/>
                <w:i/>
                <w:iCs/>
                <w:color w:val="auto"/>
                <w:kern w:val="0"/>
                <w:szCs w:val="21"/>
                <w:vertAlign w:val="superscript"/>
              </w:rPr>
              <w:t>1</w:t>
            </w:r>
          </w:p>
        </w:tc>
        <w:tc>
          <w:tcPr>
            <w:tcW w:w="425" w:type="dxa"/>
            <w:vAlign w:val="center"/>
          </w:tcPr>
          <w:p w14:paraId="31826530">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良好</w:t>
            </w:r>
          </w:p>
        </w:tc>
        <w:tc>
          <w:tcPr>
            <w:tcW w:w="650" w:type="dxa"/>
            <w:vAlign w:val="center"/>
          </w:tcPr>
          <w:p w14:paraId="7270A100">
            <w:pPr>
              <w:widowControl/>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w:t>
            </w:r>
          </w:p>
        </w:tc>
      </w:tr>
      <w:bookmarkEnd w:id="186"/>
    </w:tbl>
    <w:p w14:paraId="7B333B91">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187" w:name="_Hlk153443342"/>
      <w:bookmarkStart w:id="188" w:name="_Hlk147581236"/>
      <w:bookmarkStart w:id="189" w:name="_Hlk160374247"/>
      <w:bookmarkStart w:id="190" w:name="_Hlk78832395"/>
      <w:r>
        <w:rPr>
          <w:rFonts w:hint="eastAsia" w:ascii="黑体" w:hAnsi="黑体" w:eastAsia="黑体" w:cs="Times New Roman"/>
          <w:color w:val="auto"/>
          <w:sz w:val="24"/>
          <w:szCs w:val="21"/>
          <w:lang w:val="zh-CN"/>
          <w14:ligatures w14:val="none"/>
        </w:rPr>
        <w:t>环境影响回顾</w:t>
      </w:r>
    </w:p>
    <w:p w14:paraId="778116EB">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（1）环保手续履行情况</w:t>
      </w:r>
    </w:p>
    <w:p w14:paraId="2E592F48">
      <w:pPr>
        <w:widowControl/>
        <w:adjustRightInd w:val="0"/>
        <w:snapToGrid w:val="0"/>
        <w:spacing w:line="500" w:lineRule="exact"/>
        <w:ind w:firstLine="480" w:firstLineChars="200"/>
        <w:rPr>
          <w:rFonts w:hint="eastAsia" w:ascii="宋体" w:hAnsi="宋体" w:cs="宋体"/>
          <w:color w:val="auto"/>
          <w:sz w:val="24"/>
          <w:szCs w:val="24"/>
        </w:rPr>
      </w:pPr>
      <w:bookmarkStart w:id="191" w:name="OLE_LINK7"/>
      <w:r>
        <w:rPr>
          <w:rFonts w:hint="eastAsia" w:ascii="宋体" w:hAnsi="宋体" w:cs="宋体"/>
          <w:color w:val="auto"/>
          <w:sz w:val="24"/>
          <w:szCs w:val="24"/>
        </w:rPr>
        <w:t>拟转产井</w:t>
      </w:r>
      <w:bookmarkEnd w:id="191"/>
      <w:r>
        <w:rPr>
          <w:rFonts w:hint="eastAsia" w:ascii="宋体" w:hAnsi="宋体" w:cs="宋体"/>
          <w:color w:val="auto"/>
          <w:sz w:val="24"/>
          <w:szCs w:val="24"/>
        </w:rPr>
        <w:t>环保手续履行情况见表</w:t>
      </w:r>
      <w:r>
        <w:rPr>
          <w:rFonts w:ascii="宋体" w:hAnsi="宋体" w:cs="宋体"/>
          <w:color w:val="auto"/>
          <w:sz w:val="24"/>
          <w:szCs w:val="24"/>
        </w:rPr>
        <w:t>3.1</w:t>
      </w:r>
      <w:r>
        <w:rPr>
          <w:rFonts w:hint="eastAsia" w:ascii="宋体" w:hAnsi="宋体" w:cs="宋体"/>
          <w:color w:val="auto"/>
          <w:sz w:val="24"/>
          <w:szCs w:val="24"/>
        </w:rPr>
        <w:t>-3。</w:t>
      </w:r>
    </w:p>
    <w:p w14:paraId="2E77A504">
      <w:pPr>
        <w:widowControl/>
        <w:adjustRightInd w:val="0"/>
        <w:snapToGrid w:val="0"/>
        <w:spacing w:line="500" w:lineRule="exact"/>
        <w:jc w:val="center"/>
        <w:rPr>
          <w:rFonts w:hint="eastAsia" w:ascii="黑体" w:hAnsi="黑体" w:eastAsia="黑体" w:cs="宋体"/>
          <w:color w:val="auto"/>
          <w:szCs w:val="21"/>
        </w:rPr>
      </w:pPr>
      <w:r>
        <w:rPr>
          <w:rFonts w:hint="eastAsia" w:ascii="黑体" w:hAnsi="黑体" w:eastAsia="黑体" w:cs="宋体"/>
          <w:color w:val="auto"/>
          <w:szCs w:val="21"/>
        </w:rPr>
        <w:t>表3</w:t>
      </w:r>
      <w:r>
        <w:rPr>
          <w:rFonts w:ascii="黑体" w:hAnsi="黑体" w:eastAsia="黑体" w:cs="宋体"/>
          <w:color w:val="auto"/>
          <w:szCs w:val="21"/>
        </w:rPr>
        <w:t>.1</w:t>
      </w:r>
      <w:r>
        <w:rPr>
          <w:rFonts w:hint="eastAsia" w:ascii="黑体" w:hAnsi="黑体" w:eastAsia="黑体" w:cs="宋体"/>
          <w:color w:val="auto"/>
          <w:szCs w:val="21"/>
        </w:rPr>
        <w:t xml:space="preserve">-3 </w:t>
      </w:r>
      <w:r>
        <w:rPr>
          <w:rFonts w:ascii="黑体" w:hAnsi="黑体" w:eastAsia="黑体" w:cs="宋体"/>
          <w:color w:val="auto"/>
          <w:szCs w:val="21"/>
        </w:rPr>
        <w:t xml:space="preserve"> </w:t>
      </w:r>
      <w:r>
        <w:rPr>
          <w:rFonts w:hint="eastAsia" w:ascii="黑体" w:hAnsi="黑体" w:eastAsia="黑体" w:cs="宋体"/>
          <w:color w:val="auto"/>
          <w:szCs w:val="21"/>
        </w:rPr>
        <w:t>现有工程及拟转产井环保手续履行情况一览表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8"/>
        <w:gridCol w:w="2761"/>
        <w:gridCol w:w="2904"/>
        <w:gridCol w:w="2263"/>
      </w:tblGrid>
      <w:tr w14:paraId="0D06E9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9" w:type="pct"/>
            <w:vAlign w:val="center"/>
          </w:tcPr>
          <w:p w14:paraId="3F024559">
            <w:pPr>
              <w:adjustRightInd w:val="0"/>
              <w:snapToGrid w:val="0"/>
              <w:spacing w:line="300" w:lineRule="exact"/>
              <w:jc w:val="center"/>
              <w:rPr>
                <w:rFonts w:hint="eastAsia" w:ascii="宋体" w:hAnsi="宋体"/>
                <w:color w:val="auto"/>
                <w:kern w:val="0"/>
                <w:szCs w:val="21"/>
              </w:rPr>
            </w:pPr>
            <w:bookmarkStart w:id="192" w:name="_Hlk153808447"/>
            <w:r>
              <w:rPr>
                <w:rFonts w:hint="eastAsia" w:ascii="宋体" w:hAnsi="宋体"/>
                <w:color w:val="auto"/>
                <w:kern w:val="0"/>
                <w:szCs w:val="21"/>
              </w:rPr>
              <w:t>井号</w:t>
            </w:r>
          </w:p>
        </w:tc>
        <w:tc>
          <w:tcPr>
            <w:tcW w:w="1543" w:type="pct"/>
            <w:vAlign w:val="center"/>
          </w:tcPr>
          <w:p w14:paraId="552B3854">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项目名称</w:t>
            </w:r>
          </w:p>
        </w:tc>
        <w:tc>
          <w:tcPr>
            <w:tcW w:w="1623" w:type="pct"/>
            <w:vAlign w:val="center"/>
          </w:tcPr>
          <w:p w14:paraId="761CD5EA">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审批机关、文号及时间</w:t>
            </w:r>
          </w:p>
        </w:tc>
        <w:tc>
          <w:tcPr>
            <w:tcW w:w="1265" w:type="pct"/>
            <w:vAlign w:val="center"/>
          </w:tcPr>
          <w:p w14:paraId="4B476552">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验收情况</w:t>
            </w:r>
          </w:p>
        </w:tc>
      </w:tr>
      <w:tr w14:paraId="21D7B9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9" w:type="pct"/>
            <w:vAlign w:val="center"/>
          </w:tcPr>
          <w:p w14:paraId="5D3CD1F3">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莫27井</w:t>
            </w:r>
          </w:p>
        </w:tc>
        <w:tc>
          <w:tcPr>
            <w:tcW w:w="1543" w:type="pct"/>
            <w:vAlign w:val="center"/>
          </w:tcPr>
          <w:p w14:paraId="014F2DAC">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莫26、莫27井勘探钻探项目</w:t>
            </w:r>
          </w:p>
        </w:tc>
        <w:tc>
          <w:tcPr>
            <w:tcW w:w="1623" w:type="pct"/>
            <w:vAlign w:val="center"/>
          </w:tcPr>
          <w:p w14:paraId="5597E385">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昌吉州生态环境局玛纳斯县分局</w:t>
            </w:r>
          </w:p>
          <w:p w14:paraId="3F003C76">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玛环审</w:t>
            </w:r>
            <w:r>
              <w:rPr>
                <w:rFonts w:hint="eastAsia" w:ascii="宋体" w:hAnsi="宋体"/>
                <w:color w:val="auto"/>
                <w:kern w:val="0"/>
                <w:szCs w:val="21"/>
              </w:rPr>
              <w:t>〔</w:t>
            </w:r>
            <w:r>
              <w:rPr>
                <w:rFonts w:ascii="宋体" w:hAnsi="宋体"/>
                <w:color w:val="auto"/>
                <w:kern w:val="0"/>
                <w:szCs w:val="21"/>
              </w:rPr>
              <w:t>20</w:t>
            </w:r>
            <w:r>
              <w:rPr>
                <w:rFonts w:hint="eastAsia" w:ascii="宋体" w:hAnsi="宋体"/>
                <w:color w:val="auto"/>
                <w:kern w:val="0"/>
                <w:szCs w:val="21"/>
              </w:rPr>
              <w:t>20〕</w:t>
            </w:r>
            <w:r>
              <w:rPr>
                <w:rFonts w:ascii="宋体" w:hAnsi="宋体"/>
                <w:color w:val="auto"/>
                <w:kern w:val="0"/>
                <w:szCs w:val="21"/>
              </w:rPr>
              <w:t>45号</w:t>
            </w:r>
          </w:p>
          <w:p w14:paraId="071C4354">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2020</w:t>
            </w:r>
            <w:r>
              <w:rPr>
                <w:rFonts w:hint="eastAsia" w:ascii="宋体" w:hAnsi="宋体"/>
                <w:color w:val="auto"/>
                <w:kern w:val="0"/>
                <w:szCs w:val="21"/>
              </w:rPr>
              <w:t>年</w:t>
            </w:r>
            <w:r>
              <w:rPr>
                <w:rFonts w:ascii="宋体" w:hAnsi="宋体"/>
                <w:color w:val="auto"/>
                <w:kern w:val="0"/>
                <w:szCs w:val="21"/>
              </w:rPr>
              <w:t>12</w:t>
            </w:r>
            <w:r>
              <w:rPr>
                <w:rFonts w:hint="eastAsia" w:ascii="宋体" w:hAnsi="宋体"/>
                <w:color w:val="auto"/>
                <w:kern w:val="0"/>
                <w:szCs w:val="21"/>
              </w:rPr>
              <w:t>月</w:t>
            </w:r>
            <w:r>
              <w:rPr>
                <w:rFonts w:ascii="宋体" w:hAnsi="宋体"/>
                <w:color w:val="auto"/>
                <w:kern w:val="0"/>
                <w:szCs w:val="21"/>
              </w:rPr>
              <w:t>1</w:t>
            </w:r>
            <w:r>
              <w:rPr>
                <w:rFonts w:hint="eastAsia" w:ascii="宋体" w:hAnsi="宋体"/>
                <w:color w:val="auto"/>
                <w:kern w:val="0"/>
                <w:szCs w:val="21"/>
              </w:rPr>
              <w:t>日</w:t>
            </w:r>
          </w:p>
        </w:tc>
        <w:tc>
          <w:tcPr>
            <w:tcW w:w="1265" w:type="pct"/>
            <w:vAlign w:val="center"/>
          </w:tcPr>
          <w:p w14:paraId="624F936D">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2022年11月30日通过了企业自主竣工环境保护验收</w:t>
            </w:r>
          </w:p>
        </w:tc>
      </w:tr>
      <w:bookmarkEnd w:id="187"/>
      <w:tr w14:paraId="1B5DD1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9" w:type="pct"/>
            <w:vAlign w:val="center"/>
          </w:tcPr>
          <w:p w14:paraId="6BEE9C17">
            <w:pPr>
              <w:adjustRightInd w:val="0"/>
              <w:snapToGrid w:val="0"/>
              <w:spacing w:line="300" w:lineRule="exact"/>
              <w:jc w:val="center"/>
              <w:rPr>
                <w:rFonts w:hint="eastAsia" w:ascii="宋体" w:hAnsi="宋体"/>
                <w:color w:val="auto"/>
                <w:kern w:val="0"/>
                <w:szCs w:val="21"/>
              </w:rPr>
            </w:pPr>
            <w:r>
              <w:rPr>
                <w:rFonts w:hint="eastAsia" w:ascii="宋体" w:hAnsi="宋体" w:cs="宋体"/>
                <w:color w:val="auto"/>
                <w:kern w:val="0"/>
                <w:szCs w:val="21"/>
              </w:rPr>
              <w:t>莫172H井</w:t>
            </w:r>
          </w:p>
        </w:tc>
        <w:tc>
          <w:tcPr>
            <w:tcW w:w="1543" w:type="pct"/>
            <w:vAlign w:val="center"/>
          </w:tcPr>
          <w:p w14:paraId="3BE71BDC">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盆1井西凹陷莫17区块侏罗系三工河组油气藏评价井工程</w:t>
            </w:r>
          </w:p>
        </w:tc>
        <w:tc>
          <w:tcPr>
            <w:tcW w:w="1623" w:type="pct"/>
            <w:vAlign w:val="center"/>
          </w:tcPr>
          <w:p w14:paraId="2C24AA5A">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昌吉回族自治州生态环境局昌州环评〔</w:t>
            </w:r>
            <w:r>
              <w:rPr>
                <w:rFonts w:ascii="宋体" w:hAnsi="宋体"/>
                <w:color w:val="auto"/>
                <w:kern w:val="0"/>
                <w:szCs w:val="21"/>
              </w:rPr>
              <w:t>20</w:t>
            </w:r>
            <w:r>
              <w:rPr>
                <w:rFonts w:hint="eastAsia" w:ascii="宋体" w:hAnsi="宋体"/>
                <w:color w:val="auto"/>
                <w:kern w:val="0"/>
                <w:szCs w:val="21"/>
              </w:rPr>
              <w:t>24〕46</w:t>
            </w:r>
            <w:r>
              <w:rPr>
                <w:rFonts w:ascii="宋体" w:hAnsi="宋体"/>
                <w:color w:val="auto"/>
                <w:kern w:val="0"/>
                <w:szCs w:val="21"/>
              </w:rPr>
              <w:t>号</w:t>
            </w:r>
          </w:p>
          <w:p w14:paraId="15A819F6">
            <w:pPr>
              <w:adjustRightInd w:val="0"/>
              <w:snapToGrid w:val="0"/>
              <w:spacing w:line="300" w:lineRule="exact"/>
              <w:jc w:val="center"/>
              <w:rPr>
                <w:color w:val="auto"/>
              </w:rPr>
            </w:pPr>
            <w:r>
              <w:rPr>
                <w:rFonts w:hint="eastAsia" w:ascii="宋体" w:hAnsi="宋体"/>
                <w:color w:val="auto"/>
                <w:kern w:val="0"/>
                <w:szCs w:val="21"/>
              </w:rPr>
              <w:t>2024年3月5日</w:t>
            </w:r>
          </w:p>
        </w:tc>
        <w:tc>
          <w:tcPr>
            <w:tcW w:w="1265" w:type="pct"/>
            <w:vAlign w:val="center"/>
          </w:tcPr>
          <w:p w14:paraId="6CF8AEFB">
            <w:pPr>
              <w:adjustRightInd w:val="0"/>
              <w:snapToGrid w:val="0"/>
              <w:spacing w:line="300" w:lineRule="exact"/>
              <w:jc w:val="center"/>
              <w:rPr>
                <w:rFonts w:hint="eastAsia" w:ascii="宋体" w:hAnsi="宋体"/>
                <w:color w:val="auto"/>
                <w:kern w:val="0"/>
                <w:szCs w:val="21"/>
              </w:rPr>
            </w:pPr>
            <w:bookmarkStart w:id="193" w:name="OLE_LINK14"/>
            <w:r>
              <w:rPr>
                <w:rFonts w:hint="eastAsia" w:ascii="宋体" w:hAnsi="宋体"/>
                <w:color w:val="auto"/>
                <w:kern w:val="0"/>
                <w:szCs w:val="21"/>
              </w:rPr>
              <w:t>2025年11月16日通过了企业自主竣工环境保护验收</w:t>
            </w:r>
            <w:bookmarkEnd w:id="193"/>
          </w:p>
        </w:tc>
      </w:tr>
      <w:tr w14:paraId="559479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9" w:type="pct"/>
            <w:vAlign w:val="center"/>
          </w:tcPr>
          <w:p w14:paraId="7935B220">
            <w:pPr>
              <w:adjustRightInd w:val="0"/>
              <w:snapToGrid w:val="0"/>
              <w:spacing w:line="300" w:lineRule="exact"/>
              <w:jc w:val="center"/>
              <w:rPr>
                <w:rFonts w:hint="eastAsia" w:ascii="宋体" w:hAnsi="宋体"/>
                <w:color w:val="auto"/>
                <w:kern w:val="0"/>
                <w:szCs w:val="21"/>
              </w:rPr>
            </w:pPr>
            <w:r>
              <w:rPr>
                <w:rFonts w:hint="eastAsia" w:ascii="宋体" w:hAnsi="宋体" w:cs="宋体"/>
                <w:color w:val="auto"/>
                <w:kern w:val="0"/>
                <w:szCs w:val="21"/>
              </w:rPr>
              <w:t>莫174H井</w:t>
            </w:r>
          </w:p>
        </w:tc>
        <w:tc>
          <w:tcPr>
            <w:tcW w:w="1543" w:type="pct"/>
            <w:vAlign w:val="center"/>
          </w:tcPr>
          <w:p w14:paraId="1BFF718F">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盆10区块评价井工程</w:t>
            </w:r>
          </w:p>
        </w:tc>
        <w:tc>
          <w:tcPr>
            <w:tcW w:w="1623" w:type="pct"/>
            <w:vAlign w:val="center"/>
          </w:tcPr>
          <w:p w14:paraId="31B43F36">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昌吉回族自治州生态环境局昌州环评〔</w:t>
            </w:r>
            <w:r>
              <w:rPr>
                <w:rFonts w:ascii="宋体" w:hAnsi="宋体"/>
                <w:color w:val="auto"/>
                <w:kern w:val="0"/>
                <w:szCs w:val="21"/>
              </w:rPr>
              <w:t>20</w:t>
            </w:r>
            <w:r>
              <w:rPr>
                <w:rFonts w:hint="eastAsia" w:ascii="宋体" w:hAnsi="宋体"/>
                <w:color w:val="auto"/>
                <w:kern w:val="0"/>
                <w:szCs w:val="21"/>
              </w:rPr>
              <w:t>25〕262</w:t>
            </w:r>
            <w:r>
              <w:rPr>
                <w:rFonts w:ascii="宋体" w:hAnsi="宋体"/>
                <w:color w:val="auto"/>
                <w:kern w:val="0"/>
                <w:szCs w:val="21"/>
              </w:rPr>
              <w:t>号</w:t>
            </w:r>
          </w:p>
          <w:p w14:paraId="6AE9C04C">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2025年12月5日</w:t>
            </w:r>
          </w:p>
        </w:tc>
        <w:tc>
          <w:tcPr>
            <w:tcW w:w="1265" w:type="pct"/>
            <w:vAlign w:val="center"/>
          </w:tcPr>
          <w:p w14:paraId="248320F7">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暂未实施</w:t>
            </w:r>
          </w:p>
        </w:tc>
      </w:tr>
      <w:bookmarkEnd w:id="188"/>
      <w:bookmarkEnd w:id="189"/>
      <w:bookmarkEnd w:id="192"/>
    </w:tbl>
    <w:p w14:paraId="3BFB6336">
      <w:pPr>
        <w:widowControl/>
        <w:adjustRightInd w:val="0"/>
        <w:snapToGrid w:val="0"/>
        <w:spacing w:line="500" w:lineRule="exact"/>
        <w:ind w:firstLine="480" w:firstLineChars="200"/>
        <w:rPr>
          <w:rFonts w:hint="eastAsia" w:ascii="宋体" w:hAnsi="宋体" w:cs="宋体"/>
          <w:color w:val="auto"/>
          <w:sz w:val="24"/>
          <w:szCs w:val="24"/>
        </w:rPr>
      </w:pPr>
      <w:bookmarkStart w:id="194" w:name="_Hlk91190038"/>
      <w:bookmarkStart w:id="195" w:name="_Hlk177302000"/>
      <w:bookmarkStart w:id="196" w:name="_Hlk91249347"/>
      <w:bookmarkStart w:id="197" w:name="_Hlk147581247"/>
      <w:bookmarkStart w:id="198" w:name="_Hlk160374378"/>
      <w:r>
        <w:rPr>
          <w:rFonts w:hint="eastAsia" w:ascii="宋体" w:hAnsi="宋体" w:cs="宋体"/>
          <w:color w:val="auto"/>
          <w:sz w:val="24"/>
          <w:szCs w:val="24"/>
        </w:rPr>
        <w:t>（2）拟转产井环境影响回顾</w:t>
      </w:r>
    </w:p>
    <w:p w14:paraId="3619F0D9">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莫27井已于2022年11月30日完成了竣工环境保护验收，莫172H井已于2025年11月16日完成了竣工环境保护验收，根据验收调查结论及现场踏勘可知，项目环保手续完备，技术资料齐全，依托的环保设施运行正常，落实了环评及批复提出的生态保护和污染防治措施，临时占地正在恢复，目前不存在环境问题。</w:t>
      </w:r>
    </w:p>
    <w:p w14:paraId="1C3993B2">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①莫27井环境影响回顾</w:t>
      </w:r>
    </w:p>
    <w:p w14:paraId="67E3C57D">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*废水</w:t>
      </w:r>
    </w:p>
    <w:p w14:paraId="281C4499">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试油废水（</w:t>
      </w:r>
      <w:r>
        <w:rPr>
          <w:rFonts w:ascii="宋体" w:hAnsi="宋体" w:cs="宋体"/>
          <w:color w:val="auto"/>
          <w:sz w:val="24"/>
          <w:szCs w:val="24"/>
        </w:rPr>
        <w:t>2385m</w:t>
      </w:r>
      <w:r>
        <w:rPr>
          <w:rFonts w:ascii="宋体" w:hAnsi="宋体" w:cs="宋体"/>
          <w:color w:val="auto"/>
          <w:sz w:val="24"/>
          <w:szCs w:val="24"/>
          <w:vertAlign w:val="superscript"/>
        </w:rPr>
        <w:t>3</w:t>
      </w:r>
      <w:r>
        <w:rPr>
          <w:rFonts w:hint="eastAsia" w:ascii="宋体" w:hAnsi="宋体" w:cs="宋体"/>
          <w:color w:val="auto"/>
          <w:sz w:val="24"/>
          <w:szCs w:val="24"/>
        </w:rPr>
        <w:t>）由罐车拉运至石西排污池后，由石西集中处理站污水处理系统处理（台账见附件</w:t>
      </w:r>
      <w:r>
        <w:rPr>
          <w:rFonts w:ascii="宋体" w:hAnsi="宋体" w:cs="宋体"/>
          <w:color w:val="auto"/>
          <w:sz w:val="24"/>
          <w:szCs w:val="24"/>
        </w:rPr>
        <w:t>6</w:t>
      </w:r>
      <w:r>
        <w:rPr>
          <w:rFonts w:hint="eastAsia" w:ascii="宋体" w:hAnsi="宋体" w:cs="宋体"/>
          <w:color w:val="auto"/>
          <w:sz w:val="24"/>
          <w:szCs w:val="24"/>
        </w:rPr>
        <w:t>）；生活污水在防渗生活污水池内，最终拉运至乌尔禾污水处理厂处理（</w:t>
      </w:r>
      <w:r>
        <w:rPr>
          <w:rFonts w:ascii="宋体" w:hAnsi="宋体" w:cs="宋体"/>
          <w:color w:val="auto"/>
          <w:sz w:val="24"/>
          <w:szCs w:val="24"/>
        </w:rPr>
        <w:t>88m</w:t>
      </w:r>
      <w:r>
        <w:rPr>
          <w:rFonts w:ascii="宋体" w:hAnsi="宋体" w:cs="宋体"/>
          <w:color w:val="auto"/>
          <w:sz w:val="24"/>
          <w:szCs w:val="24"/>
          <w:vertAlign w:val="superscript"/>
        </w:rPr>
        <w:t>3</w:t>
      </w:r>
      <w:r>
        <w:rPr>
          <w:rFonts w:hint="eastAsia" w:ascii="宋体" w:hAnsi="宋体" w:cs="宋体"/>
          <w:color w:val="auto"/>
          <w:sz w:val="24"/>
          <w:szCs w:val="24"/>
        </w:rPr>
        <w:t>）（处理协议及拉运台账见附件</w:t>
      </w:r>
      <w:r>
        <w:rPr>
          <w:rFonts w:ascii="宋体" w:hAnsi="宋体" w:cs="宋体"/>
          <w:color w:val="auto"/>
          <w:sz w:val="24"/>
          <w:szCs w:val="24"/>
        </w:rPr>
        <w:t>9</w:t>
      </w:r>
      <w:r>
        <w:rPr>
          <w:rFonts w:hint="eastAsia" w:ascii="宋体" w:hAnsi="宋体" w:cs="宋体"/>
          <w:color w:val="auto"/>
          <w:sz w:val="24"/>
          <w:szCs w:val="24"/>
        </w:rPr>
        <w:t>），收集池工程结束后覆土填埋处理，作业结束后，防渗膜由施工单位回收。本项目产生的废水均得到了妥善处置。</w:t>
      </w:r>
    </w:p>
    <w:p w14:paraId="5F80628B">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*废气</w:t>
      </w:r>
    </w:p>
    <w:p w14:paraId="5B515AD7">
      <w:pPr>
        <w:widowControl/>
        <w:adjustRightInd w:val="0"/>
        <w:snapToGrid w:val="0"/>
        <w:spacing w:line="500" w:lineRule="exact"/>
        <w:ind w:firstLine="480" w:firstLineChars="200"/>
        <w:rPr>
          <w:rFonts w:hint="eastAsia" w:ascii="宋体" w:hAnsi="宋体" w:cs="宋体"/>
          <w:color w:val="auto"/>
          <w:sz w:val="24"/>
          <w:szCs w:val="24"/>
        </w:rPr>
      </w:pPr>
      <w:bookmarkStart w:id="199" w:name="_Toc370807607"/>
      <w:bookmarkStart w:id="200" w:name="_Toc407098043"/>
      <w:bookmarkStart w:id="201" w:name="_Toc407098343"/>
      <w:r>
        <w:rPr>
          <w:rFonts w:hint="eastAsia" w:ascii="宋体" w:hAnsi="宋体" w:cs="宋体"/>
          <w:color w:val="auto"/>
          <w:sz w:val="24"/>
          <w:szCs w:val="24"/>
        </w:rPr>
        <w:t>废气主要为施工期扬尘、燃油机械烟气及少量伴生气。井场道路采取洒水抑尘，燃油机械选用符合国家标准的燃油，少量伴生气燃烧后排放，物料采取遮盖处理等废气污染防治措施，大气污染物排放随施工期结束而停止。</w:t>
      </w:r>
    </w:p>
    <w:p w14:paraId="5B16DCF8">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*噪声</w:t>
      </w:r>
    </w:p>
    <w:p w14:paraId="17280165">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项目采用低噪声设备，对设备定期进行维护、保养，保证设备正常运转。项目声环境影响属短期暂时影响，随着钻井结束声环境影响消失。经类比，项目钻井期噪声可满足《工业企业厂界环境噪声排放标准》（</w:t>
      </w:r>
      <w:r>
        <w:rPr>
          <w:rFonts w:ascii="宋体" w:hAnsi="宋体" w:cs="宋体"/>
          <w:color w:val="auto"/>
          <w:sz w:val="24"/>
          <w:szCs w:val="24"/>
        </w:rPr>
        <w:t>GB12348-2008</w:t>
      </w:r>
      <w:r>
        <w:rPr>
          <w:rFonts w:hint="eastAsia" w:ascii="宋体" w:hAnsi="宋体" w:cs="宋体"/>
          <w:color w:val="auto"/>
          <w:sz w:val="24"/>
          <w:szCs w:val="24"/>
        </w:rPr>
        <w:t>）</w:t>
      </w:r>
      <w:r>
        <w:rPr>
          <w:rFonts w:ascii="宋体" w:hAnsi="宋体" w:cs="宋体"/>
          <w:color w:val="auto"/>
          <w:sz w:val="24"/>
          <w:szCs w:val="24"/>
        </w:rPr>
        <w:t>2</w:t>
      </w:r>
      <w:r>
        <w:rPr>
          <w:rFonts w:hint="eastAsia" w:ascii="宋体" w:hAnsi="宋体" w:cs="宋体"/>
          <w:color w:val="auto"/>
          <w:sz w:val="24"/>
          <w:szCs w:val="24"/>
        </w:rPr>
        <w:t>类限值要求。</w:t>
      </w:r>
    </w:p>
    <w:p w14:paraId="74CA375C">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*固体废物</w:t>
      </w:r>
      <w:bookmarkEnd w:id="199"/>
      <w:bookmarkEnd w:id="200"/>
      <w:bookmarkEnd w:id="201"/>
    </w:p>
    <w:p w14:paraId="0CBAC30E">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钻井使用非磺化水基泥浆，采用泥浆不落地系统技术，钻井泥浆经不落地系统处理后，液相循环钻井使用，分离出的岩屑堆放在临时堆场内暂存，临时堆场底部及四周围堰铺设</w:t>
      </w:r>
      <w:r>
        <w:rPr>
          <w:rFonts w:ascii="宋体" w:hAnsi="宋体" w:cs="宋体"/>
          <w:color w:val="auto"/>
          <w:sz w:val="24"/>
          <w:szCs w:val="24"/>
        </w:rPr>
        <w:t>2mm</w:t>
      </w:r>
      <w:r>
        <w:rPr>
          <w:rFonts w:hint="eastAsia" w:ascii="宋体" w:hAnsi="宋体" w:cs="宋体"/>
          <w:color w:val="auto"/>
          <w:sz w:val="24"/>
          <w:szCs w:val="24"/>
        </w:rPr>
        <w:t>的</w:t>
      </w:r>
      <w:r>
        <w:rPr>
          <w:rFonts w:ascii="宋体" w:hAnsi="宋体" w:cs="宋体"/>
          <w:color w:val="auto"/>
          <w:sz w:val="24"/>
          <w:szCs w:val="24"/>
        </w:rPr>
        <w:t>HDPE</w:t>
      </w:r>
      <w:r>
        <w:rPr>
          <w:rFonts w:hint="eastAsia" w:ascii="宋体" w:hAnsi="宋体" w:cs="宋体"/>
          <w:color w:val="auto"/>
          <w:sz w:val="24"/>
          <w:szCs w:val="24"/>
        </w:rPr>
        <w:t>防渗膜，莫</w:t>
      </w:r>
      <w:r>
        <w:rPr>
          <w:rFonts w:ascii="宋体" w:hAnsi="宋体" w:cs="宋体"/>
          <w:color w:val="auto"/>
          <w:sz w:val="24"/>
          <w:szCs w:val="24"/>
        </w:rPr>
        <w:t>26</w:t>
      </w:r>
      <w:r>
        <w:rPr>
          <w:rFonts w:hint="eastAsia" w:ascii="宋体" w:hAnsi="宋体" w:cs="宋体"/>
          <w:color w:val="auto"/>
          <w:sz w:val="24"/>
          <w:szCs w:val="24"/>
        </w:rPr>
        <w:t>井产生钻井岩屑</w:t>
      </w:r>
      <w:r>
        <w:rPr>
          <w:rFonts w:ascii="宋体" w:hAnsi="宋体" w:cs="宋体"/>
          <w:color w:val="auto"/>
          <w:sz w:val="24"/>
          <w:szCs w:val="24"/>
        </w:rPr>
        <w:t>1585</w:t>
      </w:r>
      <w:r>
        <w:rPr>
          <w:rFonts w:hint="eastAsia" w:ascii="宋体" w:hAnsi="宋体" w:cs="宋体"/>
          <w:color w:val="auto"/>
          <w:sz w:val="24"/>
          <w:szCs w:val="24"/>
        </w:rPr>
        <w:t>方，莫</w:t>
      </w:r>
      <w:r>
        <w:rPr>
          <w:rFonts w:ascii="宋体" w:hAnsi="宋体" w:cs="宋体"/>
          <w:color w:val="auto"/>
          <w:sz w:val="24"/>
          <w:szCs w:val="24"/>
        </w:rPr>
        <w:t>27</w:t>
      </w:r>
      <w:r>
        <w:rPr>
          <w:rFonts w:hint="eastAsia" w:ascii="宋体" w:hAnsi="宋体" w:cs="宋体"/>
          <w:color w:val="auto"/>
          <w:sz w:val="24"/>
          <w:szCs w:val="24"/>
        </w:rPr>
        <w:t>井产生钻井岩屑</w:t>
      </w:r>
      <w:r>
        <w:rPr>
          <w:rFonts w:ascii="宋体" w:hAnsi="宋体" w:cs="宋体"/>
          <w:color w:val="auto"/>
          <w:sz w:val="24"/>
          <w:szCs w:val="24"/>
        </w:rPr>
        <w:t>1034</w:t>
      </w:r>
      <w:r>
        <w:rPr>
          <w:rFonts w:hint="eastAsia" w:ascii="宋体" w:hAnsi="宋体" w:cs="宋体"/>
          <w:color w:val="auto"/>
          <w:sz w:val="24"/>
          <w:szCs w:val="24"/>
        </w:rPr>
        <w:t>方，莫</w:t>
      </w:r>
      <w:r>
        <w:rPr>
          <w:rFonts w:ascii="宋体" w:hAnsi="宋体" w:cs="宋体"/>
          <w:color w:val="auto"/>
          <w:sz w:val="24"/>
          <w:szCs w:val="24"/>
        </w:rPr>
        <w:t>26</w:t>
      </w:r>
      <w:r>
        <w:rPr>
          <w:rFonts w:hint="eastAsia" w:ascii="宋体" w:hAnsi="宋体" w:cs="宋体"/>
          <w:color w:val="auto"/>
          <w:sz w:val="24"/>
          <w:szCs w:val="24"/>
        </w:rPr>
        <w:t>井、莫</w:t>
      </w:r>
      <w:r>
        <w:rPr>
          <w:rFonts w:ascii="宋体" w:hAnsi="宋体" w:cs="宋体"/>
          <w:color w:val="auto"/>
          <w:sz w:val="24"/>
          <w:szCs w:val="24"/>
        </w:rPr>
        <w:t>27</w:t>
      </w:r>
      <w:r>
        <w:rPr>
          <w:rFonts w:hint="eastAsia" w:ascii="宋体" w:hAnsi="宋体" w:cs="宋体"/>
          <w:color w:val="auto"/>
          <w:sz w:val="24"/>
          <w:szCs w:val="24"/>
        </w:rPr>
        <w:t>井钻井岩屑交由克拉玛依宇洲环保工程有限责任公司处置，经检测符合《油气田钻井固体废弃物综合利用污染物控制要求》（</w:t>
      </w:r>
      <w:r>
        <w:rPr>
          <w:rFonts w:ascii="宋体" w:hAnsi="宋体" w:cs="宋体"/>
          <w:color w:val="auto"/>
          <w:sz w:val="24"/>
          <w:szCs w:val="24"/>
        </w:rPr>
        <w:t>DB65/T3997-2017</w:t>
      </w:r>
      <w:r>
        <w:rPr>
          <w:rFonts w:hint="eastAsia" w:ascii="宋体" w:hAnsi="宋体" w:cs="宋体"/>
          <w:color w:val="auto"/>
          <w:sz w:val="24"/>
          <w:szCs w:val="24"/>
        </w:rPr>
        <w:t>）后综合利用（岩屑转运记录见附件</w:t>
      </w:r>
      <w:r>
        <w:rPr>
          <w:rFonts w:ascii="宋体" w:hAnsi="宋体" w:cs="宋体"/>
          <w:color w:val="auto"/>
          <w:sz w:val="24"/>
          <w:szCs w:val="24"/>
        </w:rPr>
        <w:t>3</w:t>
      </w:r>
      <w:r>
        <w:rPr>
          <w:rFonts w:hint="eastAsia" w:ascii="宋体" w:hAnsi="宋体" w:cs="宋体"/>
          <w:color w:val="auto"/>
          <w:sz w:val="24"/>
          <w:szCs w:val="24"/>
        </w:rPr>
        <w:t>，公司营业执照见附件</w:t>
      </w:r>
      <w:r>
        <w:rPr>
          <w:rFonts w:ascii="宋体" w:hAnsi="宋体" w:cs="宋体"/>
          <w:color w:val="auto"/>
          <w:sz w:val="24"/>
          <w:szCs w:val="24"/>
        </w:rPr>
        <w:t>4</w:t>
      </w:r>
      <w:r>
        <w:rPr>
          <w:rFonts w:hint="eastAsia" w:ascii="宋体" w:hAnsi="宋体" w:cs="宋体"/>
          <w:color w:val="auto"/>
          <w:sz w:val="24"/>
          <w:szCs w:val="24"/>
        </w:rPr>
        <w:t>，岩屑检测报告见附件</w:t>
      </w:r>
      <w:r>
        <w:rPr>
          <w:rFonts w:ascii="宋体" w:hAnsi="宋体" w:cs="宋体"/>
          <w:color w:val="auto"/>
          <w:sz w:val="24"/>
          <w:szCs w:val="24"/>
        </w:rPr>
        <w:t>5</w:t>
      </w:r>
      <w:r>
        <w:rPr>
          <w:rFonts w:hint="eastAsia" w:ascii="宋体" w:hAnsi="宋体" w:cs="宋体"/>
          <w:color w:val="auto"/>
          <w:sz w:val="24"/>
          <w:szCs w:val="24"/>
        </w:rPr>
        <w:t>）。施工结束后，防渗膜由施工单位回收，钻井期不产生含油泥沙等危险废物；生活垃圾属于一般固废，集中收集至井场施工营地垃圾箱内，定期拉运至白碱滩垃圾中转站中转（协议见附件</w:t>
      </w:r>
      <w:r>
        <w:rPr>
          <w:rFonts w:ascii="宋体" w:hAnsi="宋体" w:cs="宋体"/>
          <w:color w:val="auto"/>
          <w:sz w:val="24"/>
          <w:szCs w:val="24"/>
        </w:rPr>
        <w:t>2</w:t>
      </w:r>
      <w:r>
        <w:rPr>
          <w:rFonts w:hint="eastAsia" w:ascii="宋体" w:hAnsi="宋体" w:cs="宋体"/>
          <w:color w:val="auto"/>
          <w:sz w:val="24"/>
          <w:szCs w:val="24"/>
        </w:rPr>
        <w:t>），最终拉运至克拉玛依垃圾填埋场处理。项目落实了环评及环评批复提出的固废防治措施，现场无固废遗留。</w:t>
      </w:r>
    </w:p>
    <w:p w14:paraId="73D9A2A9">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*生态环境</w:t>
      </w:r>
    </w:p>
    <w:p w14:paraId="7F421E88">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本项目无永久性占地，临时占地面积</w:t>
      </w:r>
      <w:r>
        <w:rPr>
          <w:rFonts w:ascii="宋体" w:hAnsi="宋体" w:cs="宋体"/>
          <w:color w:val="auto"/>
          <w:sz w:val="24"/>
          <w:szCs w:val="24"/>
        </w:rPr>
        <w:t>50780m</w:t>
      </w:r>
      <w:r>
        <w:rPr>
          <w:rFonts w:ascii="宋体" w:hAnsi="宋体" w:cs="宋体"/>
          <w:color w:val="auto"/>
          <w:sz w:val="24"/>
          <w:szCs w:val="24"/>
          <w:vertAlign w:val="superscript"/>
        </w:rPr>
        <w:t>2</w:t>
      </w:r>
      <w:r>
        <w:rPr>
          <w:rFonts w:hint="eastAsia" w:ascii="宋体" w:hAnsi="宋体" w:cs="宋体"/>
          <w:color w:val="auto"/>
          <w:sz w:val="24"/>
          <w:szCs w:val="24"/>
        </w:rPr>
        <w:t>，占地类型为林地，工程施工前，与当地自然资源管理部门签署了征地占用补偿协议，完工后对临时占地进行了清理平整，场地生态系统自然恢复。对施工单位进行了开工前环境保护相关培训，设置兼职环境保护管理人员，制定了相应的环境保护相关政策，严格控制施工占地，施工机械和车辆应严格按照道路行驶，未发生乱碾乱轧；施工现场未遗弃废物。</w:t>
      </w:r>
    </w:p>
    <w:p w14:paraId="269A5266">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②莫172H井环境影响回顾</w:t>
      </w:r>
    </w:p>
    <w:p w14:paraId="0957EACD">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*生态影响</w:t>
      </w:r>
    </w:p>
    <w:p w14:paraId="0CD7627D">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临时占地将导致生物量降低，但是不会影响区域生物多样性，在施工结束后逐渐的自然恢复，造成的生物量损失较小，不会造成区域的生物多样性下降。根据现场踏勘，未见有大型野生动物在本区域出现，项目对野生动物的影响较小。施工区域严格控制在临时占地范围内，工程完工后对临时占地及时进行恢复，施工过程中产生的多余土石方就地用于周边区域平整，并对施工扰动区域表层土壤进行了压实处理，有效的控制了水土流失。因此总体上看本工程建设对生态环境影响较小。</w:t>
      </w:r>
    </w:p>
    <w:p w14:paraId="3DEA08BD">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*环境空气影响</w:t>
      </w:r>
    </w:p>
    <w:p w14:paraId="565DFE65">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本项目钻井、试油期较短，大气环境的影响随项目结束而结束。验收调查期间，井场无组织非甲烷总烃最大浓度符合《陆上石油天然气开采工业大气污染物排放标准》（GB39728-2020）中企业边界污染物控制要求，硫化氢最大浓度符合《恶臭污染物排放标准》（GB14554-93）表 1 限值要求。</w:t>
      </w:r>
    </w:p>
    <w:p w14:paraId="6EF54A52">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*水环境影响调查</w:t>
      </w:r>
    </w:p>
    <w:p w14:paraId="53311FA1">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施工期钻井产生的酸化压裂废液采用专用废液收集罐收集后运至石西集中处理站采出水处理系统处理。钻井队生活污水排入防渗污水收集池，定期清运至乌尔禾区生活污水处理厂处理。目前施工期已结束，水环境的影响随项目施工期结束而结束。</w:t>
      </w:r>
    </w:p>
    <w:p w14:paraId="1E973670">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*噪声影响</w:t>
      </w:r>
    </w:p>
    <w:p w14:paraId="2A101D16">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本项目周边无噪声敏感目标，噪声影响较小，且声环境的影响随项目施工期结束而结束。验收调查期间，井场边界昼间、夜间噪声值均符合《工业企业厂界环境噪声排放标准》（GB12348-2008）2 类标准限值。</w:t>
      </w:r>
    </w:p>
    <w:p w14:paraId="4738A9E3">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*固体废物环境影响</w:t>
      </w:r>
    </w:p>
    <w:p w14:paraId="63DA3B96">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钻井岩屑随泥浆一同进入泥浆不落地系统处理，其中液相进入废水收集罐，用于钻井液配制；固相水基岩屑和油基岩屑分别临时贮存在井场内的岩屑储罐中及时清运，水基岩屑委托新疆宇洲能源科技有限责任公司处置，油基岩屑委托克拉玛依博达生态环保科技有限责任公司处置。酸化压裂废液采用专用废液收集罐收集后运至石西集中处理站采出水处理系统处理。废油及废防渗膜委托克拉玛依沃森环保科技有限公司及新疆海克新能源科技有限公司处置。生活垃圾集中收集后由钻井公司委托鑫塔公司清运至生活垃圾填埋场。目前施工期、试油期已结束。</w:t>
      </w:r>
    </w:p>
    <w:p w14:paraId="462CC654">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③莫174H井环境影响回顾</w:t>
      </w:r>
    </w:p>
    <w:p w14:paraId="3EC16061">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目前，莫174H井还未开钻，跟建设单位沟通后，莫174H井钻井还是按照勘探井的环评报告表实施，建设过程中应严格按照环评文件及环评批复中的要求落实污染防治及生态保护措施，环评批复要求见表3.1-9。试油结束后应及时开展</w:t>
      </w:r>
      <w:r>
        <w:rPr>
          <w:rFonts w:ascii="宋体" w:hAnsi="宋体" w:cs="宋体"/>
          <w:color w:val="auto"/>
          <w:sz w:val="24"/>
          <w:szCs w:val="24"/>
        </w:rPr>
        <w:t>盆10区块评价井工程</w:t>
      </w:r>
      <w:r>
        <w:rPr>
          <w:rFonts w:hint="eastAsia" w:ascii="宋体" w:hAnsi="宋体" w:cs="宋体"/>
          <w:color w:val="auto"/>
          <w:sz w:val="24"/>
          <w:szCs w:val="24"/>
        </w:rPr>
        <w:t>的竣工环境保护验收。</w:t>
      </w:r>
    </w:p>
    <w:p w14:paraId="1B9B373E">
      <w:pPr>
        <w:pStyle w:val="86"/>
        <w:ind w:firstLine="0" w:firstLineChars="0"/>
        <w:jc w:val="center"/>
        <w:rPr>
          <w:rFonts w:hint="eastAsia" w:ascii="黑体" w:hAnsi="黑体" w:eastAsia="黑体"/>
          <w:color w:val="auto"/>
          <w:sz w:val="21"/>
          <w:szCs w:val="21"/>
        </w:rPr>
      </w:pPr>
      <w:r>
        <w:rPr>
          <w:rFonts w:hint="eastAsia" w:ascii="黑体" w:hAnsi="黑体" w:eastAsia="黑体"/>
          <w:color w:val="auto"/>
          <w:sz w:val="21"/>
          <w:szCs w:val="21"/>
        </w:rPr>
        <w:t>表3.1-9  环评及批复要求</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8220"/>
      </w:tblGrid>
      <w:tr w14:paraId="5CFFAA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06" w:type="pct"/>
            <w:vAlign w:val="center"/>
          </w:tcPr>
          <w:p w14:paraId="2CA2FC5F">
            <w:pPr>
              <w:adjustRightInd w:val="0"/>
              <w:snapToGrid w:val="0"/>
              <w:spacing w:line="300" w:lineRule="exact"/>
              <w:jc w:val="center"/>
              <w:rPr>
                <w:rFonts w:hint="eastAsia" w:ascii="宋体" w:hAnsi="宋体"/>
                <w:color w:val="auto"/>
                <w:szCs w:val="21"/>
              </w:rPr>
            </w:pPr>
            <w:r>
              <w:rPr>
                <w:rFonts w:hint="eastAsia" w:ascii="宋体" w:hAnsi="宋体"/>
                <w:color w:val="auto"/>
                <w:szCs w:val="21"/>
              </w:rPr>
              <w:t>环境要素</w:t>
            </w:r>
          </w:p>
        </w:tc>
        <w:tc>
          <w:tcPr>
            <w:tcW w:w="4594" w:type="pct"/>
            <w:vAlign w:val="center"/>
          </w:tcPr>
          <w:p w14:paraId="03B8A0DB">
            <w:pPr>
              <w:adjustRightInd w:val="0"/>
              <w:snapToGrid w:val="0"/>
              <w:spacing w:line="300" w:lineRule="exact"/>
              <w:jc w:val="center"/>
              <w:rPr>
                <w:rFonts w:hint="eastAsia" w:ascii="宋体" w:hAnsi="宋体"/>
                <w:color w:val="auto"/>
                <w:szCs w:val="21"/>
              </w:rPr>
            </w:pPr>
            <w:r>
              <w:rPr>
                <w:rFonts w:hint="eastAsia" w:ascii="宋体" w:hAnsi="宋体"/>
                <w:color w:val="auto"/>
                <w:szCs w:val="21"/>
              </w:rPr>
              <w:t>莫174H井环评文件及环评批复要求</w:t>
            </w:r>
          </w:p>
        </w:tc>
      </w:tr>
      <w:tr w14:paraId="57123C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574E31B9">
            <w:pPr>
              <w:adjustRightInd w:val="0"/>
              <w:snapToGrid w:val="0"/>
              <w:spacing w:line="300" w:lineRule="exact"/>
              <w:jc w:val="center"/>
              <w:rPr>
                <w:rFonts w:hint="eastAsia" w:ascii="宋体" w:hAnsi="宋体"/>
                <w:color w:val="auto"/>
                <w:szCs w:val="21"/>
              </w:rPr>
            </w:pPr>
            <w:r>
              <w:rPr>
                <w:rFonts w:hint="eastAsia" w:ascii="宋体" w:hAnsi="宋体"/>
                <w:color w:val="auto"/>
                <w:szCs w:val="21"/>
              </w:rPr>
              <w:t>生态保护措施</w:t>
            </w:r>
          </w:p>
        </w:tc>
        <w:tc>
          <w:tcPr>
            <w:tcW w:w="4594" w:type="pct"/>
            <w:vAlign w:val="center"/>
          </w:tcPr>
          <w:p w14:paraId="6DD6734D">
            <w:pPr>
              <w:adjustRightInd w:val="0"/>
              <w:snapToGrid w:val="0"/>
              <w:spacing w:line="300" w:lineRule="exact"/>
              <w:rPr>
                <w:rFonts w:hint="eastAsia" w:ascii="宋体" w:hAnsi="宋体"/>
                <w:color w:val="auto"/>
                <w:szCs w:val="21"/>
              </w:rPr>
            </w:pPr>
            <w:r>
              <w:rPr>
                <w:rFonts w:ascii="宋体" w:hAnsi="宋体"/>
                <w:color w:val="auto"/>
                <w:szCs w:val="21"/>
              </w:rPr>
              <w:t>生态保护措施。合理规划占地面积，尽量避让植被较多的区域，严格控制施工作业带宽度。避开红线区域内的核心生态斑块，对临时占地应依法办理征地手续，按照相关法律法规进行生态经济补偿和恢复植被，严禁随意丢弃污染物，严禁施工人员捕猎野生动物。施工结束后及时恢复地貌原状。项目在建设过程中，严格落实各项管理规定，不得对项目所在区域生态环境和环境质量造成影响。</w:t>
            </w:r>
          </w:p>
        </w:tc>
      </w:tr>
      <w:tr w14:paraId="4A3C2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71B32045">
            <w:pPr>
              <w:adjustRightInd w:val="0"/>
              <w:snapToGrid w:val="0"/>
              <w:spacing w:line="300" w:lineRule="exact"/>
              <w:jc w:val="center"/>
              <w:rPr>
                <w:rFonts w:hint="eastAsia" w:ascii="宋体" w:hAnsi="宋体"/>
                <w:color w:val="auto"/>
                <w:szCs w:val="21"/>
              </w:rPr>
            </w:pPr>
            <w:r>
              <w:rPr>
                <w:rFonts w:hint="eastAsia" w:ascii="宋体" w:hAnsi="宋体"/>
                <w:color w:val="auto"/>
                <w:szCs w:val="21"/>
              </w:rPr>
              <w:t>废气</w:t>
            </w:r>
          </w:p>
        </w:tc>
        <w:tc>
          <w:tcPr>
            <w:tcW w:w="4594" w:type="pct"/>
            <w:vAlign w:val="center"/>
          </w:tcPr>
          <w:p w14:paraId="7FE9DFD0">
            <w:pPr>
              <w:adjustRightInd w:val="0"/>
              <w:snapToGrid w:val="0"/>
              <w:spacing w:line="300" w:lineRule="exact"/>
              <w:rPr>
                <w:rFonts w:hint="eastAsia" w:ascii="宋体" w:hAnsi="宋体"/>
                <w:color w:val="auto"/>
                <w:szCs w:val="21"/>
              </w:rPr>
            </w:pPr>
            <w:r>
              <w:rPr>
                <w:rFonts w:ascii="宋体" w:hAnsi="宋体"/>
                <w:color w:val="auto"/>
                <w:szCs w:val="21"/>
              </w:rPr>
              <w:t>大气污染防治措施。使用符合国家标准的油品，加强机械、车辆的维护。施工现场运输车辆应低速慢行、不得超载，并采取密闭或遮盖措施；车辆沿道路行驶，不得随意开设便道。易起尘物料在运输、存放时应加盖遮盖物，最大限度防止扬尘扩散。试油期产生的伴生气经排气管线充分燃烧后排放，试油期井场边界非甲烷总烃参照执行《陆上石油天然气开采工业大气污染物排放标准》</w:t>
            </w:r>
            <w:r>
              <w:rPr>
                <w:rFonts w:hint="eastAsia" w:ascii="宋体" w:hAnsi="宋体"/>
                <w:color w:val="auto"/>
                <w:szCs w:val="21"/>
              </w:rPr>
              <w:t>（</w:t>
            </w:r>
            <w:r>
              <w:rPr>
                <w:rFonts w:ascii="宋体" w:hAnsi="宋体"/>
                <w:color w:val="auto"/>
                <w:szCs w:val="21"/>
              </w:rPr>
              <w:t>GB39728-2020</w:t>
            </w:r>
            <w:r>
              <w:rPr>
                <w:rFonts w:hint="eastAsia" w:ascii="宋体" w:hAnsi="宋体"/>
                <w:color w:val="auto"/>
                <w:szCs w:val="21"/>
              </w:rPr>
              <w:t>）</w:t>
            </w:r>
            <w:r>
              <w:rPr>
                <w:rFonts w:ascii="宋体" w:hAnsi="宋体"/>
                <w:color w:val="auto"/>
                <w:szCs w:val="21"/>
              </w:rPr>
              <w:t>中边界浓度限值要求。试油期加强采出液储罐管理、装卸必须采取密闭装载方式，尽可能减少无组织挥发性有机物的排放。施工期井场边界柴油发电机烟气、施工扬尘等污染物排放执行《大气污染物综合排放标准》</w:t>
            </w:r>
            <w:r>
              <w:rPr>
                <w:rFonts w:hint="eastAsia" w:ascii="宋体" w:hAnsi="宋体"/>
                <w:color w:val="auto"/>
                <w:szCs w:val="21"/>
              </w:rPr>
              <w:t>（</w:t>
            </w:r>
            <w:r>
              <w:rPr>
                <w:rFonts w:ascii="宋体" w:hAnsi="宋体"/>
                <w:color w:val="auto"/>
                <w:szCs w:val="21"/>
              </w:rPr>
              <w:t>GB16297-1996</w:t>
            </w:r>
            <w:r>
              <w:rPr>
                <w:rFonts w:hint="eastAsia" w:ascii="宋体" w:hAnsi="宋体"/>
                <w:color w:val="auto"/>
                <w:szCs w:val="21"/>
              </w:rPr>
              <w:t>）</w:t>
            </w:r>
            <w:r>
              <w:rPr>
                <w:rFonts w:ascii="宋体" w:hAnsi="宋体"/>
                <w:color w:val="auto"/>
                <w:szCs w:val="21"/>
              </w:rPr>
              <w:t>表2无组织排放限值要求。</w:t>
            </w:r>
          </w:p>
        </w:tc>
      </w:tr>
      <w:tr w14:paraId="0E2BA8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017EEB18">
            <w:pPr>
              <w:adjustRightInd w:val="0"/>
              <w:snapToGrid w:val="0"/>
              <w:spacing w:line="300" w:lineRule="exact"/>
              <w:jc w:val="center"/>
              <w:rPr>
                <w:rFonts w:hint="eastAsia" w:ascii="宋体" w:hAnsi="宋体"/>
                <w:color w:val="auto"/>
                <w:szCs w:val="21"/>
              </w:rPr>
            </w:pPr>
            <w:r>
              <w:rPr>
                <w:rFonts w:hint="eastAsia" w:ascii="宋体" w:hAnsi="宋体"/>
                <w:color w:val="auto"/>
                <w:szCs w:val="21"/>
              </w:rPr>
              <w:t>废水</w:t>
            </w:r>
          </w:p>
        </w:tc>
        <w:tc>
          <w:tcPr>
            <w:tcW w:w="4594" w:type="pct"/>
            <w:vAlign w:val="center"/>
          </w:tcPr>
          <w:p w14:paraId="7D0D9C21">
            <w:pPr>
              <w:adjustRightInd w:val="0"/>
              <w:snapToGrid w:val="0"/>
              <w:spacing w:line="300" w:lineRule="exact"/>
              <w:rPr>
                <w:rFonts w:hint="eastAsia" w:ascii="宋体" w:hAnsi="宋体"/>
                <w:color w:val="auto"/>
                <w:szCs w:val="21"/>
              </w:rPr>
            </w:pPr>
            <w:r>
              <w:rPr>
                <w:rFonts w:ascii="宋体" w:hAnsi="宋体"/>
                <w:color w:val="auto"/>
                <w:szCs w:val="21"/>
              </w:rPr>
              <w:t>水污染防治措施。试油期间洗井废水、压裂返排液经专用储罐收集后由罐车拉运至石西集中处理站采出水处理系统处理，达到《碎屑岩油藏注水水质指标技术要求及分析方法》</w:t>
            </w:r>
            <w:r>
              <w:rPr>
                <w:rFonts w:hint="eastAsia" w:ascii="宋体" w:hAnsi="宋体"/>
                <w:color w:val="auto"/>
                <w:szCs w:val="21"/>
              </w:rPr>
              <w:t>（</w:t>
            </w:r>
            <w:r>
              <w:rPr>
                <w:rFonts w:ascii="宋体" w:hAnsi="宋体"/>
                <w:color w:val="auto"/>
                <w:szCs w:val="21"/>
              </w:rPr>
              <w:t>SY/T5329-2022</w:t>
            </w:r>
            <w:r>
              <w:rPr>
                <w:rFonts w:hint="eastAsia" w:ascii="宋体" w:hAnsi="宋体"/>
                <w:color w:val="auto"/>
                <w:szCs w:val="21"/>
              </w:rPr>
              <w:t>）</w:t>
            </w:r>
            <w:r>
              <w:rPr>
                <w:rFonts w:ascii="宋体" w:hAnsi="宋体"/>
                <w:color w:val="auto"/>
                <w:szCs w:val="21"/>
              </w:rPr>
              <w:t>中Ⅲ级标准后全部回注油藏，不得外排；井采用下套管注水泥固井的完井方式进行水泥固井，水泥浆返至地面，封隔地层和水层，避免地下水环境污染；生活营地施工人员产生的生活污水排入防渗污水收集池，定期清运至石西油田作业区生活区污水处理站处理，不外排。</w:t>
            </w:r>
          </w:p>
        </w:tc>
      </w:tr>
      <w:tr w14:paraId="77F734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3BF8C8B9">
            <w:pPr>
              <w:adjustRightInd w:val="0"/>
              <w:snapToGrid w:val="0"/>
              <w:spacing w:line="300" w:lineRule="exact"/>
              <w:jc w:val="center"/>
              <w:rPr>
                <w:rFonts w:hint="eastAsia" w:ascii="宋体" w:hAnsi="宋体"/>
                <w:color w:val="auto"/>
                <w:szCs w:val="21"/>
              </w:rPr>
            </w:pPr>
            <w:r>
              <w:rPr>
                <w:rFonts w:hint="eastAsia" w:ascii="宋体" w:hAnsi="宋体"/>
                <w:color w:val="auto"/>
                <w:szCs w:val="21"/>
              </w:rPr>
              <w:t>噪声</w:t>
            </w:r>
          </w:p>
        </w:tc>
        <w:tc>
          <w:tcPr>
            <w:tcW w:w="4594" w:type="pct"/>
            <w:vAlign w:val="center"/>
          </w:tcPr>
          <w:p w14:paraId="523936C6">
            <w:pPr>
              <w:adjustRightInd w:val="0"/>
              <w:snapToGrid w:val="0"/>
              <w:spacing w:line="300" w:lineRule="exact"/>
              <w:rPr>
                <w:rFonts w:hint="eastAsia" w:ascii="宋体" w:hAnsi="宋体"/>
                <w:color w:val="auto"/>
                <w:szCs w:val="21"/>
              </w:rPr>
            </w:pPr>
            <w:r>
              <w:rPr>
                <w:rFonts w:ascii="宋体" w:hAnsi="宋体"/>
                <w:color w:val="auto"/>
                <w:szCs w:val="21"/>
              </w:rPr>
              <w:t>噪声污染防治措施。选用低噪声设备，对噪声较大的设备采取基础减振措施，加强检查、维护和保养机械设备。加强施工场地管理，合理疏导进入施工区的车辆，禁止运输车辆随意高声鸣笛，噪声须符合</w:t>
            </w:r>
            <w:r>
              <w:rPr>
                <w:rFonts w:hint="eastAsia"/>
                <w:color w:val="auto"/>
              </w:rPr>
              <w:t>《建筑施工噪声排放</w:t>
            </w:r>
            <w:r>
              <w:rPr>
                <w:rFonts w:hint="eastAsia" w:ascii="宋体" w:hAnsi="宋体"/>
                <w:color w:val="auto"/>
                <w:szCs w:val="21"/>
              </w:rPr>
              <w:t>标准》（GB12523-2025）中排放限值要求。</w:t>
            </w:r>
          </w:p>
        </w:tc>
      </w:tr>
      <w:tr w14:paraId="557F63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61A23187">
            <w:pPr>
              <w:adjustRightInd w:val="0"/>
              <w:snapToGrid w:val="0"/>
              <w:spacing w:line="300" w:lineRule="exact"/>
              <w:jc w:val="center"/>
              <w:rPr>
                <w:rFonts w:hint="eastAsia" w:ascii="宋体" w:hAnsi="宋体"/>
                <w:color w:val="auto"/>
                <w:szCs w:val="21"/>
              </w:rPr>
            </w:pPr>
            <w:r>
              <w:rPr>
                <w:rFonts w:hint="eastAsia" w:ascii="宋体" w:hAnsi="宋体"/>
                <w:color w:val="auto"/>
                <w:szCs w:val="21"/>
              </w:rPr>
              <w:t>固体废物</w:t>
            </w:r>
          </w:p>
        </w:tc>
        <w:tc>
          <w:tcPr>
            <w:tcW w:w="4594" w:type="pct"/>
            <w:vAlign w:val="center"/>
          </w:tcPr>
          <w:p w14:paraId="2652E747">
            <w:pPr>
              <w:adjustRightInd w:val="0"/>
              <w:snapToGrid w:val="0"/>
              <w:spacing w:line="300" w:lineRule="exact"/>
              <w:rPr>
                <w:rFonts w:hint="eastAsia" w:ascii="宋体" w:hAnsi="宋体"/>
                <w:color w:val="auto"/>
                <w:szCs w:val="21"/>
              </w:rPr>
            </w:pPr>
            <w:r>
              <w:rPr>
                <w:rFonts w:hint="eastAsia" w:ascii="宋体" w:hAnsi="宋体"/>
                <w:color w:val="auto"/>
                <w:szCs w:val="21"/>
              </w:rPr>
              <w:t>固体废物污染防治措施。钻井期岩屑随泥浆一同进入泥浆不落地系统在井场进行固液分离，分离出的液相回用于钻井，分离出的水基钻井岩屑暂存于岩屑储罐中，委托第三方岩屑处置单位进行拉运处理，满足《油气田钻井固体废弃物综合利用污染物控制要求》（DB65/T3997-2017）相关要求后方可进行综合利用，分离出的油基钻井岩屑进入油基岩屑专用罐后交由具有相应危险废物处置资质的单位处置。施工结束后未沾油的防渗材料由施工单位集中回收利用，废弃防渗膜暂存于井场危废暂存间，定期交由有资质的单位进行清运处置。施工过程中，机械、设备检修和维护产生的机械设备废油由钻井单位用专用罐集中收集后暂存于井场危废暂存间，定期交由有资质的单位进行清运处置。本项目危险废物的收集、贮存及运输过程中应严格执行《危险废物转移管理办法》《危险废物贮存污染控制标准》（GB 18597-2023）和《危险废物收集贮存运输技术规范》（HJ 2025-2021）的相关要求，生活垃圾集中收集并定期清理至石西油田作业区生活垃圾填埋场处理。</w:t>
            </w:r>
          </w:p>
        </w:tc>
      </w:tr>
      <w:bookmarkEnd w:id="190"/>
      <w:bookmarkEnd w:id="194"/>
      <w:bookmarkEnd w:id="195"/>
      <w:bookmarkEnd w:id="196"/>
      <w:bookmarkEnd w:id="197"/>
      <w:bookmarkEnd w:id="198"/>
    </w:tbl>
    <w:p w14:paraId="13178973">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202" w:name="_Toc224405926"/>
      <w:r>
        <w:rPr>
          <w:rFonts w:hint="eastAsia" w:ascii="黑体" w:hAnsi="黑体" w:eastAsia="黑体" w:cs="Times New Roman"/>
          <w:bCs/>
          <w:color w:val="auto"/>
          <w:sz w:val="28"/>
          <w:szCs w:val="32"/>
          <w14:ligatures w14:val="none"/>
        </w:rPr>
        <w:t>项目工程概况</w:t>
      </w:r>
      <w:bookmarkEnd w:id="202"/>
    </w:p>
    <w:p w14:paraId="0900C39E">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建设项目情况</w:t>
      </w:r>
    </w:p>
    <w:p w14:paraId="7D5D38C5">
      <w:pPr>
        <w:pStyle w:val="86"/>
        <w:ind w:firstLine="480"/>
        <w:rPr>
          <w:rFonts w:hint="eastAsia"/>
          <w:color w:val="auto"/>
        </w:rPr>
      </w:pPr>
      <w:r>
        <w:rPr>
          <w:rFonts w:hint="eastAsia"/>
          <w:color w:val="auto"/>
        </w:rPr>
        <w:t>（1）项目名称</w:t>
      </w:r>
    </w:p>
    <w:p w14:paraId="7C57DC7E">
      <w:pPr>
        <w:pStyle w:val="86"/>
        <w:ind w:firstLine="480"/>
        <w:rPr>
          <w:rFonts w:hint="eastAsia"/>
          <w:color w:val="auto"/>
        </w:rPr>
      </w:pPr>
      <w:bookmarkStart w:id="203" w:name="OLE_LINK37"/>
      <w:r>
        <w:rPr>
          <w:color w:val="auto"/>
        </w:rPr>
        <w:t>莫17</w:t>
      </w:r>
      <w:r>
        <w:rPr>
          <w:rFonts w:hint="eastAsia"/>
          <w:color w:val="auto"/>
        </w:rPr>
        <w:t>区块</w:t>
      </w:r>
      <w:r>
        <w:rPr>
          <w:color w:val="auto"/>
        </w:rPr>
        <w:t>天然气回收</w:t>
      </w:r>
      <w:r>
        <w:rPr>
          <w:rFonts w:hint="eastAsia"/>
          <w:color w:val="auto"/>
        </w:rPr>
        <w:t>建设项目</w:t>
      </w:r>
      <w:bookmarkEnd w:id="203"/>
      <w:r>
        <w:rPr>
          <w:rFonts w:hint="eastAsia"/>
          <w:color w:val="auto"/>
        </w:rPr>
        <w:t>。</w:t>
      </w:r>
    </w:p>
    <w:p w14:paraId="51B2C296">
      <w:pPr>
        <w:pStyle w:val="86"/>
        <w:ind w:firstLine="480"/>
        <w:rPr>
          <w:rFonts w:hint="eastAsia"/>
          <w:color w:val="auto"/>
        </w:rPr>
      </w:pPr>
      <w:bookmarkStart w:id="204" w:name="_Hlk92203766"/>
      <w:r>
        <w:rPr>
          <w:rFonts w:hint="eastAsia"/>
          <w:color w:val="auto"/>
        </w:rPr>
        <w:t>（2）建设单位</w:t>
      </w:r>
    </w:p>
    <w:p w14:paraId="51DFD539">
      <w:pPr>
        <w:pStyle w:val="86"/>
        <w:ind w:firstLine="480"/>
        <w:rPr>
          <w:rFonts w:hint="eastAsia"/>
          <w:color w:val="auto"/>
        </w:rPr>
      </w:pPr>
      <w:r>
        <w:rPr>
          <w:rFonts w:hint="eastAsia"/>
          <w:color w:val="auto"/>
        </w:rPr>
        <w:t>中国石油新疆油田分公司石西油田作业区。</w:t>
      </w:r>
    </w:p>
    <w:p w14:paraId="1303D8A8">
      <w:pPr>
        <w:pStyle w:val="86"/>
        <w:ind w:firstLine="480"/>
        <w:rPr>
          <w:rFonts w:hint="eastAsia"/>
          <w:color w:val="auto"/>
        </w:rPr>
      </w:pPr>
      <w:r>
        <w:rPr>
          <w:rFonts w:hint="eastAsia"/>
          <w:color w:val="auto"/>
        </w:rPr>
        <w:t>（</w:t>
      </w:r>
      <w:r>
        <w:rPr>
          <w:color w:val="auto"/>
        </w:rPr>
        <w:t>3</w:t>
      </w:r>
      <w:r>
        <w:rPr>
          <w:rFonts w:hint="eastAsia"/>
          <w:color w:val="auto"/>
        </w:rPr>
        <w:t>）项目性质</w:t>
      </w:r>
    </w:p>
    <w:bookmarkEnd w:id="204"/>
    <w:p w14:paraId="159B5C8E">
      <w:pPr>
        <w:pStyle w:val="86"/>
        <w:ind w:firstLine="480"/>
        <w:rPr>
          <w:rFonts w:hint="eastAsia"/>
          <w:color w:val="auto"/>
        </w:rPr>
      </w:pPr>
      <w:bookmarkStart w:id="205" w:name="_Hlk166086311"/>
      <w:bookmarkStart w:id="206" w:name="_Hlk35516863"/>
      <w:r>
        <w:rPr>
          <w:rFonts w:hint="eastAsia"/>
          <w:color w:val="auto"/>
        </w:rPr>
        <w:t>新建。</w:t>
      </w:r>
    </w:p>
    <w:p w14:paraId="043A7DEB">
      <w:pPr>
        <w:pStyle w:val="86"/>
        <w:spacing w:line="240" w:lineRule="auto"/>
        <w:ind w:firstLine="0" w:firstLineChars="0"/>
        <w:jc w:val="center"/>
        <w:rPr>
          <w:rFonts w:hint="eastAsia"/>
          <w:color w:val="auto"/>
        </w:rPr>
      </w:pPr>
      <w:r>
        <w:rPr>
          <w:color w:val="auto"/>
        </w:rPr>
        <w:drawing>
          <wp:inline distT="0" distB="0" distL="0" distR="0">
            <wp:extent cx="4968875" cy="3111500"/>
            <wp:effectExtent l="0" t="0" r="3175" b="0"/>
            <wp:docPr id="19598840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884018" name="图片 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4981643" cy="3119684"/>
                    </a:xfrm>
                    <a:prstGeom prst="rect">
                      <a:avLst/>
                    </a:prstGeom>
                    <a:noFill/>
                    <a:ln>
                      <a:noFill/>
                    </a:ln>
                  </pic:spPr>
                </pic:pic>
              </a:graphicData>
            </a:graphic>
          </wp:inline>
        </w:drawing>
      </w:r>
    </w:p>
    <w:p w14:paraId="52FD5B0A">
      <w:pPr>
        <w:pStyle w:val="86"/>
        <w:ind w:firstLine="0" w:firstLineChars="0"/>
        <w:jc w:val="center"/>
        <w:rPr>
          <w:rFonts w:hint="eastAsia" w:ascii="黑体" w:hAnsi="黑体" w:eastAsia="黑体"/>
          <w:color w:val="auto"/>
          <w:sz w:val="21"/>
          <w:szCs w:val="21"/>
        </w:rPr>
      </w:pPr>
      <w:r>
        <w:rPr>
          <w:rFonts w:hint="eastAsia" w:ascii="黑体" w:hAnsi="黑体" w:eastAsia="黑体"/>
          <w:color w:val="auto"/>
          <w:sz w:val="21"/>
          <w:szCs w:val="21"/>
        </w:rPr>
        <w:t>图3</w:t>
      </w:r>
      <w:r>
        <w:rPr>
          <w:rFonts w:ascii="黑体" w:hAnsi="黑体" w:eastAsia="黑体"/>
          <w:color w:val="auto"/>
          <w:sz w:val="21"/>
          <w:szCs w:val="21"/>
        </w:rPr>
        <w:t>.</w:t>
      </w:r>
      <w:r>
        <w:rPr>
          <w:rFonts w:hint="eastAsia" w:ascii="黑体" w:hAnsi="黑体" w:eastAsia="黑体"/>
          <w:color w:val="auto"/>
          <w:sz w:val="21"/>
          <w:szCs w:val="21"/>
        </w:rPr>
        <w:t>2-</w:t>
      </w:r>
      <w:r>
        <w:rPr>
          <w:rFonts w:ascii="黑体" w:hAnsi="黑体" w:eastAsia="黑体"/>
          <w:color w:val="auto"/>
          <w:sz w:val="21"/>
          <w:szCs w:val="21"/>
        </w:rPr>
        <w:t xml:space="preserve">1  </w:t>
      </w:r>
      <w:r>
        <w:rPr>
          <w:rFonts w:hint="eastAsia" w:ascii="黑体" w:hAnsi="黑体" w:eastAsia="黑体"/>
          <w:color w:val="auto"/>
          <w:sz w:val="21"/>
          <w:szCs w:val="21"/>
        </w:rPr>
        <w:t>项目区块范围示意图</w:t>
      </w:r>
    </w:p>
    <w:p w14:paraId="5C9A7116">
      <w:pPr>
        <w:pStyle w:val="86"/>
        <w:ind w:firstLine="480"/>
        <w:rPr>
          <w:rFonts w:hint="eastAsia"/>
          <w:color w:val="auto"/>
        </w:rPr>
      </w:pPr>
      <w:r>
        <w:rPr>
          <w:rFonts w:hint="eastAsia"/>
          <w:color w:val="auto"/>
        </w:rPr>
        <w:t>（4）建设规模及内容</w:t>
      </w:r>
    </w:p>
    <w:p w14:paraId="2BF14CC2">
      <w:pPr>
        <w:pStyle w:val="86"/>
        <w:ind w:firstLine="480"/>
        <w:rPr>
          <w:rFonts w:hint="eastAsia"/>
          <w:color w:val="auto"/>
          <w:kern w:val="0"/>
        </w:rPr>
      </w:pPr>
      <w:r>
        <w:rPr>
          <w:rFonts w:hint="eastAsia"/>
          <w:color w:val="auto"/>
          <w:kern w:val="0"/>
        </w:rPr>
        <w:t>拟</w:t>
      </w:r>
      <w:bookmarkStart w:id="207" w:name="_Hlk177506803"/>
      <w:r>
        <w:rPr>
          <w:rFonts w:hint="eastAsia"/>
          <w:color w:val="auto"/>
          <w:kern w:val="0"/>
        </w:rPr>
        <w:t>将</w:t>
      </w:r>
      <w:bookmarkStart w:id="208" w:name="OLE_LINK41"/>
      <w:r>
        <w:rPr>
          <w:rFonts w:hint="eastAsia"/>
          <w:color w:val="auto"/>
          <w:kern w:val="0"/>
        </w:rPr>
        <w:t>莫27井、莫172H</w:t>
      </w:r>
      <w:bookmarkEnd w:id="208"/>
      <w:r>
        <w:rPr>
          <w:rFonts w:hint="eastAsia"/>
          <w:color w:val="auto"/>
          <w:kern w:val="0"/>
        </w:rPr>
        <w:t>井和莫174H井转为生产井，建设内容为：新建3座采油井场、1.09km单井采油管线，在莫174H井场内新建1座</w:t>
      </w:r>
      <w:r>
        <w:rPr>
          <w:rFonts w:hint="eastAsia" w:cs="宋体"/>
          <w:color w:val="auto"/>
        </w:rPr>
        <w:t>3×10</w:t>
      </w:r>
      <w:r>
        <w:rPr>
          <w:rFonts w:hint="eastAsia" w:cs="宋体"/>
          <w:color w:val="auto"/>
          <w:vertAlign w:val="superscript"/>
        </w:rPr>
        <w:t>4</w:t>
      </w:r>
      <w:r>
        <w:rPr>
          <w:rFonts w:hint="eastAsia" w:cs="宋体"/>
          <w:color w:val="auto"/>
        </w:rPr>
        <w:t>m</w:t>
      </w:r>
      <w:r>
        <w:rPr>
          <w:rFonts w:hint="eastAsia" w:cs="宋体"/>
          <w:color w:val="auto"/>
          <w:vertAlign w:val="superscript"/>
        </w:rPr>
        <w:t>3</w:t>
      </w:r>
      <w:r>
        <w:rPr>
          <w:rFonts w:hint="eastAsia" w:cs="宋体"/>
          <w:color w:val="auto"/>
        </w:rPr>
        <w:t>/d浅冷处理装置，</w:t>
      </w:r>
      <w:r>
        <w:rPr>
          <w:rFonts w:hint="eastAsia"/>
          <w:color w:val="auto"/>
          <w:kern w:val="0"/>
        </w:rPr>
        <w:t>在莫172H井场内新建1座</w:t>
      </w:r>
      <w:r>
        <w:rPr>
          <w:rFonts w:hint="eastAsia" w:cs="宋体"/>
          <w:color w:val="auto"/>
        </w:rPr>
        <w:t>8×10</w:t>
      </w:r>
      <w:r>
        <w:rPr>
          <w:rFonts w:hint="eastAsia" w:cs="宋体"/>
          <w:color w:val="auto"/>
          <w:vertAlign w:val="superscript"/>
        </w:rPr>
        <w:t>4</w:t>
      </w:r>
      <w:r>
        <w:rPr>
          <w:rFonts w:hint="eastAsia" w:cs="宋体"/>
          <w:color w:val="auto"/>
        </w:rPr>
        <w:t>m</w:t>
      </w:r>
      <w:r>
        <w:rPr>
          <w:rFonts w:hint="eastAsia" w:cs="宋体"/>
          <w:color w:val="auto"/>
          <w:vertAlign w:val="superscript"/>
        </w:rPr>
        <w:t>3</w:t>
      </w:r>
      <w:r>
        <w:rPr>
          <w:rFonts w:hint="eastAsia" w:cs="宋体"/>
          <w:color w:val="auto"/>
        </w:rPr>
        <w:t>/d浅冷处理装置，处理莫</w:t>
      </w:r>
      <w:r>
        <w:rPr>
          <w:rFonts w:hint="eastAsia"/>
          <w:color w:val="auto"/>
          <w:kern w:val="0"/>
        </w:rPr>
        <w:t>27井和莫172H井的伴生气；</w:t>
      </w:r>
      <w:r>
        <w:rPr>
          <w:rFonts w:hint="eastAsia" w:cs="宋体"/>
          <w:color w:val="auto"/>
        </w:rPr>
        <w:t>在</w:t>
      </w:r>
      <w:r>
        <w:rPr>
          <w:rFonts w:cs="宋体"/>
          <w:color w:val="auto"/>
        </w:rPr>
        <w:t>莫172H井场附近建设充装区</w:t>
      </w:r>
      <w:r>
        <w:rPr>
          <w:rFonts w:hint="eastAsia" w:cs="宋体"/>
          <w:color w:val="auto"/>
        </w:rPr>
        <w:t>，</w:t>
      </w:r>
      <w:r>
        <w:rPr>
          <w:rFonts w:hint="eastAsia"/>
          <w:color w:val="auto"/>
          <w:kern w:val="0"/>
        </w:rPr>
        <w:t>配套建设供配电、仪表自动化、道路、消防、给排水等公辅工程。</w:t>
      </w:r>
      <w:bookmarkEnd w:id="207"/>
    </w:p>
    <w:p w14:paraId="631A7A4D">
      <w:pPr>
        <w:pStyle w:val="86"/>
        <w:ind w:firstLine="480"/>
        <w:rPr>
          <w:rFonts w:hint="eastAsia"/>
          <w:color w:val="auto"/>
        </w:rPr>
      </w:pPr>
      <w:r>
        <w:rPr>
          <w:rFonts w:hint="eastAsia"/>
          <w:color w:val="auto"/>
        </w:rPr>
        <w:t>（5）产能规模</w:t>
      </w:r>
    </w:p>
    <w:p w14:paraId="09D2D549">
      <w:pPr>
        <w:pStyle w:val="86"/>
        <w:ind w:firstLine="480"/>
        <w:rPr>
          <w:rFonts w:hint="eastAsia"/>
          <w:color w:val="auto"/>
        </w:rPr>
      </w:pPr>
      <w:r>
        <w:rPr>
          <w:rFonts w:hint="eastAsia"/>
          <w:color w:val="auto"/>
          <w:kern w:val="0"/>
        </w:rPr>
        <w:t>莫27井单井</w:t>
      </w:r>
      <w:r>
        <w:rPr>
          <w:rFonts w:hint="eastAsia"/>
          <w:color w:val="auto"/>
        </w:rPr>
        <w:t>设计天然气产量为6×1</w:t>
      </w:r>
      <w:r>
        <w:rPr>
          <w:color w:val="auto"/>
        </w:rPr>
        <w:t>0</w:t>
      </w:r>
      <w:r>
        <w:rPr>
          <w:color w:val="auto"/>
          <w:vertAlign w:val="superscript"/>
        </w:rPr>
        <w:t>4</w:t>
      </w:r>
      <w:r>
        <w:rPr>
          <w:color w:val="auto"/>
        </w:rPr>
        <w:t>m</w:t>
      </w:r>
      <w:r>
        <w:rPr>
          <w:color w:val="auto"/>
          <w:vertAlign w:val="superscript"/>
        </w:rPr>
        <w:t>3</w:t>
      </w:r>
      <w:r>
        <w:rPr>
          <w:color w:val="auto"/>
        </w:rPr>
        <w:t>/d</w:t>
      </w:r>
      <w:r>
        <w:rPr>
          <w:rFonts w:hint="eastAsia"/>
          <w:color w:val="auto"/>
        </w:rPr>
        <w:t>、原油产能为9t/d、采出水量为4m</w:t>
      </w:r>
      <w:r>
        <w:rPr>
          <w:rFonts w:hint="eastAsia"/>
          <w:color w:val="auto"/>
          <w:vertAlign w:val="superscript"/>
        </w:rPr>
        <w:t>3</w:t>
      </w:r>
      <w:r>
        <w:rPr>
          <w:rFonts w:hint="eastAsia"/>
          <w:color w:val="auto"/>
        </w:rPr>
        <w:t>/d，</w:t>
      </w:r>
      <w:r>
        <w:rPr>
          <w:rFonts w:hint="eastAsia"/>
          <w:color w:val="auto"/>
          <w:kern w:val="0"/>
        </w:rPr>
        <w:t>莫172H井单井</w:t>
      </w:r>
      <w:r>
        <w:rPr>
          <w:rFonts w:hint="eastAsia"/>
          <w:color w:val="auto"/>
        </w:rPr>
        <w:t>设计天然气产量为1.5×1</w:t>
      </w:r>
      <w:r>
        <w:rPr>
          <w:color w:val="auto"/>
        </w:rPr>
        <w:t>0</w:t>
      </w:r>
      <w:r>
        <w:rPr>
          <w:color w:val="auto"/>
          <w:vertAlign w:val="superscript"/>
        </w:rPr>
        <w:t>4</w:t>
      </w:r>
      <w:r>
        <w:rPr>
          <w:color w:val="auto"/>
        </w:rPr>
        <w:t>m</w:t>
      </w:r>
      <w:r>
        <w:rPr>
          <w:color w:val="auto"/>
          <w:vertAlign w:val="superscript"/>
        </w:rPr>
        <w:t>3</w:t>
      </w:r>
      <w:r>
        <w:rPr>
          <w:color w:val="auto"/>
        </w:rPr>
        <w:t>/d</w:t>
      </w:r>
      <w:r>
        <w:rPr>
          <w:rFonts w:hint="eastAsia"/>
          <w:color w:val="auto"/>
        </w:rPr>
        <w:t>、原油产能为35t/d、采出水量为35m</w:t>
      </w:r>
      <w:r>
        <w:rPr>
          <w:rFonts w:hint="eastAsia"/>
          <w:color w:val="auto"/>
          <w:vertAlign w:val="superscript"/>
        </w:rPr>
        <w:t>3</w:t>
      </w:r>
      <w:r>
        <w:rPr>
          <w:rFonts w:hint="eastAsia"/>
          <w:color w:val="auto"/>
        </w:rPr>
        <w:t>/d；</w:t>
      </w:r>
      <w:r>
        <w:rPr>
          <w:rFonts w:hint="eastAsia"/>
          <w:color w:val="auto"/>
          <w:kern w:val="0"/>
        </w:rPr>
        <w:t>莫174H井单井</w:t>
      </w:r>
      <w:r>
        <w:rPr>
          <w:rFonts w:hint="eastAsia"/>
          <w:color w:val="auto"/>
        </w:rPr>
        <w:t>设计天然气产量为1.5×1</w:t>
      </w:r>
      <w:r>
        <w:rPr>
          <w:color w:val="auto"/>
        </w:rPr>
        <w:t>0</w:t>
      </w:r>
      <w:r>
        <w:rPr>
          <w:color w:val="auto"/>
          <w:vertAlign w:val="superscript"/>
        </w:rPr>
        <w:t>4</w:t>
      </w:r>
      <w:r>
        <w:rPr>
          <w:color w:val="auto"/>
        </w:rPr>
        <w:t>m</w:t>
      </w:r>
      <w:r>
        <w:rPr>
          <w:color w:val="auto"/>
          <w:vertAlign w:val="superscript"/>
        </w:rPr>
        <w:t>3</w:t>
      </w:r>
      <w:r>
        <w:rPr>
          <w:color w:val="auto"/>
        </w:rPr>
        <w:t>/d</w:t>
      </w:r>
      <w:r>
        <w:rPr>
          <w:rFonts w:hint="eastAsia"/>
          <w:color w:val="auto"/>
        </w:rPr>
        <w:t>、原油产能为25t/d、采出水量为35m</w:t>
      </w:r>
      <w:r>
        <w:rPr>
          <w:rFonts w:hint="eastAsia"/>
          <w:color w:val="auto"/>
          <w:vertAlign w:val="superscript"/>
        </w:rPr>
        <w:t>3</w:t>
      </w:r>
      <w:r>
        <w:rPr>
          <w:rFonts w:hint="eastAsia"/>
          <w:color w:val="auto"/>
        </w:rPr>
        <w:t>/d，项目区产能预测见表</w:t>
      </w:r>
      <w:r>
        <w:rPr>
          <w:color w:val="auto"/>
        </w:rPr>
        <w:t>3.2</w:t>
      </w:r>
      <w:r>
        <w:rPr>
          <w:rFonts w:hint="eastAsia"/>
          <w:color w:val="auto"/>
        </w:rPr>
        <w:t>-</w:t>
      </w:r>
      <w:r>
        <w:rPr>
          <w:color w:val="auto"/>
        </w:rPr>
        <w:t>1</w:t>
      </w:r>
      <w:r>
        <w:rPr>
          <w:rFonts w:hint="eastAsia"/>
          <w:color w:val="auto"/>
        </w:rPr>
        <w:t>。</w:t>
      </w:r>
    </w:p>
    <w:p w14:paraId="784D07EA">
      <w:pPr>
        <w:pStyle w:val="86"/>
        <w:ind w:firstLine="0" w:firstLineChars="0"/>
        <w:jc w:val="center"/>
        <w:rPr>
          <w:rFonts w:hint="eastAsia" w:ascii="黑体" w:hAnsi="黑体" w:eastAsia="黑体"/>
          <w:color w:val="auto"/>
          <w:sz w:val="21"/>
          <w:szCs w:val="21"/>
        </w:rPr>
      </w:pPr>
      <w:r>
        <w:rPr>
          <w:rFonts w:hint="eastAsia" w:ascii="黑体" w:hAnsi="黑体" w:eastAsia="黑体"/>
          <w:color w:val="auto"/>
          <w:sz w:val="21"/>
          <w:szCs w:val="21"/>
        </w:rPr>
        <w:t xml:space="preserve">表3.2-1 </w:t>
      </w:r>
      <w:r>
        <w:rPr>
          <w:rFonts w:ascii="黑体" w:hAnsi="黑体" w:eastAsia="黑体"/>
          <w:color w:val="auto"/>
          <w:sz w:val="21"/>
          <w:szCs w:val="21"/>
        </w:rPr>
        <w:t xml:space="preserve"> </w:t>
      </w:r>
      <w:r>
        <w:rPr>
          <w:rFonts w:hint="eastAsia" w:ascii="黑体" w:hAnsi="黑体" w:eastAsia="黑体"/>
          <w:color w:val="auto"/>
          <w:sz w:val="21"/>
          <w:szCs w:val="21"/>
        </w:rPr>
        <w:t>项目区产能预测一览表</w:t>
      </w:r>
    </w:p>
    <w:tbl>
      <w:tblPr>
        <w:tblStyle w:val="4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57"/>
        <w:gridCol w:w="1532"/>
        <w:gridCol w:w="1387"/>
        <w:gridCol w:w="1170"/>
        <w:gridCol w:w="1251"/>
        <w:gridCol w:w="1609"/>
        <w:gridCol w:w="1140"/>
      </w:tblGrid>
      <w:tr w14:paraId="6E4DAF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9" w:type="pct"/>
            <w:vAlign w:val="center"/>
          </w:tcPr>
          <w:p w14:paraId="3E359744">
            <w:pPr>
              <w:kinsoku w:val="0"/>
              <w:overflowPunct w:val="0"/>
              <w:autoSpaceDE w:val="0"/>
              <w:autoSpaceDN w:val="0"/>
              <w:adjustRightInd w:val="0"/>
              <w:snapToGrid w:val="0"/>
              <w:spacing w:line="300" w:lineRule="exact"/>
              <w:jc w:val="center"/>
              <w:rPr>
                <w:rFonts w:hint="eastAsia" w:ascii="宋体" w:hAnsi="宋体" w:cs="宋体"/>
                <w:color w:val="auto"/>
                <w:w w:val="99"/>
                <w:kern w:val="0"/>
                <w:szCs w:val="21"/>
              </w:rPr>
            </w:pPr>
            <w:r>
              <w:rPr>
                <w:rFonts w:hint="eastAsia" w:ascii="宋体" w:hAnsi="宋体"/>
                <w:color w:val="auto"/>
                <w:kern w:val="0"/>
                <w:szCs w:val="21"/>
              </w:rPr>
              <w:t>年份</w:t>
            </w:r>
          </w:p>
        </w:tc>
        <w:tc>
          <w:tcPr>
            <w:tcW w:w="856" w:type="pct"/>
            <w:vAlign w:val="center"/>
          </w:tcPr>
          <w:p w14:paraId="28F8DDE7">
            <w:pPr>
              <w:kinsoku w:val="0"/>
              <w:overflowPunct w:val="0"/>
              <w:autoSpaceDE w:val="0"/>
              <w:autoSpaceDN w:val="0"/>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年产气</w:t>
            </w:r>
          </w:p>
          <w:p w14:paraId="6E65A45B">
            <w:pPr>
              <w:kinsoku w:val="0"/>
              <w:overflowPunct w:val="0"/>
              <w:autoSpaceDE w:val="0"/>
              <w:autoSpaceDN w:val="0"/>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r>
              <w:rPr>
                <w:rFonts w:ascii="宋体" w:hAnsi="宋体"/>
                <w:color w:val="auto"/>
                <w:kern w:val="0"/>
                <w:szCs w:val="21"/>
              </w:rPr>
              <w:t>10</w:t>
            </w:r>
            <w:r>
              <w:rPr>
                <w:rFonts w:hint="eastAsia" w:ascii="宋体" w:hAnsi="宋体"/>
                <w:color w:val="auto"/>
                <w:kern w:val="0"/>
                <w:szCs w:val="21"/>
                <w:vertAlign w:val="superscript"/>
              </w:rPr>
              <w:t>4</w:t>
            </w:r>
            <w:r>
              <w:rPr>
                <w:rFonts w:ascii="宋体" w:hAnsi="宋体"/>
                <w:color w:val="auto"/>
                <w:kern w:val="0"/>
                <w:szCs w:val="21"/>
              </w:rPr>
              <w:t>m</w:t>
            </w:r>
            <w:r>
              <w:rPr>
                <w:rFonts w:hint="eastAsia" w:ascii="宋体" w:hAnsi="宋体" w:cs="宋体"/>
                <w:color w:val="auto"/>
                <w:kern w:val="0"/>
                <w:szCs w:val="21"/>
                <w:vertAlign w:val="superscript"/>
              </w:rPr>
              <w:t>3</w:t>
            </w:r>
            <w:r>
              <w:rPr>
                <w:rFonts w:hint="eastAsia" w:ascii="宋体" w:hAnsi="宋体" w:cs="宋体"/>
                <w:color w:val="auto"/>
                <w:kern w:val="0"/>
                <w:szCs w:val="21"/>
              </w:rPr>
              <w:t>/d)</w:t>
            </w:r>
          </w:p>
        </w:tc>
        <w:tc>
          <w:tcPr>
            <w:tcW w:w="775" w:type="pct"/>
            <w:vAlign w:val="center"/>
          </w:tcPr>
          <w:p w14:paraId="4C5F352A">
            <w:pPr>
              <w:kinsoku w:val="0"/>
              <w:overflowPunct w:val="0"/>
              <w:autoSpaceDE w:val="0"/>
              <w:autoSpaceDN w:val="0"/>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年产油</w:t>
            </w:r>
          </w:p>
          <w:p w14:paraId="7B875AB4">
            <w:pPr>
              <w:kinsoku w:val="0"/>
              <w:overflowPunct w:val="0"/>
              <w:autoSpaceDE w:val="0"/>
              <w:autoSpaceDN w:val="0"/>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r>
              <w:rPr>
                <w:rFonts w:ascii="宋体" w:hAnsi="宋体"/>
                <w:color w:val="auto"/>
                <w:kern w:val="0"/>
                <w:szCs w:val="21"/>
              </w:rPr>
              <w:t>10</w:t>
            </w:r>
            <w:r>
              <w:rPr>
                <w:rFonts w:hint="eastAsia" w:ascii="宋体" w:hAnsi="宋体"/>
                <w:color w:val="auto"/>
                <w:kern w:val="0"/>
                <w:szCs w:val="21"/>
                <w:vertAlign w:val="superscript"/>
              </w:rPr>
              <w:t>4</w:t>
            </w:r>
            <w:r>
              <w:rPr>
                <w:rFonts w:ascii="宋体" w:hAnsi="宋体"/>
                <w:color w:val="auto"/>
                <w:kern w:val="0"/>
                <w:szCs w:val="21"/>
              </w:rPr>
              <w:t>t</w:t>
            </w:r>
            <w:r>
              <w:rPr>
                <w:rFonts w:hint="eastAsia" w:ascii="宋体" w:hAnsi="宋体"/>
                <w:color w:val="auto"/>
                <w:kern w:val="0"/>
                <w:szCs w:val="21"/>
              </w:rPr>
              <w:t>/d)</w:t>
            </w:r>
          </w:p>
        </w:tc>
        <w:tc>
          <w:tcPr>
            <w:tcW w:w="654" w:type="pct"/>
            <w:vAlign w:val="center"/>
          </w:tcPr>
          <w:p w14:paraId="12AFB26A">
            <w:pPr>
              <w:kinsoku w:val="0"/>
              <w:overflowPunct w:val="0"/>
              <w:autoSpaceDE w:val="0"/>
              <w:autoSpaceDN w:val="0"/>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年产液</w:t>
            </w:r>
          </w:p>
          <w:p w14:paraId="795C4C45">
            <w:pPr>
              <w:kinsoku w:val="0"/>
              <w:overflowPunct w:val="0"/>
              <w:autoSpaceDE w:val="0"/>
              <w:autoSpaceDN w:val="0"/>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r>
              <w:rPr>
                <w:rFonts w:ascii="宋体" w:hAnsi="宋体" w:cs="宋体"/>
                <w:color w:val="auto"/>
                <w:kern w:val="0"/>
                <w:szCs w:val="21"/>
              </w:rPr>
              <w:t>m</w:t>
            </w:r>
            <w:r>
              <w:rPr>
                <w:rFonts w:hint="eastAsia" w:ascii="宋体" w:hAnsi="宋体" w:cs="宋体"/>
                <w:color w:val="auto"/>
                <w:kern w:val="0"/>
                <w:szCs w:val="21"/>
                <w:vertAlign w:val="superscript"/>
              </w:rPr>
              <w:t>3</w:t>
            </w:r>
            <w:r>
              <w:rPr>
                <w:rFonts w:hint="eastAsia" w:ascii="宋体" w:hAnsi="宋体" w:cs="宋体"/>
                <w:color w:val="auto"/>
                <w:kern w:val="0"/>
                <w:szCs w:val="21"/>
              </w:rPr>
              <w:t>/d)</w:t>
            </w:r>
          </w:p>
        </w:tc>
        <w:tc>
          <w:tcPr>
            <w:tcW w:w="699" w:type="pct"/>
            <w:vAlign w:val="center"/>
          </w:tcPr>
          <w:p w14:paraId="64E6E302">
            <w:pPr>
              <w:kinsoku w:val="0"/>
              <w:overflowPunct w:val="0"/>
              <w:autoSpaceDE w:val="0"/>
              <w:autoSpaceDN w:val="0"/>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累积产油（</w:t>
            </w:r>
            <w:r>
              <w:rPr>
                <w:rFonts w:ascii="宋体" w:hAnsi="宋体"/>
                <w:color w:val="auto"/>
                <w:kern w:val="0"/>
                <w:szCs w:val="21"/>
              </w:rPr>
              <w:t>10</w:t>
            </w:r>
            <w:r>
              <w:rPr>
                <w:rFonts w:hint="eastAsia" w:ascii="宋体" w:hAnsi="宋体"/>
                <w:color w:val="auto"/>
                <w:kern w:val="0"/>
                <w:szCs w:val="21"/>
                <w:vertAlign w:val="superscript"/>
              </w:rPr>
              <w:t>4</w:t>
            </w:r>
            <w:r>
              <w:rPr>
                <w:rFonts w:hint="eastAsia" w:ascii="宋体" w:hAnsi="宋体" w:cs="宋体"/>
                <w:color w:val="auto"/>
                <w:kern w:val="0"/>
                <w:szCs w:val="21"/>
              </w:rPr>
              <w:t>t）</w:t>
            </w:r>
          </w:p>
        </w:tc>
        <w:tc>
          <w:tcPr>
            <w:tcW w:w="899" w:type="pct"/>
            <w:vAlign w:val="center"/>
          </w:tcPr>
          <w:p w14:paraId="089FABF5">
            <w:pPr>
              <w:kinsoku w:val="0"/>
              <w:overflowPunct w:val="0"/>
              <w:autoSpaceDE w:val="0"/>
              <w:autoSpaceDN w:val="0"/>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累积产气</w:t>
            </w:r>
          </w:p>
          <w:p w14:paraId="70947C84">
            <w:pPr>
              <w:kinsoku w:val="0"/>
              <w:overflowPunct w:val="0"/>
              <w:autoSpaceDE w:val="0"/>
              <w:autoSpaceDN w:val="0"/>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r>
              <w:rPr>
                <w:rFonts w:ascii="宋体" w:hAnsi="宋体"/>
                <w:color w:val="auto"/>
                <w:kern w:val="0"/>
                <w:szCs w:val="21"/>
              </w:rPr>
              <w:t>10</w:t>
            </w:r>
            <w:r>
              <w:rPr>
                <w:rFonts w:hint="eastAsia" w:ascii="宋体" w:hAnsi="宋体"/>
                <w:color w:val="auto"/>
                <w:kern w:val="0"/>
                <w:szCs w:val="21"/>
                <w:vertAlign w:val="superscript"/>
              </w:rPr>
              <w:t>4</w:t>
            </w:r>
            <w:r>
              <w:rPr>
                <w:rFonts w:ascii="宋体" w:hAnsi="宋体"/>
                <w:color w:val="auto"/>
                <w:kern w:val="0"/>
                <w:szCs w:val="21"/>
              </w:rPr>
              <w:t>m</w:t>
            </w:r>
            <w:r>
              <w:rPr>
                <w:rFonts w:hint="eastAsia" w:ascii="宋体" w:hAnsi="宋体" w:cs="宋体"/>
                <w:color w:val="auto"/>
                <w:kern w:val="0"/>
                <w:szCs w:val="21"/>
                <w:vertAlign w:val="superscript"/>
              </w:rPr>
              <w:t>3)</w:t>
            </w:r>
          </w:p>
        </w:tc>
        <w:tc>
          <w:tcPr>
            <w:tcW w:w="637" w:type="pct"/>
            <w:vAlign w:val="center"/>
          </w:tcPr>
          <w:p w14:paraId="0B79BBBB">
            <w:pPr>
              <w:kinsoku w:val="0"/>
              <w:overflowPunct w:val="0"/>
              <w:autoSpaceDE w:val="0"/>
              <w:autoSpaceDN w:val="0"/>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累积产液</w:t>
            </w:r>
          </w:p>
          <w:p w14:paraId="5823BE70">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(t)</w:t>
            </w:r>
          </w:p>
        </w:tc>
      </w:tr>
      <w:tr w14:paraId="068C2A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9" w:type="pct"/>
            <w:vAlign w:val="center"/>
          </w:tcPr>
          <w:p w14:paraId="355DE82C">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2026</w:t>
            </w:r>
          </w:p>
        </w:tc>
        <w:tc>
          <w:tcPr>
            <w:tcW w:w="856" w:type="pct"/>
            <w:vAlign w:val="center"/>
          </w:tcPr>
          <w:p w14:paraId="6EA0A956">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1980</w:t>
            </w:r>
          </w:p>
        </w:tc>
        <w:tc>
          <w:tcPr>
            <w:tcW w:w="775" w:type="pct"/>
            <w:vAlign w:val="top"/>
          </w:tcPr>
          <w:p w14:paraId="248D41C7">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0.32</w:t>
            </w:r>
          </w:p>
        </w:tc>
        <w:tc>
          <w:tcPr>
            <w:tcW w:w="654" w:type="pct"/>
            <w:vAlign w:val="top"/>
          </w:tcPr>
          <w:p w14:paraId="5A213ABF">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0.47</w:t>
            </w:r>
          </w:p>
        </w:tc>
        <w:tc>
          <w:tcPr>
            <w:tcW w:w="699" w:type="pct"/>
            <w:vAlign w:val="top"/>
          </w:tcPr>
          <w:p w14:paraId="47D787DB">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0.32</w:t>
            </w:r>
          </w:p>
        </w:tc>
        <w:tc>
          <w:tcPr>
            <w:tcW w:w="899" w:type="pct"/>
            <w:vAlign w:val="center"/>
          </w:tcPr>
          <w:p w14:paraId="3283A790">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1980</w:t>
            </w:r>
          </w:p>
        </w:tc>
        <w:tc>
          <w:tcPr>
            <w:tcW w:w="637" w:type="pct"/>
            <w:vAlign w:val="center"/>
          </w:tcPr>
          <w:p w14:paraId="7FC01254">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 xml:space="preserve">0.47 </w:t>
            </w:r>
          </w:p>
        </w:tc>
      </w:tr>
      <w:tr w14:paraId="38FB2C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03" w:hRule="atLeast"/>
          <w:jc w:val="center"/>
        </w:trPr>
        <w:tc>
          <w:tcPr>
            <w:tcW w:w="479" w:type="pct"/>
            <w:vAlign w:val="center"/>
          </w:tcPr>
          <w:p w14:paraId="4A4B7385">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2027</w:t>
            </w:r>
          </w:p>
        </w:tc>
        <w:tc>
          <w:tcPr>
            <w:tcW w:w="856" w:type="pct"/>
            <w:vAlign w:val="center"/>
          </w:tcPr>
          <w:p w14:paraId="4B9B8EC8">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1782</w:t>
            </w:r>
          </w:p>
        </w:tc>
        <w:tc>
          <w:tcPr>
            <w:tcW w:w="775" w:type="pct"/>
            <w:vAlign w:val="top"/>
          </w:tcPr>
          <w:p w14:paraId="29C163DA">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0.29</w:t>
            </w:r>
          </w:p>
        </w:tc>
        <w:tc>
          <w:tcPr>
            <w:tcW w:w="654" w:type="pct"/>
            <w:vAlign w:val="top"/>
          </w:tcPr>
          <w:p w14:paraId="7B2069D3">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0.43</w:t>
            </w:r>
          </w:p>
        </w:tc>
        <w:tc>
          <w:tcPr>
            <w:tcW w:w="699" w:type="pct"/>
            <w:vAlign w:val="top"/>
          </w:tcPr>
          <w:p w14:paraId="2588B65F">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0.61</w:t>
            </w:r>
          </w:p>
        </w:tc>
        <w:tc>
          <w:tcPr>
            <w:tcW w:w="899" w:type="pct"/>
            <w:vAlign w:val="top"/>
          </w:tcPr>
          <w:p w14:paraId="08C91196">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3762</w:t>
            </w:r>
          </w:p>
        </w:tc>
        <w:tc>
          <w:tcPr>
            <w:tcW w:w="637" w:type="pct"/>
            <w:vAlign w:val="top"/>
          </w:tcPr>
          <w:p w14:paraId="24B46E60">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0.89</w:t>
            </w:r>
          </w:p>
        </w:tc>
      </w:tr>
      <w:tr w14:paraId="55862F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9" w:type="pct"/>
            <w:vAlign w:val="center"/>
          </w:tcPr>
          <w:p w14:paraId="16DE3347">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2028</w:t>
            </w:r>
          </w:p>
        </w:tc>
        <w:tc>
          <w:tcPr>
            <w:tcW w:w="856" w:type="pct"/>
            <w:vAlign w:val="center"/>
          </w:tcPr>
          <w:p w14:paraId="6561E6F5">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1603.8</w:t>
            </w:r>
          </w:p>
        </w:tc>
        <w:tc>
          <w:tcPr>
            <w:tcW w:w="775" w:type="pct"/>
            <w:vAlign w:val="top"/>
          </w:tcPr>
          <w:p w14:paraId="77E63FBC">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0.26</w:t>
            </w:r>
          </w:p>
        </w:tc>
        <w:tc>
          <w:tcPr>
            <w:tcW w:w="654" w:type="pct"/>
            <w:vAlign w:val="top"/>
          </w:tcPr>
          <w:p w14:paraId="5727FD5E">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0.39</w:t>
            </w:r>
          </w:p>
        </w:tc>
        <w:tc>
          <w:tcPr>
            <w:tcW w:w="699" w:type="pct"/>
            <w:vAlign w:val="top"/>
          </w:tcPr>
          <w:p w14:paraId="342FD28B">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0.87</w:t>
            </w:r>
          </w:p>
        </w:tc>
        <w:tc>
          <w:tcPr>
            <w:tcW w:w="899" w:type="pct"/>
            <w:vAlign w:val="top"/>
          </w:tcPr>
          <w:p w14:paraId="29ACFEB5">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5365.8</w:t>
            </w:r>
          </w:p>
        </w:tc>
        <w:tc>
          <w:tcPr>
            <w:tcW w:w="637" w:type="pct"/>
            <w:vAlign w:val="top"/>
          </w:tcPr>
          <w:p w14:paraId="6CB421EB">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1.28</w:t>
            </w:r>
          </w:p>
        </w:tc>
      </w:tr>
      <w:tr w14:paraId="2B8AAF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9" w:type="pct"/>
            <w:vAlign w:val="center"/>
          </w:tcPr>
          <w:p w14:paraId="17C9E6AB">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2029</w:t>
            </w:r>
          </w:p>
        </w:tc>
        <w:tc>
          <w:tcPr>
            <w:tcW w:w="856" w:type="pct"/>
            <w:vAlign w:val="center"/>
          </w:tcPr>
          <w:p w14:paraId="37A2E904">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1443.4</w:t>
            </w:r>
          </w:p>
        </w:tc>
        <w:tc>
          <w:tcPr>
            <w:tcW w:w="775" w:type="pct"/>
            <w:vAlign w:val="top"/>
          </w:tcPr>
          <w:p w14:paraId="7FD20F72">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0.24</w:t>
            </w:r>
          </w:p>
        </w:tc>
        <w:tc>
          <w:tcPr>
            <w:tcW w:w="654" w:type="pct"/>
            <w:vAlign w:val="top"/>
          </w:tcPr>
          <w:p w14:paraId="38A7962E">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0.36</w:t>
            </w:r>
          </w:p>
        </w:tc>
        <w:tc>
          <w:tcPr>
            <w:tcW w:w="699" w:type="pct"/>
            <w:vAlign w:val="top"/>
          </w:tcPr>
          <w:p w14:paraId="10392FAA">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1.11</w:t>
            </w:r>
          </w:p>
        </w:tc>
        <w:tc>
          <w:tcPr>
            <w:tcW w:w="899" w:type="pct"/>
            <w:vAlign w:val="top"/>
          </w:tcPr>
          <w:p w14:paraId="7CE65523">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6809.2</w:t>
            </w:r>
          </w:p>
        </w:tc>
        <w:tc>
          <w:tcPr>
            <w:tcW w:w="637" w:type="pct"/>
            <w:vAlign w:val="top"/>
          </w:tcPr>
          <w:p w14:paraId="2B5D0B63">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1.64</w:t>
            </w:r>
          </w:p>
        </w:tc>
      </w:tr>
      <w:tr w14:paraId="71E783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9" w:type="pct"/>
            <w:vAlign w:val="center"/>
          </w:tcPr>
          <w:p w14:paraId="027DA538">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2030</w:t>
            </w:r>
          </w:p>
        </w:tc>
        <w:tc>
          <w:tcPr>
            <w:tcW w:w="856" w:type="pct"/>
            <w:vAlign w:val="center"/>
          </w:tcPr>
          <w:p w14:paraId="29380586">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1299.1</w:t>
            </w:r>
          </w:p>
        </w:tc>
        <w:tc>
          <w:tcPr>
            <w:tcW w:w="775" w:type="pct"/>
            <w:vAlign w:val="top"/>
          </w:tcPr>
          <w:p w14:paraId="6538B7A7">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0.21</w:t>
            </w:r>
          </w:p>
        </w:tc>
        <w:tc>
          <w:tcPr>
            <w:tcW w:w="654" w:type="pct"/>
            <w:vAlign w:val="top"/>
          </w:tcPr>
          <w:p w14:paraId="4BEA6792">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0.32</w:t>
            </w:r>
          </w:p>
        </w:tc>
        <w:tc>
          <w:tcPr>
            <w:tcW w:w="699" w:type="pct"/>
            <w:vAlign w:val="top"/>
          </w:tcPr>
          <w:p w14:paraId="7A942713">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1.32</w:t>
            </w:r>
          </w:p>
        </w:tc>
        <w:tc>
          <w:tcPr>
            <w:tcW w:w="899" w:type="pct"/>
            <w:vAlign w:val="top"/>
          </w:tcPr>
          <w:p w14:paraId="20ABF858">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8108.3</w:t>
            </w:r>
          </w:p>
        </w:tc>
        <w:tc>
          <w:tcPr>
            <w:tcW w:w="637" w:type="pct"/>
            <w:vAlign w:val="top"/>
          </w:tcPr>
          <w:p w14:paraId="006305F0">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1.96</w:t>
            </w:r>
          </w:p>
        </w:tc>
      </w:tr>
      <w:tr w14:paraId="2C8A4F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9" w:type="pct"/>
            <w:vAlign w:val="center"/>
          </w:tcPr>
          <w:p w14:paraId="59BF0C13">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2031</w:t>
            </w:r>
          </w:p>
        </w:tc>
        <w:tc>
          <w:tcPr>
            <w:tcW w:w="856" w:type="pct"/>
            <w:vAlign w:val="center"/>
          </w:tcPr>
          <w:p w14:paraId="113F1FAE">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1169.2</w:t>
            </w:r>
          </w:p>
        </w:tc>
        <w:tc>
          <w:tcPr>
            <w:tcW w:w="775" w:type="pct"/>
            <w:vAlign w:val="top"/>
          </w:tcPr>
          <w:p w14:paraId="3DAF0378">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0.19</w:t>
            </w:r>
          </w:p>
        </w:tc>
        <w:tc>
          <w:tcPr>
            <w:tcW w:w="654" w:type="pct"/>
            <w:vAlign w:val="top"/>
          </w:tcPr>
          <w:p w14:paraId="7E24E157">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0.30</w:t>
            </w:r>
          </w:p>
        </w:tc>
        <w:tc>
          <w:tcPr>
            <w:tcW w:w="699" w:type="pct"/>
            <w:vAlign w:val="top"/>
          </w:tcPr>
          <w:p w14:paraId="67E5C322">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1.51</w:t>
            </w:r>
          </w:p>
        </w:tc>
        <w:tc>
          <w:tcPr>
            <w:tcW w:w="899" w:type="pct"/>
            <w:vAlign w:val="top"/>
          </w:tcPr>
          <w:p w14:paraId="747BEB5B">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9277.5</w:t>
            </w:r>
          </w:p>
        </w:tc>
        <w:tc>
          <w:tcPr>
            <w:tcW w:w="637" w:type="pct"/>
            <w:vAlign w:val="top"/>
          </w:tcPr>
          <w:p w14:paraId="5100F380">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2.26</w:t>
            </w:r>
          </w:p>
        </w:tc>
      </w:tr>
      <w:tr w14:paraId="00377D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9" w:type="pct"/>
            <w:vAlign w:val="center"/>
          </w:tcPr>
          <w:p w14:paraId="511E0DC2">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2032</w:t>
            </w:r>
          </w:p>
        </w:tc>
        <w:tc>
          <w:tcPr>
            <w:tcW w:w="856" w:type="pct"/>
            <w:vAlign w:val="center"/>
          </w:tcPr>
          <w:p w14:paraId="0902BAC0">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1052.3</w:t>
            </w:r>
          </w:p>
        </w:tc>
        <w:tc>
          <w:tcPr>
            <w:tcW w:w="775" w:type="pct"/>
            <w:vAlign w:val="top"/>
          </w:tcPr>
          <w:p w14:paraId="48C3011C">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0.17</w:t>
            </w:r>
          </w:p>
        </w:tc>
        <w:tc>
          <w:tcPr>
            <w:tcW w:w="654" w:type="pct"/>
            <w:vAlign w:val="top"/>
          </w:tcPr>
          <w:p w14:paraId="7C0E7333">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0.27</w:t>
            </w:r>
          </w:p>
        </w:tc>
        <w:tc>
          <w:tcPr>
            <w:tcW w:w="699" w:type="pct"/>
            <w:vAlign w:val="top"/>
          </w:tcPr>
          <w:p w14:paraId="5166582C">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1.68</w:t>
            </w:r>
          </w:p>
        </w:tc>
        <w:tc>
          <w:tcPr>
            <w:tcW w:w="899" w:type="pct"/>
            <w:vAlign w:val="top"/>
          </w:tcPr>
          <w:p w14:paraId="5E517882">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10329.7</w:t>
            </w:r>
          </w:p>
        </w:tc>
        <w:tc>
          <w:tcPr>
            <w:tcW w:w="637" w:type="pct"/>
            <w:vAlign w:val="top"/>
          </w:tcPr>
          <w:p w14:paraId="7688FBF9">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2.53</w:t>
            </w:r>
          </w:p>
        </w:tc>
      </w:tr>
      <w:tr w14:paraId="18D4FB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9" w:type="pct"/>
            <w:vAlign w:val="center"/>
          </w:tcPr>
          <w:p w14:paraId="6BC78C89">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2033</w:t>
            </w:r>
          </w:p>
        </w:tc>
        <w:tc>
          <w:tcPr>
            <w:tcW w:w="856" w:type="pct"/>
            <w:vAlign w:val="center"/>
          </w:tcPr>
          <w:p w14:paraId="61675D27">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926.0</w:t>
            </w:r>
          </w:p>
        </w:tc>
        <w:tc>
          <w:tcPr>
            <w:tcW w:w="775" w:type="pct"/>
            <w:vAlign w:val="top"/>
          </w:tcPr>
          <w:p w14:paraId="556D9348">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 xml:space="preserve">0.15 </w:t>
            </w:r>
          </w:p>
        </w:tc>
        <w:tc>
          <w:tcPr>
            <w:tcW w:w="654" w:type="pct"/>
            <w:vAlign w:val="top"/>
          </w:tcPr>
          <w:p w14:paraId="67B8237F">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0.24</w:t>
            </w:r>
          </w:p>
        </w:tc>
        <w:tc>
          <w:tcPr>
            <w:tcW w:w="699" w:type="pct"/>
            <w:vAlign w:val="top"/>
          </w:tcPr>
          <w:p w14:paraId="1E36A005">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1.83</w:t>
            </w:r>
          </w:p>
        </w:tc>
        <w:tc>
          <w:tcPr>
            <w:tcW w:w="899" w:type="pct"/>
            <w:vAlign w:val="top"/>
          </w:tcPr>
          <w:p w14:paraId="30A5B456">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11255.7</w:t>
            </w:r>
          </w:p>
        </w:tc>
        <w:tc>
          <w:tcPr>
            <w:tcW w:w="637" w:type="pct"/>
            <w:vAlign w:val="top"/>
          </w:tcPr>
          <w:p w14:paraId="60041CE2">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2.77</w:t>
            </w:r>
          </w:p>
        </w:tc>
      </w:tr>
      <w:tr w14:paraId="1AFA10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9" w:type="pct"/>
            <w:vAlign w:val="center"/>
          </w:tcPr>
          <w:p w14:paraId="3DC2DD7C">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2034</w:t>
            </w:r>
          </w:p>
        </w:tc>
        <w:tc>
          <w:tcPr>
            <w:tcW w:w="856" w:type="pct"/>
            <w:vAlign w:val="center"/>
          </w:tcPr>
          <w:p w14:paraId="77B7BDA7">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814.9</w:t>
            </w:r>
          </w:p>
        </w:tc>
        <w:tc>
          <w:tcPr>
            <w:tcW w:w="775" w:type="pct"/>
            <w:vAlign w:val="top"/>
          </w:tcPr>
          <w:p w14:paraId="5EF3A72D">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 xml:space="preserve">0.13 </w:t>
            </w:r>
          </w:p>
        </w:tc>
        <w:tc>
          <w:tcPr>
            <w:tcW w:w="654" w:type="pct"/>
            <w:vAlign w:val="top"/>
          </w:tcPr>
          <w:p w14:paraId="44615EC3">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0.22</w:t>
            </w:r>
          </w:p>
        </w:tc>
        <w:tc>
          <w:tcPr>
            <w:tcW w:w="699" w:type="pct"/>
            <w:vAlign w:val="top"/>
          </w:tcPr>
          <w:p w14:paraId="667D2A84">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1.97</w:t>
            </w:r>
          </w:p>
        </w:tc>
        <w:tc>
          <w:tcPr>
            <w:tcW w:w="899" w:type="pct"/>
            <w:vAlign w:val="top"/>
          </w:tcPr>
          <w:p w14:paraId="6AD4F553">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12070.6</w:t>
            </w:r>
          </w:p>
        </w:tc>
        <w:tc>
          <w:tcPr>
            <w:tcW w:w="637" w:type="pct"/>
            <w:vAlign w:val="top"/>
          </w:tcPr>
          <w:p w14:paraId="06D45629">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2.99</w:t>
            </w:r>
          </w:p>
        </w:tc>
      </w:tr>
      <w:tr w14:paraId="74A5C5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9" w:type="pct"/>
            <w:vAlign w:val="center"/>
          </w:tcPr>
          <w:p w14:paraId="065E9604">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2035</w:t>
            </w:r>
          </w:p>
        </w:tc>
        <w:tc>
          <w:tcPr>
            <w:tcW w:w="856" w:type="pct"/>
            <w:vAlign w:val="center"/>
          </w:tcPr>
          <w:p w14:paraId="75ADD0C5">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692.6</w:t>
            </w:r>
          </w:p>
        </w:tc>
        <w:tc>
          <w:tcPr>
            <w:tcW w:w="775" w:type="pct"/>
            <w:vAlign w:val="top"/>
          </w:tcPr>
          <w:p w14:paraId="282F140C">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 xml:space="preserve">0.11 </w:t>
            </w:r>
          </w:p>
        </w:tc>
        <w:tc>
          <w:tcPr>
            <w:tcW w:w="654" w:type="pct"/>
            <w:vAlign w:val="top"/>
          </w:tcPr>
          <w:p w14:paraId="3120DB37">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0.19</w:t>
            </w:r>
          </w:p>
        </w:tc>
        <w:tc>
          <w:tcPr>
            <w:tcW w:w="699" w:type="pct"/>
            <w:vAlign w:val="top"/>
          </w:tcPr>
          <w:p w14:paraId="54869210">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2.08</w:t>
            </w:r>
          </w:p>
        </w:tc>
        <w:tc>
          <w:tcPr>
            <w:tcW w:w="899" w:type="pct"/>
            <w:vAlign w:val="top"/>
          </w:tcPr>
          <w:p w14:paraId="499E5BC9">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12763.2</w:t>
            </w:r>
          </w:p>
        </w:tc>
        <w:tc>
          <w:tcPr>
            <w:tcW w:w="637" w:type="pct"/>
            <w:vAlign w:val="top"/>
          </w:tcPr>
          <w:p w14:paraId="5B33FE0B">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3.18</w:t>
            </w:r>
          </w:p>
        </w:tc>
      </w:tr>
      <w:tr w14:paraId="6F54A9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479" w:type="pct"/>
            <w:vAlign w:val="center"/>
          </w:tcPr>
          <w:p w14:paraId="1697F4EF">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2036</w:t>
            </w:r>
          </w:p>
        </w:tc>
        <w:tc>
          <w:tcPr>
            <w:tcW w:w="856" w:type="pct"/>
            <w:vAlign w:val="center"/>
          </w:tcPr>
          <w:p w14:paraId="5E9C387C">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577.7</w:t>
            </w:r>
          </w:p>
        </w:tc>
        <w:tc>
          <w:tcPr>
            <w:tcW w:w="775" w:type="pct"/>
            <w:vAlign w:val="top"/>
          </w:tcPr>
          <w:p w14:paraId="2A2FC7B6">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 xml:space="preserve">0.10 </w:t>
            </w:r>
          </w:p>
        </w:tc>
        <w:tc>
          <w:tcPr>
            <w:tcW w:w="654" w:type="pct"/>
            <w:vAlign w:val="top"/>
          </w:tcPr>
          <w:p w14:paraId="060D62B8">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0.16</w:t>
            </w:r>
          </w:p>
        </w:tc>
        <w:tc>
          <w:tcPr>
            <w:tcW w:w="699" w:type="pct"/>
            <w:vAlign w:val="top"/>
          </w:tcPr>
          <w:p w14:paraId="4A90D8E7">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2.17</w:t>
            </w:r>
          </w:p>
        </w:tc>
        <w:tc>
          <w:tcPr>
            <w:tcW w:w="899" w:type="pct"/>
            <w:vAlign w:val="top"/>
          </w:tcPr>
          <w:p w14:paraId="31DDE844">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13351.9</w:t>
            </w:r>
          </w:p>
        </w:tc>
        <w:tc>
          <w:tcPr>
            <w:tcW w:w="637" w:type="pct"/>
            <w:vAlign w:val="top"/>
          </w:tcPr>
          <w:p w14:paraId="29244415">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3.35</w:t>
            </w:r>
          </w:p>
        </w:tc>
      </w:tr>
      <w:tr w14:paraId="25F3BCE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9" w:type="pct"/>
            <w:vAlign w:val="center"/>
          </w:tcPr>
          <w:p w14:paraId="1DE9261D">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2037</w:t>
            </w:r>
          </w:p>
        </w:tc>
        <w:tc>
          <w:tcPr>
            <w:tcW w:w="856" w:type="pct"/>
            <w:vAlign w:val="center"/>
          </w:tcPr>
          <w:p w14:paraId="1467F92F">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471</w:t>
            </w:r>
          </w:p>
        </w:tc>
        <w:tc>
          <w:tcPr>
            <w:tcW w:w="775" w:type="pct"/>
            <w:vAlign w:val="top"/>
          </w:tcPr>
          <w:p w14:paraId="73CF40F6">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 xml:space="preserve">0.08 </w:t>
            </w:r>
          </w:p>
        </w:tc>
        <w:tc>
          <w:tcPr>
            <w:tcW w:w="654" w:type="pct"/>
            <w:vAlign w:val="top"/>
          </w:tcPr>
          <w:p w14:paraId="70FC02BE">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0.13</w:t>
            </w:r>
          </w:p>
        </w:tc>
        <w:tc>
          <w:tcPr>
            <w:tcW w:w="699" w:type="pct"/>
            <w:vAlign w:val="top"/>
          </w:tcPr>
          <w:p w14:paraId="0F022A16">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2.25</w:t>
            </w:r>
          </w:p>
        </w:tc>
        <w:tc>
          <w:tcPr>
            <w:tcW w:w="899" w:type="pct"/>
            <w:vAlign w:val="top"/>
          </w:tcPr>
          <w:p w14:paraId="61155998">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13822.9</w:t>
            </w:r>
          </w:p>
        </w:tc>
        <w:tc>
          <w:tcPr>
            <w:tcW w:w="637" w:type="pct"/>
            <w:vAlign w:val="top"/>
          </w:tcPr>
          <w:p w14:paraId="0B1B00A0">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3.48</w:t>
            </w:r>
          </w:p>
        </w:tc>
      </w:tr>
      <w:tr w14:paraId="515601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9" w:type="pct"/>
            <w:vAlign w:val="center"/>
          </w:tcPr>
          <w:p w14:paraId="12A2243D">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2038</w:t>
            </w:r>
          </w:p>
        </w:tc>
        <w:tc>
          <w:tcPr>
            <w:tcW w:w="856" w:type="pct"/>
            <w:vAlign w:val="center"/>
          </w:tcPr>
          <w:p w14:paraId="7154EE7B">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376.8</w:t>
            </w:r>
          </w:p>
        </w:tc>
        <w:tc>
          <w:tcPr>
            <w:tcW w:w="775" w:type="pct"/>
            <w:vAlign w:val="top"/>
          </w:tcPr>
          <w:p w14:paraId="624DD8F8">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 xml:space="preserve">0.06 </w:t>
            </w:r>
          </w:p>
        </w:tc>
        <w:tc>
          <w:tcPr>
            <w:tcW w:w="654" w:type="pct"/>
            <w:vAlign w:val="top"/>
          </w:tcPr>
          <w:p w14:paraId="5F899EB3">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0.11</w:t>
            </w:r>
          </w:p>
        </w:tc>
        <w:tc>
          <w:tcPr>
            <w:tcW w:w="699" w:type="pct"/>
            <w:vAlign w:val="top"/>
          </w:tcPr>
          <w:p w14:paraId="3D9A157D">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2.31</w:t>
            </w:r>
          </w:p>
        </w:tc>
        <w:tc>
          <w:tcPr>
            <w:tcW w:w="899" w:type="pct"/>
            <w:vAlign w:val="top"/>
          </w:tcPr>
          <w:p w14:paraId="5B373BCB">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14199.7</w:t>
            </w:r>
          </w:p>
        </w:tc>
        <w:tc>
          <w:tcPr>
            <w:tcW w:w="637" w:type="pct"/>
            <w:vAlign w:val="top"/>
          </w:tcPr>
          <w:p w14:paraId="70FDBD59">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3.59</w:t>
            </w:r>
          </w:p>
        </w:tc>
      </w:tr>
      <w:tr w14:paraId="557B38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79" w:type="pct"/>
            <w:vAlign w:val="center"/>
          </w:tcPr>
          <w:p w14:paraId="6B7279ED">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2039</w:t>
            </w:r>
          </w:p>
        </w:tc>
        <w:tc>
          <w:tcPr>
            <w:tcW w:w="856" w:type="pct"/>
            <w:vAlign w:val="center"/>
          </w:tcPr>
          <w:p w14:paraId="21BC7A20">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301.4</w:t>
            </w:r>
          </w:p>
        </w:tc>
        <w:tc>
          <w:tcPr>
            <w:tcW w:w="775" w:type="pct"/>
            <w:vAlign w:val="top"/>
          </w:tcPr>
          <w:p w14:paraId="56A5EF5F">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 xml:space="preserve">0.05 </w:t>
            </w:r>
          </w:p>
        </w:tc>
        <w:tc>
          <w:tcPr>
            <w:tcW w:w="654" w:type="pct"/>
            <w:vAlign w:val="top"/>
          </w:tcPr>
          <w:p w14:paraId="36DCEFDF">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0.09</w:t>
            </w:r>
          </w:p>
        </w:tc>
        <w:tc>
          <w:tcPr>
            <w:tcW w:w="699" w:type="pct"/>
            <w:vAlign w:val="top"/>
          </w:tcPr>
          <w:p w14:paraId="54EB081D">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2.36</w:t>
            </w:r>
          </w:p>
        </w:tc>
        <w:tc>
          <w:tcPr>
            <w:tcW w:w="899" w:type="pct"/>
            <w:vAlign w:val="top"/>
          </w:tcPr>
          <w:p w14:paraId="57A33306">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14501.2</w:t>
            </w:r>
          </w:p>
        </w:tc>
        <w:tc>
          <w:tcPr>
            <w:tcW w:w="637" w:type="pct"/>
            <w:vAlign w:val="top"/>
          </w:tcPr>
          <w:p w14:paraId="2AE95C00">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3.68</w:t>
            </w:r>
          </w:p>
        </w:tc>
      </w:tr>
      <w:bookmarkEnd w:id="205"/>
    </w:tbl>
    <w:p w14:paraId="732AD22F">
      <w:pPr>
        <w:pStyle w:val="86"/>
        <w:ind w:firstLine="480"/>
        <w:rPr>
          <w:rFonts w:hint="eastAsia"/>
          <w:color w:val="auto"/>
        </w:rPr>
      </w:pPr>
      <w:r>
        <w:rPr>
          <w:rFonts w:hint="eastAsia"/>
          <w:color w:val="auto"/>
        </w:rPr>
        <w:t>（6）产品方案</w:t>
      </w:r>
    </w:p>
    <w:p w14:paraId="4CCE3F79">
      <w:pPr>
        <w:pStyle w:val="86"/>
        <w:ind w:firstLine="480"/>
        <w:rPr>
          <w:rFonts w:hint="eastAsia"/>
          <w:color w:val="auto"/>
        </w:rPr>
      </w:pPr>
      <w:r>
        <w:rPr>
          <w:rFonts w:hint="eastAsia"/>
          <w:color w:val="auto"/>
        </w:rPr>
        <w:t>拟部署井的产品主要为天然气、原油和混烃，天然气产量为9×1</w:t>
      </w:r>
      <w:r>
        <w:rPr>
          <w:color w:val="auto"/>
        </w:rPr>
        <w:t>0</w:t>
      </w:r>
      <w:r>
        <w:rPr>
          <w:color w:val="auto"/>
          <w:vertAlign w:val="superscript"/>
        </w:rPr>
        <w:t>4</w:t>
      </w:r>
      <w:r>
        <w:rPr>
          <w:color w:val="auto"/>
        </w:rPr>
        <w:t>m</w:t>
      </w:r>
      <w:r>
        <w:rPr>
          <w:color w:val="auto"/>
          <w:vertAlign w:val="superscript"/>
        </w:rPr>
        <w:t>3</w:t>
      </w:r>
      <w:r>
        <w:rPr>
          <w:color w:val="auto"/>
        </w:rPr>
        <w:t>/d</w:t>
      </w:r>
      <w:r>
        <w:rPr>
          <w:rFonts w:hint="eastAsia"/>
          <w:color w:val="auto"/>
        </w:rPr>
        <w:t>，原油产量为69t/d，混烃产量为5.7t/d。原油由罐车拉运至莫北转油站进行处理，混烃由罐车装车外售。</w:t>
      </w:r>
    </w:p>
    <w:p w14:paraId="1F65DC1A">
      <w:pPr>
        <w:pStyle w:val="86"/>
        <w:ind w:firstLine="480"/>
        <w:rPr>
          <w:rFonts w:hint="eastAsia"/>
          <w:color w:val="auto"/>
        </w:rPr>
      </w:pPr>
      <w:r>
        <w:rPr>
          <w:rFonts w:hint="eastAsia"/>
          <w:color w:val="auto"/>
        </w:rPr>
        <w:t>莫172H井场内浅冷处理装置产品为压缩天然气（CNG），CNG产品质量满足《车用压缩天然气标准》（GB18047—2017）和《天然气》（GB17820-2018）中二类气技术指标；处理规模为8×1</w:t>
      </w:r>
      <w:r>
        <w:rPr>
          <w:color w:val="auto"/>
        </w:rPr>
        <w:t>0</w:t>
      </w:r>
      <w:r>
        <w:rPr>
          <w:color w:val="auto"/>
          <w:vertAlign w:val="superscript"/>
        </w:rPr>
        <w:t>4</w:t>
      </w:r>
      <w:r>
        <w:rPr>
          <w:color w:val="auto"/>
        </w:rPr>
        <w:t>m</w:t>
      </w:r>
      <w:r>
        <w:rPr>
          <w:color w:val="auto"/>
          <w:vertAlign w:val="superscript"/>
        </w:rPr>
        <w:t>3</w:t>
      </w:r>
      <w:r>
        <w:rPr>
          <w:color w:val="auto"/>
        </w:rPr>
        <w:t>/d</w:t>
      </w:r>
      <w:r>
        <w:rPr>
          <w:rFonts w:hint="eastAsia"/>
          <w:color w:val="auto"/>
        </w:rPr>
        <w:t>，其中3400m</w:t>
      </w:r>
      <w:r>
        <w:rPr>
          <w:rFonts w:hint="eastAsia"/>
          <w:color w:val="auto"/>
          <w:vertAlign w:val="superscript"/>
        </w:rPr>
        <w:t>3</w:t>
      </w:r>
      <w:r>
        <w:rPr>
          <w:rFonts w:hint="eastAsia"/>
          <w:color w:val="auto"/>
        </w:rPr>
        <w:t>/d用于新建燃气发电机和</w:t>
      </w:r>
      <w:r>
        <w:rPr>
          <w:color w:val="auto"/>
        </w:rPr>
        <w:t>加热节流橇</w:t>
      </w:r>
      <w:r>
        <w:rPr>
          <w:rFonts w:hint="eastAsia"/>
          <w:color w:val="auto"/>
        </w:rPr>
        <w:t>的燃料，其余由CNG罐车装车外售。</w:t>
      </w:r>
    </w:p>
    <w:p w14:paraId="21B98E70">
      <w:pPr>
        <w:pStyle w:val="86"/>
        <w:ind w:firstLine="480"/>
        <w:rPr>
          <w:rFonts w:hint="eastAsia"/>
          <w:color w:val="auto"/>
        </w:rPr>
      </w:pPr>
      <w:r>
        <w:rPr>
          <w:rFonts w:hint="eastAsia"/>
          <w:color w:val="auto"/>
        </w:rPr>
        <w:t>莫174H井场内浅冷处理装置产品为压缩天然气（CNG），CNG产品质量满足《车用压缩天然气标准》（GB18047—2017）和《天然气》（GB17820-2018）中二类气技术指标；处理规模为3×1</w:t>
      </w:r>
      <w:r>
        <w:rPr>
          <w:color w:val="auto"/>
        </w:rPr>
        <w:t>0</w:t>
      </w:r>
      <w:r>
        <w:rPr>
          <w:color w:val="auto"/>
          <w:vertAlign w:val="superscript"/>
        </w:rPr>
        <w:t>4</w:t>
      </w:r>
      <w:r>
        <w:rPr>
          <w:color w:val="auto"/>
        </w:rPr>
        <w:t>m</w:t>
      </w:r>
      <w:r>
        <w:rPr>
          <w:color w:val="auto"/>
          <w:vertAlign w:val="superscript"/>
        </w:rPr>
        <w:t>3</w:t>
      </w:r>
      <w:r>
        <w:rPr>
          <w:color w:val="auto"/>
        </w:rPr>
        <w:t>/d</w:t>
      </w:r>
      <w:r>
        <w:rPr>
          <w:rFonts w:hint="eastAsia"/>
          <w:color w:val="auto"/>
        </w:rPr>
        <w:t>，其中1500m</w:t>
      </w:r>
      <w:r>
        <w:rPr>
          <w:rFonts w:hint="eastAsia"/>
          <w:color w:val="auto"/>
          <w:vertAlign w:val="superscript"/>
        </w:rPr>
        <w:t>3</w:t>
      </w:r>
      <w:r>
        <w:rPr>
          <w:rFonts w:hint="eastAsia"/>
          <w:color w:val="auto"/>
        </w:rPr>
        <w:t>/d用于新建燃气发电机和</w:t>
      </w:r>
      <w:r>
        <w:rPr>
          <w:color w:val="auto"/>
        </w:rPr>
        <w:t>加热节流橇</w:t>
      </w:r>
      <w:r>
        <w:rPr>
          <w:rFonts w:hint="eastAsia"/>
          <w:color w:val="auto"/>
        </w:rPr>
        <w:t>的燃料，其余由CNG罐车装车外售。</w:t>
      </w:r>
    </w:p>
    <w:bookmarkEnd w:id="206"/>
    <w:p w14:paraId="669A32FB">
      <w:pPr>
        <w:pStyle w:val="86"/>
        <w:adjustRightInd w:val="0"/>
        <w:snapToGrid w:val="0"/>
        <w:ind w:firstLine="480"/>
        <w:rPr>
          <w:rFonts w:hint="eastAsia"/>
          <w:color w:val="auto"/>
        </w:rPr>
      </w:pPr>
      <w:r>
        <w:rPr>
          <w:rFonts w:hint="eastAsia"/>
          <w:color w:val="auto"/>
        </w:rPr>
        <w:t>（7）建设周期</w:t>
      </w:r>
    </w:p>
    <w:p w14:paraId="44A2AE49">
      <w:pPr>
        <w:pStyle w:val="86"/>
        <w:adjustRightInd w:val="0"/>
        <w:snapToGrid w:val="0"/>
        <w:ind w:firstLine="480"/>
        <w:rPr>
          <w:rFonts w:hint="eastAsia"/>
          <w:color w:val="auto"/>
        </w:rPr>
      </w:pPr>
      <w:r>
        <w:rPr>
          <w:rFonts w:hint="eastAsia"/>
          <w:color w:val="auto"/>
        </w:rPr>
        <w:t>地面工程建设周期为12个月，施工人数</w:t>
      </w:r>
      <w:r>
        <w:rPr>
          <w:color w:val="auto"/>
        </w:rPr>
        <w:t>30</w:t>
      </w:r>
      <w:r>
        <w:rPr>
          <w:rFonts w:hint="eastAsia"/>
          <w:color w:val="auto"/>
        </w:rPr>
        <w:t>人，地面工程施工时不设施工营地，施工人员食宿在石西基地。</w:t>
      </w:r>
    </w:p>
    <w:p w14:paraId="3004FDF6">
      <w:pPr>
        <w:pStyle w:val="86"/>
        <w:ind w:firstLine="480"/>
        <w:rPr>
          <w:rFonts w:hint="eastAsia"/>
          <w:color w:val="auto"/>
        </w:rPr>
      </w:pPr>
      <w:r>
        <w:rPr>
          <w:rFonts w:hint="eastAsia"/>
          <w:color w:val="auto"/>
        </w:rPr>
        <w:t>（8）劳动定员和工作制度</w:t>
      </w:r>
    </w:p>
    <w:p w14:paraId="4A8F9F3B">
      <w:pPr>
        <w:pStyle w:val="86"/>
        <w:ind w:firstLine="480"/>
        <w:rPr>
          <w:rFonts w:hint="eastAsia"/>
          <w:color w:val="auto"/>
        </w:rPr>
      </w:pPr>
      <w:r>
        <w:rPr>
          <w:rFonts w:hint="eastAsia"/>
          <w:color w:val="auto"/>
        </w:rPr>
        <w:t>每座天然气处理设施设4人，年运行时间7920h，项目实施后</w:t>
      </w:r>
      <w:r>
        <w:rPr>
          <w:rFonts w:hint="eastAsia"/>
          <w:color w:val="auto"/>
          <w:kern w:val="0"/>
        </w:rPr>
        <w:t>由第三方外委单位负责运营管理</w:t>
      </w:r>
      <w:r>
        <w:rPr>
          <w:rFonts w:hint="eastAsia"/>
          <w:color w:val="auto"/>
        </w:rPr>
        <w:t>。</w:t>
      </w:r>
    </w:p>
    <w:p w14:paraId="02DC849C">
      <w:pPr>
        <w:pStyle w:val="86"/>
        <w:ind w:firstLine="480"/>
        <w:rPr>
          <w:rFonts w:hint="eastAsia"/>
          <w:color w:val="auto"/>
        </w:rPr>
      </w:pPr>
      <w:r>
        <w:rPr>
          <w:rFonts w:hint="eastAsia"/>
          <w:color w:val="auto"/>
        </w:rPr>
        <w:t>（9）总投资和环保投资</w:t>
      </w:r>
    </w:p>
    <w:p w14:paraId="60D816E8">
      <w:pPr>
        <w:pStyle w:val="86"/>
        <w:ind w:firstLine="480"/>
        <w:rPr>
          <w:rFonts w:hint="eastAsia"/>
          <w:color w:val="auto"/>
        </w:rPr>
      </w:pPr>
      <w:bookmarkStart w:id="209" w:name="_Hlk177510284"/>
      <w:bookmarkStart w:id="210" w:name="_Hlk165761246"/>
      <w:bookmarkStart w:id="211" w:name="_Hlk148004996"/>
      <w:r>
        <w:rPr>
          <w:rFonts w:hint="eastAsia"/>
          <w:color w:val="auto"/>
        </w:rPr>
        <w:t>项目总投资5500万元，</w:t>
      </w:r>
      <w:r>
        <w:rPr>
          <w:color w:val="auto"/>
        </w:rPr>
        <w:t>环保投资约</w:t>
      </w:r>
      <w:r>
        <w:rPr>
          <w:rFonts w:hint="eastAsia"/>
          <w:color w:val="auto"/>
        </w:rPr>
        <w:t>145万</w:t>
      </w:r>
      <w:r>
        <w:rPr>
          <w:color w:val="auto"/>
        </w:rPr>
        <w:t>元，占总投资的</w:t>
      </w:r>
      <w:r>
        <w:rPr>
          <w:rFonts w:hint="eastAsia"/>
          <w:color w:val="auto"/>
        </w:rPr>
        <w:t>2.64</w:t>
      </w:r>
      <w:r>
        <w:rPr>
          <w:color w:val="auto"/>
        </w:rPr>
        <w:t>%</w:t>
      </w:r>
      <w:r>
        <w:rPr>
          <w:rFonts w:hint="eastAsia"/>
          <w:color w:val="auto"/>
        </w:rPr>
        <w:t>。</w:t>
      </w:r>
    </w:p>
    <w:bookmarkEnd w:id="209"/>
    <w:p w14:paraId="5CF3B200">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勘探开发概况及流体性质</w:t>
      </w:r>
    </w:p>
    <w:p w14:paraId="0C00942D">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（1）勘探开发概况</w:t>
      </w:r>
    </w:p>
    <w:p w14:paraId="0D414496">
      <w:pPr>
        <w:widowControl/>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莫27井、莫172H井、莫174H井地质构造、层系、储层特征、气藏类型见表3.2-3。</w:t>
      </w:r>
    </w:p>
    <w:p w14:paraId="1BF0F7D9">
      <w:pPr>
        <w:pStyle w:val="364"/>
        <w:kinsoku w:val="0"/>
        <w:overflowPunct w:val="0"/>
        <w:rPr>
          <w:rFonts w:hint="eastAsia" w:hAnsi="宋体"/>
          <w:color w:val="auto"/>
          <w:sz w:val="21"/>
          <w:szCs w:val="21"/>
        </w:rPr>
      </w:pPr>
      <w:r>
        <w:rPr>
          <w:rFonts w:hint="eastAsia" w:ascii="黑体" w:hAnsi="黑体" w:eastAsia="黑体"/>
          <w:color w:val="auto"/>
          <w:sz w:val="21"/>
          <w:szCs w:val="21"/>
        </w:rPr>
        <w:t>表3.2-3  莫172H井、莫174H井地质构造、层系、储层特征、气藏类型一览表</w:t>
      </w:r>
    </w:p>
    <w:tbl>
      <w:tblPr>
        <w:tblStyle w:val="4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54"/>
        <w:gridCol w:w="1702"/>
        <w:gridCol w:w="5890"/>
      </w:tblGrid>
      <w:tr w14:paraId="655D39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20" w:hRule="atLeast"/>
          <w:jc w:val="center"/>
        </w:trPr>
        <w:tc>
          <w:tcPr>
            <w:tcW w:w="757" w:type="pct"/>
            <w:vAlign w:val="center"/>
          </w:tcPr>
          <w:p w14:paraId="06611302">
            <w:pPr>
              <w:pStyle w:val="364"/>
              <w:kinsoku w:val="0"/>
              <w:overflowPunct w:val="0"/>
              <w:snapToGrid w:val="0"/>
              <w:spacing w:line="300" w:lineRule="exact"/>
              <w:rPr>
                <w:rFonts w:hint="eastAsia" w:hAnsi="宋体"/>
                <w:color w:val="auto"/>
                <w:sz w:val="21"/>
                <w:szCs w:val="21"/>
              </w:rPr>
            </w:pPr>
            <w:r>
              <w:rPr>
                <w:rFonts w:hint="eastAsia" w:hAnsi="宋体"/>
                <w:color w:val="auto"/>
                <w:sz w:val="21"/>
                <w:szCs w:val="21"/>
              </w:rPr>
              <w:t>井区</w:t>
            </w:r>
          </w:p>
        </w:tc>
        <w:tc>
          <w:tcPr>
            <w:tcW w:w="951" w:type="pct"/>
            <w:vAlign w:val="center"/>
          </w:tcPr>
          <w:p w14:paraId="5522D8AA">
            <w:pPr>
              <w:pStyle w:val="364"/>
              <w:kinsoku w:val="0"/>
              <w:overflowPunct w:val="0"/>
              <w:snapToGrid w:val="0"/>
              <w:spacing w:line="300" w:lineRule="exact"/>
              <w:rPr>
                <w:rFonts w:hint="eastAsia" w:hAnsi="宋体"/>
                <w:color w:val="auto"/>
                <w:sz w:val="21"/>
                <w:szCs w:val="21"/>
              </w:rPr>
            </w:pPr>
            <w:r>
              <w:rPr>
                <w:rFonts w:hint="eastAsia" w:hAnsi="宋体"/>
                <w:color w:val="auto"/>
                <w:sz w:val="21"/>
                <w:szCs w:val="21"/>
              </w:rPr>
              <w:t>类别</w:t>
            </w:r>
          </w:p>
        </w:tc>
        <w:tc>
          <w:tcPr>
            <w:tcW w:w="3292" w:type="pct"/>
            <w:vAlign w:val="center"/>
          </w:tcPr>
          <w:p w14:paraId="34DEE0A7">
            <w:pPr>
              <w:pStyle w:val="364"/>
              <w:kinsoku w:val="0"/>
              <w:overflowPunct w:val="0"/>
              <w:snapToGrid w:val="0"/>
              <w:spacing w:line="300" w:lineRule="exact"/>
              <w:rPr>
                <w:rFonts w:hint="eastAsia" w:hAnsi="宋体"/>
                <w:color w:val="auto"/>
                <w:sz w:val="21"/>
                <w:szCs w:val="21"/>
              </w:rPr>
            </w:pPr>
            <w:r>
              <w:rPr>
                <w:rFonts w:hint="eastAsia" w:hAnsi="宋体"/>
                <w:color w:val="auto"/>
                <w:sz w:val="21"/>
                <w:szCs w:val="21"/>
              </w:rPr>
              <w:t>内容</w:t>
            </w:r>
          </w:p>
        </w:tc>
      </w:tr>
      <w:tr w14:paraId="20603E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20" w:hRule="atLeast"/>
          <w:jc w:val="center"/>
        </w:trPr>
        <w:tc>
          <w:tcPr>
            <w:tcW w:w="757" w:type="pct"/>
            <w:vMerge w:val="restart"/>
            <w:vAlign w:val="center"/>
          </w:tcPr>
          <w:p w14:paraId="44839847">
            <w:pPr>
              <w:pStyle w:val="364"/>
              <w:kinsoku w:val="0"/>
              <w:overflowPunct w:val="0"/>
              <w:snapToGrid w:val="0"/>
              <w:spacing w:line="300" w:lineRule="exact"/>
              <w:rPr>
                <w:rFonts w:hint="eastAsia" w:hAnsi="宋体"/>
                <w:color w:val="auto"/>
                <w:sz w:val="21"/>
                <w:szCs w:val="21"/>
              </w:rPr>
            </w:pPr>
            <w:r>
              <w:rPr>
                <w:rFonts w:hint="eastAsia" w:hAnsi="宋体"/>
                <w:color w:val="auto"/>
                <w:sz w:val="21"/>
                <w:szCs w:val="21"/>
              </w:rPr>
              <w:t>莫17井区</w:t>
            </w:r>
          </w:p>
        </w:tc>
        <w:tc>
          <w:tcPr>
            <w:tcW w:w="951" w:type="pct"/>
            <w:vAlign w:val="center"/>
          </w:tcPr>
          <w:p w14:paraId="0775C692">
            <w:pPr>
              <w:pStyle w:val="364"/>
              <w:kinsoku w:val="0"/>
              <w:overflowPunct w:val="0"/>
              <w:snapToGrid w:val="0"/>
              <w:spacing w:line="300" w:lineRule="exact"/>
              <w:rPr>
                <w:rFonts w:hint="eastAsia" w:hAnsi="宋体"/>
                <w:color w:val="auto"/>
                <w:sz w:val="21"/>
                <w:szCs w:val="21"/>
              </w:rPr>
            </w:pPr>
            <w:r>
              <w:rPr>
                <w:rFonts w:hint="eastAsia" w:hAnsi="宋体"/>
                <w:color w:val="auto"/>
                <w:sz w:val="21"/>
                <w:szCs w:val="21"/>
              </w:rPr>
              <w:t>地质构造</w:t>
            </w:r>
          </w:p>
        </w:tc>
        <w:tc>
          <w:tcPr>
            <w:tcW w:w="3292" w:type="pct"/>
            <w:vAlign w:val="center"/>
          </w:tcPr>
          <w:p w14:paraId="4C4F7C4C">
            <w:pPr>
              <w:pStyle w:val="364"/>
              <w:kinsoku w:val="0"/>
              <w:overflowPunct w:val="0"/>
              <w:snapToGrid w:val="0"/>
              <w:spacing w:line="300" w:lineRule="exact"/>
              <w:rPr>
                <w:rFonts w:hint="eastAsia" w:hAnsi="宋体"/>
                <w:color w:val="auto"/>
                <w:sz w:val="21"/>
                <w:szCs w:val="21"/>
              </w:rPr>
            </w:pPr>
            <w:r>
              <w:rPr>
                <w:rFonts w:hint="eastAsia" w:hAnsi="宋体"/>
                <w:color w:val="auto"/>
                <w:sz w:val="21"/>
                <w:szCs w:val="21"/>
              </w:rPr>
              <w:t>北东—南西走向的低幅度背斜</w:t>
            </w:r>
          </w:p>
        </w:tc>
      </w:tr>
      <w:tr w14:paraId="276107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7" w:hRule="atLeast"/>
          <w:jc w:val="center"/>
        </w:trPr>
        <w:tc>
          <w:tcPr>
            <w:tcW w:w="757" w:type="pct"/>
            <w:vMerge w:val="continue"/>
            <w:vAlign w:val="center"/>
          </w:tcPr>
          <w:p w14:paraId="27452597">
            <w:pPr>
              <w:pStyle w:val="364"/>
              <w:kinsoku w:val="0"/>
              <w:overflowPunct w:val="0"/>
              <w:snapToGrid w:val="0"/>
              <w:spacing w:line="300" w:lineRule="exact"/>
              <w:rPr>
                <w:rFonts w:hint="eastAsia" w:hAnsi="宋体"/>
                <w:color w:val="auto"/>
                <w:sz w:val="21"/>
                <w:szCs w:val="21"/>
              </w:rPr>
            </w:pPr>
          </w:p>
        </w:tc>
        <w:tc>
          <w:tcPr>
            <w:tcW w:w="951" w:type="pct"/>
            <w:vAlign w:val="center"/>
          </w:tcPr>
          <w:p w14:paraId="22BFE75A">
            <w:pPr>
              <w:pStyle w:val="364"/>
              <w:kinsoku w:val="0"/>
              <w:overflowPunct w:val="0"/>
              <w:snapToGrid w:val="0"/>
              <w:spacing w:line="300" w:lineRule="exact"/>
              <w:rPr>
                <w:rFonts w:hint="eastAsia" w:hAnsi="宋体"/>
                <w:color w:val="auto"/>
                <w:sz w:val="21"/>
                <w:szCs w:val="21"/>
              </w:rPr>
            </w:pPr>
            <w:r>
              <w:rPr>
                <w:rFonts w:hint="eastAsia" w:hAnsi="宋体"/>
                <w:color w:val="auto"/>
                <w:sz w:val="21"/>
                <w:szCs w:val="21"/>
              </w:rPr>
              <w:t>层系</w:t>
            </w:r>
          </w:p>
        </w:tc>
        <w:tc>
          <w:tcPr>
            <w:tcW w:w="3292" w:type="pct"/>
            <w:vAlign w:val="center"/>
          </w:tcPr>
          <w:p w14:paraId="371B24D6">
            <w:pPr>
              <w:pStyle w:val="364"/>
              <w:kinsoku w:val="0"/>
              <w:overflowPunct w:val="0"/>
              <w:snapToGrid w:val="0"/>
              <w:spacing w:line="300" w:lineRule="exact"/>
              <w:rPr>
                <w:rFonts w:hint="eastAsia" w:hAnsi="宋体"/>
                <w:color w:val="auto"/>
                <w:sz w:val="21"/>
                <w:szCs w:val="21"/>
              </w:rPr>
            </w:pPr>
            <w:r>
              <w:rPr>
                <w:rFonts w:hint="eastAsia" w:hAnsi="宋体"/>
                <w:color w:val="auto"/>
                <w:sz w:val="21"/>
                <w:szCs w:val="21"/>
              </w:rPr>
              <w:t>侏罗系三工河组二段</w:t>
            </w:r>
          </w:p>
        </w:tc>
      </w:tr>
      <w:tr w14:paraId="68D823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7" w:hRule="atLeast"/>
          <w:jc w:val="center"/>
        </w:trPr>
        <w:tc>
          <w:tcPr>
            <w:tcW w:w="757" w:type="pct"/>
            <w:vMerge w:val="continue"/>
            <w:vAlign w:val="center"/>
          </w:tcPr>
          <w:p w14:paraId="507BBA51">
            <w:pPr>
              <w:pStyle w:val="364"/>
              <w:kinsoku w:val="0"/>
              <w:overflowPunct w:val="0"/>
              <w:snapToGrid w:val="0"/>
              <w:spacing w:line="300" w:lineRule="exact"/>
              <w:rPr>
                <w:rFonts w:hint="eastAsia" w:hAnsi="宋体"/>
                <w:color w:val="auto"/>
                <w:sz w:val="21"/>
                <w:szCs w:val="21"/>
              </w:rPr>
            </w:pPr>
          </w:p>
        </w:tc>
        <w:tc>
          <w:tcPr>
            <w:tcW w:w="951" w:type="pct"/>
            <w:vAlign w:val="center"/>
          </w:tcPr>
          <w:p w14:paraId="35A78D9E">
            <w:pPr>
              <w:pStyle w:val="364"/>
              <w:kinsoku w:val="0"/>
              <w:overflowPunct w:val="0"/>
              <w:snapToGrid w:val="0"/>
              <w:spacing w:line="300" w:lineRule="exact"/>
              <w:rPr>
                <w:rFonts w:hint="eastAsia" w:hAnsi="宋体"/>
                <w:color w:val="auto"/>
                <w:sz w:val="21"/>
                <w:szCs w:val="21"/>
              </w:rPr>
            </w:pPr>
            <w:r>
              <w:rPr>
                <w:rFonts w:hint="eastAsia" w:hAnsi="宋体"/>
                <w:color w:val="auto"/>
                <w:sz w:val="21"/>
                <w:szCs w:val="21"/>
              </w:rPr>
              <w:t>储层特征</w:t>
            </w:r>
          </w:p>
        </w:tc>
        <w:tc>
          <w:tcPr>
            <w:tcW w:w="3292" w:type="pct"/>
            <w:vAlign w:val="center"/>
          </w:tcPr>
          <w:p w14:paraId="77F0B838">
            <w:pPr>
              <w:pStyle w:val="364"/>
              <w:kinsoku w:val="0"/>
              <w:overflowPunct w:val="0"/>
              <w:snapToGrid w:val="0"/>
              <w:spacing w:line="300" w:lineRule="exact"/>
              <w:rPr>
                <w:rFonts w:hint="eastAsia" w:hAnsi="宋体"/>
                <w:color w:val="auto"/>
                <w:sz w:val="21"/>
                <w:szCs w:val="21"/>
              </w:rPr>
            </w:pPr>
            <w:r>
              <w:rPr>
                <w:rFonts w:hAnsi="宋体"/>
                <w:color w:val="auto"/>
                <w:sz w:val="21"/>
                <w:szCs w:val="21"/>
              </w:rPr>
              <w:t>具有低孔低渗、中孔细喉、中—高排驱压力、中等水敏性、较强的体积流量敏感性和中等偏弱速度敏感性、非均质性强</w:t>
            </w:r>
          </w:p>
        </w:tc>
      </w:tr>
      <w:tr w14:paraId="1B6F12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7" w:hRule="atLeast"/>
          <w:jc w:val="center"/>
        </w:trPr>
        <w:tc>
          <w:tcPr>
            <w:tcW w:w="757" w:type="pct"/>
            <w:vMerge w:val="continue"/>
            <w:vAlign w:val="center"/>
          </w:tcPr>
          <w:p w14:paraId="46DD438B">
            <w:pPr>
              <w:pStyle w:val="364"/>
              <w:kinsoku w:val="0"/>
              <w:overflowPunct w:val="0"/>
              <w:snapToGrid w:val="0"/>
              <w:spacing w:line="300" w:lineRule="exact"/>
              <w:rPr>
                <w:rFonts w:hint="eastAsia" w:hAnsi="宋体"/>
                <w:color w:val="auto"/>
                <w:sz w:val="21"/>
                <w:szCs w:val="21"/>
              </w:rPr>
            </w:pPr>
          </w:p>
        </w:tc>
        <w:tc>
          <w:tcPr>
            <w:tcW w:w="951" w:type="pct"/>
            <w:vAlign w:val="center"/>
          </w:tcPr>
          <w:p w14:paraId="3174FEF8">
            <w:pPr>
              <w:pStyle w:val="364"/>
              <w:kinsoku w:val="0"/>
              <w:overflowPunct w:val="0"/>
              <w:snapToGrid w:val="0"/>
              <w:spacing w:line="300" w:lineRule="exact"/>
              <w:rPr>
                <w:rFonts w:hint="eastAsia" w:hAnsi="宋体"/>
                <w:color w:val="auto"/>
                <w:sz w:val="21"/>
                <w:szCs w:val="21"/>
              </w:rPr>
            </w:pPr>
            <w:r>
              <w:rPr>
                <w:rFonts w:hint="eastAsia" w:hAnsi="宋体"/>
                <w:color w:val="auto"/>
                <w:sz w:val="21"/>
                <w:szCs w:val="21"/>
              </w:rPr>
              <w:t>气藏类型</w:t>
            </w:r>
          </w:p>
        </w:tc>
        <w:tc>
          <w:tcPr>
            <w:tcW w:w="3292" w:type="pct"/>
            <w:vAlign w:val="center"/>
          </w:tcPr>
          <w:p w14:paraId="706630E7">
            <w:pPr>
              <w:pStyle w:val="364"/>
              <w:kinsoku w:val="0"/>
              <w:overflowPunct w:val="0"/>
              <w:snapToGrid w:val="0"/>
              <w:spacing w:line="300" w:lineRule="exact"/>
              <w:rPr>
                <w:rFonts w:hint="eastAsia" w:hAnsi="宋体"/>
                <w:color w:val="auto"/>
                <w:sz w:val="21"/>
                <w:szCs w:val="21"/>
              </w:rPr>
            </w:pPr>
            <w:r>
              <w:rPr>
                <w:rFonts w:hAnsi="宋体"/>
                <w:color w:val="auto"/>
                <w:sz w:val="21"/>
                <w:szCs w:val="21"/>
              </w:rPr>
              <w:t>构造-岩性油气藏</w:t>
            </w:r>
            <w:r>
              <w:rPr>
                <w:rFonts w:hint="eastAsia" w:hAnsi="宋体"/>
                <w:color w:val="auto"/>
                <w:sz w:val="21"/>
                <w:szCs w:val="21"/>
              </w:rPr>
              <w:t>、</w:t>
            </w:r>
            <w:r>
              <w:rPr>
                <w:rFonts w:hAnsi="宋体"/>
                <w:color w:val="auto"/>
                <w:sz w:val="21"/>
                <w:szCs w:val="21"/>
              </w:rPr>
              <w:t>构造油气藏</w:t>
            </w:r>
          </w:p>
        </w:tc>
      </w:tr>
    </w:tbl>
    <w:p w14:paraId="0F2CE50C">
      <w:pPr>
        <w:pStyle w:val="86"/>
        <w:ind w:firstLine="480"/>
        <w:rPr>
          <w:rFonts w:hint="eastAsia"/>
          <w:color w:val="auto"/>
        </w:rPr>
      </w:pPr>
      <w:r>
        <w:rPr>
          <w:rFonts w:hint="eastAsia"/>
          <w:color w:val="auto"/>
        </w:rPr>
        <w:t>（2）流体性质</w:t>
      </w:r>
    </w:p>
    <w:p w14:paraId="485BC18B">
      <w:pPr>
        <w:pStyle w:val="86"/>
        <w:ind w:firstLine="480"/>
        <w:rPr>
          <w:rFonts w:hint="eastAsia"/>
          <w:color w:val="auto"/>
        </w:rPr>
      </w:pPr>
      <w:r>
        <w:rPr>
          <w:rFonts w:hint="eastAsia"/>
          <w:color w:val="auto"/>
        </w:rPr>
        <w:t>目前莫174H井尚未施工，本次</w:t>
      </w:r>
      <w:bookmarkStart w:id="212" w:name="OLE_LINK12"/>
      <w:r>
        <w:rPr>
          <w:rFonts w:hint="eastAsia"/>
          <w:color w:val="auto"/>
        </w:rPr>
        <w:t>天然气、原油和采出水组分</w:t>
      </w:r>
      <w:bookmarkEnd w:id="212"/>
      <w:r>
        <w:rPr>
          <w:rFonts w:hint="eastAsia"/>
          <w:color w:val="auto"/>
        </w:rPr>
        <w:t>均参考邻近井的组分参数，莫27井、莫172H井和莫174H井的天然气、原油和采出水组分见表3.2-4、表3.2-5和表3.2-6。</w:t>
      </w:r>
    </w:p>
    <w:p w14:paraId="031CD694">
      <w:pPr>
        <w:pStyle w:val="86"/>
        <w:ind w:firstLine="0" w:firstLineChars="0"/>
        <w:jc w:val="center"/>
        <w:rPr>
          <w:rFonts w:hint="eastAsia"/>
          <w:color w:val="auto"/>
        </w:rPr>
      </w:pPr>
      <w:r>
        <w:rPr>
          <w:rFonts w:hint="eastAsia" w:ascii="黑体" w:hAnsi="黑体" w:eastAsia="黑体"/>
          <w:color w:val="auto"/>
          <w:sz w:val="21"/>
          <w:szCs w:val="21"/>
        </w:rPr>
        <w:t>表3.2-4  天然气组分一览表</w:t>
      </w:r>
    </w:p>
    <w:tbl>
      <w:tblPr>
        <w:tblStyle w:val="4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56"/>
        <w:gridCol w:w="1886"/>
        <w:gridCol w:w="2759"/>
        <w:gridCol w:w="2845"/>
      </w:tblGrid>
      <w:tr w14:paraId="4C1637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68" w:type="pct"/>
            <w:gridSpan w:val="2"/>
            <w:vAlign w:val="center"/>
          </w:tcPr>
          <w:p w14:paraId="0460A085">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井号</w:t>
            </w:r>
          </w:p>
        </w:tc>
        <w:tc>
          <w:tcPr>
            <w:tcW w:w="1542" w:type="pct"/>
            <w:tcBorders>
              <w:right w:val="single" w:color="auto" w:sz="4" w:space="0"/>
            </w:tcBorders>
            <w:vAlign w:val="center"/>
          </w:tcPr>
          <w:p w14:paraId="09FABD01">
            <w:pPr>
              <w:kinsoku w:val="0"/>
              <w:overflowPunct w:val="0"/>
              <w:autoSpaceDE w:val="0"/>
              <w:autoSpaceDN w:val="0"/>
              <w:adjustRightInd w:val="0"/>
              <w:snapToGrid w:val="0"/>
              <w:spacing w:line="300" w:lineRule="exact"/>
              <w:jc w:val="center"/>
              <w:rPr>
                <w:rFonts w:hint="eastAsia" w:ascii="宋体" w:hAnsi="宋体" w:cs="宋体"/>
                <w:color w:val="auto"/>
                <w:kern w:val="0"/>
                <w:position w:val="2"/>
                <w:szCs w:val="21"/>
              </w:rPr>
            </w:pPr>
            <w:bookmarkStart w:id="213" w:name="OLE_LINK33"/>
            <w:r>
              <w:rPr>
                <w:rFonts w:hint="eastAsia" w:ascii="宋体" w:hAnsi="宋体"/>
                <w:color w:val="auto"/>
                <w:kern w:val="0"/>
                <w:szCs w:val="21"/>
              </w:rPr>
              <w:t>莫27井、</w:t>
            </w:r>
            <w:bookmarkEnd w:id="213"/>
            <w:r>
              <w:rPr>
                <w:rFonts w:hint="eastAsia" w:ascii="宋体" w:hAnsi="宋体"/>
                <w:color w:val="auto"/>
                <w:kern w:val="0"/>
                <w:szCs w:val="21"/>
              </w:rPr>
              <w:t>莫172H井</w:t>
            </w:r>
          </w:p>
        </w:tc>
        <w:tc>
          <w:tcPr>
            <w:tcW w:w="1590" w:type="pct"/>
            <w:vAlign w:val="center"/>
          </w:tcPr>
          <w:p w14:paraId="733179B0">
            <w:pPr>
              <w:kinsoku w:val="0"/>
              <w:overflowPunct w:val="0"/>
              <w:autoSpaceDE w:val="0"/>
              <w:autoSpaceDN w:val="0"/>
              <w:adjustRightInd w:val="0"/>
              <w:snapToGrid w:val="0"/>
              <w:spacing w:line="300" w:lineRule="exact"/>
              <w:jc w:val="center"/>
              <w:rPr>
                <w:rFonts w:hint="eastAsia" w:ascii="宋体" w:hAnsi="宋体" w:cs="宋体"/>
                <w:color w:val="auto"/>
                <w:kern w:val="0"/>
                <w:position w:val="2"/>
                <w:szCs w:val="21"/>
              </w:rPr>
            </w:pPr>
            <w:r>
              <w:rPr>
                <w:rFonts w:hint="eastAsia" w:ascii="宋体" w:hAnsi="宋体" w:cs="宋体"/>
                <w:color w:val="auto"/>
                <w:kern w:val="0"/>
                <w:position w:val="2"/>
                <w:szCs w:val="21"/>
              </w:rPr>
              <w:t>莫174H井</w:t>
            </w:r>
          </w:p>
        </w:tc>
      </w:tr>
      <w:tr w14:paraId="63D946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restart"/>
            <w:vAlign w:val="center"/>
          </w:tcPr>
          <w:p w14:paraId="0B5EBEDF">
            <w:pPr>
              <w:kinsoku w:val="0"/>
              <w:overflowPunct w:val="0"/>
              <w:autoSpaceDE w:val="0"/>
              <w:autoSpaceDN w:val="0"/>
              <w:adjustRightInd w:val="0"/>
              <w:snapToGrid w:val="0"/>
              <w:spacing w:line="300" w:lineRule="exact"/>
              <w:jc w:val="center"/>
              <w:rPr>
                <w:rFonts w:hint="eastAsia" w:ascii="宋体" w:hAnsi="宋体"/>
                <w:color w:val="auto"/>
                <w:w w:val="99"/>
                <w:kern w:val="0"/>
                <w:szCs w:val="21"/>
              </w:rPr>
            </w:pPr>
            <w:r>
              <w:rPr>
                <w:rFonts w:hint="eastAsia" w:ascii="宋体" w:hAnsi="宋体" w:cs="宋体"/>
                <w:color w:val="auto"/>
                <w:kern w:val="0"/>
                <w:position w:val="2"/>
                <w:szCs w:val="21"/>
              </w:rPr>
              <w:t>气体组分析（</w:t>
            </w:r>
            <w:r>
              <w:rPr>
                <w:rFonts w:ascii="宋体" w:hAnsi="宋体" w:cs="宋体"/>
                <w:color w:val="auto"/>
                <w:kern w:val="0"/>
                <w:position w:val="2"/>
                <w:szCs w:val="21"/>
              </w:rPr>
              <w:t>%</w:t>
            </w:r>
            <w:r>
              <w:rPr>
                <w:rFonts w:hint="eastAsia" w:ascii="宋体" w:hAnsi="宋体" w:cs="宋体"/>
                <w:color w:val="auto"/>
                <w:kern w:val="0"/>
                <w:position w:val="2"/>
                <w:szCs w:val="21"/>
              </w:rPr>
              <w:t>）</w:t>
            </w:r>
          </w:p>
        </w:tc>
        <w:tc>
          <w:tcPr>
            <w:tcW w:w="1054" w:type="pct"/>
            <w:vAlign w:val="center"/>
          </w:tcPr>
          <w:p w14:paraId="4CCD3AE4">
            <w:pPr>
              <w:kinsoku w:val="0"/>
              <w:overflowPunct w:val="0"/>
              <w:autoSpaceDE w:val="0"/>
              <w:autoSpaceDN w:val="0"/>
              <w:adjustRightInd w:val="0"/>
              <w:snapToGrid w:val="0"/>
              <w:spacing w:line="300" w:lineRule="exact"/>
              <w:jc w:val="center"/>
              <w:rPr>
                <w:rFonts w:hint="eastAsia" w:ascii="宋体" w:hAnsi="宋体"/>
                <w:color w:val="auto"/>
                <w:kern w:val="0"/>
                <w:position w:val="2"/>
                <w:szCs w:val="21"/>
                <w:vertAlign w:val="subscript"/>
              </w:rPr>
            </w:pPr>
            <w:r>
              <w:rPr>
                <w:rFonts w:hint="eastAsia" w:ascii="宋体" w:hAnsi="宋体" w:cs="宋体"/>
                <w:color w:val="auto"/>
                <w:kern w:val="0"/>
                <w:position w:val="2"/>
                <w:szCs w:val="21"/>
              </w:rPr>
              <w:t>甲烷</w:t>
            </w:r>
            <w:r>
              <w:rPr>
                <w:rFonts w:ascii="宋体" w:hAnsi="宋体" w:cs="宋体"/>
                <w:color w:val="auto"/>
                <w:kern w:val="0"/>
                <w:position w:val="2"/>
                <w:szCs w:val="21"/>
              </w:rPr>
              <w:t xml:space="preserve"> </w:t>
            </w:r>
            <w:r>
              <w:rPr>
                <w:rFonts w:ascii="宋体" w:hAnsi="宋体"/>
                <w:color w:val="auto"/>
                <w:kern w:val="0"/>
                <w:position w:val="2"/>
                <w:szCs w:val="21"/>
              </w:rPr>
              <w:t>CH</w:t>
            </w:r>
            <w:r>
              <w:rPr>
                <w:rFonts w:ascii="宋体" w:hAnsi="宋体"/>
                <w:color w:val="auto"/>
                <w:kern w:val="0"/>
                <w:position w:val="2"/>
                <w:szCs w:val="21"/>
                <w:vertAlign w:val="subscript"/>
              </w:rPr>
              <w:t>4</w:t>
            </w:r>
          </w:p>
        </w:tc>
        <w:tc>
          <w:tcPr>
            <w:tcW w:w="1542" w:type="pct"/>
            <w:vAlign w:val="center"/>
          </w:tcPr>
          <w:p w14:paraId="78591A69">
            <w:pPr>
              <w:kinsoku w:val="0"/>
              <w:overflowPunct w:val="0"/>
              <w:autoSpaceDE w:val="0"/>
              <w:autoSpaceDN w:val="0"/>
              <w:adjustRightInd w:val="0"/>
              <w:snapToGrid w:val="0"/>
              <w:spacing w:line="300" w:lineRule="exact"/>
              <w:jc w:val="center"/>
              <w:rPr>
                <w:rFonts w:hint="eastAsia" w:ascii="宋体" w:hAnsi="宋体" w:cs="宋体"/>
                <w:color w:val="auto"/>
                <w:kern w:val="0"/>
                <w:position w:val="2"/>
                <w:szCs w:val="21"/>
              </w:rPr>
            </w:pPr>
            <w:r>
              <w:rPr>
                <w:rFonts w:hint="eastAsia" w:ascii="宋体" w:hAnsi="宋体" w:cs="宋体"/>
                <w:color w:val="auto"/>
                <w:kern w:val="0"/>
                <w:position w:val="2"/>
                <w:szCs w:val="21"/>
              </w:rPr>
              <w:t>84.3</w:t>
            </w:r>
          </w:p>
        </w:tc>
        <w:tc>
          <w:tcPr>
            <w:tcW w:w="1590" w:type="pct"/>
            <w:vAlign w:val="center"/>
          </w:tcPr>
          <w:p w14:paraId="0D572954">
            <w:pPr>
              <w:kinsoku w:val="0"/>
              <w:overflowPunct w:val="0"/>
              <w:autoSpaceDE w:val="0"/>
              <w:autoSpaceDN w:val="0"/>
              <w:adjustRightInd w:val="0"/>
              <w:snapToGrid w:val="0"/>
              <w:spacing w:line="300" w:lineRule="exact"/>
              <w:jc w:val="center"/>
              <w:rPr>
                <w:rFonts w:hint="eastAsia" w:ascii="宋体" w:hAnsi="宋体"/>
                <w:color w:val="auto"/>
                <w:w w:val="99"/>
                <w:kern w:val="0"/>
                <w:szCs w:val="21"/>
              </w:rPr>
            </w:pPr>
            <w:r>
              <w:rPr>
                <w:rFonts w:hint="eastAsia" w:ascii="宋体" w:hAnsi="宋体"/>
                <w:color w:val="auto"/>
                <w:w w:val="99"/>
                <w:kern w:val="0"/>
                <w:szCs w:val="21"/>
              </w:rPr>
              <w:t>87.07</w:t>
            </w:r>
          </w:p>
        </w:tc>
      </w:tr>
      <w:tr w14:paraId="18CD94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vAlign w:val="center"/>
          </w:tcPr>
          <w:p w14:paraId="2178EF15">
            <w:pPr>
              <w:kinsoku w:val="0"/>
              <w:overflowPunct w:val="0"/>
              <w:autoSpaceDE w:val="0"/>
              <w:autoSpaceDN w:val="0"/>
              <w:adjustRightInd w:val="0"/>
              <w:snapToGrid w:val="0"/>
              <w:spacing w:line="300" w:lineRule="exact"/>
              <w:jc w:val="center"/>
              <w:rPr>
                <w:rFonts w:hint="eastAsia" w:ascii="宋体" w:hAnsi="宋体" w:cs="宋体"/>
                <w:b/>
                <w:bCs/>
                <w:color w:val="auto"/>
                <w:kern w:val="0"/>
                <w:szCs w:val="21"/>
              </w:rPr>
            </w:pPr>
          </w:p>
        </w:tc>
        <w:tc>
          <w:tcPr>
            <w:tcW w:w="1054" w:type="pct"/>
            <w:vAlign w:val="center"/>
          </w:tcPr>
          <w:p w14:paraId="3778ADC1">
            <w:pPr>
              <w:kinsoku w:val="0"/>
              <w:overflowPunct w:val="0"/>
              <w:autoSpaceDE w:val="0"/>
              <w:autoSpaceDN w:val="0"/>
              <w:adjustRightInd w:val="0"/>
              <w:snapToGrid w:val="0"/>
              <w:spacing w:line="300" w:lineRule="exact"/>
              <w:jc w:val="center"/>
              <w:rPr>
                <w:rFonts w:hint="eastAsia" w:ascii="宋体" w:hAnsi="宋体"/>
                <w:color w:val="auto"/>
                <w:kern w:val="0"/>
                <w:position w:val="2"/>
                <w:szCs w:val="21"/>
                <w:vertAlign w:val="subscript"/>
              </w:rPr>
            </w:pPr>
            <w:r>
              <w:rPr>
                <w:rFonts w:hint="eastAsia" w:ascii="宋体" w:hAnsi="宋体" w:cs="宋体"/>
                <w:color w:val="auto"/>
                <w:kern w:val="0"/>
                <w:position w:val="2"/>
                <w:szCs w:val="21"/>
              </w:rPr>
              <w:t>乙烷</w:t>
            </w:r>
            <w:r>
              <w:rPr>
                <w:rFonts w:ascii="宋体" w:hAnsi="宋体" w:cs="宋体"/>
                <w:color w:val="auto"/>
                <w:kern w:val="0"/>
                <w:position w:val="2"/>
                <w:szCs w:val="21"/>
              </w:rPr>
              <w:t xml:space="preserve"> </w:t>
            </w:r>
            <w:r>
              <w:rPr>
                <w:rFonts w:ascii="宋体" w:hAnsi="宋体"/>
                <w:color w:val="auto"/>
                <w:kern w:val="0"/>
                <w:position w:val="2"/>
                <w:szCs w:val="21"/>
              </w:rPr>
              <w:t>C</w:t>
            </w:r>
            <w:r>
              <w:rPr>
                <w:rFonts w:ascii="宋体" w:hAnsi="宋体"/>
                <w:color w:val="auto"/>
                <w:kern w:val="0"/>
                <w:position w:val="2"/>
                <w:szCs w:val="21"/>
                <w:vertAlign w:val="subscript"/>
              </w:rPr>
              <w:t>2</w:t>
            </w:r>
            <w:r>
              <w:rPr>
                <w:rFonts w:ascii="宋体" w:hAnsi="宋体"/>
                <w:color w:val="auto"/>
                <w:kern w:val="0"/>
                <w:position w:val="2"/>
                <w:szCs w:val="21"/>
              </w:rPr>
              <w:t>H</w:t>
            </w:r>
            <w:r>
              <w:rPr>
                <w:rFonts w:ascii="宋体" w:hAnsi="宋体"/>
                <w:color w:val="auto"/>
                <w:kern w:val="0"/>
                <w:position w:val="2"/>
                <w:szCs w:val="21"/>
                <w:vertAlign w:val="subscript"/>
              </w:rPr>
              <w:t>6</w:t>
            </w:r>
          </w:p>
        </w:tc>
        <w:tc>
          <w:tcPr>
            <w:tcW w:w="1542" w:type="pct"/>
            <w:vAlign w:val="center"/>
          </w:tcPr>
          <w:p w14:paraId="2BAE96A3">
            <w:pPr>
              <w:kinsoku w:val="0"/>
              <w:overflowPunct w:val="0"/>
              <w:autoSpaceDE w:val="0"/>
              <w:autoSpaceDN w:val="0"/>
              <w:adjustRightInd w:val="0"/>
              <w:snapToGrid w:val="0"/>
              <w:spacing w:line="300" w:lineRule="exact"/>
              <w:jc w:val="center"/>
              <w:rPr>
                <w:rFonts w:hint="eastAsia" w:ascii="宋体" w:hAnsi="宋体" w:cs="宋体"/>
                <w:color w:val="auto"/>
                <w:kern w:val="0"/>
                <w:position w:val="2"/>
                <w:szCs w:val="21"/>
              </w:rPr>
            </w:pPr>
            <w:r>
              <w:rPr>
                <w:rFonts w:hint="eastAsia" w:ascii="宋体" w:hAnsi="宋体" w:cs="宋体"/>
                <w:color w:val="auto"/>
                <w:kern w:val="0"/>
                <w:position w:val="2"/>
                <w:szCs w:val="21"/>
              </w:rPr>
              <w:t>7.73</w:t>
            </w:r>
          </w:p>
        </w:tc>
        <w:tc>
          <w:tcPr>
            <w:tcW w:w="1590" w:type="pct"/>
            <w:vAlign w:val="center"/>
          </w:tcPr>
          <w:p w14:paraId="63D5B6AA">
            <w:pPr>
              <w:kinsoku w:val="0"/>
              <w:overflowPunct w:val="0"/>
              <w:autoSpaceDE w:val="0"/>
              <w:autoSpaceDN w:val="0"/>
              <w:adjustRightInd w:val="0"/>
              <w:snapToGrid w:val="0"/>
              <w:spacing w:line="300" w:lineRule="exact"/>
              <w:jc w:val="center"/>
              <w:rPr>
                <w:rFonts w:hint="eastAsia" w:ascii="宋体" w:hAnsi="宋体"/>
                <w:color w:val="auto"/>
                <w:w w:val="99"/>
                <w:kern w:val="0"/>
                <w:szCs w:val="21"/>
              </w:rPr>
            </w:pPr>
            <w:r>
              <w:rPr>
                <w:rFonts w:hint="eastAsia" w:ascii="宋体" w:hAnsi="宋体"/>
                <w:color w:val="auto"/>
                <w:w w:val="99"/>
                <w:kern w:val="0"/>
                <w:szCs w:val="21"/>
              </w:rPr>
              <w:t>6.82</w:t>
            </w:r>
          </w:p>
        </w:tc>
      </w:tr>
      <w:tr w14:paraId="548488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vAlign w:val="center"/>
          </w:tcPr>
          <w:p w14:paraId="21CA2FDC">
            <w:pPr>
              <w:kinsoku w:val="0"/>
              <w:overflowPunct w:val="0"/>
              <w:autoSpaceDE w:val="0"/>
              <w:autoSpaceDN w:val="0"/>
              <w:adjustRightInd w:val="0"/>
              <w:snapToGrid w:val="0"/>
              <w:spacing w:line="300" w:lineRule="exact"/>
              <w:jc w:val="center"/>
              <w:rPr>
                <w:rFonts w:hint="eastAsia" w:ascii="宋体" w:hAnsi="宋体" w:cs="宋体"/>
                <w:b/>
                <w:bCs/>
                <w:color w:val="auto"/>
                <w:kern w:val="0"/>
                <w:szCs w:val="21"/>
              </w:rPr>
            </w:pPr>
          </w:p>
        </w:tc>
        <w:tc>
          <w:tcPr>
            <w:tcW w:w="1054" w:type="pct"/>
            <w:vAlign w:val="center"/>
          </w:tcPr>
          <w:p w14:paraId="649ADDF1">
            <w:pPr>
              <w:kinsoku w:val="0"/>
              <w:overflowPunct w:val="0"/>
              <w:autoSpaceDE w:val="0"/>
              <w:autoSpaceDN w:val="0"/>
              <w:adjustRightInd w:val="0"/>
              <w:snapToGrid w:val="0"/>
              <w:spacing w:line="300" w:lineRule="exact"/>
              <w:jc w:val="center"/>
              <w:rPr>
                <w:rFonts w:hint="eastAsia" w:ascii="宋体" w:hAnsi="宋体"/>
                <w:color w:val="auto"/>
                <w:kern w:val="0"/>
                <w:position w:val="2"/>
                <w:szCs w:val="21"/>
                <w:vertAlign w:val="subscript"/>
              </w:rPr>
            </w:pPr>
            <w:r>
              <w:rPr>
                <w:rFonts w:hint="eastAsia" w:ascii="宋体" w:hAnsi="宋体" w:cs="宋体"/>
                <w:color w:val="auto"/>
                <w:kern w:val="0"/>
                <w:position w:val="2"/>
                <w:szCs w:val="21"/>
              </w:rPr>
              <w:t>丙烷</w:t>
            </w:r>
            <w:r>
              <w:rPr>
                <w:rFonts w:ascii="宋体" w:hAnsi="宋体" w:cs="宋体"/>
                <w:color w:val="auto"/>
                <w:kern w:val="0"/>
                <w:position w:val="2"/>
                <w:szCs w:val="21"/>
              </w:rPr>
              <w:t xml:space="preserve"> </w:t>
            </w:r>
            <w:r>
              <w:rPr>
                <w:rFonts w:ascii="宋体" w:hAnsi="宋体"/>
                <w:color w:val="auto"/>
                <w:kern w:val="0"/>
                <w:position w:val="2"/>
                <w:szCs w:val="21"/>
              </w:rPr>
              <w:t>C</w:t>
            </w:r>
            <w:r>
              <w:rPr>
                <w:rFonts w:ascii="宋体" w:hAnsi="宋体"/>
                <w:color w:val="auto"/>
                <w:kern w:val="0"/>
                <w:position w:val="2"/>
                <w:szCs w:val="21"/>
                <w:vertAlign w:val="subscript"/>
              </w:rPr>
              <w:t>3</w:t>
            </w:r>
            <w:r>
              <w:rPr>
                <w:rFonts w:ascii="宋体" w:hAnsi="宋体"/>
                <w:color w:val="auto"/>
                <w:kern w:val="0"/>
                <w:position w:val="2"/>
                <w:szCs w:val="21"/>
              </w:rPr>
              <w:t>H</w:t>
            </w:r>
            <w:r>
              <w:rPr>
                <w:rFonts w:ascii="宋体" w:hAnsi="宋体"/>
                <w:color w:val="auto"/>
                <w:kern w:val="0"/>
                <w:position w:val="2"/>
                <w:szCs w:val="21"/>
                <w:vertAlign w:val="subscript"/>
              </w:rPr>
              <w:t>8</w:t>
            </w:r>
          </w:p>
        </w:tc>
        <w:tc>
          <w:tcPr>
            <w:tcW w:w="1542" w:type="pct"/>
            <w:vAlign w:val="center"/>
          </w:tcPr>
          <w:p w14:paraId="24414A48">
            <w:pPr>
              <w:kinsoku w:val="0"/>
              <w:overflowPunct w:val="0"/>
              <w:autoSpaceDE w:val="0"/>
              <w:autoSpaceDN w:val="0"/>
              <w:adjustRightInd w:val="0"/>
              <w:snapToGrid w:val="0"/>
              <w:spacing w:line="300" w:lineRule="exact"/>
              <w:jc w:val="center"/>
              <w:rPr>
                <w:rFonts w:hint="eastAsia" w:ascii="宋体" w:hAnsi="宋体" w:cs="宋体"/>
                <w:color w:val="auto"/>
                <w:kern w:val="0"/>
                <w:position w:val="2"/>
                <w:szCs w:val="21"/>
              </w:rPr>
            </w:pPr>
            <w:r>
              <w:rPr>
                <w:rFonts w:hint="eastAsia" w:ascii="宋体" w:hAnsi="宋体" w:cs="宋体"/>
                <w:color w:val="auto"/>
                <w:kern w:val="0"/>
                <w:position w:val="2"/>
                <w:szCs w:val="21"/>
              </w:rPr>
              <w:t>2.33</w:t>
            </w:r>
          </w:p>
        </w:tc>
        <w:tc>
          <w:tcPr>
            <w:tcW w:w="1590" w:type="pct"/>
            <w:vAlign w:val="center"/>
          </w:tcPr>
          <w:p w14:paraId="77CB7CED">
            <w:pPr>
              <w:kinsoku w:val="0"/>
              <w:overflowPunct w:val="0"/>
              <w:autoSpaceDE w:val="0"/>
              <w:autoSpaceDN w:val="0"/>
              <w:adjustRightInd w:val="0"/>
              <w:snapToGrid w:val="0"/>
              <w:spacing w:line="300" w:lineRule="exact"/>
              <w:jc w:val="center"/>
              <w:rPr>
                <w:rFonts w:hint="eastAsia" w:ascii="宋体" w:hAnsi="宋体"/>
                <w:color w:val="auto"/>
                <w:w w:val="99"/>
                <w:kern w:val="0"/>
                <w:szCs w:val="21"/>
              </w:rPr>
            </w:pPr>
            <w:r>
              <w:rPr>
                <w:rFonts w:hint="eastAsia" w:ascii="宋体" w:hAnsi="宋体"/>
                <w:color w:val="auto"/>
                <w:w w:val="99"/>
                <w:kern w:val="0"/>
                <w:szCs w:val="21"/>
              </w:rPr>
              <w:t>1.72</w:t>
            </w:r>
          </w:p>
        </w:tc>
      </w:tr>
      <w:tr w14:paraId="66DF52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vAlign w:val="center"/>
          </w:tcPr>
          <w:p w14:paraId="7B86F864">
            <w:pPr>
              <w:kinsoku w:val="0"/>
              <w:overflowPunct w:val="0"/>
              <w:autoSpaceDE w:val="0"/>
              <w:autoSpaceDN w:val="0"/>
              <w:adjustRightInd w:val="0"/>
              <w:snapToGrid w:val="0"/>
              <w:spacing w:line="300" w:lineRule="exact"/>
              <w:jc w:val="center"/>
              <w:rPr>
                <w:rFonts w:hint="eastAsia" w:ascii="宋体" w:hAnsi="宋体" w:cs="宋体"/>
                <w:b/>
                <w:bCs/>
                <w:color w:val="auto"/>
                <w:kern w:val="0"/>
                <w:szCs w:val="21"/>
              </w:rPr>
            </w:pPr>
          </w:p>
        </w:tc>
        <w:tc>
          <w:tcPr>
            <w:tcW w:w="1054" w:type="pct"/>
            <w:vAlign w:val="center"/>
          </w:tcPr>
          <w:p w14:paraId="03F408EC">
            <w:pPr>
              <w:kinsoku w:val="0"/>
              <w:overflowPunct w:val="0"/>
              <w:autoSpaceDE w:val="0"/>
              <w:autoSpaceDN w:val="0"/>
              <w:adjustRightInd w:val="0"/>
              <w:snapToGrid w:val="0"/>
              <w:spacing w:line="300" w:lineRule="exact"/>
              <w:jc w:val="center"/>
              <w:rPr>
                <w:rFonts w:hint="eastAsia" w:ascii="宋体" w:hAnsi="宋体"/>
                <w:color w:val="auto"/>
                <w:kern w:val="0"/>
                <w:position w:val="2"/>
                <w:szCs w:val="21"/>
                <w:vertAlign w:val="subscript"/>
              </w:rPr>
            </w:pPr>
            <w:r>
              <w:rPr>
                <w:rFonts w:hint="eastAsia" w:ascii="宋体" w:hAnsi="宋体" w:cs="宋体"/>
                <w:color w:val="auto"/>
                <w:kern w:val="0"/>
                <w:position w:val="2"/>
                <w:szCs w:val="21"/>
              </w:rPr>
              <w:t>异丁烷</w:t>
            </w:r>
            <w:r>
              <w:rPr>
                <w:rFonts w:ascii="宋体" w:hAnsi="宋体"/>
                <w:color w:val="auto"/>
                <w:kern w:val="0"/>
                <w:position w:val="2"/>
                <w:szCs w:val="21"/>
              </w:rPr>
              <w:t>i-C</w:t>
            </w:r>
            <w:r>
              <w:rPr>
                <w:rFonts w:ascii="宋体" w:hAnsi="宋体"/>
                <w:color w:val="auto"/>
                <w:kern w:val="0"/>
                <w:position w:val="2"/>
                <w:szCs w:val="21"/>
                <w:vertAlign w:val="subscript"/>
              </w:rPr>
              <w:t>4</w:t>
            </w:r>
            <w:r>
              <w:rPr>
                <w:rFonts w:ascii="宋体" w:hAnsi="宋体"/>
                <w:color w:val="auto"/>
                <w:kern w:val="0"/>
                <w:position w:val="2"/>
                <w:szCs w:val="21"/>
              </w:rPr>
              <w:t>H</w:t>
            </w:r>
            <w:r>
              <w:rPr>
                <w:rFonts w:ascii="宋体" w:hAnsi="宋体"/>
                <w:color w:val="auto"/>
                <w:kern w:val="0"/>
                <w:position w:val="2"/>
                <w:szCs w:val="21"/>
                <w:vertAlign w:val="subscript"/>
              </w:rPr>
              <w:t>10</w:t>
            </w:r>
          </w:p>
        </w:tc>
        <w:tc>
          <w:tcPr>
            <w:tcW w:w="1542" w:type="pct"/>
            <w:vAlign w:val="center"/>
          </w:tcPr>
          <w:p w14:paraId="4406EB20">
            <w:pPr>
              <w:kinsoku w:val="0"/>
              <w:overflowPunct w:val="0"/>
              <w:autoSpaceDE w:val="0"/>
              <w:autoSpaceDN w:val="0"/>
              <w:adjustRightInd w:val="0"/>
              <w:snapToGrid w:val="0"/>
              <w:spacing w:line="300" w:lineRule="exact"/>
              <w:jc w:val="center"/>
              <w:rPr>
                <w:rFonts w:hint="eastAsia" w:ascii="宋体" w:hAnsi="宋体" w:cs="宋体"/>
                <w:color w:val="auto"/>
                <w:kern w:val="0"/>
                <w:position w:val="2"/>
                <w:szCs w:val="21"/>
              </w:rPr>
            </w:pPr>
            <w:r>
              <w:rPr>
                <w:rFonts w:hint="eastAsia" w:ascii="宋体" w:hAnsi="宋体" w:cs="宋体"/>
                <w:color w:val="auto"/>
                <w:kern w:val="0"/>
                <w:position w:val="2"/>
                <w:szCs w:val="21"/>
              </w:rPr>
              <w:t>0.61</w:t>
            </w:r>
          </w:p>
        </w:tc>
        <w:tc>
          <w:tcPr>
            <w:tcW w:w="1590" w:type="pct"/>
            <w:vAlign w:val="center"/>
          </w:tcPr>
          <w:p w14:paraId="5876F69A">
            <w:pPr>
              <w:kinsoku w:val="0"/>
              <w:overflowPunct w:val="0"/>
              <w:autoSpaceDE w:val="0"/>
              <w:autoSpaceDN w:val="0"/>
              <w:adjustRightInd w:val="0"/>
              <w:snapToGrid w:val="0"/>
              <w:spacing w:line="300" w:lineRule="exact"/>
              <w:jc w:val="center"/>
              <w:rPr>
                <w:rFonts w:hint="eastAsia" w:ascii="宋体" w:hAnsi="宋体"/>
                <w:color w:val="auto"/>
                <w:w w:val="99"/>
                <w:kern w:val="0"/>
                <w:szCs w:val="21"/>
              </w:rPr>
            </w:pPr>
            <w:r>
              <w:rPr>
                <w:rFonts w:hint="eastAsia" w:ascii="宋体" w:hAnsi="宋体"/>
                <w:color w:val="auto"/>
                <w:w w:val="99"/>
                <w:kern w:val="0"/>
                <w:szCs w:val="21"/>
              </w:rPr>
              <w:t>0.46</w:t>
            </w:r>
          </w:p>
        </w:tc>
      </w:tr>
      <w:tr w14:paraId="36ED0B0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vAlign w:val="center"/>
          </w:tcPr>
          <w:p w14:paraId="20796389">
            <w:pPr>
              <w:kinsoku w:val="0"/>
              <w:overflowPunct w:val="0"/>
              <w:autoSpaceDE w:val="0"/>
              <w:autoSpaceDN w:val="0"/>
              <w:adjustRightInd w:val="0"/>
              <w:snapToGrid w:val="0"/>
              <w:spacing w:line="300" w:lineRule="exact"/>
              <w:jc w:val="center"/>
              <w:rPr>
                <w:rFonts w:hint="eastAsia" w:ascii="宋体" w:hAnsi="宋体" w:cs="宋体"/>
                <w:b/>
                <w:bCs/>
                <w:color w:val="auto"/>
                <w:kern w:val="0"/>
                <w:szCs w:val="21"/>
              </w:rPr>
            </w:pPr>
          </w:p>
        </w:tc>
        <w:tc>
          <w:tcPr>
            <w:tcW w:w="1054" w:type="pct"/>
            <w:vAlign w:val="center"/>
          </w:tcPr>
          <w:p w14:paraId="6BEC5469">
            <w:pPr>
              <w:kinsoku w:val="0"/>
              <w:overflowPunct w:val="0"/>
              <w:autoSpaceDE w:val="0"/>
              <w:autoSpaceDN w:val="0"/>
              <w:adjustRightInd w:val="0"/>
              <w:snapToGrid w:val="0"/>
              <w:spacing w:line="300" w:lineRule="exact"/>
              <w:jc w:val="center"/>
              <w:rPr>
                <w:rFonts w:hint="eastAsia" w:ascii="宋体" w:hAnsi="宋体"/>
                <w:color w:val="auto"/>
                <w:kern w:val="0"/>
                <w:position w:val="2"/>
                <w:szCs w:val="21"/>
                <w:vertAlign w:val="subscript"/>
              </w:rPr>
            </w:pPr>
            <w:r>
              <w:rPr>
                <w:rFonts w:hint="eastAsia" w:ascii="宋体" w:hAnsi="宋体" w:cs="宋体"/>
                <w:color w:val="auto"/>
                <w:kern w:val="0"/>
                <w:position w:val="2"/>
                <w:szCs w:val="21"/>
              </w:rPr>
              <w:t>正丁烷</w:t>
            </w:r>
            <w:r>
              <w:rPr>
                <w:rFonts w:ascii="宋体" w:hAnsi="宋体" w:cs="宋体"/>
                <w:color w:val="auto"/>
                <w:kern w:val="0"/>
                <w:position w:val="2"/>
                <w:szCs w:val="21"/>
              </w:rPr>
              <w:t xml:space="preserve"> </w:t>
            </w:r>
            <w:r>
              <w:rPr>
                <w:rFonts w:ascii="宋体" w:hAnsi="宋体"/>
                <w:color w:val="auto"/>
                <w:kern w:val="0"/>
                <w:position w:val="2"/>
                <w:szCs w:val="21"/>
              </w:rPr>
              <w:t>n-C</w:t>
            </w:r>
            <w:r>
              <w:rPr>
                <w:rFonts w:ascii="宋体" w:hAnsi="宋体"/>
                <w:color w:val="auto"/>
                <w:kern w:val="0"/>
                <w:position w:val="2"/>
                <w:szCs w:val="21"/>
                <w:vertAlign w:val="subscript"/>
              </w:rPr>
              <w:t>4</w:t>
            </w:r>
            <w:r>
              <w:rPr>
                <w:rFonts w:ascii="宋体" w:hAnsi="宋体"/>
                <w:color w:val="auto"/>
                <w:kern w:val="0"/>
                <w:position w:val="2"/>
                <w:szCs w:val="21"/>
              </w:rPr>
              <w:t>H</w:t>
            </w:r>
            <w:r>
              <w:rPr>
                <w:rFonts w:ascii="宋体" w:hAnsi="宋体"/>
                <w:color w:val="auto"/>
                <w:kern w:val="0"/>
                <w:position w:val="2"/>
                <w:szCs w:val="21"/>
                <w:vertAlign w:val="subscript"/>
              </w:rPr>
              <w:t>10</w:t>
            </w:r>
          </w:p>
        </w:tc>
        <w:tc>
          <w:tcPr>
            <w:tcW w:w="1542" w:type="pct"/>
            <w:vAlign w:val="center"/>
          </w:tcPr>
          <w:p w14:paraId="646F3196">
            <w:pPr>
              <w:kinsoku w:val="0"/>
              <w:overflowPunct w:val="0"/>
              <w:autoSpaceDE w:val="0"/>
              <w:autoSpaceDN w:val="0"/>
              <w:adjustRightInd w:val="0"/>
              <w:snapToGrid w:val="0"/>
              <w:spacing w:line="300" w:lineRule="exact"/>
              <w:jc w:val="center"/>
              <w:rPr>
                <w:rFonts w:hint="eastAsia" w:ascii="宋体" w:hAnsi="宋体" w:cs="宋体"/>
                <w:color w:val="auto"/>
                <w:kern w:val="0"/>
                <w:position w:val="2"/>
                <w:szCs w:val="21"/>
              </w:rPr>
            </w:pPr>
            <w:r>
              <w:rPr>
                <w:rFonts w:hint="eastAsia" w:ascii="宋体" w:hAnsi="宋体" w:cs="宋体"/>
                <w:color w:val="auto"/>
                <w:kern w:val="0"/>
                <w:position w:val="2"/>
                <w:szCs w:val="21"/>
              </w:rPr>
              <w:t>1.09</w:t>
            </w:r>
          </w:p>
        </w:tc>
        <w:tc>
          <w:tcPr>
            <w:tcW w:w="1590" w:type="pct"/>
            <w:vAlign w:val="center"/>
          </w:tcPr>
          <w:p w14:paraId="18CE21A2">
            <w:pPr>
              <w:kinsoku w:val="0"/>
              <w:overflowPunct w:val="0"/>
              <w:autoSpaceDE w:val="0"/>
              <w:autoSpaceDN w:val="0"/>
              <w:adjustRightInd w:val="0"/>
              <w:snapToGrid w:val="0"/>
              <w:spacing w:line="300" w:lineRule="exact"/>
              <w:jc w:val="center"/>
              <w:rPr>
                <w:rFonts w:hint="eastAsia" w:ascii="宋体" w:hAnsi="宋体"/>
                <w:color w:val="auto"/>
                <w:w w:val="99"/>
                <w:kern w:val="0"/>
                <w:szCs w:val="21"/>
              </w:rPr>
            </w:pPr>
            <w:r>
              <w:rPr>
                <w:rFonts w:hint="eastAsia" w:ascii="宋体" w:hAnsi="宋体"/>
                <w:color w:val="auto"/>
                <w:w w:val="99"/>
                <w:kern w:val="0"/>
                <w:szCs w:val="21"/>
              </w:rPr>
              <w:t>0.67</w:t>
            </w:r>
          </w:p>
        </w:tc>
      </w:tr>
      <w:tr w14:paraId="0C855A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vAlign w:val="center"/>
          </w:tcPr>
          <w:p w14:paraId="3ECD212D">
            <w:pPr>
              <w:kinsoku w:val="0"/>
              <w:overflowPunct w:val="0"/>
              <w:autoSpaceDE w:val="0"/>
              <w:autoSpaceDN w:val="0"/>
              <w:adjustRightInd w:val="0"/>
              <w:snapToGrid w:val="0"/>
              <w:spacing w:line="300" w:lineRule="exact"/>
              <w:jc w:val="center"/>
              <w:rPr>
                <w:rFonts w:hint="eastAsia" w:ascii="宋体" w:hAnsi="宋体" w:cs="宋体"/>
                <w:b/>
                <w:bCs/>
                <w:color w:val="auto"/>
                <w:kern w:val="0"/>
                <w:szCs w:val="21"/>
              </w:rPr>
            </w:pPr>
          </w:p>
        </w:tc>
        <w:tc>
          <w:tcPr>
            <w:tcW w:w="1054" w:type="pct"/>
            <w:vAlign w:val="center"/>
          </w:tcPr>
          <w:p w14:paraId="5E7E8B12">
            <w:pPr>
              <w:kinsoku w:val="0"/>
              <w:overflowPunct w:val="0"/>
              <w:autoSpaceDE w:val="0"/>
              <w:autoSpaceDN w:val="0"/>
              <w:adjustRightInd w:val="0"/>
              <w:snapToGrid w:val="0"/>
              <w:spacing w:line="300" w:lineRule="exact"/>
              <w:jc w:val="center"/>
              <w:rPr>
                <w:rFonts w:hint="eastAsia" w:ascii="宋体" w:hAnsi="宋体"/>
                <w:color w:val="auto"/>
                <w:kern w:val="0"/>
                <w:position w:val="2"/>
                <w:szCs w:val="21"/>
                <w:vertAlign w:val="subscript"/>
              </w:rPr>
            </w:pPr>
            <w:r>
              <w:rPr>
                <w:rFonts w:hint="eastAsia" w:ascii="宋体" w:hAnsi="宋体" w:cs="宋体"/>
                <w:color w:val="auto"/>
                <w:kern w:val="0"/>
                <w:position w:val="2"/>
                <w:szCs w:val="21"/>
              </w:rPr>
              <w:t>异戊烷</w:t>
            </w:r>
            <w:r>
              <w:rPr>
                <w:rFonts w:ascii="宋体" w:hAnsi="宋体" w:cs="宋体"/>
                <w:color w:val="auto"/>
                <w:kern w:val="0"/>
                <w:position w:val="2"/>
                <w:szCs w:val="21"/>
              </w:rPr>
              <w:t xml:space="preserve"> </w:t>
            </w:r>
            <w:r>
              <w:rPr>
                <w:rFonts w:ascii="宋体" w:hAnsi="宋体"/>
                <w:color w:val="auto"/>
                <w:kern w:val="0"/>
                <w:position w:val="2"/>
                <w:szCs w:val="21"/>
              </w:rPr>
              <w:t>i-C</w:t>
            </w:r>
            <w:r>
              <w:rPr>
                <w:rFonts w:ascii="宋体" w:hAnsi="宋体"/>
                <w:color w:val="auto"/>
                <w:kern w:val="0"/>
                <w:position w:val="2"/>
                <w:szCs w:val="21"/>
                <w:vertAlign w:val="subscript"/>
              </w:rPr>
              <w:t>5</w:t>
            </w:r>
            <w:r>
              <w:rPr>
                <w:rFonts w:ascii="宋体" w:hAnsi="宋体"/>
                <w:color w:val="auto"/>
                <w:kern w:val="0"/>
                <w:position w:val="2"/>
                <w:szCs w:val="21"/>
              </w:rPr>
              <w:t>H</w:t>
            </w:r>
            <w:r>
              <w:rPr>
                <w:rFonts w:ascii="宋体" w:hAnsi="宋体"/>
                <w:color w:val="auto"/>
                <w:kern w:val="0"/>
                <w:position w:val="2"/>
                <w:szCs w:val="21"/>
                <w:vertAlign w:val="subscript"/>
              </w:rPr>
              <w:t>12</w:t>
            </w:r>
          </w:p>
        </w:tc>
        <w:tc>
          <w:tcPr>
            <w:tcW w:w="1542" w:type="pct"/>
            <w:vAlign w:val="center"/>
          </w:tcPr>
          <w:p w14:paraId="37AA1592">
            <w:pPr>
              <w:kinsoku w:val="0"/>
              <w:overflowPunct w:val="0"/>
              <w:autoSpaceDE w:val="0"/>
              <w:autoSpaceDN w:val="0"/>
              <w:adjustRightInd w:val="0"/>
              <w:snapToGrid w:val="0"/>
              <w:spacing w:line="300" w:lineRule="exact"/>
              <w:jc w:val="center"/>
              <w:rPr>
                <w:rFonts w:hint="eastAsia" w:ascii="宋体" w:hAnsi="宋体" w:cs="宋体"/>
                <w:color w:val="auto"/>
                <w:kern w:val="0"/>
                <w:position w:val="2"/>
                <w:szCs w:val="21"/>
              </w:rPr>
            </w:pPr>
            <w:r>
              <w:rPr>
                <w:rFonts w:hint="eastAsia" w:ascii="宋体" w:hAnsi="宋体" w:cs="宋体"/>
                <w:color w:val="auto"/>
                <w:kern w:val="0"/>
                <w:position w:val="2"/>
                <w:szCs w:val="21"/>
              </w:rPr>
              <w:t>0.33</w:t>
            </w:r>
          </w:p>
        </w:tc>
        <w:tc>
          <w:tcPr>
            <w:tcW w:w="1590" w:type="pct"/>
            <w:vAlign w:val="center"/>
          </w:tcPr>
          <w:p w14:paraId="130A4853">
            <w:pPr>
              <w:kinsoku w:val="0"/>
              <w:overflowPunct w:val="0"/>
              <w:autoSpaceDE w:val="0"/>
              <w:autoSpaceDN w:val="0"/>
              <w:adjustRightInd w:val="0"/>
              <w:snapToGrid w:val="0"/>
              <w:spacing w:line="300" w:lineRule="exact"/>
              <w:jc w:val="center"/>
              <w:rPr>
                <w:rFonts w:hint="eastAsia" w:ascii="宋体" w:hAnsi="宋体"/>
                <w:color w:val="auto"/>
                <w:w w:val="99"/>
                <w:kern w:val="0"/>
                <w:szCs w:val="21"/>
              </w:rPr>
            </w:pPr>
            <w:r>
              <w:rPr>
                <w:rFonts w:hint="eastAsia" w:ascii="宋体" w:hAnsi="宋体"/>
                <w:color w:val="auto"/>
                <w:w w:val="99"/>
                <w:kern w:val="0"/>
                <w:szCs w:val="21"/>
              </w:rPr>
              <w:t>0.17</w:t>
            </w:r>
          </w:p>
        </w:tc>
      </w:tr>
      <w:tr w14:paraId="6C8052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vAlign w:val="center"/>
          </w:tcPr>
          <w:p w14:paraId="72E0D811">
            <w:pPr>
              <w:kinsoku w:val="0"/>
              <w:overflowPunct w:val="0"/>
              <w:autoSpaceDE w:val="0"/>
              <w:autoSpaceDN w:val="0"/>
              <w:adjustRightInd w:val="0"/>
              <w:snapToGrid w:val="0"/>
              <w:spacing w:line="300" w:lineRule="exact"/>
              <w:jc w:val="center"/>
              <w:rPr>
                <w:rFonts w:hint="eastAsia" w:ascii="宋体" w:hAnsi="宋体" w:cs="宋体"/>
                <w:b/>
                <w:bCs/>
                <w:color w:val="auto"/>
                <w:kern w:val="0"/>
                <w:szCs w:val="21"/>
              </w:rPr>
            </w:pPr>
          </w:p>
        </w:tc>
        <w:tc>
          <w:tcPr>
            <w:tcW w:w="1054" w:type="pct"/>
            <w:vAlign w:val="center"/>
          </w:tcPr>
          <w:p w14:paraId="36CE0A13">
            <w:pPr>
              <w:kinsoku w:val="0"/>
              <w:overflowPunct w:val="0"/>
              <w:autoSpaceDE w:val="0"/>
              <w:autoSpaceDN w:val="0"/>
              <w:adjustRightInd w:val="0"/>
              <w:snapToGrid w:val="0"/>
              <w:spacing w:line="300" w:lineRule="exact"/>
              <w:jc w:val="center"/>
              <w:rPr>
                <w:rFonts w:hint="eastAsia" w:ascii="宋体" w:hAnsi="宋体"/>
                <w:color w:val="auto"/>
                <w:kern w:val="0"/>
                <w:position w:val="2"/>
                <w:szCs w:val="21"/>
                <w:vertAlign w:val="subscript"/>
              </w:rPr>
            </w:pPr>
            <w:r>
              <w:rPr>
                <w:rFonts w:hint="eastAsia" w:ascii="宋体" w:hAnsi="宋体" w:cs="宋体"/>
                <w:color w:val="auto"/>
                <w:kern w:val="0"/>
                <w:position w:val="2"/>
                <w:szCs w:val="21"/>
              </w:rPr>
              <w:t>正戊烷</w:t>
            </w:r>
            <w:r>
              <w:rPr>
                <w:rFonts w:ascii="宋体" w:hAnsi="宋体" w:cs="宋体"/>
                <w:color w:val="auto"/>
                <w:kern w:val="0"/>
                <w:position w:val="2"/>
                <w:szCs w:val="21"/>
              </w:rPr>
              <w:t xml:space="preserve"> </w:t>
            </w:r>
            <w:r>
              <w:rPr>
                <w:rFonts w:ascii="宋体" w:hAnsi="宋体"/>
                <w:color w:val="auto"/>
                <w:kern w:val="0"/>
                <w:position w:val="2"/>
                <w:szCs w:val="21"/>
              </w:rPr>
              <w:t>i-C</w:t>
            </w:r>
            <w:r>
              <w:rPr>
                <w:rFonts w:ascii="宋体" w:hAnsi="宋体"/>
                <w:color w:val="auto"/>
                <w:kern w:val="0"/>
                <w:position w:val="2"/>
                <w:szCs w:val="21"/>
                <w:vertAlign w:val="subscript"/>
              </w:rPr>
              <w:t>5</w:t>
            </w:r>
            <w:r>
              <w:rPr>
                <w:rFonts w:ascii="宋体" w:hAnsi="宋体"/>
                <w:color w:val="auto"/>
                <w:kern w:val="0"/>
                <w:position w:val="2"/>
                <w:szCs w:val="21"/>
              </w:rPr>
              <w:t>H</w:t>
            </w:r>
            <w:r>
              <w:rPr>
                <w:rFonts w:ascii="宋体" w:hAnsi="宋体"/>
                <w:color w:val="auto"/>
                <w:kern w:val="0"/>
                <w:position w:val="2"/>
                <w:szCs w:val="21"/>
                <w:vertAlign w:val="subscript"/>
              </w:rPr>
              <w:t>12</w:t>
            </w:r>
          </w:p>
        </w:tc>
        <w:tc>
          <w:tcPr>
            <w:tcW w:w="1542" w:type="pct"/>
            <w:vAlign w:val="center"/>
          </w:tcPr>
          <w:p w14:paraId="19654529">
            <w:pPr>
              <w:kinsoku w:val="0"/>
              <w:overflowPunct w:val="0"/>
              <w:autoSpaceDE w:val="0"/>
              <w:autoSpaceDN w:val="0"/>
              <w:adjustRightInd w:val="0"/>
              <w:snapToGrid w:val="0"/>
              <w:spacing w:line="300" w:lineRule="exact"/>
              <w:jc w:val="center"/>
              <w:rPr>
                <w:rFonts w:hint="eastAsia" w:ascii="宋体" w:hAnsi="宋体" w:cs="宋体"/>
                <w:color w:val="auto"/>
                <w:kern w:val="0"/>
                <w:position w:val="2"/>
                <w:szCs w:val="21"/>
              </w:rPr>
            </w:pPr>
            <w:r>
              <w:rPr>
                <w:rFonts w:hint="eastAsia" w:ascii="宋体" w:hAnsi="宋体" w:cs="宋体"/>
                <w:color w:val="auto"/>
                <w:kern w:val="0"/>
                <w:position w:val="2"/>
                <w:szCs w:val="21"/>
              </w:rPr>
              <w:t>0.75</w:t>
            </w:r>
          </w:p>
        </w:tc>
        <w:tc>
          <w:tcPr>
            <w:tcW w:w="1590" w:type="pct"/>
            <w:vAlign w:val="center"/>
          </w:tcPr>
          <w:p w14:paraId="5D1AE998">
            <w:pPr>
              <w:kinsoku w:val="0"/>
              <w:overflowPunct w:val="0"/>
              <w:autoSpaceDE w:val="0"/>
              <w:autoSpaceDN w:val="0"/>
              <w:adjustRightInd w:val="0"/>
              <w:snapToGrid w:val="0"/>
              <w:spacing w:line="300" w:lineRule="exact"/>
              <w:jc w:val="center"/>
              <w:rPr>
                <w:rFonts w:hint="eastAsia" w:ascii="宋体" w:hAnsi="宋体"/>
                <w:color w:val="auto"/>
                <w:w w:val="99"/>
                <w:kern w:val="0"/>
                <w:szCs w:val="21"/>
              </w:rPr>
            </w:pPr>
            <w:r>
              <w:rPr>
                <w:rFonts w:hint="eastAsia" w:ascii="宋体" w:hAnsi="宋体"/>
                <w:color w:val="auto"/>
                <w:w w:val="99"/>
                <w:kern w:val="0"/>
                <w:szCs w:val="21"/>
              </w:rPr>
              <w:t>0.39</w:t>
            </w:r>
          </w:p>
        </w:tc>
      </w:tr>
      <w:tr w14:paraId="04AA42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vAlign w:val="center"/>
          </w:tcPr>
          <w:p w14:paraId="11F52924">
            <w:pPr>
              <w:kinsoku w:val="0"/>
              <w:overflowPunct w:val="0"/>
              <w:autoSpaceDE w:val="0"/>
              <w:autoSpaceDN w:val="0"/>
              <w:adjustRightInd w:val="0"/>
              <w:snapToGrid w:val="0"/>
              <w:spacing w:line="300" w:lineRule="exact"/>
              <w:jc w:val="center"/>
              <w:rPr>
                <w:rFonts w:hint="eastAsia" w:ascii="宋体" w:hAnsi="宋体" w:cs="宋体"/>
                <w:b/>
                <w:bCs/>
                <w:color w:val="auto"/>
                <w:kern w:val="0"/>
                <w:szCs w:val="21"/>
              </w:rPr>
            </w:pPr>
          </w:p>
        </w:tc>
        <w:tc>
          <w:tcPr>
            <w:tcW w:w="1054" w:type="pct"/>
            <w:vAlign w:val="center"/>
          </w:tcPr>
          <w:p w14:paraId="0537F311">
            <w:pPr>
              <w:kinsoku w:val="0"/>
              <w:overflowPunct w:val="0"/>
              <w:autoSpaceDE w:val="0"/>
              <w:autoSpaceDN w:val="0"/>
              <w:adjustRightInd w:val="0"/>
              <w:snapToGrid w:val="0"/>
              <w:spacing w:line="300" w:lineRule="exact"/>
              <w:jc w:val="center"/>
              <w:rPr>
                <w:rFonts w:hint="eastAsia" w:ascii="宋体" w:hAnsi="宋体"/>
                <w:color w:val="auto"/>
                <w:kern w:val="0"/>
                <w:position w:val="2"/>
                <w:szCs w:val="21"/>
                <w:vertAlign w:val="subscript"/>
              </w:rPr>
            </w:pPr>
            <w:r>
              <w:rPr>
                <w:rFonts w:hint="eastAsia" w:ascii="宋体" w:hAnsi="宋体" w:cs="宋体"/>
                <w:color w:val="auto"/>
                <w:kern w:val="0"/>
                <w:position w:val="2"/>
                <w:szCs w:val="21"/>
              </w:rPr>
              <w:t>异己烷</w:t>
            </w:r>
            <w:r>
              <w:rPr>
                <w:rFonts w:ascii="宋体" w:hAnsi="宋体" w:cs="宋体"/>
                <w:color w:val="auto"/>
                <w:kern w:val="0"/>
                <w:position w:val="2"/>
                <w:szCs w:val="21"/>
              </w:rPr>
              <w:t xml:space="preserve"> </w:t>
            </w:r>
            <w:r>
              <w:rPr>
                <w:rFonts w:ascii="宋体" w:hAnsi="宋体"/>
                <w:color w:val="auto"/>
                <w:kern w:val="0"/>
                <w:position w:val="2"/>
                <w:szCs w:val="21"/>
              </w:rPr>
              <w:t>i-C</w:t>
            </w:r>
            <w:r>
              <w:rPr>
                <w:rFonts w:ascii="宋体" w:hAnsi="宋体"/>
                <w:color w:val="auto"/>
                <w:kern w:val="0"/>
                <w:position w:val="2"/>
                <w:szCs w:val="21"/>
                <w:vertAlign w:val="subscript"/>
              </w:rPr>
              <w:t>6</w:t>
            </w:r>
            <w:r>
              <w:rPr>
                <w:rFonts w:ascii="宋体" w:hAnsi="宋体"/>
                <w:color w:val="auto"/>
                <w:kern w:val="0"/>
                <w:position w:val="2"/>
                <w:szCs w:val="21"/>
              </w:rPr>
              <w:t>H</w:t>
            </w:r>
            <w:r>
              <w:rPr>
                <w:rFonts w:ascii="宋体" w:hAnsi="宋体"/>
                <w:color w:val="auto"/>
                <w:kern w:val="0"/>
                <w:position w:val="2"/>
                <w:szCs w:val="21"/>
                <w:vertAlign w:val="subscript"/>
              </w:rPr>
              <w:t>14</w:t>
            </w:r>
          </w:p>
        </w:tc>
        <w:tc>
          <w:tcPr>
            <w:tcW w:w="1542" w:type="pct"/>
            <w:vAlign w:val="center"/>
          </w:tcPr>
          <w:p w14:paraId="4E74945D">
            <w:pPr>
              <w:kinsoku w:val="0"/>
              <w:overflowPunct w:val="0"/>
              <w:autoSpaceDE w:val="0"/>
              <w:autoSpaceDN w:val="0"/>
              <w:adjustRightInd w:val="0"/>
              <w:snapToGrid w:val="0"/>
              <w:spacing w:line="300" w:lineRule="exact"/>
              <w:jc w:val="center"/>
              <w:rPr>
                <w:rFonts w:hint="eastAsia" w:ascii="宋体" w:hAnsi="宋体" w:cs="宋体"/>
                <w:color w:val="auto"/>
                <w:kern w:val="0"/>
                <w:position w:val="2"/>
                <w:szCs w:val="21"/>
              </w:rPr>
            </w:pPr>
            <w:r>
              <w:rPr>
                <w:rFonts w:hint="eastAsia" w:ascii="宋体" w:hAnsi="宋体" w:cs="宋体"/>
                <w:color w:val="auto"/>
                <w:kern w:val="0"/>
                <w:position w:val="2"/>
                <w:szCs w:val="21"/>
              </w:rPr>
              <w:t>/</w:t>
            </w:r>
          </w:p>
        </w:tc>
        <w:tc>
          <w:tcPr>
            <w:tcW w:w="1590" w:type="pct"/>
            <w:vAlign w:val="center"/>
          </w:tcPr>
          <w:p w14:paraId="696C8EAC">
            <w:pPr>
              <w:kinsoku w:val="0"/>
              <w:overflowPunct w:val="0"/>
              <w:autoSpaceDE w:val="0"/>
              <w:autoSpaceDN w:val="0"/>
              <w:adjustRightInd w:val="0"/>
              <w:snapToGrid w:val="0"/>
              <w:spacing w:line="300" w:lineRule="exact"/>
              <w:jc w:val="center"/>
              <w:rPr>
                <w:rFonts w:hint="eastAsia" w:ascii="宋体" w:hAnsi="宋体"/>
                <w:color w:val="auto"/>
                <w:w w:val="99"/>
                <w:kern w:val="0"/>
                <w:szCs w:val="21"/>
              </w:rPr>
            </w:pPr>
            <w:r>
              <w:rPr>
                <w:rFonts w:hint="eastAsia" w:ascii="宋体" w:hAnsi="宋体"/>
                <w:color w:val="auto"/>
                <w:w w:val="99"/>
                <w:kern w:val="0"/>
                <w:szCs w:val="21"/>
              </w:rPr>
              <w:t>0.19</w:t>
            </w:r>
          </w:p>
        </w:tc>
      </w:tr>
      <w:tr w14:paraId="79C15F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vAlign w:val="center"/>
          </w:tcPr>
          <w:p w14:paraId="12D8A9F9">
            <w:pPr>
              <w:kinsoku w:val="0"/>
              <w:overflowPunct w:val="0"/>
              <w:autoSpaceDE w:val="0"/>
              <w:autoSpaceDN w:val="0"/>
              <w:adjustRightInd w:val="0"/>
              <w:snapToGrid w:val="0"/>
              <w:spacing w:line="300" w:lineRule="exact"/>
              <w:jc w:val="center"/>
              <w:rPr>
                <w:rFonts w:hint="eastAsia" w:ascii="宋体" w:hAnsi="宋体" w:cs="宋体"/>
                <w:b/>
                <w:bCs/>
                <w:color w:val="auto"/>
                <w:kern w:val="0"/>
                <w:szCs w:val="21"/>
              </w:rPr>
            </w:pPr>
          </w:p>
        </w:tc>
        <w:tc>
          <w:tcPr>
            <w:tcW w:w="1054" w:type="pct"/>
            <w:vAlign w:val="center"/>
          </w:tcPr>
          <w:p w14:paraId="1CFD6291">
            <w:pPr>
              <w:kinsoku w:val="0"/>
              <w:overflowPunct w:val="0"/>
              <w:autoSpaceDE w:val="0"/>
              <w:autoSpaceDN w:val="0"/>
              <w:adjustRightInd w:val="0"/>
              <w:snapToGrid w:val="0"/>
              <w:spacing w:line="300" w:lineRule="exact"/>
              <w:jc w:val="center"/>
              <w:rPr>
                <w:rFonts w:hint="eastAsia" w:ascii="宋体" w:hAnsi="宋体"/>
                <w:color w:val="auto"/>
                <w:kern w:val="0"/>
                <w:position w:val="2"/>
                <w:szCs w:val="21"/>
                <w:vertAlign w:val="subscript"/>
              </w:rPr>
            </w:pPr>
            <w:r>
              <w:rPr>
                <w:rFonts w:hint="eastAsia" w:ascii="宋体" w:hAnsi="宋体" w:cs="宋体"/>
                <w:color w:val="auto"/>
                <w:kern w:val="0"/>
                <w:position w:val="2"/>
                <w:szCs w:val="21"/>
              </w:rPr>
              <w:t>正己烷</w:t>
            </w:r>
            <w:r>
              <w:rPr>
                <w:rFonts w:ascii="宋体" w:hAnsi="宋体" w:cs="宋体"/>
                <w:color w:val="auto"/>
                <w:kern w:val="0"/>
                <w:position w:val="2"/>
                <w:szCs w:val="21"/>
              </w:rPr>
              <w:t xml:space="preserve"> </w:t>
            </w:r>
            <w:r>
              <w:rPr>
                <w:rFonts w:ascii="宋体" w:hAnsi="宋体"/>
                <w:color w:val="auto"/>
                <w:kern w:val="0"/>
                <w:position w:val="2"/>
                <w:szCs w:val="21"/>
              </w:rPr>
              <w:t>n-C</w:t>
            </w:r>
            <w:r>
              <w:rPr>
                <w:rFonts w:ascii="宋体" w:hAnsi="宋体"/>
                <w:color w:val="auto"/>
                <w:kern w:val="0"/>
                <w:position w:val="2"/>
                <w:szCs w:val="21"/>
                <w:vertAlign w:val="subscript"/>
              </w:rPr>
              <w:t>6</w:t>
            </w:r>
            <w:r>
              <w:rPr>
                <w:rFonts w:ascii="宋体" w:hAnsi="宋体"/>
                <w:color w:val="auto"/>
                <w:kern w:val="0"/>
                <w:position w:val="2"/>
                <w:szCs w:val="21"/>
              </w:rPr>
              <w:t>H</w:t>
            </w:r>
            <w:r>
              <w:rPr>
                <w:rFonts w:ascii="宋体" w:hAnsi="宋体"/>
                <w:color w:val="auto"/>
                <w:kern w:val="0"/>
                <w:position w:val="2"/>
                <w:szCs w:val="21"/>
                <w:vertAlign w:val="subscript"/>
              </w:rPr>
              <w:t>14</w:t>
            </w:r>
          </w:p>
        </w:tc>
        <w:tc>
          <w:tcPr>
            <w:tcW w:w="1542" w:type="pct"/>
            <w:vAlign w:val="center"/>
          </w:tcPr>
          <w:p w14:paraId="3FBB157D">
            <w:pPr>
              <w:kinsoku w:val="0"/>
              <w:overflowPunct w:val="0"/>
              <w:autoSpaceDE w:val="0"/>
              <w:autoSpaceDN w:val="0"/>
              <w:adjustRightInd w:val="0"/>
              <w:snapToGrid w:val="0"/>
              <w:spacing w:line="300" w:lineRule="exact"/>
              <w:jc w:val="center"/>
              <w:rPr>
                <w:rFonts w:hint="eastAsia" w:ascii="宋体" w:hAnsi="宋体" w:cs="宋体"/>
                <w:color w:val="auto"/>
                <w:kern w:val="0"/>
                <w:position w:val="2"/>
                <w:szCs w:val="21"/>
              </w:rPr>
            </w:pPr>
            <w:r>
              <w:rPr>
                <w:rFonts w:hint="eastAsia" w:ascii="宋体" w:hAnsi="宋体" w:cs="宋体"/>
                <w:color w:val="auto"/>
                <w:kern w:val="0"/>
                <w:position w:val="2"/>
                <w:szCs w:val="21"/>
              </w:rPr>
              <w:t>/</w:t>
            </w:r>
          </w:p>
        </w:tc>
        <w:tc>
          <w:tcPr>
            <w:tcW w:w="1590" w:type="pct"/>
            <w:vAlign w:val="center"/>
          </w:tcPr>
          <w:p w14:paraId="07343AD3">
            <w:pPr>
              <w:kinsoku w:val="0"/>
              <w:overflowPunct w:val="0"/>
              <w:autoSpaceDE w:val="0"/>
              <w:autoSpaceDN w:val="0"/>
              <w:adjustRightInd w:val="0"/>
              <w:snapToGrid w:val="0"/>
              <w:spacing w:line="300" w:lineRule="exact"/>
              <w:jc w:val="center"/>
              <w:rPr>
                <w:rFonts w:hint="eastAsia" w:ascii="宋体" w:hAnsi="宋体"/>
                <w:color w:val="auto"/>
                <w:w w:val="99"/>
                <w:kern w:val="0"/>
                <w:szCs w:val="21"/>
              </w:rPr>
            </w:pPr>
            <w:r>
              <w:rPr>
                <w:rFonts w:hint="eastAsia" w:ascii="宋体" w:hAnsi="宋体"/>
                <w:color w:val="auto"/>
                <w:w w:val="99"/>
                <w:kern w:val="0"/>
                <w:szCs w:val="21"/>
              </w:rPr>
              <w:t>/</w:t>
            </w:r>
          </w:p>
        </w:tc>
      </w:tr>
      <w:tr w14:paraId="55CABE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vAlign w:val="center"/>
          </w:tcPr>
          <w:p w14:paraId="0A67A075">
            <w:pPr>
              <w:kinsoku w:val="0"/>
              <w:overflowPunct w:val="0"/>
              <w:autoSpaceDE w:val="0"/>
              <w:autoSpaceDN w:val="0"/>
              <w:adjustRightInd w:val="0"/>
              <w:snapToGrid w:val="0"/>
              <w:spacing w:line="300" w:lineRule="exact"/>
              <w:jc w:val="center"/>
              <w:rPr>
                <w:rFonts w:hint="eastAsia" w:ascii="宋体" w:hAnsi="宋体" w:cs="宋体"/>
                <w:b/>
                <w:bCs/>
                <w:color w:val="auto"/>
                <w:kern w:val="0"/>
                <w:szCs w:val="21"/>
              </w:rPr>
            </w:pPr>
          </w:p>
        </w:tc>
        <w:tc>
          <w:tcPr>
            <w:tcW w:w="1054" w:type="pct"/>
            <w:vAlign w:val="center"/>
          </w:tcPr>
          <w:p w14:paraId="4483675E">
            <w:pPr>
              <w:kinsoku w:val="0"/>
              <w:overflowPunct w:val="0"/>
              <w:autoSpaceDE w:val="0"/>
              <w:autoSpaceDN w:val="0"/>
              <w:adjustRightInd w:val="0"/>
              <w:snapToGrid w:val="0"/>
              <w:spacing w:line="300" w:lineRule="exact"/>
              <w:jc w:val="center"/>
              <w:rPr>
                <w:rFonts w:hint="eastAsia" w:ascii="宋体" w:hAnsi="宋体"/>
                <w:color w:val="auto"/>
                <w:kern w:val="0"/>
                <w:position w:val="2"/>
                <w:szCs w:val="21"/>
                <w:vertAlign w:val="subscript"/>
              </w:rPr>
            </w:pPr>
            <w:r>
              <w:rPr>
                <w:rFonts w:hint="eastAsia" w:ascii="宋体" w:hAnsi="宋体" w:cs="宋体"/>
                <w:color w:val="auto"/>
                <w:kern w:val="0"/>
                <w:position w:val="2"/>
                <w:szCs w:val="21"/>
              </w:rPr>
              <w:t>二氧化碳</w:t>
            </w:r>
            <w:r>
              <w:rPr>
                <w:rFonts w:ascii="宋体" w:hAnsi="宋体" w:cs="宋体"/>
                <w:color w:val="auto"/>
                <w:kern w:val="0"/>
                <w:position w:val="2"/>
                <w:szCs w:val="21"/>
              </w:rPr>
              <w:t xml:space="preserve"> </w:t>
            </w:r>
            <w:r>
              <w:rPr>
                <w:rFonts w:ascii="宋体" w:hAnsi="宋体"/>
                <w:color w:val="auto"/>
                <w:kern w:val="0"/>
                <w:position w:val="2"/>
                <w:szCs w:val="21"/>
              </w:rPr>
              <w:t>CO</w:t>
            </w:r>
            <w:r>
              <w:rPr>
                <w:rFonts w:ascii="宋体" w:hAnsi="宋体"/>
                <w:color w:val="auto"/>
                <w:kern w:val="0"/>
                <w:position w:val="2"/>
                <w:szCs w:val="21"/>
                <w:vertAlign w:val="subscript"/>
              </w:rPr>
              <w:t>2</w:t>
            </w:r>
          </w:p>
        </w:tc>
        <w:tc>
          <w:tcPr>
            <w:tcW w:w="1542" w:type="pct"/>
            <w:vAlign w:val="center"/>
          </w:tcPr>
          <w:p w14:paraId="00216A34">
            <w:pPr>
              <w:kinsoku w:val="0"/>
              <w:overflowPunct w:val="0"/>
              <w:autoSpaceDE w:val="0"/>
              <w:autoSpaceDN w:val="0"/>
              <w:adjustRightInd w:val="0"/>
              <w:snapToGrid w:val="0"/>
              <w:spacing w:line="300" w:lineRule="exact"/>
              <w:jc w:val="center"/>
              <w:rPr>
                <w:rFonts w:hint="eastAsia" w:ascii="宋体" w:hAnsi="宋体" w:cs="宋体"/>
                <w:color w:val="auto"/>
                <w:kern w:val="0"/>
                <w:position w:val="2"/>
                <w:szCs w:val="21"/>
              </w:rPr>
            </w:pPr>
            <w:r>
              <w:rPr>
                <w:rFonts w:hint="eastAsia" w:ascii="宋体" w:hAnsi="宋体" w:cs="宋体"/>
                <w:color w:val="auto"/>
                <w:kern w:val="0"/>
                <w:position w:val="2"/>
                <w:szCs w:val="21"/>
              </w:rPr>
              <w:t>1.94</w:t>
            </w:r>
          </w:p>
        </w:tc>
        <w:tc>
          <w:tcPr>
            <w:tcW w:w="1590" w:type="pct"/>
            <w:vAlign w:val="center"/>
          </w:tcPr>
          <w:p w14:paraId="1CF3F355">
            <w:pPr>
              <w:kinsoku w:val="0"/>
              <w:overflowPunct w:val="0"/>
              <w:autoSpaceDE w:val="0"/>
              <w:autoSpaceDN w:val="0"/>
              <w:adjustRightInd w:val="0"/>
              <w:snapToGrid w:val="0"/>
              <w:spacing w:line="300" w:lineRule="exact"/>
              <w:jc w:val="center"/>
              <w:rPr>
                <w:rFonts w:hint="eastAsia" w:ascii="宋体" w:hAnsi="宋体"/>
                <w:color w:val="auto"/>
                <w:w w:val="99"/>
                <w:kern w:val="0"/>
                <w:szCs w:val="21"/>
              </w:rPr>
            </w:pPr>
            <w:r>
              <w:rPr>
                <w:rFonts w:hint="eastAsia" w:ascii="宋体" w:hAnsi="宋体"/>
                <w:color w:val="auto"/>
                <w:w w:val="99"/>
                <w:kern w:val="0"/>
                <w:szCs w:val="21"/>
              </w:rPr>
              <w:t>1.9</w:t>
            </w:r>
          </w:p>
        </w:tc>
      </w:tr>
      <w:tr w14:paraId="295068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vAlign w:val="center"/>
          </w:tcPr>
          <w:p w14:paraId="5DF45216">
            <w:pPr>
              <w:kinsoku w:val="0"/>
              <w:overflowPunct w:val="0"/>
              <w:autoSpaceDE w:val="0"/>
              <w:autoSpaceDN w:val="0"/>
              <w:adjustRightInd w:val="0"/>
              <w:snapToGrid w:val="0"/>
              <w:spacing w:line="300" w:lineRule="exact"/>
              <w:jc w:val="center"/>
              <w:rPr>
                <w:rFonts w:hint="eastAsia" w:ascii="宋体" w:hAnsi="宋体" w:cs="宋体"/>
                <w:b/>
                <w:bCs/>
                <w:color w:val="auto"/>
                <w:kern w:val="0"/>
                <w:szCs w:val="21"/>
              </w:rPr>
            </w:pPr>
          </w:p>
        </w:tc>
        <w:tc>
          <w:tcPr>
            <w:tcW w:w="1054" w:type="pct"/>
            <w:vAlign w:val="center"/>
          </w:tcPr>
          <w:p w14:paraId="00FE1154">
            <w:pPr>
              <w:kinsoku w:val="0"/>
              <w:overflowPunct w:val="0"/>
              <w:autoSpaceDE w:val="0"/>
              <w:autoSpaceDN w:val="0"/>
              <w:adjustRightInd w:val="0"/>
              <w:snapToGrid w:val="0"/>
              <w:spacing w:line="300" w:lineRule="exact"/>
              <w:jc w:val="center"/>
              <w:rPr>
                <w:rFonts w:hint="eastAsia" w:ascii="宋体" w:hAnsi="宋体"/>
                <w:color w:val="auto"/>
                <w:kern w:val="0"/>
                <w:position w:val="2"/>
                <w:szCs w:val="21"/>
                <w:vertAlign w:val="subscript"/>
              </w:rPr>
            </w:pPr>
            <w:r>
              <w:rPr>
                <w:rFonts w:hint="eastAsia" w:ascii="宋体" w:hAnsi="宋体" w:cs="宋体"/>
                <w:color w:val="auto"/>
                <w:kern w:val="0"/>
                <w:position w:val="2"/>
                <w:szCs w:val="21"/>
              </w:rPr>
              <w:t>氮</w:t>
            </w:r>
            <w:r>
              <w:rPr>
                <w:rFonts w:ascii="宋体" w:hAnsi="宋体" w:cs="宋体"/>
                <w:color w:val="auto"/>
                <w:kern w:val="0"/>
                <w:position w:val="2"/>
                <w:szCs w:val="21"/>
              </w:rPr>
              <w:t xml:space="preserve"> </w:t>
            </w:r>
            <w:r>
              <w:rPr>
                <w:rFonts w:ascii="宋体" w:hAnsi="宋体"/>
                <w:color w:val="auto"/>
                <w:kern w:val="0"/>
                <w:position w:val="2"/>
                <w:szCs w:val="21"/>
              </w:rPr>
              <w:t>N</w:t>
            </w:r>
            <w:r>
              <w:rPr>
                <w:rFonts w:ascii="宋体" w:hAnsi="宋体"/>
                <w:color w:val="auto"/>
                <w:kern w:val="0"/>
                <w:position w:val="2"/>
                <w:szCs w:val="21"/>
                <w:vertAlign w:val="subscript"/>
              </w:rPr>
              <w:t>2</w:t>
            </w:r>
          </w:p>
        </w:tc>
        <w:tc>
          <w:tcPr>
            <w:tcW w:w="1542" w:type="pct"/>
            <w:vAlign w:val="center"/>
          </w:tcPr>
          <w:p w14:paraId="2DEB763E">
            <w:pPr>
              <w:kinsoku w:val="0"/>
              <w:overflowPunct w:val="0"/>
              <w:autoSpaceDE w:val="0"/>
              <w:autoSpaceDN w:val="0"/>
              <w:adjustRightInd w:val="0"/>
              <w:snapToGrid w:val="0"/>
              <w:spacing w:line="300" w:lineRule="exact"/>
              <w:jc w:val="center"/>
              <w:rPr>
                <w:rFonts w:hint="eastAsia" w:ascii="宋体" w:hAnsi="宋体" w:cs="宋体"/>
                <w:color w:val="auto"/>
                <w:kern w:val="0"/>
                <w:position w:val="2"/>
                <w:szCs w:val="21"/>
              </w:rPr>
            </w:pPr>
            <w:r>
              <w:rPr>
                <w:rFonts w:hint="eastAsia" w:ascii="宋体" w:hAnsi="宋体" w:cs="宋体"/>
                <w:color w:val="auto"/>
                <w:kern w:val="0"/>
                <w:position w:val="2"/>
                <w:szCs w:val="21"/>
              </w:rPr>
              <w:t>0.92</w:t>
            </w:r>
          </w:p>
        </w:tc>
        <w:tc>
          <w:tcPr>
            <w:tcW w:w="1590" w:type="pct"/>
            <w:vAlign w:val="center"/>
          </w:tcPr>
          <w:p w14:paraId="3D24013D">
            <w:pPr>
              <w:kinsoku w:val="0"/>
              <w:overflowPunct w:val="0"/>
              <w:autoSpaceDE w:val="0"/>
              <w:autoSpaceDN w:val="0"/>
              <w:adjustRightInd w:val="0"/>
              <w:snapToGrid w:val="0"/>
              <w:spacing w:line="300" w:lineRule="exact"/>
              <w:jc w:val="center"/>
              <w:rPr>
                <w:rFonts w:hint="eastAsia" w:ascii="宋体" w:hAnsi="宋体"/>
                <w:color w:val="auto"/>
                <w:w w:val="99"/>
                <w:kern w:val="0"/>
                <w:szCs w:val="21"/>
              </w:rPr>
            </w:pPr>
            <w:r>
              <w:rPr>
                <w:rFonts w:hint="eastAsia" w:ascii="宋体" w:hAnsi="宋体"/>
                <w:color w:val="auto"/>
                <w:w w:val="99"/>
                <w:kern w:val="0"/>
                <w:szCs w:val="21"/>
              </w:rPr>
              <w:t>0.61</w:t>
            </w:r>
          </w:p>
        </w:tc>
      </w:tr>
      <w:tr w14:paraId="72FE1A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vAlign w:val="center"/>
          </w:tcPr>
          <w:p w14:paraId="0CD518B9">
            <w:pPr>
              <w:kinsoku w:val="0"/>
              <w:overflowPunct w:val="0"/>
              <w:autoSpaceDE w:val="0"/>
              <w:autoSpaceDN w:val="0"/>
              <w:adjustRightInd w:val="0"/>
              <w:snapToGrid w:val="0"/>
              <w:spacing w:line="300" w:lineRule="exact"/>
              <w:jc w:val="center"/>
              <w:rPr>
                <w:rFonts w:hint="eastAsia" w:ascii="宋体" w:hAnsi="宋体" w:cs="宋体"/>
                <w:b/>
                <w:bCs/>
                <w:color w:val="auto"/>
                <w:kern w:val="0"/>
                <w:szCs w:val="21"/>
              </w:rPr>
            </w:pPr>
          </w:p>
        </w:tc>
        <w:tc>
          <w:tcPr>
            <w:tcW w:w="1054" w:type="pct"/>
            <w:vAlign w:val="center"/>
          </w:tcPr>
          <w:p w14:paraId="66222A86">
            <w:pPr>
              <w:kinsoku w:val="0"/>
              <w:overflowPunct w:val="0"/>
              <w:autoSpaceDE w:val="0"/>
              <w:autoSpaceDN w:val="0"/>
              <w:adjustRightInd w:val="0"/>
              <w:snapToGrid w:val="0"/>
              <w:spacing w:line="300" w:lineRule="exact"/>
              <w:jc w:val="center"/>
              <w:rPr>
                <w:rFonts w:hint="eastAsia" w:ascii="宋体" w:hAnsi="宋体"/>
                <w:color w:val="auto"/>
                <w:kern w:val="0"/>
                <w:position w:val="2"/>
                <w:szCs w:val="21"/>
              </w:rPr>
            </w:pPr>
            <w:r>
              <w:rPr>
                <w:rFonts w:hint="eastAsia" w:ascii="宋体" w:hAnsi="宋体" w:cs="宋体"/>
                <w:color w:val="auto"/>
                <w:kern w:val="0"/>
                <w:position w:val="2"/>
                <w:szCs w:val="21"/>
              </w:rPr>
              <w:t>硫化氢</w:t>
            </w:r>
            <w:r>
              <w:rPr>
                <w:rFonts w:ascii="宋体" w:hAnsi="宋体" w:cs="宋体"/>
                <w:color w:val="auto"/>
                <w:kern w:val="0"/>
                <w:position w:val="2"/>
                <w:szCs w:val="21"/>
              </w:rPr>
              <w:t xml:space="preserve"> </w:t>
            </w:r>
            <w:r>
              <w:rPr>
                <w:rFonts w:ascii="宋体" w:hAnsi="宋体"/>
                <w:color w:val="auto"/>
                <w:kern w:val="0"/>
                <w:position w:val="2"/>
                <w:szCs w:val="21"/>
              </w:rPr>
              <w:t>H</w:t>
            </w:r>
            <w:r>
              <w:rPr>
                <w:rFonts w:ascii="宋体" w:hAnsi="宋体"/>
                <w:color w:val="auto"/>
                <w:kern w:val="0"/>
                <w:position w:val="2"/>
                <w:szCs w:val="21"/>
                <w:vertAlign w:val="subscript"/>
              </w:rPr>
              <w:t>2</w:t>
            </w:r>
            <w:r>
              <w:rPr>
                <w:rFonts w:ascii="宋体" w:hAnsi="宋体"/>
                <w:color w:val="auto"/>
                <w:kern w:val="0"/>
                <w:position w:val="2"/>
                <w:szCs w:val="21"/>
              </w:rPr>
              <w:t>S</w:t>
            </w:r>
          </w:p>
        </w:tc>
        <w:tc>
          <w:tcPr>
            <w:tcW w:w="1542" w:type="pct"/>
            <w:vAlign w:val="center"/>
          </w:tcPr>
          <w:p w14:paraId="47C65529">
            <w:pPr>
              <w:kinsoku w:val="0"/>
              <w:overflowPunct w:val="0"/>
              <w:autoSpaceDE w:val="0"/>
              <w:autoSpaceDN w:val="0"/>
              <w:adjustRightInd w:val="0"/>
              <w:snapToGrid w:val="0"/>
              <w:spacing w:line="300" w:lineRule="exact"/>
              <w:jc w:val="center"/>
              <w:rPr>
                <w:rFonts w:hint="eastAsia" w:ascii="宋体" w:hAnsi="宋体"/>
                <w:color w:val="auto"/>
                <w:w w:val="99"/>
                <w:kern w:val="0"/>
                <w:szCs w:val="21"/>
              </w:rPr>
            </w:pPr>
            <w:r>
              <w:rPr>
                <w:rFonts w:hint="eastAsia" w:ascii="宋体" w:hAnsi="宋体"/>
                <w:color w:val="auto"/>
                <w:w w:val="99"/>
                <w:kern w:val="0"/>
                <w:szCs w:val="21"/>
              </w:rPr>
              <w:t>未检出</w:t>
            </w:r>
          </w:p>
        </w:tc>
        <w:tc>
          <w:tcPr>
            <w:tcW w:w="1590" w:type="pct"/>
            <w:vAlign w:val="center"/>
          </w:tcPr>
          <w:p w14:paraId="1EBDD0C0">
            <w:pPr>
              <w:kinsoku w:val="0"/>
              <w:overflowPunct w:val="0"/>
              <w:autoSpaceDE w:val="0"/>
              <w:autoSpaceDN w:val="0"/>
              <w:adjustRightInd w:val="0"/>
              <w:snapToGrid w:val="0"/>
              <w:spacing w:line="300" w:lineRule="exact"/>
              <w:jc w:val="center"/>
              <w:rPr>
                <w:rFonts w:hint="eastAsia" w:ascii="宋体" w:hAnsi="宋体"/>
                <w:color w:val="auto"/>
                <w:w w:val="99"/>
                <w:kern w:val="0"/>
                <w:szCs w:val="21"/>
              </w:rPr>
            </w:pPr>
            <w:r>
              <w:rPr>
                <w:rFonts w:hint="eastAsia" w:ascii="宋体" w:hAnsi="宋体"/>
                <w:color w:val="auto"/>
                <w:w w:val="99"/>
                <w:kern w:val="0"/>
                <w:szCs w:val="21"/>
              </w:rPr>
              <w:t>未检出</w:t>
            </w:r>
          </w:p>
        </w:tc>
      </w:tr>
      <w:tr w14:paraId="59E8D2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14" w:type="pct"/>
            <w:vMerge w:val="continue"/>
            <w:vAlign w:val="center"/>
          </w:tcPr>
          <w:p w14:paraId="1958495A">
            <w:pPr>
              <w:kinsoku w:val="0"/>
              <w:overflowPunct w:val="0"/>
              <w:autoSpaceDE w:val="0"/>
              <w:autoSpaceDN w:val="0"/>
              <w:adjustRightInd w:val="0"/>
              <w:snapToGrid w:val="0"/>
              <w:spacing w:line="300" w:lineRule="exact"/>
              <w:jc w:val="center"/>
              <w:rPr>
                <w:rFonts w:hint="eastAsia" w:ascii="宋体" w:hAnsi="宋体" w:cs="宋体"/>
                <w:b/>
                <w:bCs/>
                <w:color w:val="auto"/>
                <w:kern w:val="0"/>
                <w:szCs w:val="21"/>
              </w:rPr>
            </w:pPr>
          </w:p>
        </w:tc>
        <w:tc>
          <w:tcPr>
            <w:tcW w:w="1054" w:type="pct"/>
            <w:vAlign w:val="center"/>
          </w:tcPr>
          <w:p w14:paraId="6B02D1CB">
            <w:pPr>
              <w:kinsoku w:val="0"/>
              <w:overflowPunct w:val="0"/>
              <w:autoSpaceDE w:val="0"/>
              <w:autoSpaceDN w:val="0"/>
              <w:adjustRightInd w:val="0"/>
              <w:snapToGrid w:val="0"/>
              <w:spacing w:line="300" w:lineRule="exact"/>
              <w:jc w:val="center"/>
              <w:rPr>
                <w:rFonts w:hint="eastAsia" w:ascii="宋体" w:hAnsi="宋体"/>
                <w:color w:val="auto"/>
                <w:kern w:val="0"/>
                <w:position w:val="2"/>
                <w:szCs w:val="21"/>
                <w:vertAlign w:val="subscript"/>
              </w:rPr>
            </w:pPr>
            <w:r>
              <w:rPr>
                <w:rFonts w:hint="eastAsia" w:ascii="宋体" w:hAnsi="宋体" w:cs="宋体"/>
                <w:color w:val="auto"/>
                <w:kern w:val="0"/>
                <w:position w:val="2"/>
                <w:szCs w:val="21"/>
              </w:rPr>
              <w:t>氧</w:t>
            </w:r>
            <w:r>
              <w:rPr>
                <w:rFonts w:ascii="宋体" w:hAnsi="宋体" w:cs="宋体"/>
                <w:color w:val="auto"/>
                <w:kern w:val="0"/>
                <w:position w:val="2"/>
                <w:szCs w:val="21"/>
              </w:rPr>
              <w:t xml:space="preserve"> </w:t>
            </w:r>
            <w:r>
              <w:rPr>
                <w:rFonts w:ascii="宋体" w:hAnsi="宋体"/>
                <w:color w:val="auto"/>
                <w:kern w:val="0"/>
                <w:position w:val="2"/>
                <w:szCs w:val="21"/>
              </w:rPr>
              <w:t>O</w:t>
            </w:r>
            <w:r>
              <w:rPr>
                <w:rFonts w:ascii="宋体" w:hAnsi="宋体"/>
                <w:color w:val="auto"/>
                <w:kern w:val="0"/>
                <w:position w:val="2"/>
                <w:szCs w:val="21"/>
                <w:vertAlign w:val="subscript"/>
              </w:rPr>
              <w:t>2</w:t>
            </w:r>
          </w:p>
        </w:tc>
        <w:tc>
          <w:tcPr>
            <w:tcW w:w="1542" w:type="pct"/>
            <w:vAlign w:val="center"/>
          </w:tcPr>
          <w:p w14:paraId="66373940">
            <w:pPr>
              <w:kinsoku w:val="0"/>
              <w:overflowPunct w:val="0"/>
              <w:autoSpaceDE w:val="0"/>
              <w:autoSpaceDN w:val="0"/>
              <w:adjustRightInd w:val="0"/>
              <w:snapToGrid w:val="0"/>
              <w:spacing w:line="300" w:lineRule="exact"/>
              <w:jc w:val="center"/>
              <w:rPr>
                <w:rFonts w:hint="eastAsia" w:ascii="宋体" w:hAnsi="宋体"/>
                <w:color w:val="auto"/>
                <w:w w:val="99"/>
                <w:kern w:val="0"/>
                <w:szCs w:val="21"/>
              </w:rPr>
            </w:pPr>
            <w:r>
              <w:rPr>
                <w:rFonts w:hint="eastAsia" w:ascii="宋体" w:hAnsi="宋体"/>
                <w:color w:val="auto"/>
                <w:w w:val="99"/>
                <w:kern w:val="0"/>
                <w:szCs w:val="21"/>
              </w:rPr>
              <w:t>0</w:t>
            </w:r>
          </w:p>
        </w:tc>
        <w:tc>
          <w:tcPr>
            <w:tcW w:w="1590" w:type="pct"/>
            <w:vAlign w:val="center"/>
          </w:tcPr>
          <w:p w14:paraId="6F9C4AA7">
            <w:pPr>
              <w:kinsoku w:val="0"/>
              <w:overflowPunct w:val="0"/>
              <w:autoSpaceDE w:val="0"/>
              <w:autoSpaceDN w:val="0"/>
              <w:adjustRightInd w:val="0"/>
              <w:snapToGrid w:val="0"/>
              <w:spacing w:line="300" w:lineRule="exact"/>
              <w:jc w:val="center"/>
              <w:rPr>
                <w:rFonts w:hint="eastAsia" w:ascii="宋体" w:hAnsi="宋体"/>
                <w:color w:val="auto"/>
                <w:w w:val="99"/>
                <w:kern w:val="0"/>
                <w:szCs w:val="21"/>
              </w:rPr>
            </w:pPr>
            <w:r>
              <w:rPr>
                <w:rFonts w:hint="eastAsia" w:ascii="宋体" w:hAnsi="宋体"/>
                <w:color w:val="auto"/>
                <w:w w:val="99"/>
                <w:kern w:val="0"/>
                <w:szCs w:val="21"/>
              </w:rPr>
              <w:t>0</w:t>
            </w:r>
          </w:p>
        </w:tc>
      </w:tr>
    </w:tbl>
    <w:p w14:paraId="53F04ABA">
      <w:pPr>
        <w:pStyle w:val="86"/>
        <w:ind w:firstLine="0" w:firstLineChars="0"/>
        <w:jc w:val="center"/>
        <w:rPr>
          <w:rFonts w:hint="eastAsia"/>
          <w:color w:val="auto"/>
        </w:rPr>
      </w:pPr>
      <w:r>
        <w:rPr>
          <w:rFonts w:hint="eastAsia" w:ascii="黑体" w:hAnsi="黑体" w:eastAsia="黑体"/>
          <w:color w:val="auto"/>
          <w:sz w:val="21"/>
          <w:szCs w:val="21"/>
        </w:rPr>
        <w:t>表3.2-5  原油组分一览表</w:t>
      </w:r>
    </w:p>
    <w:tbl>
      <w:tblPr>
        <w:tblStyle w:val="4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342"/>
        <w:gridCol w:w="2759"/>
        <w:gridCol w:w="2845"/>
      </w:tblGrid>
      <w:tr w14:paraId="3BC86A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68" w:type="pct"/>
            <w:vAlign w:val="center"/>
          </w:tcPr>
          <w:p w14:paraId="446F94BE">
            <w:pPr>
              <w:kinsoku w:val="0"/>
              <w:overflowPunct w:val="0"/>
              <w:autoSpaceDE w:val="0"/>
              <w:autoSpaceDN w:val="0"/>
              <w:adjustRightInd w:val="0"/>
              <w:snapToGrid w:val="0"/>
              <w:spacing w:line="300" w:lineRule="exact"/>
              <w:jc w:val="center"/>
              <w:rPr>
                <w:rFonts w:hint="eastAsia" w:ascii="宋体" w:hAnsi="宋体"/>
                <w:color w:val="auto"/>
                <w:kern w:val="0"/>
                <w:szCs w:val="21"/>
              </w:rPr>
            </w:pPr>
            <w:bookmarkStart w:id="214" w:name="_Hlk219805919"/>
            <w:r>
              <w:rPr>
                <w:rFonts w:hint="eastAsia" w:ascii="宋体" w:hAnsi="宋体"/>
                <w:color w:val="auto"/>
                <w:kern w:val="0"/>
                <w:szCs w:val="21"/>
              </w:rPr>
              <w:t>井号</w:t>
            </w:r>
          </w:p>
        </w:tc>
        <w:tc>
          <w:tcPr>
            <w:tcW w:w="1542" w:type="pct"/>
            <w:vAlign w:val="center"/>
          </w:tcPr>
          <w:p w14:paraId="07AA0855">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莫27井、莫172H井</w:t>
            </w:r>
          </w:p>
        </w:tc>
        <w:tc>
          <w:tcPr>
            <w:tcW w:w="1590" w:type="pct"/>
            <w:vAlign w:val="center"/>
          </w:tcPr>
          <w:p w14:paraId="210E470C">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莫174H井</w:t>
            </w:r>
          </w:p>
        </w:tc>
      </w:tr>
      <w:bookmarkEnd w:id="214"/>
      <w:tr w14:paraId="551A35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68" w:type="pct"/>
            <w:vAlign w:val="center"/>
          </w:tcPr>
          <w:p w14:paraId="12AE8E95">
            <w:pPr>
              <w:kinsoku w:val="0"/>
              <w:overflowPunct w:val="0"/>
              <w:autoSpaceDE w:val="0"/>
              <w:autoSpaceDN w:val="0"/>
              <w:adjustRightInd w:val="0"/>
              <w:snapToGrid w:val="0"/>
              <w:spacing w:line="300" w:lineRule="exact"/>
              <w:jc w:val="center"/>
              <w:rPr>
                <w:rFonts w:hint="eastAsia" w:ascii="宋体" w:hAnsi="宋体"/>
                <w:snapToGrid w:val="0"/>
                <w:color w:val="auto"/>
                <w:kern w:val="0"/>
                <w:szCs w:val="21"/>
              </w:rPr>
            </w:pPr>
            <w:r>
              <w:rPr>
                <w:rFonts w:hint="eastAsia" w:ascii="宋体" w:hAnsi="宋体"/>
                <w:snapToGrid w:val="0"/>
                <w:color w:val="auto"/>
                <w:kern w:val="0"/>
                <w:szCs w:val="21"/>
              </w:rPr>
              <w:t>密度（</w:t>
            </w:r>
            <w:r>
              <w:rPr>
                <w:rFonts w:ascii="宋体" w:hAnsi="宋体"/>
                <w:snapToGrid w:val="0"/>
                <w:color w:val="auto"/>
                <w:kern w:val="0"/>
                <w:szCs w:val="21"/>
              </w:rPr>
              <w:t>g/cm</w:t>
            </w:r>
            <w:r>
              <w:rPr>
                <w:rFonts w:hint="eastAsia" w:ascii="宋体" w:hAnsi="宋体"/>
                <w:snapToGrid w:val="0"/>
                <w:color w:val="auto"/>
                <w:kern w:val="0"/>
                <w:szCs w:val="21"/>
              </w:rPr>
              <w:t>³）</w:t>
            </w:r>
          </w:p>
        </w:tc>
        <w:tc>
          <w:tcPr>
            <w:tcW w:w="1542" w:type="pct"/>
            <w:vAlign w:val="center"/>
          </w:tcPr>
          <w:p w14:paraId="4DA0AE8A">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0.8606</w:t>
            </w:r>
          </w:p>
        </w:tc>
        <w:tc>
          <w:tcPr>
            <w:tcW w:w="1590" w:type="pct"/>
            <w:vAlign w:val="center"/>
          </w:tcPr>
          <w:p w14:paraId="2854B7C1">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0.7876</w:t>
            </w:r>
          </w:p>
        </w:tc>
      </w:tr>
      <w:tr w14:paraId="4E68FF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68" w:type="pct"/>
            <w:vAlign w:val="center"/>
          </w:tcPr>
          <w:p w14:paraId="69913573">
            <w:pPr>
              <w:kinsoku w:val="0"/>
              <w:overflowPunct w:val="0"/>
              <w:autoSpaceDE w:val="0"/>
              <w:autoSpaceDN w:val="0"/>
              <w:adjustRightInd w:val="0"/>
              <w:snapToGrid w:val="0"/>
              <w:spacing w:line="300" w:lineRule="exact"/>
              <w:jc w:val="center"/>
              <w:rPr>
                <w:rFonts w:hint="eastAsia" w:ascii="宋体" w:hAnsi="宋体"/>
                <w:snapToGrid w:val="0"/>
                <w:color w:val="auto"/>
                <w:kern w:val="0"/>
                <w:szCs w:val="21"/>
              </w:rPr>
            </w:pPr>
            <w:r>
              <w:rPr>
                <w:rFonts w:hint="eastAsia" w:ascii="宋体" w:hAnsi="宋体"/>
                <w:snapToGrid w:val="0"/>
                <w:color w:val="auto"/>
                <w:kern w:val="0"/>
                <w:szCs w:val="21"/>
              </w:rPr>
              <w:t>粘度（</w:t>
            </w:r>
            <w:r>
              <w:rPr>
                <w:rFonts w:ascii="宋体" w:hAnsi="宋体"/>
                <w:snapToGrid w:val="0"/>
                <w:color w:val="auto"/>
                <w:kern w:val="0"/>
                <w:szCs w:val="21"/>
              </w:rPr>
              <w:t>50</w:t>
            </w:r>
            <w:r>
              <w:rPr>
                <w:rFonts w:hint="eastAsia" w:ascii="宋体" w:hAnsi="宋体"/>
                <w:snapToGrid w:val="0"/>
                <w:color w:val="auto"/>
                <w:kern w:val="0"/>
                <w:szCs w:val="21"/>
              </w:rPr>
              <w:t>℃</w:t>
            </w:r>
            <w:r>
              <w:rPr>
                <w:rFonts w:ascii="宋体" w:hAnsi="宋体"/>
                <w:snapToGrid w:val="0"/>
                <w:color w:val="auto"/>
                <w:kern w:val="0"/>
                <w:szCs w:val="21"/>
              </w:rPr>
              <w:t>mPa.s</w:t>
            </w:r>
            <w:r>
              <w:rPr>
                <w:rFonts w:hint="eastAsia" w:ascii="宋体" w:hAnsi="宋体"/>
                <w:snapToGrid w:val="0"/>
                <w:color w:val="auto"/>
                <w:kern w:val="0"/>
                <w:szCs w:val="21"/>
              </w:rPr>
              <w:t>）</w:t>
            </w:r>
          </w:p>
        </w:tc>
        <w:tc>
          <w:tcPr>
            <w:tcW w:w="1542" w:type="pct"/>
            <w:vAlign w:val="center"/>
          </w:tcPr>
          <w:p w14:paraId="02BC78A3">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12.11</w:t>
            </w:r>
          </w:p>
        </w:tc>
        <w:tc>
          <w:tcPr>
            <w:tcW w:w="1590" w:type="pct"/>
            <w:vAlign w:val="center"/>
          </w:tcPr>
          <w:p w14:paraId="136CC25C">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1.11</w:t>
            </w:r>
          </w:p>
        </w:tc>
      </w:tr>
      <w:tr w14:paraId="19FED2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68" w:type="pct"/>
            <w:vAlign w:val="center"/>
          </w:tcPr>
          <w:p w14:paraId="2D16AFBF">
            <w:pPr>
              <w:kinsoku w:val="0"/>
              <w:overflowPunct w:val="0"/>
              <w:autoSpaceDE w:val="0"/>
              <w:autoSpaceDN w:val="0"/>
              <w:adjustRightInd w:val="0"/>
              <w:snapToGrid w:val="0"/>
              <w:spacing w:line="300" w:lineRule="exact"/>
              <w:jc w:val="center"/>
              <w:rPr>
                <w:rFonts w:hint="eastAsia" w:ascii="宋体" w:hAnsi="宋体"/>
                <w:color w:val="auto"/>
                <w:kern w:val="0"/>
                <w:szCs w:val="21"/>
              </w:rPr>
            </w:pPr>
            <w:bookmarkStart w:id="215" w:name="OLE_LINK22"/>
            <w:r>
              <w:rPr>
                <w:rFonts w:hint="eastAsia" w:ascii="宋体" w:hAnsi="宋体"/>
                <w:color w:val="auto"/>
                <w:kern w:val="0"/>
                <w:szCs w:val="21"/>
              </w:rPr>
              <w:t>含蜡量（</w:t>
            </w:r>
            <w:r>
              <w:rPr>
                <w:rFonts w:ascii="宋体" w:hAnsi="宋体"/>
                <w:color w:val="auto"/>
                <w:kern w:val="0"/>
                <w:szCs w:val="21"/>
              </w:rPr>
              <w:t>%</w:t>
            </w:r>
            <w:r>
              <w:rPr>
                <w:rFonts w:hint="eastAsia" w:ascii="宋体" w:hAnsi="宋体"/>
                <w:color w:val="auto"/>
                <w:kern w:val="0"/>
                <w:szCs w:val="21"/>
              </w:rPr>
              <w:t>）</w:t>
            </w:r>
            <w:bookmarkEnd w:id="215"/>
          </w:p>
        </w:tc>
        <w:tc>
          <w:tcPr>
            <w:tcW w:w="1542" w:type="pct"/>
            <w:vAlign w:val="center"/>
          </w:tcPr>
          <w:p w14:paraId="5A610182">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7</w:t>
            </w:r>
          </w:p>
        </w:tc>
        <w:tc>
          <w:tcPr>
            <w:tcW w:w="1590" w:type="pct"/>
            <w:vAlign w:val="center"/>
          </w:tcPr>
          <w:p w14:paraId="5683D13C">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2.46</w:t>
            </w:r>
          </w:p>
        </w:tc>
      </w:tr>
      <w:tr w14:paraId="2AC703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68" w:type="pct"/>
            <w:vAlign w:val="center"/>
          </w:tcPr>
          <w:p w14:paraId="5FCCFBBC">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Cs w:val="21"/>
              </w:rPr>
              <w:t>含水量（</w:t>
            </w:r>
            <w:r>
              <w:rPr>
                <w:rFonts w:ascii="宋体" w:hAnsi="宋体"/>
                <w:color w:val="auto"/>
                <w:kern w:val="0"/>
                <w:szCs w:val="21"/>
              </w:rPr>
              <w:t>%</w:t>
            </w:r>
            <w:r>
              <w:rPr>
                <w:rFonts w:hint="eastAsia" w:ascii="宋体" w:hAnsi="宋体"/>
                <w:color w:val="auto"/>
                <w:kern w:val="0"/>
                <w:szCs w:val="21"/>
              </w:rPr>
              <w:t>）</w:t>
            </w:r>
          </w:p>
        </w:tc>
        <w:tc>
          <w:tcPr>
            <w:tcW w:w="1542" w:type="pct"/>
            <w:vAlign w:val="center"/>
          </w:tcPr>
          <w:p w14:paraId="55E25248">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 w:val="20"/>
                <w:szCs w:val="21"/>
              </w:rPr>
              <w:t>74.9</w:t>
            </w:r>
          </w:p>
        </w:tc>
        <w:tc>
          <w:tcPr>
            <w:tcW w:w="1590" w:type="pct"/>
            <w:vAlign w:val="center"/>
          </w:tcPr>
          <w:p w14:paraId="667B7F14">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 w:val="20"/>
                <w:szCs w:val="21"/>
              </w:rPr>
              <w:t>/</w:t>
            </w:r>
          </w:p>
        </w:tc>
      </w:tr>
      <w:tr w14:paraId="5FCDA4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68" w:type="pct"/>
            <w:vAlign w:val="center"/>
          </w:tcPr>
          <w:p w14:paraId="2FEA7C29">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凝固点（℃）</w:t>
            </w:r>
          </w:p>
        </w:tc>
        <w:tc>
          <w:tcPr>
            <w:tcW w:w="1542" w:type="pct"/>
            <w:vAlign w:val="center"/>
          </w:tcPr>
          <w:p w14:paraId="51AA07D0">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12</w:t>
            </w:r>
          </w:p>
        </w:tc>
        <w:tc>
          <w:tcPr>
            <w:tcW w:w="1590" w:type="pct"/>
            <w:vAlign w:val="center"/>
          </w:tcPr>
          <w:p w14:paraId="02FA8504">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w:t>
            </w:r>
          </w:p>
        </w:tc>
      </w:tr>
      <w:tr w14:paraId="301D6AE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868" w:type="pct"/>
            <w:vAlign w:val="center"/>
          </w:tcPr>
          <w:p w14:paraId="6F36195D">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初馏点（℃）</w:t>
            </w:r>
          </w:p>
        </w:tc>
        <w:tc>
          <w:tcPr>
            <w:tcW w:w="1542" w:type="pct"/>
            <w:vAlign w:val="center"/>
          </w:tcPr>
          <w:p w14:paraId="0977FDCC">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152</w:t>
            </w:r>
          </w:p>
        </w:tc>
        <w:tc>
          <w:tcPr>
            <w:tcW w:w="1590" w:type="pct"/>
            <w:vAlign w:val="center"/>
          </w:tcPr>
          <w:p w14:paraId="5B503C12">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126</w:t>
            </w:r>
          </w:p>
        </w:tc>
      </w:tr>
    </w:tbl>
    <w:p w14:paraId="739A52F7">
      <w:pPr>
        <w:pStyle w:val="86"/>
        <w:ind w:firstLine="0" w:firstLineChars="0"/>
        <w:jc w:val="center"/>
        <w:rPr>
          <w:rFonts w:hint="eastAsia"/>
          <w:color w:val="auto"/>
        </w:rPr>
      </w:pPr>
      <w:r>
        <w:rPr>
          <w:rFonts w:hint="eastAsia" w:ascii="黑体" w:hAnsi="黑体" w:eastAsia="黑体"/>
          <w:color w:val="auto"/>
          <w:sz w:val="21"/>
          <w:szCs w:val="21"/>
        </w:rPr>
        <w:t>表3.2-6  采出水组分一览表</w:t>
      </w:r>
    </w:p>
    <w:tbl>
      <w:tblPr>
        <w:tblStyle w:val="4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503"/>
        <w:gridCol w:w="4443"/>
      </w:tblGrid>
      <w:tr w14:paraId="70A849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517" w:type="pct"/>
            <w:vAlign w:val="center"/>
          </w:tcPr>
          <w:p w14:paraId="026DB908">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井号</w:t>
            </w:r>
          </w:p>
        </w:tc>
        <w:tc>
          <w:tcPr>
            <w:tcW w:w="2483" w:type="pct"/>
            <w:vAlign w:val="center"/>
          </w:tcPr>
          <w:p w14:paraId="46601F94">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莫27井、</w:t>
            </w:r>
            <w:r>
              <w:rPr>
                <w:rFonts w:ascii="宋体" w:hAnsi="宋体"/>
                <w:color w:val="auto"/>
                <w:kern w:val="0"/>
                <w:szCs w:val="21"/>
              </w:rPr>
              <w:t>莫172H井</w:t>
            </w:r>
            <w:r>
              <w:rPr>
                <w:rFonts w:hint="eastAsia" w:ascii="宋体" w:hAnsi="宋体"/>
                <w:color w:val="auto"/>
                <w:kern w:val="0"/>
                <w:szCs w:val="21"/>
              </w:rPr>
              <w:t>和</w:t>
            </w:r>
            <w:r>
              <w:rPr>
                <w:rFonts w:ascii="宋体" w:hAnsi="宋体"/>
                <w:color w:val="auto"/>
                <w:kern w:val="0"/>
                <w:szCs w:val="21"/>
              </w:rPr>
              <w:t>莫174H井</w:t>
            </w:r>
          </w:p>
        </w:tc>
      </w:tr>
      <w:tr w14:paraId="3EAF30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517" w:type="pct"/>
            <w:vAlign w:val="center"/>
          </w:tcPr>
          <w:p w14:paraId="0306A7B4">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pH</w:t>
            </w:r>
          </w:p>
        </w:tc>
        <w:tc>
          <w:tcPr>
            <w:tcW w:w="2483" w:type="pct"/>
            <w:vAlign w:val="center"/>
          </w:tcPr>
          <w:p w14:paraId="315C582B">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6.66</w:t>
            </w:r>
          </w:p>
        </w:tc>
      </w:tr>
      <w:tr w14:paraId="27C6B6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517" w:type="pct"/>
            <w:vAlign w:val="center"/>
          </w:tcPr>
          <w:p w14:paraId="61F02EBE">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Cl</w:t>
            </w:r>
            <w:r>
              <w:rPr>
                <w:rFonts w:hint="eastAsia" w:ascii="宋体" w:hAnsi="宋体"/>
                <w:color w:val="auto"/>
                <w:kern w:val="0"/>
                <w:szCs w:val="21"/>
                <w:vertAlign w:val="superscript"/>
              </w:rPr>
              <w:t>-(</w:t>
            </w:r>
            <w:r>
              <w:rPr>
                <w:rFonts w:hint="eastAsia" w:ascii="宋体" w:hAnsi="宋体"/>
                <w:color w:val="auto"/>
                <w:kern w:val="0"/>
                <w:szCs w:val="21"/>
              </w:rPr>
              <w:t>mg/L)</w:t>
            </w:r>
          </w:p>
        </w:tc>
        <w:tc>
          <w:tcPr>
            <w:tcW w:w="2483" w:type="pct"/>
            <w:vAlign w:val="center"/>
          </w:tcPr>
          <w:p w14:paraId="563E1C0B">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2312.88</w:t>
            </w:r>
          </w:p>
        </w:tc>
      </w:tr>
      <w:tr w14:paraId="6181D49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517" w:type="pct"/>
            <w:vAlign w:val="center"/>
          </w:tcPr>
          <w:p w14:paraId="0D618F68">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矿化度（mg/L）</w:t>
            </w:r>
          </w:p>
        </w:tc>
        <w:tc>
          <w:tcPr>
            <w:tcW w:w="2483" w:type="pct"/>
            <w:vAlign w:val="center"/>
          </w:tcPr>
          <w:p w14:paraId="72C743D2">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4138.75</w:t>
            </w:r>
          </w:p>
        </w:tc>
      </w:tr>
      <w:tr w14:paraId="633670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517" w:type="pct"/>
            <w:vAlign w:val="center"/>
          </w:tcPr>
          <w:p w14:paraId="4CC55DBA">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水型</w:t>
            </w:r>
          </w:p>
        </w:tc>
        <w:tc>
          <w:tcPr>
            <w:tcW w:w="2483" w:type="pct"/>
            <w:vAlign w:val="center"/>
          </w:tcPr>
          <w:p w14:paraId="4AA97D3D">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重碳酸钠型</w:t>
            </w:r>
          </w:p>
        </w:tc>
      </w:tr>
      <w:bookmarkEnd w:id="210"/>
      <w:bookmarkEnd w:id="211"/>
    </w:tbl>
    <w:p w14:paraId="3A8FEBDC">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建设内容</w:t>
      </w:r>
    </w:p>
    <w:p w14:paraId="3E5831A9">
      <w:pPr>
        <w:pStyle w:val="86"/>
        <w:adjustRightInd w:val="0"/>
        <w:snapToGrid w:val="0"/>
        <w:ind w:firstLine="480"/>
        <w:rPr>
          <w:rFonts w:hint="eastAsia"/>
          <w:color w:val="auto"/>
        </w:rPr>
      </w:pPr>
      <w:r>
        <w:rPr>
          <w:rFonts w:hint="eastAsia"/>
          <w:color w:val="auto"/>
        </w:rPr>
        <w:t>建设内容包括主体工程、储运工程、公辅工程、依托工程和环保工程五个部分。</w:t>
      </w:r>
    </w:p>
    <w:p w14:paraId="5875F8F5">
      <w:pPr>
        <w:pStyle w:val="86"/>
        <w:adjustRightInd w:val="0"/>
        <w:snapToGrid w:val="0"/>
        <w:ind w:firstLine="480"/>
        <w:rPr>
          <w:rFonts w:hint="eastAsia"/>
          <w:color w:val="auto"/>
        </w:rPr>
      </w:pPr>
      <w:r>
        <w:rPr>
          <w:rFonts w:hint="eastAsia"/>
          <w:color w:val="auto"/>
        </w:rPr>
        <w:t>（1）主体工程</w:t>
      </w:r>
    </w:p>
    <w:p w14:paraId="40DCC3AB">
      <w:pPr>
        <w:pStyle w:val="86"/>
        <w:adjustRightInd w:val="0"/>
        <w:snapToGrid w:val="0"/>
        <w:ind w:firstLine="480"/>
        <w:rPr>
          <w:rFonts w:hint="eastAsia"/>
          <w:color w:val="auto"/>
        </w:rPr>
      </w:pPr>
      <w:r>
        <w:rPr>
          <w:rFonts w:hint="eastAsia"/>
          <w:color w:val="auto"/>
        </w:rPr>
        <w:t>本次拟部署井为评价井转为生产井，主体工程主要包括采油井场、集输工程和浅冷处理装置。</w:t>
      </w:r>
    </w:p>
    <w:p w14:paraId="704B49D7">
      <w:pPr>
        <w:pStyle w:val="86"/>
        <w:adjustRightInd w:val="0"/>
        <w:snapToGrid w:val="0"/>
        <w:ind w:firstLine="480" w:firstLineChars="0"/>
        <w:rPr>
          <w:rFonts w:hint="eastAsia"/>
          <w:color w:val="auto"/>
        </w:rPr>
      </w:pPr>
      <w:r>
        <w:rPr>
          <w:rFonts w:hint="eastAsia"/>
          <w:color w:val="auto"/>
        </w:rPr>
        <w:t>①采</w:t>
      </w:r>
      <w:r>
        <w:rPr>
          <w:rFonts w:hint="eastAsia" w:ascii="Segoe UI Emoji" w:hAnsi="Segoe UI Emoji" w:cs="Segoe UI Emoji"/>
          <w:color w:val="auto"/>
        </w:rPr>
        <w:t>油</w:t>
      </w:r>
      <w:r>
        <w:rPr>
          <w:rFonts w:hint="eastAsia"/>
          <w:color w:val="auto"/>
        </w:rPr>
        <w:t>井场</w:t>
      </w:r>
    </w:p>
    <w:p w14:paraId="135CAB54">
      <w:pPr>
        <w:pStyle w:val="86"/>
        <w:adjustRightInd w:val="0"/>
        <w:snapToGrid w:val="0"/>
        <w:ind w:firstLine="480"/>
        <w:rPr>
          <w:rFonts w:hint="eastAsia" w:ascii="黑体" w:hAnsi="黑体" w:eastAsia="黑体"/>
          <w:color w:val="auto"/>
          <w:sz w:val="21"/>
          <w:szCs w:val="21"/>
        </w:rPr>
      </w:pPr>
      <w:bookmarkStart w:id="216" w:name="_Hlk177507100"/>
      <w:r>
        <w:rPr>
          <w:rFonts w:hint="eastAsia"/>
          <w:color w:val="auto"/>
        </w:rPr>
        <w:t>新建采油井场3座，每座井场设1套井口一体化装置、加热节流装置，</w:t>
      </w:r>
      <w:bookmarkEnd w:id="216"/>
      <w:r>
        <w:rPr>
          <w:rFonts w:hint="eastAsia"/>
          <w:color w:val="auto"/>
        </w:rPr>
        <w:t>每座井场主要设施见表3.2-7，井场平面布置见图3.2-2和图3.2-3。</w:t>
      </w:r>
    </w:p>
    <w:p w14:paraId="6525707B">
      <w:pPr>
        <w:pStyle w:val="86"/>
        <w:ind w:firstLine="0" w:firstLineChars="0"/>
        <w:jc w:val="center"/>
        <w:rPr>
          <w:rFonts w:hint="eastAsia" w:ascii="黑体" w:hAnsi="黑体" w:eastAsia="黑体"/>
          <w:color w:val="auto"/>
          <w:sz w:val="21"/>
          <w:szCs w:val="21"/>
        </w:rPr>
      </w:pPr>
      <w:r>
        <w:rPr>
          <w:rFonts w:hint="eastAsia" w:ascii="黑体" w:hAnsi="黑体" w:eastAsia="黑体"/>
          <w:color w:val="auto"/>
          <w:sz w:val="21"/>
          <w:szCs w:val="21"/>
        </w:rPr>
        <w:t>表3.2-7  项目主要设施情况</w:t>
      </w:r>
    </w:p>
    <w:tbl>
      <w:tblPr>
        <w:tblStyle w:val="4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31"/>
        <w:gridCol w:w="2038"/>
        <w:gridCol w:w="3022"/>
        <w:gridCol w:w="1401"/>
        <w:gridCol w:w="1154"/>
      </w:tblGrid>
      <w:tr w14:paraId="79D9B8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44" w:type="pct"/>
            <w:vAlign w:val="center"/>
          </w:tcPr>
          <w:p w14:paraId="68591D03">
            <w:pPr>
              <w:kinsoku w:val="0"/>
              <w:overflowPunct w:val="0"/>
              <w:autoSpaceDE w:val="0"/>
              <w:autoSpaceDN w:val="0"/>
              <w:adjustRightInd w:val="0"/>
              <w:snapToGrid w:val="0"/>
              <w:spacing w:line="300" w:lineRule="exact"/>
              <w:jc w:val="center"/>
              <w:rPr>
                <w:rFonts w:hint="eastAsia" w:ascii="宋体" w:hAnsi="宋体"/>
                <w:color w:val="auto"/>
                <w:kern w:val="0"/>
                <w:szCs w:val="21"/>
              </w:rPr>
            </w:pPr>
            <w:bookmarkStart w:id="217" w:name="_Hlk159923201"/>
            <w:r>
              <w:rPr>
                <w:rFonts w:hint="eastAsia" w:ascii="宋体" w:hAnsi="宋体"/>
                <w:color w:val="auto"/>
                <w:kern w:val="0"/>
                <w:szCs w:val="21"/>
              </w:rPr>
              <w:t>井号</w:t>
            </w:r>
          </w:p>
        </w:tc>
        <w:tc>
          <w:tcPr>
            <w:tcW w:w="1139" w:type="pct"/>
            <w:vAlign w:val="center"/>
          </w:tcPr>
          <w:p w14:paraId="3DBADF5F">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名称</w:t>
            </w:r>
          </w:p>
        </w:tc>
        <w:tc>
          <w:tcPr>
            <w:tcW w:w="1689" w:type="pct"/>
            <w:vAlign w:val="center"/>
          </w:tcPr>
          <w:p w14:paraId="45180CD6">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型号</w:t>
            </w:r>
          </w:p>
        </w:tc>
        <w:tc>
          <w:tcPr>
            <w:tcW w:w="783" w:type="pct"/>
            <w:vAlign w:val="center"/>
          </w:tcPr>
          <w:p w14:paraId="46B158F7">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数量（套）</w:t>
            </w:r>
          </w:p>
        </w:tc>
        <w:tc>
          <w:tcPr>
            <w:tcW w:w="645" w:type="pct"/>
            <w:vAlign w:val="center"/>
          </w:tcPr>
          <w:p w14:paraId="1CAED2CD">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 w:val="20"/>
                <w:szCs w:val="21"/>
              </w:rPr>
              <w:t>备注</w:t>
            </w:r>
          </w:p>
        </w:tc>
      </w:tr>
      <w:tr w14:paraId="79EBC2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44" w:type="pct"/>
            <w:vMerge w:val="restart"/>
            <w:vAlign w:val="center"/>
          </w:tcPr>
          <w:p w14:paraId="3087B88E">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莫27井</w:t>
            </w:r>
          </w:p>
        </w:tc>
        <w:tc>
          <w:tcPr>
            <w:tcW w:w="1139" w:type="pct"/>
            <w:vAlign w:val="center"/>
          </w:tcPr>
          <w:p w14:paraId="61BFDFF3">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采油树</w:t>
            </w:r>
          </w:p>
        </w:tc>
        <w:tc>
          <w:tcPr>
            <w:tcW w:w="1689" w:type="pct"/>
            <w:vAlign w:val="center"/>
          </w:tcPr>
          <w:p w14:paraId="18FF483E">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KQ78/65-105</w:t>
            </w:r>
          </w:p>
        </w:tc>
        <w:tc>
          <w:tcPr>
            <w:tcW w:w="783" w:type="pct"/>
            <w:vAlign w:val="center"/>
          </w:tcPr>
          <w:p w14:paraId="148339A2">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w:t>
            </w:r>
          </w:p>
        </w:tc>
        <w:tc>
          <w:tcPr>
            <w:tcW w:w="645" w:type="pct"/>
            <w:vAlign w:val="center"/>
          </w:tcPr>
          <w:p w14:paraId="0946BDCB">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 w:val="20"/>
                <w:szCs w:val="21"/>
              </w:rPr>
              <w:t>新建</w:t>
            </w:r>
          </w:p>
        </w:tc>
      </w:tr>
      <w:tr w14:paraId="2EEA88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44" w:type="pct"/>
            <w:vMerge w:val="continue"/>
            <w:vAlign w:val="center"/>
          </w:tcPr>
          <w:p w14:paraId="64870EB9">
            <w:pPr>
              <w:kinsoku w:val="0"/>
              <w:overflowPunct w:val="0"/>
              <w:autoSpaceDE w:val="0"/>
              <w:autoSpaceDN w:val="0"/>
              <w:adjustRightInd w:val="0"/>
              <w:snapToGrid w:val="0"/>
              <w:spacing w:line="300" w:lineRule="exact"/>
              <w:jc w:val="center"/>
              <w:rPr>
                <w:rFonts w:hint="eastAsia" w:ascii="宋体" w:hAnsi="宋体"/>
                <w:color w:val="auto"/>
                <w:kern w:val="0"/>
                <w:szCs w:val="21"/>
              </w:rPr>
            </w:pPr>
          </w:p>
        </w:tc>
        <w:tc>
          <w:tcPr>
            <w:tcW w:w="1139" w:type="pct"/>
            <w:vAlign w:val="center"/>
          </w:tcPr>
          <w:p w14:paraId="2C4CBF87">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紧急切断阀</w:t>
            </w:r>
          </w:p>
        </w:tc>
        <w:tc>
          <w:tcPr>
            <w:tcW w:w="1689" w:type="pct"/>
            <w:vAlign w:val="center"/>
          </w:tcPr>
          <w:p w14:paraId="175C5C3C">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140MPa</w:t>
            </w:r>
          </w:p>
        </w:tc>
        <w:tc>
          <w:tcPr>
            <w:tcW w:w="783" w:type="pct"/>
            <w:vAlign w:val="center"/>
          </w:tcPr>
          <w:p w14:paraId="4D4B3A7F">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w:t>
            </w:r>
          </w:p>
        </w:tc>
        <w:tc>
          <w:tcPr>
            <w:tcW w:w="645" w:type="pct"/>
            <w:vAlign w:val="top"/>
          </w:tcPr>
          <w:p w14:paraId="5A0FE5AA">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 w:val="20"/>
                <w:szCs w:val="21"/>
              </w:rPr>
              <w:t>新建</w:t>
            </w:r>
          </w:p>
        </w:tc>
      </w:tr>
      <w:tr w14:paraId="3323A2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44" w:type="pct"/>
            <w:vMerge w:val="continue"/>
            <w:vAlign w:val="center"/>
          </w:tcPr>
          <w:p w14:paraId="7677AD0B">
            <w:pPr>
              <w:kinsoku w:val="0"/>
              <w:overflowPunct w:val="0"/>
              <w:autoSpaceDE w:val="0"/>
              <w:autoSpaceDN w:val="0"/>
              <w:adjustRightInd w:val="0"/>
              <w:snapToGrid w:val="0"/>
              <w:spacing w:line="300" w:lineRule="exact"/>
              <w:jc w:val="center"/>
              <w:rPr>
                <w:rFonts w:hint="eastAsia" w:ascii="宋体" w:hAnsi="宋体"/>
                <w:color w:val="auto"/>
                <w:kern w:val="0"/>
                <w:szCs w:val="21"/>
              </w:rPr>
            </w:pPr>
          </w:p>
        </w:tc>
        <w:tc>
          <w:tcPr>
            <w:tcW w:w="1139" w:type="pct"/>
            <w:vAlign w:val="center"/>
          </w:tcPr>
          <w:p w14:paraId="683678C1">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数据头</w:t>
            </w:r>
          </w:p>
        </w:tc>
        <w:tc>
          <w:tcPr>
            <w:tcW w:w="1689" w:type="pct"/>
            <w:vAlign w:val="center"/>
          </w:tcPr>
          <w:p w14:paraId="0CC36466">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140</w:t>
            </w:r>
            <w:r>
              <w:rPr>
                <w:rFonts w:ascii="宋体" w:hAnsi="宋体"/>
                <w:color w:val="auto"/>
                <w:kern w:val="0"/>
                <w:szCs w:val="21"/>
              </w:rPr>
              <w:t>MPa</w:t>
            </w:r>
          </w:p>
        </w:tc>
        <w:tc>
          <w:tcPr>
            <w:tcW w:w="783" w:type="pct"/>
            <w:vAlign w:val="center"/>
          </w:tcPr>
          <w:p w14:paraId="3EEF6031">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w:t>
            </w:r>
          </w:p>
        </w:tc>
        <w:tc>
          <w:tcPr>
            <w:tcW w:w="645" w:type="pct"/>
            <w:vAlign w:val="top"/>
          </w:tcPr>
          <w:p w14:paraId="004A080E">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 w:val="20"/>
                <w:szCs w:val="21"/>
              </w:rPr>
              <w:t>新建</w:t>
            </w:r>
          </w:p>
        </w:tc>
      </w:tr>
      <w:tr w14:paraId="42404C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44" w:type="pct"/>
            <w:vMerge w:val="continue"/>
            <w:vAlign w:val="center"/>
          </w:tcPr>
          <w:p w14:paraId="792988A2">
            <w:pPr>
              <w:kinsoku w:val="0"/>
              <w:overflowPunct w:val="0"/>
              <w:autoSpaceDE w:val="0"/>
              <w:autoSpaceDN w:val="0"/>
              <w:adjustRightInd w:val="0"/>
              <w:snapToGrid w:val="0"/>
              <w:spacing w:line="300" w:lineRule="exact"/>
              <w:jc w:val="center"/>
              <w:rPr>
                <w:rFonts w:hint="eastAsia" w:ascii="宋体" w:hAnsi="宋体"/>
                <w:color w:val="auto"/>
                <w:kern w:val="0"/>
                <w:szCs w:val="21"/>
              </w:rPr>
            </w:pPr>
          </w:p>
        </w:tc>
        <w:tc>
          <w:tcPr>
            <w:tcW w:w="1139" w:type="pct"/>
            <w:vAlign w:val="center"/>
          </w:tcPr>
          <w:p w14:paraId="496BA83C">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手动油嘴管汇</w:t>
            </w:r>
          </w:p>
        </w:tc>
        <w:tc>
          <w:tcPr>
            <w:tcW w:w="1689" w:type="pct"/>
            <w:vAlign w:val="center"/>
          </w:tcPr>
          <w:p w14:paraId="4221E987">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105MPa</w:t>
            </w:r>
          </w:p>
        </w:tc>
        <w:tc>
          <w:tcPr>
            <w:tcW w:w="783" w:type="pct"/>
            <w:vAlign w:val="center"/>
          </w:tcPr>
          <w:p w14:paraId="2A08B0D1">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5</w:t>
            </w:r>
          </w:p>
        </w:tc>
        <w:tc>
          <w:tcPr>
            <w:tcW w:w="645" w:type="pct"/>
            <w:vAlign w:val="top"/>
          </w:tcPr>
          <w:p w14:paraId="2A74146C">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 w:val="20"/>
                <w:szCs w:val="21"/>
              </w:rPr>
              <w:t>新建</w:t>
            </w:r>
          </w:p>
        </w:tc>
      </w:tr>
      <w:tr w14:paraId="3407BE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44" w:type="pct"/>
            <w:vMerge w:val="continue"/>
            <w:vAlign w:val="center"/>
          </w:tcPr>
          <w:p w14:paraId="37C5847B">
            <w:pPr>
              <w:kinsoku w:val="0"/>
              <w:overflowPunct w:val="0"/>
              <w:autoSpaceDE w:val="0"/>
              <w:autoSpaceDN w:val="0"/>
              <w:adjustRightInd w:val="0"/>
              <w:snapToGrid w:val="0"/>
              <w:spacing w:line="300" w:lineRule="exact"/>
              <w:jc w:val="center"/>
              <w:rPr>
                <w:rFonts w:hint="eastAsia" w:ascii="宋体" w:hAnsi="宋体"/>
                <w:color w:val="auto"/>
                <w:kern w:val="0"/>
                <w:szCs w:val="21"/>
              </w:rPr>
            </w:pPr>
          </w:p>
        </w:tc>
        <w:tc>
          <w:tcPr>
            <w:tcW w:w="1139" w:type="pct"/>
            <w:vAlign w:val="center"/>
          </w:tcPr>
          <w:p w14:paraId="2F78328F">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单井采油管线</w:t>
            </w:r>
          </w:p>
        </w:tc>
        <w:tc>
          <w:tcPr>
            <w:tcW w:w="1689" w:type="pct"/>
            <w:vAlign w:val="center"/>
          </w:tcPr>
          <w:p w14:paraId="3138638E">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Φ73×5.5</w:t>
            </w:r>
            <w:r>
              <w:rPr>
                <w:rFonts w:ascii="宋体" w:hAnsi="宋体"/>
                <w:color w:val="auto"/>
                <w:kern w:val="0"/>
                <w:szCs w:val="21"/>
              </w:rPr>
              <w:t xml:space="preserve"> </w:t>
            </w:r>
            <w:r>
              <w:rPr>
                <w:rFonts w:hint="eastAsia" w:ascii="宋体" w:hAnsi="宋体"/>
                <w:color w:val="auto"/>
                <w:kern w:val="0"/>
                <w:szCs w:val="21"/>
              </w:rPr>
              <w:t>10MPa</w:t>
            </w:r>
          </w:p>
        </w:tc>
        <w:tc>
          <w:tcPr>
            <w:tcW w:w="783" w:type="pct"/>
            <w:vAlign w:val="center"/>
          </w:tcPr>
          <w:p w14:paraId="5B4FFCA0">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1090m</w:t>
            </w:r>
          </w:p>
        </w:tc>
        <w:tc>
          <w:tcPr>
            <w:tcW w:w="645" w:type="pct"/>
            <w:vAlign w:val="center"/>
          </w:tcPr>
          <w:p w14:paraId="269B6F40">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 w:val="20"/>
                <w:szCs w:val="21"/>
              </w:rPr>
              <w:t>新建</w:t>
            </w:r>
          </w:p>
        </w:tc>
      </w:tr>
      <w:tr w14:paraId="524A11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44" w:type="pct"/>
            <w:vMerge w:val="restart"/>
            <w:vAlign w:val="center"/>
          </w:tcPr>
          <w:p w14:paraId="2811A281">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莫172H井</w:t>
            </w:r>
          </w:p>
        </w:tc>
        <w:tc>
          <w:tcPr>
            <w:tcW w:w="1139" w:type="pct"/>
            <w:vAlign w:val="center"/>
          </w:tcPr>
          <w:p w14:paraId="4793FCCA">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采油树</w:t>
            </w:r>
          </w:p>
        </w:tc>
        <w:tc>
          <w:tcPr>
            <w:tcW w:w="1689" w:type="pct"/>
            <w:vAlign w:val="center"/>
          </w:tcPr>
          <w:p w14:paraId="1355A7A1">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KQ78/65-105</w:t>
            </w:r>
          </w:p>
        </w:tc>
        <w:tc>
          <w:tcPr>
            <w:tcW w:w="783" w:type="pct"/>
            <w:vAlign w:val="center"/>
          </w:tcPr>
          <w:p w14:paraId="580C8196">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w:t>
            </w:r>
          </w:p>
        </w:tc>
        <w:tc>
          <w:tcPr>
            <w:tcW w:w="645" w:type="pct"/>
            <w:vAlign w:val="center"/>
          </w:tcPr>
          <w:p w14:paraId="72D436E0">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 w:val="20"/>
                <w:szCs w:val="21"/>
              </w:rPr>
              <w:t>新建</w:t>
            </w:r>
          </w:p>
        </w:tc>
      </w:tr>
      <w:tr w14:paraId="2F7B5A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44" w:type="pct"/>
            <w:vMerge w:val="continue"/>
            <w:vAlign w:val="center"/>
          </w:tcPr>
          <w:p w14:paraId="7EA0A585">
            <w:pPr>
              <w:kinsoku w:val="0"/>
              <w:overflowPunct w:val="0"/>
              <w:autoSpaceDE w:val="0"/>
              <w:autoSpaceDN w:val="0"/>
              <w:adjustRightInd w:val="0"/>
              <w:snapToGrid w:val="0"/>
              <w:spacing w:line="300" w:lineRule="exact"/>
              <w:jc w:val="center"/>
              <w:rPr>
                <w:rFonts w:hint="eastAsia" w:ascii="宋体" w:hAnsi="宋体"/>
                <w:color w:val="auto"/>
                <w:kern w:val="0"/>
                <w:szCs w:val="21"/>
              </w:rPr>
            </w:pPr>
          </w:p>
        </w:tc>
        <w:tc>
          <w:tcPr>
            <w:tcW w:w="1139" w:type="pct"/>
            <w:vAlign w:val="center"/>
          </w:tcPr>
          <w:p w14:paraId="73FAC943">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紧急切断阀</w:t>
            </w:r>
          </w:p>
        </w:tc>
        <w:tc>
          <w:tcPr>
            <w:tcW w:w="1689" w:type="pct"/>
            <w:vAlign w:val="center"/>
          </w:tcPr>
          <w:p w14:paraId="7708098B">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140MPa</w:t>
            </w:r>
          </w:p>
        </w:tc>
        <w:tc>
          <w:tcPr>
            <w:tcW w:w="783" w:type="pct"/>
            <w:vAlign w:val="center"/>
          </w:tcPr>
          <w:p w14:paraId="0A632398">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w:t>
            </w:r>
          </w:p>
        </w:tc>
        <w:tc>
          <w:tcPr>
            <w:tcW w:w="645" w:type="pct"/>
            <w:vAlign w:val="top"/>
          </w:tcPr>
          <w:p w14:paraId="185928B5">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 w:val="20"/>
                <w:szCs w:val="21"/>
              </w:rPr>
              <w:t>新建</w:t>
            </w:r>
          </w:p>
        </w:tc>
      </w:tr>
      <w:tr w14:paraId="0B3E20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44" w:type="pct"/>
            <w:vMerge w:val="continue"/>
            <w:vAlign w:val="center"/>
          </w:tcPr>
          <w:p w14:paraId="2A5958C1">
            <w:pPr>
              <w:kinsoku w:val="0"/>
              <w:overflowPunct w:val="0"/>
              <w:autoSpaceDE w:val="0"/>
              <w:autoSpaceDN w:val="0"/>
              <w:adjustRightInd w:val="0"/>
              <w:snapToGrid w:val="0"/>
              <w:spacing w:line="300" w:lineRule="exact"/>
              <w:jc w:val="center"/>
              <w:rPr>
                <w:rFonts w:hint="eastAsia" w:ascii="宋体" w:hAnsi="宋体"/>
                <w:color w:val="auto"/>
                <w:kern w:val="0"/>
                <w:szCs w:val="21"/>
              </w:rPr>
            </w:pPr>
          </w:p>
        </w:tc>
        <w:tc>
          <w:tcPr>
            <w:tcW w:w="1139" w:type="pct"/>
            <w:vAlign w:val="center"/>
          </w:tcPr>
          <w:p w14:paraId="40AEABBF">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数据头</w:t>
            </w:r>
          </w:p>
        </w:tc>
        <w:tc>
          <w:tcPr>
            <w:tcW w:w="1689" w:type="pct"/>
            <w:vAlign w:val="center"/>
          </w:tcPr>
          <w:p w14:paraId="07FF8ABE">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140</w:t>
            </w:r>
            <w:r>
              <w:rPr>
                <w:rFonts w:ascii="宋体" w:hAnsi="宋体"/>
                <w:color w:val="auto"/>
                <w:kern w:val="0"/>
                <w:szCs w:val="21"/>
              </w:rPr>
              <w:t>MPa</w:t>
            </w:r>
          </w:p>
        </w:tc>
        <w:tc>
          <w:tcPr>
            <w:tcW w:w="783" w:type="pct"/>
            <w:vAlign w:val="center"/>
          </w:tcPr>
          <w:p w14:paraId="717A5205">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w:t>
            </w:r>
          </w:p>
        </w:tc>
        <w:tc>
          <w:tcPr>
            <w:tcW w:w="645" w:type="pct"/>
            <w:vAlign w:val="top"/>
          </w:tcPr>
          <w:p w14:paraId="7CA97017">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 w:val="20"/>
                <w:szCs w:val="21"/>
              </w:rPr>
              <w:t>新建</w:t>
            </w:r>
          </w:p>
        </w:tc>
      </w:tr>
      <w:tr w14:paraId="053B56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44" w:type="pct"/>
            <w:vMerge w:val="continue"/>
            <w:vAlign w:val="center"/>
          </w:tcPr>
          <w:p w14:paraId="696A5D93">
            <w:pPr>
              <w:kinsoku w:val="0"/>
              <w:overflowPunct w:val="0"/>
              <w:autoSpaceDE w:val="0"/>
              <w:autoSpaceDN w:val="0"/>
              <w:adjustRightInd w:val="0"/>
              <w:snapToGrid w:val="0"/>
              <w:spacing w:line="300" w:lineRule="exact"/>
              <w:jc w:val="center"/>
              <w:rPr>
                <w:rFonts w:hint="eastAsia" w:ascii="宋体" w:hAnsi="宋体"/>
                <w:color w:val="auto"/>
                <w:kern w:val="0"/>
                <w:szCs w:val="21"/>
              </w:rPr>
            </w:pPr>
          </w:p>
        </w:tc>
        <w:tc>
          <w:tcPr>
            <w:tcW w:w="1139" w:type="pct"/>
            <w:vAlign w:val="center"/>
          </w:tcPr>
          <w:p w14:paraId="3094B94E">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手动油嘴管汇</w:t>
            </w:r>
          </w:p>
        </w:tc>
        <w:tc>
          <w:tcPr>
            <w:tcW w:w="1689" w:type="pct"/>
            <w:vAlign w:val="center"/>
          </w:tcPr>
          <w:p w14:paraId="5495A433">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105MPa</w:t>
            </w:r>
          </w:p>
        </w:tc>
        <w:tc>
          <w:tcPr>
            <w:tcW w:w="783" w:type="pct"/>
            <w:vAlign w:val="center"/>
          </w:tcPr>
          <w:p w14:paraId="0BC92195">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5</w:t>
            </w:r>
          </w:p>
        </w:tc>
        <w:tc>
          <w:tcPr>
            <w:tcW w:w="645" w:type="pct"/>
            <w:vAlign w:val="top"/>
          </w:tcPr>
          <w:p w14:paraId="3E19F791">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 w:val="20"/>
                <w:szCs w:val="21"/>
              </w:rPr>
              <w:t>新建</w:t>
            </w:r>
          </w:p>
        </w:tc>
      </w:tr>
      <w:tr w14:paraId="1556DA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44" w:type="pct"/>
            <w:vMerge w:val="restart"/>
            <w:vAlign w:val="center"/>
          </w:tcPr>
          <w:p w14:paraId="5071A099">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莫174H井</w:t>
            </w:r>
          </w:p>
        </w:tc>
        <w:tc>
          <w:tcPr>
            <w:tcW w:w="1139" w:type="pct"/>
            <w:vAlign w:val="center"/>
          </w:tcPr>
          <w:p w14:paraId="322AE759">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采油树</w:t>
            </w:r>
          </w:p>
        </w:tc>
        <w:tc>
          <w:tcPr>
            <w:tcW w:w="1689" w:type="pct"/>
            <w:vAlign w:val="center"/>
          </w:tcPr>
          <w:p w14:paraId="32FA0C09">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KQ78/65-105</w:t>
            </w:r>
          </w:p>
        </w:tc>
        <w:tc>
          <w:tcPr>
            <w:tcW w:w="783" w:type="pct"/>
            <w:vAlign w:val="center"/>
          </w:tcPr>
          <w:p w14:paraId="3DAC92C8">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w:t>
            </w:r>
          </w:p>
        </w:tc>
        <w:tc>
          <w:tcPr>
            <w:tcW w:w="645" w:type="pct"/>
            <w:vAlign w:val="center"/>
          </w:tcPr>
          <w:p w14:paraId="2087D082">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 w:val="20"/>
                <w:szCs w:val="21"/>
              </w:rPr>
              <w:t>新建</w:t>
            </w:r>
          </w:p>
        </w:tc>
      </w:tr>
      <w:tr w14:paraId="1EDA20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44" w:type="pct"/>
            <w:vMerge w:val="continue"/>
            <w:vAlign w:val="center"/>
          </w:tcPr>
          <w:p w14:paraId="40094115">
            <w:pPr>
              <w:kinsoku w:val="0"/>
              <w:overflowPunct w:val="0"/>
              <w:autoSpaceDE w:val="0"/>
              <w:autoSpaceDN w:val="0"/>
              <w:adjustRightInd w:val="0"/>
              <w:snapToGrid w:val="0"/>
              <w:spacing w:line="300" w:lineRule="exact"/>
              <w:jc w:val="center"/>
              <w:rPr>
                <w:rFonts w:hint="eastAsia" w:ascii="宋体" w:hAnsi="宋体"/>
                <w:color w:val="auto"/>
                <w:kern w:val="0"/>
                <w:szCs w:val="21"/>
              </w:rPr>
            </w:pPr>
          </w:p>
        </w:tc>
        <w:tc>
          <w:tcPr>
            <w:tcW w:w="1139" w:type="pct"/>
            <w:vAlign w:val="center"/>
          </w:tcPr>
          <w:p w14:paraId="3E12A1A3">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紧急切断阀</w:t>
            </w:r>
          </w:p>
        </w:tc>
        <w:tc>
          <w:tcPr>
            <w:tcW w:w="1689" w:type="pct"/>
            <w:vAlign w:val="center"/>
          </w:tcPr>
          <w:p w14:paraId="6BCFD057">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140MPa</w:t>
            </w:r>
          </w:p>
        </w:tc>
        <w:tc>
          <w:tcPr>
            <w:tcW w:w="783" w:type="pct"/>
            <w:vAlign w:val="center"/>
          </w:tcPr>
          <w:p w14:paraId="1E78898D">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w:t>
            </w:r>
          </w:p>
        </w:tc>
        <w:tc>
          <w:tcPr>
            <w:tcW w:w="645" w:type="pct"/>
            <w:vAlign w:val="top"/>
          </w:tcPr>
          <w:p w14:paraId="1141A816">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 w:val="20"/>
                <w:szCs w:val="21"/>
              </w:rPr>
              <w:t>新建</w:t>
            </w:r>
          </w:p>
        </w:tc>
      </w:tr>
      <w:tr w14:paraId="414B01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44" w:type="pct"/>
            <w:vMerge w:val="continue"/>
            <w:vAlign w:val="center"/>
          </w:tcPr>
          <w:p w14:paraId="312BCC6D">
            <w:pPr>
              <w:kinsoku w:val="0"/>
              <w:overflowPunct w:val="0"/>
              <w:autoSpaceDE w:val="0"/>
              <w:autoSpaceDN w:val="0"/>
              <w:adjustRightInd w:val="0"/>
              <w:snapToGrid w:val="0"/>
              <w:spacing w:line="300" w:lineRule="exact"/>
              <w:jc w:val="center"/>
              <w:rPr>
                <w:rFonts w:hint="eastAsia" w:ascii="宋体" w:hAnsi="宋体"/>
                <w:color w:val="auto"/>
                <w:kern w:val="0"/>
                <w:szCs w:val="21"/>
              </w:rPr>
            </w:pPr>
          </w:p>
        </w:tc>
        <w:tc>
          <w:tcPr>
            <w:tcW w:w="1139" w:type="pct"/>
            <w:vAlign w:val="center"/>
          </w:tcPr>
          <w:p w14:paraId="784E3B06">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数据头</w:t>
            </w:r>
          </w:p>
        </w:tc>
        <w:tc>
          <w:tcPr>
            <w:tcW w:w="1689" w:type="pct"/>
            <w:vAlign w:val="center"/>
          </w:tcPr>
          <w:p w14:paraId="6C3B55AE">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140</w:t>
            </w:r>
            <w:r>
              <w:rPr>
                <w:rFonts w:ascii="宋体" w:hAnsi="宋体"/>
                <w:color w:val="auto"/>
                <w:kern w:val="0"/>
                <w:szCs w:val="21"/>
              </w:rPr>
              <w:t>MPa</w:t>
            </w:r>
          </w:p>
        </w:tc>
        <w:tc>
          <w:tcPr>
            <w:tcW w:w="783" w:type="pct"/>
            <w:vAlign w:val="center"/>
          </w:tcPr>
          <w:p w14:paraId="3B52E1D5">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w:t>
            </w:r>
          </w:p>
        </w:tc>
        <w:tc>
          <w:tcPr>
            <w:tcW w:w="645" w:type="pct"/>
            <w:vAlign w:val="top"/>
          </w:tcPr>
          <w:p w14:paraId="75AE7853">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 w:val="20"/>
                <w:szCs w:val="21"/>
              </w:rPr>
              <w:t>新建</w:t>
            </w:r>
          </w:p>
        </w:tc>
      </w:tr>
      <w:tr w14:paraId="52C5E01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744" w:type="pct"/>
            <w:vMerge w:val="continue"/>
            <w:vAlign w:val="center"/>
          </w:tcPr>
          <w:p w14:paraId="7575896C">
            <w:pPr>
              <w:kinsoku w:val="0"/>
              <w:overflowPunct w:val="0"/>
              <w:autoSpaceDE w:val="0"/>
              <w:autoSpaceDN w:val="0"/>
              <w:adjustRightInd w:val="0"/>
              <w:snapToGrid w:val="0"/>
              <w:spacing w:line="300" w:lineRule="exact"/>
              <w:jc w:val="center"/>
              <w:rPr>
                <w:rFonts w:hint="eastAsia" w:ascii="宋体" w:hAnsi="宋体"/>
                <w:color w:val="auto"/>
                <w:kern w:val="0"/>
                <w:szCs w:val="21"/>
              </w:rPr>
            </w:pPr>
          </w:p>
        </w:tc>
        <w:tc>
          <w:tcPr>
            <w:tcW w:w="1139" w:type="pct"/>
            <w:vAlign w:val="center"/>
          </w:tcPr>
          <w:p w14:paraId="3925EBAC">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手动油嘴管汇</w:t>
            </w:r>
          </w:p>
        </w:tc>
        <w:tc>
          <w:tcPr>
            <w:tcW w:w="1689" w:type="pct"/>
            <w:vAlign w:val="center"/>
          </w:tcPr>
          <w:p w14:paraId="7ECEEDA3">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105MPa</w:t>
            </w:r>
          </w:p>
        </w:tc>
        <w:tc>
          <w:tcPr>
            <w:tcW w:w="783" w:type="pct"/>
            <w:vAlign w:val="center"/>
          </w:tcPr>
          <w:p w14:paraId="637F8358">
            <w:pPr>
              <w:kinsoku w:val="0"/>
              <w:overflowPunct w:val="0"/>
              <w:autoSpaceDE w:val="0"/>
              <w:autoSpaceDN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5</w:t>
            </w:r>
          </w:p>
        </w:tc>
        <w:tc>
          <w:tcPr>
            <w:tcW w:w="645" w:type="pct"/>
            <w:vAlign w:val="top"/>
          </w:tcPr>
          <w:p w14:paraId="2DDEADFF">
            <w:pPr>
              <w:kinsoku w:val="0"/>
              <w:overflowPunct w:val="0"/>
              <w:autoSpaceDE w:val="0"/>
              <w:autoSpaceDN w:val="0"/>
              <w:adjustRightInd w:val="0"/>
              <w:snapToGrid w:val="0"/>
              <w:spacing w:line="300" w:lineRule="exact"/>
              <w:jc w:val="center"/>
              <w:rPr>
                <w:rFonts w:hint="eastAsia" w:ascii="宋体" w:hAnsi="宋体"/>
                <w:color w:val="auto"/>
                <w:kern w:val="0"/>
                <w:sz w:val="20"/>
                <w:szCs w:val="21"/>
              </w:rPr>
            </w:pPr>
            <w:r>
              <w:rPr>
                <w:rFonts w:hint="eastAsia" w:ascii="宋体" w:hAnsi="宋体"/>
                <w:color w:val="auto"/>
                <w:kern w:val="0"/>
                <w:sz w:val="20"/>
                <w:szCs w:val="21"/>
              </w:rPr>
              <w:t>新建</w:t>
            </w:r>
          </w:p>
        </w:tc>
      </w:tr>
      <w:bookmarkEnd w:id="217"/>
    </w:tbl>
    <w:p w14:paraId="0C336F29">
      <w:pPr>
        <w:pStyle w:val="86"/>
        <w:adjustRightInd w:val="0"/>
        <w:snapToGrid w:val="0"/>
        <w:ind w:firstLine="480" w:firstLineChars="0"/>
        <w:rPr>
          <w:rFonts w:hint="eastAsia"/>
          <w:color w:val="auto"/>
        </w:rPr>
      </w:pPr>
      <w:r>
        <w:rPr>
          <w:rFonts w:hint="eastAsia"/>
          <w:color w:val="auto"/>
        </w:rPr>
        <w:t>②单井采油管线</w:t>
      </w:r>
    </w:p>
    <w:p w14:paraId="2C3C3B55">
      <w:pPr>
        <w:pStyle w:val="86"/>
        <w:adjustRightInd w:val="0"/>
        <w:snapToGrid w:val="0"/>
        <w:ind w:firstLine="480" w:firstLineChars="0"/>
        <w:rPr>
          <w:rFonts w:hint="eastAsia"/>
          <w:color w:val="auto"/>
        </w:rPr>
      </w:pPr>
      <w:bookmarkStart w:id="218" w:name="_Hlk177507114"/>
      <w:r>
        <w:rPr>
          <w:rFonts w:hint="eastAsia"/>
          <w:color w:val="auto"/>
        </w:rPr>
        <w:t>新建莫27井至莫172H井的单井采油管线1.09km，依托莫172H井旁天然气浅冷处理装置进行处理。单井采油管线管径为DN50、10MPa，设计温度为60℃，管材为优质碳素结构钢</w:t>
      </w:r>
      <w:r>
        <w:rPr>
          <w:color w:val="auto"/>
        </w:rPr>
        <w:t>20G</w:t>
      </w:r>
      <w:r>
        <w:rPr>
          <w:rFonts w:hint="eastAsia"/>
          <w:color w:val="auto"/>
        </w:rPr>
        <w:t>材质。</w:t>
      </w:r>
      <w:bookmarkEnd w:id="218"/>
      <w:r>
        <w:rPr>
          <w:rFonts w:hint="eastAsia"/>
          <w:color w:val="auto"/>
        </w:rPr>
        <w:t>管线走向见图3.2-4。</w:t>
      </w:r>
    </w:p>
    <w:p w14:paraId="1DBCF1A4">
      <w:pPr>
        <w:spacing w:line="360" w:lineRule="auto"/>
        <w:jc w:val="center"/>
        <w:rPr>
          <w:rFonts w:hint="eastAsia" w:ascii="黑体" w:hAnsi="黑体" w:eastAsia="黑体"/>
          <w:color w:val="auto"/>
          <w:szCs w:val="21"/>
        </w:rPr>
      </w:pPr>
      <w:r>
        <w:rPr>
          <w:color w:val="auto"/>
        </w:rPr>
        <w:drawing>
          <wp:inline distT="0" distB="0" distL="0" distR="0">
            <wp:extent cx="4795520" cy="3097530"/>
            <wp:effectExtent l="0" t="0" r="5080" b="7620"/>
            <wp:docPr id="14713927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92738" name="图片 1"/>
                    <pic:cNvPicPr>
                      <a:picLocks noChangeAspect="1"/>
                    </pic:cNvPicPr>
                  </pic:nvPicPr>
                  <pic:blipFill>
                    <a:blip r:embed="rId54"/>
                    <a:stretch>
                      <a:fillRect/>
                    </a:stretch>
                  </pic:blipFill>
                  <pic:spPr>
                    <a:xfrm>
                      <a:off x="0" y="0"/>
                      <a:ext cx="4801890" cy="3101702"/>
                    </a:xfrm>
                    <a:prstGeom prst="rect">
                      <a:avLst/>
                    </a:prstGeom>
                  </pic:spPr>
                </pic:pic>
              </a:graphicData>
            </a:graphic>
          </wp:inline>
        </w:drawing>
      </w:r>
    </w:p>
    <w:p w14:paraId="748ED82C">
      <w:pPr>
        <w:spacing w:line="500" w:lineRule="exact"/>
        <w:jc w:val="center"/>
        <w:rPr>
          <w:rFonts w:hint="eastAsia" w:ascii="黑体" w:hAnsi="黑体" w:eastAsia="黑体"/>
          <w:color w:val="auto"/>
          <w:szCs w:val="21"/>
        </w:rPr>
      </w:pPr>
      <w:r>
        <w:rPr>
          <w:rFonts w:hint="eastAsia" w:ascii="黑体" w:hAnsi="黑体" w:eastAsia="黑体"/>
          <w:color w:val="auto"/>
          <w:szCs w:val="21"/>
        </w:rPr>
        <w:t>图3.2-2  莫172H井、莫174H井场平面布置示意图</w:t>
      </w:r>
    </w:p>
    <w:p w14:paraId="270807A6">
      <w:pPr>
        <w:jc w:val="center"/>
        <w:rPr>
          <w:rFonts w:hint="eastAsia" w:ascii="黑体" w:hAnsi="黑体" w:eastAsia="黑体"/>
          <w:color w:val="auto"/>
          <w:szCs w:val="21"/>
        </w:rPr>
      </w:pPr>
      <w:r>
        <w:rPr>
          <w:color w:val="auto"/>
        </w:rPr>
        <w:drawing>
          <wp:inline distT="0" distB="0" distL="0" distR="0">
            <wp:extent cx="5017135" cy="3132455"/>
            <wp:effectExtent l="0" t="0" r="0" b="0"/>
            <wp:docPr id="18846047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0475" name="图片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022766" cy="3136025"/>
                    </a:xfrm>
                    <a:prstGeom prst="rect">
                      <a:avLst/>
                    </a:prstGeom>
                    <a:noFill/>
                    <a:ln>
                      <a:noFill/>
                    </a:ln>
                  </pic:spPr>
                </pic:pic>
              </a:graphicData>
            </a:graphic>
          </wp:inline>
        </w:drawing>
      </w:r>
    </w:p>
    <w:p w14:paraId="7A1A21ED">
      <w:pPr>
        <w:spacing w:line="500" w:lineRule="exact"/>
        <w:jc w:val="center"/>
        <w:rPr>
          <w:rFonts w:hint="eastAsia" w:ascii="黑体" w:hAnsi="黑体" w:eastAsia="黑体"/>
          <w:color w:val="auto"/>
          <w:szCs w:val="21"/>
        </w:rPr>
      </w:pPr>
      <w:r>
        <w:rPr>
          <w:rFonts w:hint="eastAsia" w:ascii="黑体" w:hAnsi="黑体" w:eastAsia="黑体"/>
          <w:color w:val="auto"/>
          <w:szCs w:val="21"/>
        </w:rPr>
        <w:t>图3.2-3  井场平面布置示意图</w:t>
      </w:r>
    </w:p>
    <w:p w14:paraId="57946AE5">
      <w:pPr>
        <w:pStyle w:val="329"/>
        <w:spacing w:line="240" w:lineRule="auto"/>
        <w:ind w:firstLine="199" w:firstLineChars="83"/>
        <w:jc w:val="center"/>
        <w:rPr>
          <w:color w:val="auto"/>
        </w:rPr>
      </w:pPr>
      <w:r>
        <w:rPr>
          <w:color w:val="auto"/>
        </w:rPr>
        <w:drawing>
          <wp:inline distT="0" distB="0" distL="0" distR="0">
            <wp:extent cx="4757420" cy="3067685"/>
            <wp:effectExtent l="0" t="0" r="5080" b="0"/>
            <wp:docPr id="11807641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764197" name="图片 1"/>
                    <pic:cNvPicPr>
                      <a:picLocks noChangeAspect="1"/>
                    </pic:cNvPicPr>
                  </pic:nvPicPr>
                  <pic:blipFill>
                    <a:blip r:embed="rId56"/>
                    <a:stretch>
                      <a:fillRect/>
                    </a:stretch>
                  </pic:blipFill>
                  <pic:spPr>
                    <a:xfrm>
                      <a:off x="0" y="0"/>
                      <a:ext cx="4766692" cy="3074052"/>
                    </a:xfrm>
                    <a:prstGeom prst="rect">
                      <a:avLst/>
                    </a:prstGeom>
                  </pic:spPr>
                </pic:pic>
              </a:graphicData>
            </a:graphic>
          </wp:inline>
        </w:drawing>
      </w:r>
    </w:p>
    <w:p w14:paraId="73D5BF4F">
      <w:pPr>
        <w:spacing w:line="500" w:lineRule="exact"/>
        <w:jc w:val="center"/>
        <w:rPr>
          <w:rFonts w:hint="eastAsia" w:ascii="黑体" w:hAnsi="黑体" w:eastAsia="黑体"/>
          <w:color w:val="auto"/>
          <w:szCs w:val="21"/>
        </w:rPr>
      </w:pPr>
      <w:r>
        <w:rPr>
          <w:rFonts w:hint="eastAsia" w:ascii="黑体" w:hAnsi="黑体" w:eastAsia="黑体"/>
          <w:color w:val="auto"/>
          <w:szCs w:val="21"/>
        </w:rPr>
        <w:t>图3.2-4  充装区平面布置示意图</w:t>
      </w:r>
    </w:p>
    <w:p w14:paraId="6A193E05">
      <w:pPr>
        <w:spacing w:line="360" w:lineRule="auto"/>
        <w:jc w:val="center"/>
        <w:rPr>
          <w:rFonts w:hint="eastAsia" w:ascii="黑体" w:hAnsi="黑体" w:eastAsia="黑体"/>
          <w:color w:val="auto"/>
          <w:szCs w:val="21"/>
        </w:rPr>
      </w:pPr>
      <w:r>
        <w:rPr>
          <w:rFonts w:hint="eastAsia" w:ascii="黑体" w:hAnsi="黑体" w:eastAsia="黑体"/>
          <w:color w:val="auto"/>
          <w:szCs w:val="21"/>
        </w:rPr>
        <w:t xml:space="preserve"> </w:t>
      </w:r>
      <w:r>
        <w:rPr>
          <w:color w:val="auto"/>
        </w:rPr>
        <w:drawing>
          <wp:inline distT="0" distB="0" distL="0" distR="0">
            <wp:extent cx="5213350" cy="3428365"/>
            <wp:effectExtent l="0" t="0" r="6350" b="635"/>
            <wp:docPr id="13331214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21459" name="图片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216972" cy="3431369"/>
                    </a:xfrm>
                    <a:prstGeom prst="rect">
                      <a:avLst/>
                    </a:prstGeom>
                    <a:noFill/>
                    <a:ln>
                      <a:noFill/>
                    </a:ln>
                  </pic:spPr>
                </pic:pic>
              </a:graphicData>
            </a:graphic>
          </wp:inline>
        </w:drawing>
      </w:r>
    </w:p>
    <w:p w14:paraId="656D3DA0">
      <w:pPr>
        <w:spacing w:line="500" w:lineRule="exact"/>
        <w:jc w:val="center"/>
        <w:rPr>
          <w:rFonts w:hint="eastAsia" w:ascii="黑体" w:hAnsi="黑体" w:eastAsia="黑体"/>
          <w:color w:val="auto"/>
          <w:szCs w:val="21"/>
        </w:rPr>
      </w:pPr>
      <w:r>
        <w:rPr>
          <w:rFonts w:hint="eastAsia" w:ascii="黑体" w:hAnsi="黑体" w:eastAsia="黑体"/>
          <w:color w:val="auto"/>
          <w:szCs w:val="21"/>
        </w:rPr>
        <w:t>图3.2-4  单井采油管线走向示意图</w:t>
      </w:r>
    </w:p>
    <w:p w14:paraId="2AE20DF9">
      <w:pPr>
        <w:pStyle w:val="86"/>
        <w:adjustRightInd w:val="0"/>
        <w:snapToGrid w:val="0"/>
        <w:ind w:firstLine="480"/>
        <w:rPr>
          <w:rFonts w:hint="eastAsia"/>
          <w:color w:val="auto"/>
        </w:rPr>
      </w:pPr>
      <w:r>
        <w:rPr>
          <w:rFonts w:hint="eastAsia"/>
          <w:color w:val="auto"/>
        </w:rPr>
        <w:t>（3）</w:t>
      </w:r>
      <w:bookmarkStart w:id="219" w:name="OLE_LINK19"/>
      <w:r>
        <w:rPr>
          <w:rFonts w:hint="eastAsia"/>
          <w:color w:val="auto"/>
        </w:rPr>
        <w:t>天然气浅冷处理装置及配套设施</w:t>
      </w:r>
      <w:bookmarkEnd w:id="219"/>
    </w:p>
    <w:p w14:paraId="3D3EE40C">
      <w:pPr>
        <w:pStyle w:val="86"/>
        <w:adjustRightInd w:val="0"/>
        <w:snapToGrid w:val="0"/>
        <w:ind w:firstLine="480"/>
        <w:rPr>
          <w:rFonts w:hint="eastAsia"/>
          <w:color w:val="auto"/>
        </w:rPr>
      </w:pPr>
      <w:r>
        <w:rPr>
          <w:rFonts w:hint="eastAsia"/>
          <w:color w:val="auto"/>
        </w:rPr>
        <w:t>①天然气浅冷处理装置及配套设施</w:t>
      </w:r>
    </w:p>
    <w:p w14:paraId="30BF6AFD">
      <w:pPr>
        <w:pStyle w:val="86"/>
        <w:adjustRightInd w:val="0"/>
        <w:snapToGrid w:val="0"/>
        <w:ind w:firstLine="480"/>
        <w:rPr>
          <w:rFonts w:hint="eastAsia" w:cs="宋体"/>
          <w:color w:val="auto"/>
        </w:rPr>
      </w:pPr>
      <w:r>
        <w:rPr>
          <w:rFonts w:hint="eastAsia"/>
          <w:color w:val="auto"/>
        </w:rPr>
        <w:t>为回收莫17井区中的天然气，本次</w:t>
      </w:r>
      <w:bookmarkStart w:id="220" w:name="_Hlk177507139"/>
      <w:r>
        <w:rPr>
          <w:rFonts w:hint="eastAsia"/>
          <w:color w:val="auto"/>
        </w:rPr>
        <w:t>在莫172H井场内新建1套</w:t>
      </w:r>
      <w:bookmarkStart w:id="221" w:name="OLE_LINK17"/>
      <w:bookmarkStart w:id="222" w:name="OLE_LINK16"/>
      <w:bookmarkStart w:id="223" w:name="OLE_LINK6"/>
      <w:r>
        <w:rPr>
          <w:rFonts w:hint="eastAsia"/>
          <w:color w:val="auto"/>
        </w:rPr>
        <w:t>8</w:t>
      </w:r>
      <w:r>
        <w:rPr>
          <w:rFonts w:hint="eastAsia" w:cs="宋体"/>
          <w:color w:val="auto"/>
        </w:rPr>
        <w:t>×10</w:t>
      </w:r>
      <w:r>
        <w:rPr>
          <w:rFonts w:hint="eastAsia" w:cs="宋体"/>
          <w:color w:val="auto"/>
          <w:vertAlign w:val="superscript"/>
        </w:rPr>
        <w:t>4</w:t>
      </w:r>
      <w:r>
        <w:rPr>
          <w:rFonts w:hint="eastAsia" w:cs="宋体"/>
          <w:color w:val="auto"/>
        </w:rPr>
        <w:t>m</w:t>
      </w:r>
      <w:r>
        <w:rPr>
          <w:rFonts w:hint="eastAsia" w:cs="宋体"/>
          <w:color w:val="auto"/>
          <w:vertAlign w:val="superscript"/>
        </w:rPr>
        <w:t>3</w:t>
      </w:r>
      <w:r>
        <w:rPr>
          <w:rFonts w:hint="eastAsia" w:cs="宋体"/>
          <w:color w:val="auto"/>
        </w:rPr>
        <w:t>/d</w:t>
      </w:r>
      <w:bookmarkEnd w:id="221"/>
      <w:r>
        <w:rPr>
          <w:rFonts w:hint="eastAsia" w:cs="宋体"/>
          <w:color w:val="auto"/>
        </w:rPr>
        <w:t>的</w:t>
      </w:r>
      <w:bookmarkEnd w:id="222"/>
      <w:r>
        <w:rPr>
          <w:rFonts w:hint="eastAsia" w:cs="宋体"/>
          <w:color w:val="auto"/>
        </w:rPr>
        <w:t>天然气浅冷处理装置及配套设施</w:t>
      </w:r>
      <w:bookmarkEnd w:id="223"/>
      <w:r>
        <w:rPr>
          <w:rFonts w:hint="eastAsia" w:cs="宋体"/>
          <w:color w:val="auto"/>
        </w:rPr>
        <w:t>，处理莫27井和莫172H井采出气，</w:t>
      </w:r>
      <w:bookmarkStart w:id="224" w:name="OLE_LINK18"/>
      <w:r>
        <w:rPr>
          <w:rFonts w:hint="eastAsia"/>
          <w:color w:val="auto"/>
        </w:rPr>
        <w:t>在莫174H井场内新建1套3</w:t>
      </w:r>
      <w:r>
        <w:rPr>
          <w:rFonts w:hint="eastAsia" w:cs="宋体"/>
          <w:color w:val="auto"/>
        </w:rPr>
        <w:t>×10</w:t>
      </w:r>
      <w:r>
        <w:rPr>
          <w:rFonts w:hint="eastAsia" w:cs="宋体"/>
          <w:color w:val="auto"/>
          <w:vertAlign w:val="superscript"/>
        </w:rPr>
        <w:t>4</w:t>
      </w:r>
      <w:r>
        <w:rPr>
          <w:rFonts w:hint="eastAsia" w:cs="宋体"/>
          <w:color w:val="auto"/>
        </w:rPr>
        <w:t>m</w:t>
      </w:r>
      <w:r>
        <w:rPr>
          <w:rFonts w:hint="eastAsia" w:cs="宋体"/>
          <w:color w:val="auto"/>
          <w:vertAlign w:val="superscript"/>
        </w:rPr>
        <w:t>3</w:t>
      </w:r>
      <w:r>
        <w:rPr>
          <w:rFonts w:hint="eastAsia" w:cs="宋体"/>
          <w:color w:val="auto"/>
        </w:rPr>
        <w:t>/d的天然气浅冷处理装置及配套设施，对</w:t>
      </w:r>
      <w:r>
        <w:rPr>
          <w:rFonts w:hint="eastAsia"/>
          <w:color w:val="auto"/>
        </w:rPr>
        <w:t>莫17井区</w:t>
      </w:r>
      <w:r>
        <w:rPr>
          <w:rFonts w:hint="eastAsia" w:cs="宋体"/>
          <w:color w:val="auto"/>
        </w:rPr>
        <w:t>的</w:t>
      </w:r>
      <w:bookmarkStart w:id="225" w:name="OLE_LINK34"/>
      <w:r>
        <w:rPr>
          <w:rFonts w:hint="eastAsia" w:cs="宋体"/>
          <w:color w:val="auto"/>
        </w:rPr>
        <w:t>天然气</w:t>
      </w:r>
      <w:bookmarkEnd w:id="225"/>
      <w:r>
        <w:rPr>
          <w:rFonts w:hint="eastAsia" w:cs="宋体"/>
          <w:color w:val="auto"/>
        </w:rPr>
        <w:t>进行处理压缩后，通过CNG槽车装运外售</w:t>
      </w:r>
      <w:bookmarkEnd w:id="224"/>
      <w:r>
        <w:rPr>
          <w:rFonts w:hint="eastAsia" w:cs="宋体"/>
          <w:color w:val="auto"/>
        </w:rPr>
        <w:t>，井场内不设CNG储存设施。</w:t>
      </w:r>
      <w:bookmarkEnd w:id="220"/>
      <w:r>
        <w:rPr>
          <w:rFonts w:hint="eastAsia" w:cs="宋体"/>
          <w:color w:val="auto"/>
        </w:rPr>
        <w:t>搬迁设备均从位于克拉玛依市克拉玛依区克拉玛依市富城天然气有限责任公司的料场拉运至项目区现场，距项目区220km。</w:t>
      </w:r>
    </w:p>
    <w:p w14:paraId="3A784274">
      <w:pPr>
        <w:pStyle w:val="86"/>
        <w:adjustRightInd w:val="0"/>
        <w:snapToGrid w:val="0"/>
        <w:ind w:firstLine="480"/>
        <w:rPr>
          <w:rFonts w:hint="eastAsia" w:cs="宋体"/>
          <w:color w:val="auto"/>
        </w:rPr>
      </w:pPr>
      <w:r>
        <w:rPr>
          <w:rFonts w:hint="eastAsia" w:cs="宋体"/>
          <w:color w:val="auto"/>
        </w:rPr>
        <w:t>主要设备见表3.2-9，平面布置见图3.2-4。</w:t>
      </w:r>
    </w:p>
    <w:p w14:paraId="329A2E1D">
      <w:pPr>
        <w:spacing w:line="500" w:lineRule="exact"/>
        <w:jc w:val="center"/>
        <w:rPr>
          <w:rFonts w:hint="eastAsia" w:ascii="黑体" w:hAnsi="黑体" w:eastAsia="黑体"/>
          <w:color w:val="auto"/>
          <w:szCs w:val="21"/>
        </w:rPr>
      </w:pPr>
      <w:r>
        <w:rPr>
          <w:rFonts w:hint="eastAsia" w:ascii="黑体" w:hAnsi="黑体" w:eastAsia="黑体"/>
          <w:color w:val="auto"/>
          <w:szCs w:val="21"/>
        </w:rPr>
        <w:t>表3.2-9  主要工程量一览表</w:t>
      </w:r>
    </w:p>
    <w:tbl>
      <w:tblPr>
        <w:tblStyle w:val="51"/>
        <w:tblW w:w="4999"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783"/>
        <w:gridCol w:w="2667"/>
        <w:gridCol w:w="3371"/>
        <w:gridCol w:w="1199"/>
        <w:gridCol w:w="923"/>
      </w:tblGrid>
      <w:tr w14:paraId="5D26CF6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00" w:type="pct"/>
            <w:gridSpan w:val="5"/>
            <w:vAlign w:val="center"/>
          </w:tcPr>
          <w:p w14:paraId="5FE7DD6F">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莫172H井场</w:t>
            </w:r>
          </w:p>
        </w:tc>
      </w:tr>
      <w:tr w14:paraId="09BB3E9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34F07C37">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序号</w:t>
            </w:r>
          </w:p>
        </w:tc>
        <w:tc>
          <w:tcPr>
            <w:tcW w:w="1491" w:type="pct"/>
            <w:vAlign w:val="center"/>
          </w:tcPr>
          <w:p w14:paraId="08DA07E0">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设备名称</w:t>
            </w:r>
          </w:p>
        </w:tc>
        <w:tc>
          <w:tcPr>
            <w:tcW w:w="1885" w:type="pct"/>
            <w:vAlign w:val="center"/>
          </w:tcPr>
          <w:p w14:paraId="2F6CD133">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规模或相关参数</w:t>
            </w:r>
          </w:p>
        </w:tc>
        <w:tc>
          <w:tcPr>
            <w:tcW w:w="670" w:type="pct"/>
            <w:vAlign w:val="center"/>
          </w:tcPr>
          <w:p w14:paraId="7CA26D89">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数量（套）</w:t>
            </w:r>
          </w:p>
        </w:tc>
        <w:tc>
          <w:tcPr>
            <w:tcW w:w="513" w:type="pct"/>
            <w:vAlign w:val="center"/>
          </w:tcPr>
          <w:p w14:paraId="7E512311">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备注</w:t>
            </w:r>
          </w:p>
        </w:tc>
      </w:tr>
      <w:tr w14:paraId="1D0F463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6F5CBA42">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1</w:t>
            </w:r>
          </w:p>
        </w:tc>
        <w:tc>
          <w:tcPr>
            <w:tcW w:w="1491" w:type="pct"/>
            <w:vAlign w:val="center"/>
          </w:tcPr>
          <w:p w14:paraId="536277E7">
            <w:pPr>
              <w:spacing w:line="280" w:lineRule="exact"/>
              <w:jc w:val="center"/>
              <w:rPr>
                <w:rFonts w:hint="eastAsia" w:ascii="宋体" w:hAnsi="宋体" w:cs="宋体"/>
                <w:color w:val="auto"/>
                <w:kern w:val="0"/>
                <w:szCs w:val="21"/>
              </w:rPr>
            </w:pPr>
            <w:r>
              <w:rPr>
                <w:rFonts w:ascii="宋体" w:hAnsi="宋体"/>
                <w:color w:val="auto"/>
                <w:szCs w:val="21"/>
              </w:rPr>
              <w:t>三相分离器橇</w:t>
            </w:r>
          </w:p>
        </w:tc>
        <w:tc>
          <w:tcPr>
            <w:tcW w:w="1885" w:type="pct"/>
            <w:vAlign w:val="center"/>
          </w:tcPr>
          <w:p w14:paraId="039EB190">
            <w:pPr>
              <w:spacing w:line="280" w:lineRule="exact"/>
              <w:jc w:val="center"/>
              <w:rPr>
                <w:rFonts w:hint="eastAsia" w:ascii="宋体" w:hAnsi="宋体" w:cs="宋体"/>
                <w:color w:val="auto"/>
                <w:kern w:val="0"/>
                <w:szCs w:val="21"/>
              </w:rPr>
            </w:pPr>
            <w:r>
              <w:rPr>
                <w:rFonts w:ascii="宋体" w:hAnsi="宋体"/>
                <w:color w:val="auto"/>
                <w:szCs w:val="21"/>
              </w:rPr>
              <w:t>Q=6×10</w:t>
            </w:r>
            <w:r>
              <w:rPr>
                <w:rFonts w:ascii="宋体" w:hAnsi="宋体"/>
                <w:color w:val="auto"/>
                <w:szCs w:val="21"/>
                <w:vertAlign w:val="superscript"/>
              </w:rPr>
              <w:t>4</w:t>
            </w:r>
            <w:r>
              <w:rPr>
                <w:rFonts w:ascii="宋体" w:hAnsi="宋体"/>
                <w:color w:val="auto"/>
                <w:szCs w:val="21"/>
              </w:rPr>
              <w:t>Nm</w:t>
            </w:r>
            <w:r>
              <w:rPr>
                <w:rFonts w:ascii="宋体" w:hAnsi="宋体"/>
                <w:color w:val="auto"/>
                <w:szCs w:val="21"/>
                <w:vertAlign w:val="superscript"/>
              </w:rPr>
              <w:t>3</w:t>
            </w:r>
            <w:r>
              <w:rPr>
                <w:rFonts w:ascii="宋体" w:hAnsi="宋体"/>
                <w:color w:val="auto"/>
                <w:szCs w:val="21"/>
              </w:rPr>
              <w:t xml:space="preserve">/d </w:t>
            </w:r>
            <w:r>
              <w:rPr>
                <w:rFonts w:hint="eastAsia" w:ascii="宋体" w:hAnsi="宋体"/>
                <w:color w:val="auto"/>
                <w:szCs w:val="21"/>
              </w:rPr>
              <w:t xml:space="preserve"> </w:t>
            </w:r>
            <w:r>
              <w:rPr>
                <w:rFonts w:ascii="宋体" w:hAnsi="宋体"/>
                <w:color w:val="auto"/>
                <w:szCs w:val="21"/>
              </w:rPr>
              <w:t>P=42MPa</w:t>
            </w:r>
            <w:r>
              <w:rPr>
                <w:rFonts w:hint="eastAsia" w:ascii="宋体" w:hAnsi="宋体"/>
                <w:color w:val="auto"/>
                <w:szCs w:val="21"/>
              </w:rPr>
              <w:t xml:space="preserve">  </w:t>
            </w:r>
            <w:r>
              <w:rPr>
                <w:rFonts w:ascii="宋体" w:hAnsi="宋体"/>
                <w:color w:val="auto"/>
                <w:szCs w:val="21"/>
              </w:rPr>
              <w:t>N=150kW</w:t>
            </w:r>
          </w:p>
        </w:tc>
        <w:tc>
          <w:tcPr>
            <w:tcW w:w="670" w:type="pct"/>
            <w:vAlign w:val="center"/>
          </w:tcPr>
          <w:p w14:paraId="7A0E9037">
            <w:pPr>
              <w:spacing w:line="280" w:lineRule="exact"/>
              <w:jc w:val="center"/>
              <w:rPr>
                <w:rFonts w:hint="eastAsia" w:ascii="宋体" w:hAnsi="宋体" w:cs="宋体"/>
                <w:color w:val="auto"/>
                <w:kern w:val="0"/>
                <w:szCs w:val="21"/>
              </w:rPr>
            </w:pPr>
            <w:r>
              <w:rPr>
                <w:rFonts w:hint="eastAsia" w:ascii="宋体" w:hAnsi="宋体"/>
                <w:color w:val="auto"/>
                <w:szCs w:val="21"/>
              </w:rPr>
              <w:t>1</w:t>
            </w:r>
          </w:p>
        </w:tc>
        <w:tc>
          <w:tcPr>
            <w:tcW w:w="513" w:type="pct"/>
            <w:vAlign w:val="center"/>
          </w:tcPr>
          <w:p w14:paraId="1BBF82F2">
            <w:pPr>
              <w:spacing w:line="280" w:lineRule="exact"/>
              <w:jc w:val="center"/>
              <w:rPr>
                <w:rFonts w:hint="eastAsia" w:ascii="宋体" w:hAnsi="宋体" w:cs="宋体"/>
                <w:color w:val="auto"/>
                <w:kern w:val="0"/>
                <w:szCs w:val="21"/>
              </w:rPr>
            </w:pPr>
            <w:r>
              <w:rPr>
                <w:rFonts w:hint="eastAsia" w:ascii="宋体" w:hAnsi="宋体"/>
                <w:color w:val="auto"/>
                <w:szCs w:val="21"/>
              </w:rPr>
              <w:t>搬迁</w:t>
            </w:r>
          </w:p>
        </w:tc>
      </w:tr>
      <w:tr w14:paraId="4D7F800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6E05B70B">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2</w:t>
            </w:r>
          </w:p>
        </w:tc>
        <w:tc>
          <w:tcPr>
            <w:tcW w:w="1491" w:type="pct"/>
            <w:vAlign w:val="center"/>
          </w:tcPr>
          <w:p w14:paraId="6C4C25FE">
            <w:pPr>
              <w:spacing w:line="280" w:lineRule="exact"/>
              <w:jc w:val="center"/>
              <w:rPr>
                <w:rFonts w:hint="eastAsia" w:ascii="宋体" w:hAnsi="宋体" w:cs="宋体"/>
                <w:color w:val="auto"/>
                <w:kern w:val="0"/>
                <w:szCs w:val="21"/>
              </w:rPr>
            </w:pPr>
            <w:r>
              <w:rPr>
                <w:rFonts w:ascii="宋体" w:hAnsi="宋体"/>
                <w:color w:val="auto"/>
                <w:szCs w:val="21"/>
              </w:rPr>
              <w:t>三相分离器橇</w:t>
            </w:r>
          </w:p>
        </w:tc>
        <w:tc>
          <w:tcPr>
            <w:tcW w:w="1885" w:type="pct"/>
            <w:vAlign w:val="center"/>
          </w:tcPr>
          <w:p w14:paraId="405A6AFF">
            <w:pPr>
              <w:spacing w:line="280" w:lineRule="exact"/>
              <w:jc w:val="center"/>
              <w:rPr>
                <w:rFonts w:hint="eastAsia" w:ascii="宋体" w:hAnsi="宋体" w:cs="宋体"/>
                <w:color w:val="auto"/>
                <w:kern w:val="0"/>
                <w:szCs w:val="21"/>
              </w:rPr>
            </w:pPr>
            <w:r>
              <w:rPr>
                <w:rFonts w:ascii="宋体" w:hAnsi="宋体"/>
                <w:color w:val="auto"/>
                <w:szCs w:val="21"/>
              </w:rPr>
              <w:t>Q=1.5×10</w:t>
            </w:r>
            <w:r>
              <w:rPr>
                <w:rFonts w:ascii="宋体" w:hAnsi="宋体"/>
                <w:color w:val="auto"/>
                <w:szCs w:val="21"/>
                <w:vertAlign w:val="superscript"/>
              </w:rPr>
              <w:t>4</w:t>
            </w:r>
            <w:r>
              <w:rPr>
                <w:rFonts w:ascii="宋体" w:hAnsi="宋体"/>
                <w:color w:val="auto"/>
                <w:szCs w:val="21"/>
              </w:rPr>
              <w:t>Nm</w:t>
            </w:r>
            <w:r>
              <w:rPr>
                <w:rFonts w:ascii="宋体" w:hAnsi="宋体"/>
                <w:color w:val="auto"/>
                <w:szCs w:val="21"/>
                <w:vertAlign w:val="superscript"/>
              </w:rPr>
              <w:t>3</w:t>
            </w:r>
            <w:r>
              <w:rPr>
                <w:rFonts w:ascii="宋体" w:hAnsi="宋体"/>
                <w:color w:val="auto"/>
                <w:szCs w:val="21"/>
              </w:rPr>
              <w:t xml:space="preserve">/d </w:t>
            </w:r>
            <w:r>
              <w:rPr>
                <w:rFonts w:hint="eastAsia" w:ascii="宋体" w:hAnsi="宋体"/>
                <w:color w:val="auto"/>
                <w:szCs w:val="21"/>
              </w:rPr>
              <w:t xml:space="preserve"> </w:t>
            </w:r>
            <w:r>
              <w:rPr>
                <w:rFonts w:ascii="宋体" w:hAnsi="宋体"/>
                <w:color w:val="auto"/>
                <w:szCs w:val="21"/>
              </w:rPr>
              <w:t>P=42MPa</w:t>
            </w:r>
            <w:r>
              <w:rPr>
                <w:rFonts w:hint="eastAsia" w:ascii="宋体" w:hAnsi="宋体"/>
                <w:color w:val="auto"/>
                <w:szCs w:val="21"/>
              </w:rPr>
              <w:t xml:space="preserve"> </w:t>
            </w:r>
            <w:r>
              <w:rPr>
                <w:rFonts w:ascii="宋体" w:hAnsi="宋体"/>
                <w:color w:val="auto"/>
                <w:szCs w:val="21"/>
              </w:rPr>
              <w:t>N=200kW</w:t>
            </w:r>
          </w:p>
        </w:tc>
        <w:tc>
          <w:tcPr>
            <w:tcW w:w="670" w:type="pct"/>
            <w:vAlign w:val="center"/>
          </w:tcPr>
          <w:p w14:paraId="67C79DDD">
            <w:pPr>
              <w:spacing w:line="280" w:lineRule="exact"/>
              <w:jc w:val="center"/>
              <w:rPr>
                <w:rFonts w:hint="eastAsia" w:ascii="宋体" w:hAnsi="宋体" w:cs="宋体"/>
                <w:color w:val="auto"/>
                <w:kern w:val="0"/>
                <w:szCs w:val="21"/>
              </w:rPr>
            </w:pPr>
            <w:r>
              <w:rPr>
                <w:rFonts w:hint="eastAsia" w:ascii="宋体" w:hAnsi="宋体"/>
                <w:color w:val="auto"/>
                <w:szCs w:val="21"/>
              </w:rPr>
              <w:t>1</w:t>
            </w:r>
          </w:p>
        </w:tc>
        <w:tc>
          <w:tcPr>
            <w:tcW w:w="513" w:type="pct"/>
          </w:tcPr>
          <w:p w14:paraId="70001055">
            <w:pPr>
              <w:spacing w:line="280" w:lineRule="exact"/>
              <w:jc w:val="center"/>
              <w:rPr>
                <w:rFonts w:hint="eastAsia" w:ascii="宋体" w:hAnsi="宋体" w:cs="宋体"/>
                <w:color w:val="auto"/>
                <w:kern w:val="0"/>
                <w:szCs w:val="21"/>
              </w:rPr>
            </w:pPr>
            <w:r>
              <w:rPr>
                <w:rFonts w:hint="eastAsia" w:ascii="宋体" w:hAnsi="宋体"/>
                <w:color w:val="auto"/>
                <w:szCs w:val="21"/>
              </w:rPr>
              <w:t>搬迁</w:t>
            </w:r>
          </w:p>
        </w:tc>
      </w:tr>
      <w:tr w14:paraId="4C6A467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2F6006E1">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3</w:t>
            </w:r>
          </w:p>
        </w:tc>
        <w:tc>
          <w:tcPr>
            <w:tcW w:w="1491" w:type="pct"/>
            <w:vAlign w:val="center"/>
          </w:tcPr>
          <w:p w14:paraId="11F4BA43">
            <w:pPr>
              <w:spacing w:line="280" w:lineRule="exact"/>
              <w:jc w:val="center"/>
              <w:rPr>
                <w:rFonts w:hint="eastAsia" w:ascii="宋体" w:hAnsi="宋体"/>
                <w:color w:val="auto"/>
                <w:szCs w:val="21"/>
              </w:rPr>
            </w:pPr>
            <w:r>
              <w:rPr>
                <w:rFonts w:hint="eastAsia" w:ascii="宋体" w:hAnsi="宋体"/>
                <w:color w:val="auto"/>
                <w:szCs w:val="21"/>
              </w:rPr>
              <w:t>电加热炉</w:t>
            </w:r>
          </w:p>
          <w:p w14:paraId="749A4B9E">
            <w:pPr>
              <w:spacing w:line="280" w:lineRule="exact"/>
              <w:jc w:val="center"/>
              <w:rPr>
                <w:rFonts w:hint="eastAsia" w:ascii="宋体" w:hAnsi="宋体" w:cs="宋体"/>
                <w:color w:val="auto"/>
                <w:kern w:val="0"/>
                <w:szCs w:val="21"/>
              </w:rPr>
            </w:pPr>
            <w:r>
              <w:rPr>
                <w:rFonts w:hint="eastAsia" w:ascii="宋体" w:hAnsi="宋体"/>
                <w:color w:val="auto"/>
                <w:szCs w:val="21"/>
              </w:rPr>
              <w:t>（又称“加热节流橇”）</w:t>
            </w:r>
          </w:p>
        </w:tc>
        <w:tc>
          <w:tcPr>
            <w:tcW w:w="1885" w:type="pct"/>
            <w:vAlign w:val="center"/>
          </w:tcPr>
          <w:p w14:paraId="5E53DDD7">
            <w:pPr>
              <w:spacing w:line="280" w:lineRule="exact"/>
              <w:jc w:val="center"/>
              <w:rPr>
                <w:rFonts w:hint="eastAsia" w:ascii="宋体" w:hAnsi="宋体" w:cs="宋体"/>
                <w:color w:val="auto"/>
                <w:kern w:val="0"/>
                <w:szCs w:val="21"/>
              </w:rPr>
            </w:pPr>
            <w:r>
              <w:rPr>
                <w:rFonts w:hint="eastAsia" w:ascii="宋体" w:hAnsi="宋体"/>
                <w:color w:val="auto"/>
                <w:szCs w:val="21"/>
              </w:rPr>
              <w:t>160kW、41MPa</w:t>
            </w:r>
          </w:p>
        </w:tc>
        <w:tc>
          <w:tcPr>
            <w:tcW w:w="670" w:type="pct"/>
            <w:vAlign w:val="center"/>
          </w:tcPr>
          <w:p w14:paraId="52725B3E">
            <w:pPr>
              <w:spacing w:line="280" w:lineRule="exact"/>
              <w:jc w:val="center"/>
              <w:rPr>
                <w:rFonts w:hint="eastAsia" w:ascii="宋体" w:hAnsi="宋体" w:cs="宋体"/>
                <w:color w:val="auto"/>
                <w:szCs w:val="21"/>
              </w:rPr>
            </w:pPr>
            <w:r>
              <w:rPr>
                <w:rFonts w:hint="eastAsia" w:ascii="宋体" w:hAnsi="宋体"/>
                <w:color w:val="auto"/>
                <w:szCs w:val="21"/>
              </w:rPr>
              <w:t>1</w:t>
            </w:r>
          </w:p>
        </w:tc>
        <w:tc>
          <w:tcPr>
            <w:tcW w:w="513" w:type="pct"/>
          </w:tcPr>
          <w:p w14:paraId="08234713">
            <w:pPr>
              <w:spacing w:line="280" w:lineRule="exact"/>
              <w:jc w:val="center"/>
              <w:rPr>
                <w:rFonts w:hint="eastAsia" w:ascii="宋体" w:hAnsi="宋体" w:cs="宋体"/>
                <w:color w:val="auto"/>
                <w:kern w:val="0"/>
                <w:szCs w:val="21"/>
              </w:rPr>
            </w:pPr>
            <w:r>
              <w:rPr>
                <w:rFonts w:hint="eastAsia" w:ascii="宋体" w:hAnsi="宋体"/>
                <w:color w:val="auto"/>
                <w:szCs w:val="21"/>
              </w:rPr>
              <w:t>搬迁</w:t>
            </w:r>
          </w:p>
        </w:tc>
      </w:tr>
      <w:tr w14:paraId="1247BDD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241D5324">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4</w:t>
            </w:r>
          </w:p>
        </w:tc>
        <w:tc>
          <w:tcPr>
            <w:tcW w:w="1491" w:type="pct"/>
            <w:vAlign w:val="center"/>
          </w:tcPr>
          <w:p w14:paraId="140B49BF">
            <w:pPr>
              <w:spacing w:line="280" w:lineRule="exact"/>
              <w:jc w:val="center"/>
              <w:rPr>
                <w:rFonts w:hint="eastAsia" w:ascii="宋体" w:hAnsi="宋体" w:cs="宋体"/>
                <w:color w:val="auto"/>
                <w:kern w:val="0"/>
                <w:szCs w:val="21"/>
              </w:rPr>
            </w:pPr>
            <w:r>
              <w:rPr>
                <w:rFonts w:hint="eastAsia" w:ascii="宋体" w:hAnsi="宋体"/>
                <w:color w:val="auto"/>
                <w:szCs w:val="21"/>
              </w:rPr>
              <w:t>电加热炉</w:t>
            </w:r>
          </w:p>
        </w:tc>
        <w:tc>
          <w:tcPr>
            <w:tcW w:w="1885" w:type="pct"/>
            <w:vAlign w:val="center"/>
          </w:tcPr>
          <w:p w14:paraId="1018EAAC">
            <w:pPr>
              <w:spacing w:line="280" w:lineRule="exact"/>
              <w:jc w:val="center"/>
              <w:rPr>
                <w:rFonts w:hint="eastAsia" w:ascii="宋体" w:hAnsi="宋体" w:cs="宋体"/>
                <w:color w:val="auto"/>
                <w:kern w:val="0"/>
                <w:szCs w:val="21"/>
              </w:rPr>
            </w:pPr>
            <w:r>
              <w:rPr>
                <w:rFonts w:hint="eastAsia" w:ascii="宋体" w:hAnsi="宋体"/>
                <w:color w:val="auto"/>
                <w:szCs w:val="21"/>
              </w:rPr>
              <w:t>150kW、42MPa</w:t>
            </w:r>
          </w:p>
        </w:tc>
        <w:tc>
          <w:tcPr>
            <w:tcW w:w="670" w:type="pct"/>
            <w:vAlign w:val="center"/>
          </w:tcPr>
          <w:p w14:paraId="26EF8A80">
            <w:pPr>
              <w:spacing w:line="280" w:lineRule="exact"/>
              <w:jc w:val="center"/>
              <w:rPr>
                <w:rFonts w:hint="eastAsia" w:ascii="宋体" w:hAnsi="宋体" w:cs="宋体"/>
                <w:color w:val="auto"/>
                <w:szCs w:val="21"/>
              </w:rPr>
            </w:pPr>
            <w:r>
              <w:rPr>
                <w:rFonts w:hint="eastAsia" w:ascii="宋体" w:hAnsi="宋体"/>
                <w:color w:val="auto"/>
                <w:szCs w:val="21"/>
              </w:rPr>
              <w:t>1</w:t>
            </w:r>
          </w:p>
        </w:tc>
        <w:tc>
          <w:tcPr>
            <w:tcW w:w="513" w:type="pct"/>
          </w:tcPr>
          <w:p w14:paraId="4EA104F3">
            <w:pPr>
              <w:spacing w:line="280" w:lineRule="exact"/>
              <w:jc w:val="center"/>
              <w:rPr>
                <w:rFonts w:hint="eastAsia" w:ascii="宋体" w:hAnsi="宋体" w:cs="宋体"/>
                <w:color w:val="auto"/>
                <w:kern w:val="0"/>
                <w:szCs w:val="21"/>
              </w:rPr>
            </w:pPr>
            <w:r>
              <w:rPr>
                <w:rFonts w:hint="eastAsia" w:ascii="宋体" w:hAnsi="宋体"/>
                <w:color w:val="auto"/>
                <w:szCs w:val="21"/>
              </w:rPr>
              <w:t>搬迁</w:t>
            </w:r>
          </w:p>
        </w:tc>
      </w:tr>
      <w:tr w14:paraId="542B6EE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65499EBD">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5</w:t>
            </w:r>
          </w:p>
        </w:tc>
        <w:tc>
          <w:tcPr>
            <w:tcW w:w="1491" w:type="pct"/>
            <w:vAlign w:val="center"/>
          </w:tcPr>
          <w:p w14:paraId="545BB21E">
            <w:pPr>
              <w:spacing w:line="280" w:lineRule="exact"/>
              <w:jc w:val="center"/>
              <w:rPr>
                <w:rFonts w:hint="eastAsia" w:ascii="宋体" w:hAnsi="宋体" w:cs="宋体"/>
                <w:color w:val="auto"/>
                <w:kern w:val="0"/>
                <w:szCs w:val="21"/>
              </w:rPr>
            </w:pPr>
            <w:r>
              <w:rPr>
                <w:rFonts w:ascii="宋体" w:hAnsi="宋体"/>
                <w:color w:val="auto"/>
                <w:szCs w:val="21"/>
              </w:rPr>
              <w:t>5万方分子筛脱水橇</w:t>
            </w:r>
          </w:p>
        </w:tc>
        <w:tc>
          <w:tcPr>
            <w:tcW w:w="1885" w:type="pct"/>
            <w:vAlign w:val="center"/>
          </w:tcPr>
          <w:p w14:paraId="5CCD1398">
            <w:pPr>
              <w:spacing w:line="280" w:lineRule="exact"/>
              <w:jc w:val="center"/>
              <w:rPr>
                <w:rFonts w:hint="eastAsia" w:ascii="宋体" w:hAnsi="宋体" w:cs="宋体"/>
                <w:color w:val="auto"/>
                <w:kern w:val="0"/>
                <w:szCs w:val="21"/>
              </w:rPr>
            </w:pPr>
            <w:r>
              <w:rPr>
                <w:rFonts w:ascii="宋体" w:hAnsi="宋体"/>
                <w:color w:val="auto"/>
                <w:szCs w:val="21"/>
              </w:rPr>
              <w:t>处理量：5×10</w:t>
            </w:r>
            <w:r>
              <w:rPr>
                <w:rFonts w:ascii="宋体" w:hAnsi="宋体"/>
                <w:color w:val="auto"/>
                <w:szCs w:val="21"/>
                <w:vertAlign w:val="superscript"/>
              </w:rPr>
              <w:t>4</w:t>
            </w:r>
            <w:r>
              <w:rPr>
                <w:rFonts w:ascii="宋体" w:hAnsi="宋体"/>
                <w:color w:val="auto"/>
                <w:szCs w:val="21"/>
              </w:rPr>
              <w:t>Nm</w:t>
            </w:r>
            <w:r>
              <w:rPr>
                <w:rFonts w:ascii="宋体" w:hAnsi="宋体"/>
                <w:color w:val="auto"/>
                <w:szCs w:val="21"/>
                <w:vertAlign w:val="superscript"/>
              </w:rPr>
              <w:t>3</w:t>
            </w:r>
            <w:r>
              <w:rPr>
                <w:rFonts w:ascii="宋体" w:hAnsi="宋体"/>
                <w:color w:val="auto"/>
                <w:szCs w:val="21"/>
              </w:rPr>
              <w:t>/d；</w:t>
            </w:r>
          </w:p>
        </w:tc>
        <w:tc>
          <w:tcPr>
            <w:tcW w:w="670" w:type="pct"/>
            <w:vAlign w:val="center"/>
          </w:tcPr>
          <w:p w14:paraId="4275A13C">
            <w:pPr>
              <w:spacing w:line="280" w:lineRule="exact"/>
              <w:jc w:val="center"/>
              <w:rPr>
                <w:rFonts w:hint="eastAsia" w:ascii="宋体" w:hAnsi="宋体" w:cs="宋体"/>
                <w:color w:val="auto"/>
                <w:szCs w:val="21"/>
              </w:rPr>
            </w:pPr>
            <w:r>
              <w:rPr>
                <w:rFonts w:hint="eastAsia" w:ascii="宋体" w:hAnsi="宋体"/>
                <w:color w:val="auto"/>
                <w:szCs w:val="21"/>
              </w:rPr>
              <w:t>1</w:t>
            </w:r>
          </w:p>
        </w:tc>
        <w:tc>
          <w:tcPr>
            <w:tcW w:w="513" w:type="pct"/>
          </w:tcPr>
          <w:p w14:paraId="35B74DAB">
            <w:pPr>
              <w:spacing w:line="280" w:lineRule="exact"/>
              <w:jc w:val="center"/>
              <w:rPr>
                <w:rFonts w:hint="eastAsia" w:ascii="宋体" w:hAnsi="宋体" w:cs="宋体"/>
                <w:color w:val="auto"/>
                <w:kern w:val="0"/>
                <w:szCs w:val="21"/>
              </w:rPr>
            </w:pPr>
            <w:r>
              <w:rPr>
                <w:rFonts w:hint="eastAsia" w:ascii="宋体" w:hAnsi="宋体"/>
                <w:color w:val="auto"/>
                <w:szCs w:val="21"/>
              </w:rPr>
              <w:t>搬迁</w:t>
            </w:r>
          </w:p>
        </w:tc>
      </w:tr>
      <w:tr w14:paraId="7CE699E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214AE006">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6</w:t>
            </w:r>
          </w:p>
        </w:tc>
        <w:tc>
          <w:tcPr>
            <w:tcW w:w="1491" w:type="pct"/>
            <w:vAlign w:val="center"/>
          </w:tcPr>
          <w:p w14:paraId="508117ED">
            <w:pPr>
              <w:spacing w:line="280" w:lineRule="exact"/>
              <w:jc w:val="center"/>
              <w:rPr>
                <w:rFonts w:hint="eastAsia" w:ascii="宋体" w:hAnsi="宋体" w:cs="宋体"/>
                <w:color w:val="auto"/>
                <w:kern w:val="0"/>
                <w:szCs w:val="21"/>
              </w:rPr>
            </w:pPr>
            <w:r>
              <w:rPr>
                <w:rFonts w:ascii="宋体" w:hAnsi="宋体"/>
                <w:color w:val="auto"/>
                <w:szCs w:val="21"/>
              </w:rPr>
              <w:t>3万方分子筛脱水橇</w:t>
            </w:r>
          </w:p>
        </w:tc>
        <w:tc>
          <w:tcPr>
            <w:tcW w:w="1885" w:type="pct"/>
            <w:vAlign w:val="center"/>
          </w:tcPr>
          <w:p w14:paraId="037FBF76">
            <w:pPr>
              <w:spacing w:line="280" w:lineRule="exact"/>
              <w:jc w:val="center"/>
              <w:rPr>
                <w:rFonts w:hint="eastAsia" w:ascii="宋体" w:hAnsi="宋体" w:cs="宋体"/>
                <w:color w:val="auto"/>
                <w:kern w:val="0"/>
                <w:szCs w:val="21"/>
              </w:rPr>
            </w:pPr>
            <w:r>
              <w:rPr>
                <w:rFonts w:ascii="宋体" w:hAnsi="宋体"/>
                <w:color w:val="auto"/>
                <w:szCs w:val="21"/>
              </w:rPr>
              <w:t>处理量</w:t>
            </w:r>
            <w:r>
              <w:rPr>
                <w:rFonts w:hint="eastAsia" w:ascii="宋体" w:hAnsi="宋体"/>
                <w:color w:val="auto"/>
                <w:szCs w:val="21"/>
              </w:rPr>
              <w:t>：</w:t>
            </w:r>
            <w:r>
              <w:rPr>
                <w:rFonts w:ascii="宋体" w:hAnsi="宋体"/>
                <w:color w:val="auto"/>
                <w:szCs w:val="21"/>
              </w:rPr>
              <w:t>3×10</w:t>
            </w:r>
            <w:r>
              <w:rPr>
                <w:rFonts w:ascii="宋体" w:hAnsi="宋体"/>
                <w:color w:val="auto"/>
                <w:szCs w:val="21"/>
                <w:vertAlign w:val="superscript"/>
              </w:rPr>
              <w:t>4</w:t>
            </w:r>
            <w:r>
              <w:rPr>
                <w:rFonts w:ascii="宋体" w:hAnsi="宋体"/>
                <w:color w:val="auto"/>
                <w:szCs w:val="21"/>
              </w:rPr>
              <w:t>Nm</w:t>
            </w:r>
            <w:r>
              <w:rPr>
                <w:rFonts w:ascii="宋体" w:hAnsi="宋体"/>
                <w:color w:val="auto"/>
                <w:szCs w:val="21"/>
                <w:vertAlign w:val="superscript"/>
              </w:rPr>
              <w:t>3</w:t>
            </w:r>
            <w:r>
              <w:rPr>
                <w:rFonts w:ascii="宋体" w:hAnsi="宋体"/>
                <w:color w:val="auto"/>
                <w:szCs w:val="21"/>
              </w:rPr>
              <w:t>/d</w:t>
            </w:r>
          </w:p>
        </w:tc>
        <w:tc>
          <w:tcPr>
            <w:tcW w:w="670" w:type="pct"/>
            <w:vAlign w:val="center"/>
          </w:tcPr>
          <w:p w14:paraId="56E0B59B">
            <w:pPr>
              <w:spacing w:line="280" w:lineRule="exact"/>
              <w:jc w:val="center"/>
              <w:rPr>
                <w:rFonts w:hint="eastAsia" w:ascii="宋体" w:hAnsi="宋体" w:cs="宋体"/>
                <w:color w:val="auto"/>
                <w:kern w:val="0"/>
                <w:szCs w:val="21"/>
              </w:rPr>
            </w:pPr>
            <w:r>
              <w:rPr>
                <w:rFonts w:hint="eastAsia" w:ascii="宋体" w:hAnsi="宋体"/>
                <w:color w:val="auto"/>
                <w:szCs w:val="21"/>
              </w:rPr>
              <w:t>1</w:t>
            </w:r>
          </w:p>
        </w:tc>
        <w:tc>
          <w:tcPr>
            <w:tcW w:w="513" w:type="pct"/>
          </w:tcPr>
          <w:p w14:paraId="05A3EDCE">
            <w:pPr>
              <w:spacing w:line="280" w:lineRule="exact"/>
              <w:jc w:val="center"/>
              <w:rPr>
                <w:rFonts w:hint="eastAsia" w:ascii="宋体" w:hAnsi="宋体" w:cs="宋体"/>
                <w:color w:val="auto"/>
                <w:kern w:val="0"/>
                <w:szCs w:val="21"/>
              </w:rPr>
            </w:pPr>
            <w:r>
              <w:rPr>
                <w:rFonts w:hint="eastAsia" w:ascii="宋体" w:hAnsi="宋体"/>
                <w:color w:val="auto"/>
                <w:szCs w:val="21"/>
              </w:rPr>
              <w:t>搬迁</w:t>
            </w:r>
          </w:p>
        </w:tc>
      </w:tr>
      <w:tr w14:paraId="0C912DD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35AC0BBD">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7</w:t>
            </w:r>
          </w:p>
        </w:tc>
        <w:tc>
          <w:tcPr>
            <w:tcW w:w="1491" w:type="pct"/>
            <w:vAlign w:val="center"/>
          </w:tcPr>
          <w:p w14:paraId="244B2834">
            <w:pPr>
              <w:spacing w:line="280" w:lineRule="exact"/>
              <w:jc w:val="center"/>
              <w:rPr>
                <w:rFonts w:hint="eastAsia" w:ascii="宋体" w:hAnsi="宋体" w:cs="宋体"/>
                <w:color w:val="auto"/>
                <w:kern w:val="0"/>
                <w:szCs w:val="21"/>
              </w:rPr>
            </w:pPr>
            <w:r>
              <w:rPr>
                <w:rFonts w:ascii="宋体" w:hAnsi="宋体"/>
                <w:color w:val="auto"/>
                <w:szCs w:val="21"/>
              </w:rPr>
              <w:t>制冷机组橇</w:t>
            </w:r>
          </w:p>
        </w:tc>
        <w:tc>
          <w:tcPr>
            <w:tcW w:w="1885" w:type="pct"/>
            <w:vAlign w:val="center"/>
          </w:tcPr>
          <w:p w14:paraId="725224DC">
            <w:pPr>
              <w:spacing w:line="280" w:lineRule="exact"/>
              <w:jc w:val="center"/>
              <w:rPr>
                <w:rFonts w:hint="eastAsia" w:ascii="宋体" w:hAnsi="宋体" w:cs="宋体"/>
                <w:color w:val="auto"/>
                <w:kern w:val="0"/>
                <w:szCs w:val="21"/>
              </w:rPr>
            </w:pPr>
            <w:r>
              <w:rPr>
                <w:rFonts w:ascii="宋体" w:hAnsi="宋体"/>
                <w:color w:val="auto"/>
                <w:szCs w:val="21"/>
              </w:rPr>
              <w:t>L×D=7.0m×3.5m</w:t>
            </w:r>
          </w:p>
        </w:tc>
        <w:tc>
          <w:tcPr>
            <w:tcW w:w="670" w:type="pct"/>
            <w:vAlign w:val="center"/>
          </w:tcPr>
          <w:p w14:paraId="545D012F">
            <w:pPr>
              <w:spacing w:line="280" w:lineRule="exact"/>
              <w:jc w:val="center"/>
              <w:rPr>
                <w:rFonts w:hint="eastAsia" w:ascii="宋体" w:hAnsi="宋体" w:cs="宋体"/>
                <w:color w:val="auto"/>
                <w:szCs w:val="21"/>
              </w:rPr>
            </w:pPr>
            <w:r>
              <w:rPr>
                <w:rFonts w:hint="eastAsia" w:ascii="宋体" w:hAnsi="宋体"/>
                <w:color w:val="auto"/>
                <w:szCs w:val="21"/>
              </w:rPr>
              <w:t>2</w:t>
            </w:r>
          </w:p>
        </w:tc>
        <w:tc>
          <w:tcPr>
            <w:tcW w:w="513" w:type="pct"/>
          </w:tcPr>
          <w:p w14:paraId="0F034C42">
            <w:pPr>
              <w:spacing w:line="280" w:lineRule="exact"/>
              <w:jc w:val="center"/>
              <w:rPr>
                <w:rFonts w:hint="eastAsia" w:ascii="宋体" w:hAnsi="宋体" w:cs="宋体"/>
                <w:color w:val="auto"/>
                <w:kern w:val="0"/>
                <w:szCs w:val="21"/>
              </w:rPr>
            </w:pPr>
            <w:r>
              <w:rPr>
                <w:rFonts w:hint="eastAsia" w:ascii="宋体" w:hAnsi="宋体"/>
                <w:color w:val="auto"/>
                <w:szCs w:val="21"/>
              </w:rPr>
              <w:t>搬迁</w:t>
            </w:r>
          </w:p>
        </w:tc>
      </w:tr>
      <w:tr w14:paraId="7BFF02F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38982483">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8</w:t>
            </w:r>
          </w:p>
        </w:tc>
        <w:tc>
          <w:tcPr>
            <w:tcW w:w="1491" w:type="pct"/>
            <w:vAlign w:val="center"/>
          </w:tcPr>
          <w:p w14:paraId="3FBD9127">
            <w:pPr>
              <w:spacing w:line="280" w:lineRule="exact"/>
              <w:jc w:val="center"/>
              <w:rPr>
                <w:rFonts w:hint="eastAsia" w:ascii="宋体" w:hAnsi="宋体" w:cs="宋体"/>
                <w:color w:val="auto"/>
                <w:kern w:val="0"/>
                <w:szCs w:val="21"/>
              </w:rPr>
            </w:pPr>
            <w:r>
              <w:rPr>
                <w:rFonts w:ascii="宋体" w:hAnsi="宋体"/>
                <w:color w:val="auto"/>
                <w:szCs w:val="21"/>
              </w:rPr>
              <w:t>低温分离及混烃回收橇</w:t>
            </w:r>
          </w:p>
        </w:tc>
        <w:tc>
          <w:tcPr>
            <w:tcW w:w="1885" w:type="pct"/>
            <w:vAlign w:val="center"/>
          </w:tcPr>
          <w:p w14:paraId="66765DA8">
            <w:pPr>
              <w:spacing w:line="280" w:lineRule="exact"/>
              <w:jc w:val="center"/>
              <w:rPr>
                <w:rFonts w:hint="eastAsia" w:ascii="宋体" w:hAnsi="宋体" w:cs="宋体"/>
                <w:color w:val="auto"/>
                <w:kern w:val="0"/>
                <w:szCs w:val="21"/>
              </w:rPr>
            </w:pPr>
            <w:r>
              <w:rPr>
                <w:rFonts w:ascii="宋体" w:hAnsi="宋体"/>
                <w:color w:val="auto"/>
                <w:szCs w:val="21"/>
              </w:rPr>
              <w:t>处理量</w:t>
            </w:r>
            <w:r>
              <w:rPr>
                <w:rFonts w:hint="eastAsia" w:ascii="宋体" w:hAnsi="宋体"/>
                <w:color w:val="auto"/>
                <w:szCs w:val="21"/>
              </w:rPr>
              <w:t>：</w:t>
            </w:r>
            <w:r>
              <w:rPr>
                <w:rFonts w:ascii="宋体" w:hAnsi="宋体"/>
                <w:color w:val="auto"/>
                <w:szCs w:val="21"/>
              </w:rPr>
              <w:t>4×10</w:t>
            </w:r>
            <w:r>
              <w:rPr>
                <w:rFonts w:ascii="宋体" w:hAnsi="宋体"/>
                <w:color w:val="auto"/>
                <w:szCs w:val="21"/>
                <w:vertAlign w:val="superscript"/>
              </w:rPr>
              <w:t>4</w:t>
            </w:r>
            <w:r>
              <w:rPr>
                <w:rFonts w:ascii="宋体" w:hAnsi="宋体"/>
                <w:color w:val="auto"/>
                <w:szCs w:val="21"/>
              </w:rPr>
              <w:t>Nm</w:t>
            </w:r>
            <w:r>
              <w:rPr>
                <w:rFonts w:ascii="宋体" w:hAnsi="宋体"/>
                <w:color w:val="auto"/>
                <w:szCs w:val="21"/>
                <w:vertAlign w:val="superscript"/>
              </w:rPr>
              <w:t>3</w:t>
            </w:r>
            <w:r>
              <w:rPr>
                <w:rFonts w:ascii="宋体" w:hAnsi="宋体"/>
                <w:color w:val="auto"/>
                <w:szCs w:val="21"/>
              </w:rPr>
              <w:t>/d</w:t>
            </w:r>
          </w:p>
        </w:tc>
        <w:tc>
          <w:tcPr>
            <w:tcW w:w="670" w:type="pct"/>
            <w:vAlign w:val="center"/>
          </w:tcPr>
          <w:p w14:paraId="65F3E3B9">
            <w:pPr>
              <w:spacing w:line="280" w:lineRule="exact"/>
              <w:jc w:val="center"/>
              <w:rPr>
                <w:rFonts w:hint="eastAsia" w:ascii="宋体" w:hAnsi="宋体" w:cs="宋体"/>
                <w:color w:val="auto"/>
                <w:szCs w:val="21"/>
              </w:rPr>
            </w:pPr>
            <w:r>
              <w:rPr>
                <w:rFonts w:hint="eastAsia" w:ascii="宋体" w:hAnsi="宋体"/>
                <w:color w:val="auto"/>
                <w:szCs w:val="21"/>
              </w:rPr>
              <w:t>2</w:t>
            </w:r>
          </w:p>
        </w:tc>
        <w:tc>
          <w:tcPr>
            <w:tcW w:w="513" w:type="pct"/>
          </w:tcPr>
          <w:p w14:paraId="58742D69">
            <w:pPr>
              <w:spacing w:line="280" w:lineRule="exact"/>
              <w:jc w:val="center"/>
              <w:rPr>
                <w:rFonts w:hint="eastAsia" w:ascii="宋体" w:hAnsi="宋体" w:cs="宋体"/>
                <w:color w:val="auto"/>
                <w:kern w:val="0"/>
                <w:szCs w:val="21"/>
              </w:rPr>
            </w:pPr>
            <w:r>
              <w:rPr>
                <w:rFonts w:hint="eastAsia" w:ascii="宋体" w:hAnsi="宋体"/>
                <w:color w:val="auto"/>
                <w:szCs w:val="21"/>
              </w:rPr>
              <w:t>搬迁</w:t>
            </w:r>
          </w:p>
        </w:tc>
      </w:tr>
      <w:tr w14:paraId="674EDDA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012288B1">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9</w:t>
            </w:r>
          </w:p>
        </w:tc>
        <w:tc>
          <w:tcPr>
            <w:tcW w:w="1491" w:type="pct"/>
            <w:vAlign w:val="center"/>
          </w:tcPr>
          <w:p w14:paraId="24E2AD9E">
            <w:pPr>
              <w:spacing w:line="280" w:lineRule="exact"/>
              <w:jc w:val="center"/>
              <w:rPr>
                <w:rFonts w:hint="eastAsia" w:ascii="宋体" w:hAnsi="宋体" w:cs="宋体"/>
                <w:color w:val="auto"/>
                <w:kern w:val="0"/>
                <w:szCs w:val="21"/>
              </w:rPr>
            </w:pPr>
            <w:r>
              <w:rPr>
                <w:rFonts w:ascii="宋体" w:hAnsi="宋体"/>
                <w:color w:val="auto"/>
                <w:szCs w:val="21"/>
              </w:rPr>
              <w:t>CNG 压缩机橇A</w:t>
            </w:r>
          </w:p>
        </w:tc>
        <w:tc>
          <w:tcPr>
            <w:tcW w:w="1885" w:type="pct"/>
            <w:vAlign w:val="center"/>
          </w:tcPr>
          <w:p w14:paraId="272B4C89">
            <w:pPr>
              <w:spacing w:line="280" w:lineRule="exact"/>
              <w:jc w:val="center"/>
              <w:rPr>
                <w:rFonts w:hint="eastAsia" w:ascii="宋体" w:hAnsi="宋体" w:cs="宋体"/>
                <w:color w:val="auto"/>
                <w:kern w:val="0"/>
                <w:szCs w:val="21"/>
              </w:rPr>
            </w:pPr>
            <w:r>
              <w:rPr>
                <w:rFonts w:ascii="宋体" w:hAnsi="宋体"/>
                <w:color w:val="auto"/>
                <w:szCs w:val="21"/>
              </w:rPr>
              <w:t>处理量</w:t>
            </w:r>
            <w:r>
              <w:rPr>
                <w:rFonts w:hint="eastAsia" w:ascii="宋体" w:hAnsi="宋体"/>
                <w:color w:val="auto"/>
                <w:szCs w:val="21"/>
              </w:rPr>
              <w:t>：</w:t>
            </w:r>
            <w:r>
              <w:rPr>
                <w:rFonts w:ascii="宋体" w:hAnsi="宋体"/>
                <w:color w:val="auto"/>
                <w:szCs w:val="21"/>
              </w:rPr>
              <w:t>3×10</w:t>
            </w:r>
            <w:r>
              <w:rPr>
                <w:rFonts w:ascii="宋体" w:hAnsi="宋体"/>
                <w:color w:val="auto"/>
                <w:szCs w:val="21"/>
                <w:vertAlign w:val="superscript"/>
              </w:rPr>
              <w:t>4</w:t>
            </w:r>
            <w:r>
              <w:rPr>
                <w:rFonts w:ascii="宋体" w:hAnsi="宋体"/>
                <w:color w:val="auto"/>
                <w:szCs w:val="21"/>
              </w:rPr>
              <w:t>Nm</w:t>
            </w:r>
            <w:r>
              <w:rPr>
                <w:rFonts w:ascii="宋体" w:hAnsi="宋体"/>
                <w:color w:val="auto"/>
                <w:szCs w:val="21"/>
                <w:vertAlign w:val="superscript"/>
              </w:rPr>
              <w:t>3</w:t>
            </w:r>
            <w:r>
              <w:rPr>
                <w:rFonts w:ascii="宋体" w:hAnsi="宋体"/>
                <w:color w:val="auto"/>
                <w:szCs w:val="21"/>
              </w:rPr>
              <w:t>/d</w:t>
            </w:r>
          </w:p>
        </w:tc>
        <w:tc>
          <w:tcPr>
            <w:tcW w:w="670" w:type="pct"/>
            <w:vAlign w:val="center"/>
          </w:tcPr>
          <w:p w14:paraId="4323E359">
            <w:pPr>
              <w:spacing w:line="280" w:lineRule="exact"/>
              <w:jc w:val="center"/>
              <w:rPr>
                <w:rFonts w:hint="eastAsia" w:ascii="宋体" w:hAnsi="宋体" w:cs="宋体"/>
                <w:color w:val="auto"/>
                <w:szCs w:val="21"/>
              </w:rPr>
            </w:pPr>
            <w:r>
              <w:rPr>
                <w:rFonts w:hint="eastAsia" w:ascii="宋体" w:hAnsi="宋体"/>
                <w:color w:val="auto"/>
                <w:szCs w:val="21"/>
              </w:rPr>
              <w:t>1</w:t>
            </w:r>
          </w:p>
        </w:tc>
        <w:tc>
          <w:tcPr>
            <w:tcW w:w="513" w:type="pct"/>
          </w:tcPr>
          <w:p w14:paraId="52D598AC">
            <w:pPr>
              <w:spacing w:line="280" w:lineRule="exact"/>
              <w:jc w:val="center"/>
              <w:rPr>
                <w:rFonts w:hint="eastAsia" w:ascii="宋体" w:hAnsi="宋体" w:cs="宋体"/>
                <w:color w:val="auto"/>
                <w:kern w:val="0"/>
                <w:szCs w:val="21"/>
              </w:rPr>
            </w:pPr>
            <w:r>
              <w:rPr>
                <w:rFonts w:hint="eastAsia" w:ascii="宋体" w:hAnsi="宋体"/>
                <w:color w:val="auto"/>
                <w:szCs w:val="21"/>
              </w:rPr>
              <w:t>搬迁</w:t>
            </w:r>
          </w:p>
        </w:tc>
      </w:tr>
      <w:tr w14:paraId="7C29E35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5799D0A4">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10</w:t>
            </w:r>
          </w:p>
        </w:tc>
        <w:tc>
          <w:tcPr>
            <w:tcW w:w="1491" w:type="pct"/>
            <w:vAlign w:val="center"/>
          </w:tcPr>
          <w:p w14:paraId="42E60B47">
            <w:pPr>
              <w:spacing w:line="280" w:lineRule="exact"/>
              <w:jc w:val="center"/>
              <w:rPr>
                <w:rFonts w:hint="eastAsia" w:ascii="宋体" w:hAnsi="宋体" w:cs="宋体"/>
                <w:color w:val="auto"/>
                <w:kern w:val="0"/>
                <w:szCs w:val="21"/>
              </w:rPr>
            </w:pPr>
            <w:r>
              <w:rPr>
                <w:rFonts w:ascii="宋体" w:hAnsi="宋体"/>
                <w:color w:val="auto"/>
                <w:szCs w:val="21"/>
              </w:rPr>
              <w:t>CNG 压缩机橇B</w:t>
            </w:r>
          </w:p>
        </w:tc>
        <w:tc>
          <w:tcPr>
            <w:tcW w:w="1885" w:type="pct"/>
            <w:vAlign w:val="center"/>
          </w:tcPr>
          <w:p w14:paraId="0E4B8B9F">
            <w:pPr>
              <w:spacing w:line="280" w:lineRule="exact"/>
              <w:jc w:val="center"/>
              <w:rPr>
                <w:rFonts w:hint="eastAsia" w:ascii="宋体" w:hAnsi="宋体" w:cs="宋体"/>
                <w:color w:val="auto"/>
                <w:kern w:val="0"/>
                <w:szCs w:val="21"/>
              </w:rPr>
            </w:pPr>
            <w:r>
              <w:rPr>
                <w:rFonts w:ascii="宋体" w:hAnsi="宋体"/>
                <w:color w:val="auto"/>
                <w:szCs w:val="21"/>
              </w:rPr>
              <w:t>处理量</w:t>
            </w:r>
            <w:r>
              <w:rPr>
                <w:rFonts w:hint="eastAsia" w:ascii="宋体" w:hAnsi="宋体"/>
                <w:color w:val="auto"/>
                <w:szCs w:val="21"/>
              </w:rPr>
              <w:t>：</w:t>
            </w:r>
            <w:r>
              <w:rPr>
                <w:rFonts w:ascii="宋体" w:hAnsi="宋体"/>
                <w:color w:val="auto"/>
                <w:szCs w:val="21"/>
              </w:rPr>
              <w:t>5×10</w:t>
            </w:r>
            <w:r>
              <w:rPr>
                <w:rFonts w:ascii="宋体" w:hAnsi="宋体"/>
                <w:color w:val="auto"/>
                <w:szCs w:val="21"/>
                <w:vertAlign w:val="superscript"/>
              </w:rPr>
              <w:t>4</w:t>
            </w:r>
            <w:r>
              <w:rPr>
                <w:rFonts w:ascii="宋体" w:hAnsi="宋体"/>
                <w:color w:val="auto"/>
                <w:szCs w:val="21"/>
              </w:rPr>
              <w:t>Nm</w:t>
            </w:r>
            <w:r>
              <w:rPr>
                <w:rFonts w:ascii="宋体" w:hAnsi="宋体"/>
                <w:color w:val="auto"/>
                <w:szCs w:val="21"/>
                <w:vertAlign w:val="superscript"/>
              </w:rPr>
              <w:t>3</w:t>
            </w:r>
            <w:r>
              <w:rPr>
                <w:rFonts w:ascii="宋体" w:hAnsi="宋体"/>
                <w:color w:val="auto"/>
                <w:szCs w:val="21"/>
              </w:rPr>
              <w:t>/d</w:t>
            </w:r>
          </w:p>
        </w:tc>
        <w:tc>
          <w:tcPr>
            <w:tcW w:w="670" w:type="pct"/>
            <w:vAlign w:val="center"/>
          </w:tcPr>
          <w:p w14:paraId="03380AAA">
            <w:pPr>
              <w:spacing w:line="280" w:lineRule="exact"/>
              <w:jc w:val="center"/>
              <w:rPr>
                <w:rFonts w:hint="eastAsia" w:ascii="宋体" w:hAnsi="宋体" w:cs="宋体"/>
                <w:color w:val="auto"/>
                <w:szCs w:val="21"/>
              </w:rPr>
            </w:pPr>
            <w:r>
              <w:rPr>
                <w:rFonts w:hint="eastAsia" w:ascii="宋体" w:hAnsi="宋体"/>
                <w:color w:val="auto"/>
                <w:szCs w:val="21"/>
              </w:rPr>
              <w:t>1</w:t>
            </w:r>
          </w:p>
        </w:tc>
        <w:tc>
          <w:tcPr>
            <w:tcW w:w="513" w:type="pct"/>
            <w:vAlign w:val="center"/>
          </w:tcPr>
          <w:p w14:paraId="17FDBC34">
            <w:pPr>
              <w:spacing w:line="280" w:lineRule="exact"/>
              <w:jc w:val="center"/>
              <w:rPr>
                <w:rFonts w:hint="eastAsia" w:ascii="宋体" w:hAnsi="宋体" w:cs="宋体"/>
                <w:color w:val="auto"/>
                <w:kern w:val="0"/>
                <w:szCs w:val="21"/>
              </w:rPr>
            </w:pPr>
            <w:r>
              <w:rPr>
                <w:rFonts w:hint="eastAsia" w:ascii="宋体" w:hAnsi="宋体"/>
                <w:color w:val="auto"/>
                <w:szCs w:val="21"/>
              </w:rPr>
              <w:t>新购</w:t>
            </w:r>
          </w:p>
        </w:tc>
      </w:tr>
      <w:tr w14:paraId="369EC3F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6E0295C1">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11</w:t>
            </w:r>
          </w:p>
        </w:tc>
        <w:tc>
          <w:tcPr>
            <w:tcW w:w="1491" w:type="pct"/>
            <w:vAlign w:val="center"/>
          </w:tcPr>
          <w:p w14:paraId="74380CB7">
            <w:pPr>
              <w:spacing w:line="280" w:lineRule="exact"/>
              <w:jc w:val="center"/>
              <w:rPr>
                <w:rFonts w:hint="eastAsia" w:ascii="宋体" w:hAnsi="宋体" w:cs="宋体"/>
                <w:color w:val="auto"/>
                <w:kern w:val="0"/>
                <w:szCs w:val="21"/>
              </w:rPr>
            </w:pPr>
            <w:r>
              <w:rPr>
                <w:rFonts w:hint="eastAsia" w:ascii="宋体" w:hAnsi="宋体"/>
                <w:color w:val="auto"/>
                <w:szCs w:val="21"/>
              </w:rPr>
              <w:t>燃气发电机</w:t>
            </w:r>
          </w:p>
        </w:tc>
        <w:tc>
          <w:tcPr>
            <w:tcW w:w="1885" w:type="pct"/>
            <w:vAlign w:val="center"/>
          </w:tcPr>
          <w:p w14:paraId="254CAF36">
            <w:pPr>
              <w:spacing w:line="280" w:lineRule="exact"/>
              <w:jc w:val="center"/>
              <w:rPr>
                <w:rFonts w:hint="eastAsia" w:ascii="宋体" w:hAnsi="宋体" w:cs="宋体"/>
                <w:color w:val="auto"/>
                <w:kern w:val="0"/>
                <w:szCs w:val="21"/>
              </w:rPr>
            </w:pPr>
            <w:r>
              <w:rPr>
                <w:rFonts w:ascii="宋体" w:hAnsi="宋体"/>
                <w:color w:val="auto"/>
                <w:szCs w:val="21"/>
              </w:rPr>
              <w:t>20kPa</w:t>
            </w:r>
          </w:p>
        </w:tc>
        <w:tc>
          <w:tcPr>
            <w:tcW w:w="670" w:type="pct"/>
            <w:vAlign w:val="center"/>
          </w:tcPr>
          <w:p w14:paraId="09EA5F4C">
            <w:pPr>
              <w:spacing w:line="280" w:lineRule="exact"/>
              <w:jc w:val="center"/>
              <w:rPr>
                <w:rFonts w:hint="eastAsia" w:ascii="宋体" w:hAnsi="宋体" w:cs="宋体"/>
                <w:color w:val="auto"/>
                <w:szCs w:val="21"/>
              </w:rPr>
            </w:pPr>
            <w:r>
              <w:rPr>
                <w:rFonts w:hint="eastAsia" w:ascii="宋体" w:hAnsi="宋体"/>
                <w:color w:val="auto"/>
                <w:szCs w:val="21"/>
              </w:rPr>
              <w:t>8（6用2备）</w:t>
            </w:r>
          </w:p>
        </w:tc>
        <w:tc>
          <w:tcPr>
            <w:tcW w:w="513" w:type="pct"/>
            <w:vAlign w:val="center"/>
          </w:tcPr>
          <w:p w14:paraId="7F568E51">
            <w:pPr>
              <w:spacing w:line="280" w:lineRule="exact"/>
              <w:jc w:val="center"/>
              <w:rPr>
                <w:rFonts w:hint="eastAsia" w:ascii="宋体" w:hAnsi="宋体" w:cs="宋体"/>
                <w:color w:val="auto"/>
                <w:kern w:val="0"/>
                <w:szCs w:val="21"/>
              </w:rPr>
            </w:pPr>
            <w:r>
              <w:rPr>
                <w:rFonts w:hint="eastAsia" w:ascii="宋体" w:hAnsi="宋体"/>
                <w:color w:val="auto"/>
                <w:szCs w:val="21"/>
              </w:rPr>
              <w:t>第三方</w:t>
            </w:r>
          </w:p>
        </w:tc>
      </w:tr>
      <w:tr w14:paraId="303ABF1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03D0D564">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12</w:t>
            </w:r>
          </w:p>
        </w:tc>
        <w:tc>
          <w:tcPr>
            <w:tcW w:w="1491" w:type="pct"/>
            <w:vAlign w:val="center"/>
          </w:tcPr>
          <w:p w14:paraId="7D971E10">
            <w:pPr>
              <w:spacing w:line="280" w:lineRule="exact"/>
              <w:jc w:val="center"/>
              <w:rPr>
                <w:rFonts w:hint="eastAsia" w:ascii="宋体" w:hAnsi="宋体"/>
                <w:color w:val="auto"/>
                <w:szCs w:val="21"/>
              </w:rPr>
            </w:pPr>
            <w:r>
              <w:rPr>
                <w:rFonts w:ascii="宋体" w:hAnsi="宋体"/>
                <w:color w:val="auto"/>
                <w:szCs w:val="21"/>
              </w:rPr>
              <w:t>混烃储罐</w:t>
            </w:r>
          </w:p>
        </w:tc>
        <w:tc>
          <w:tcPr>
            <w:tcW w:w="1885" w:type="pct"/>
            <w:vAlign w:val="center"/>
          </w:tcPr>
          <w:p w14:paraId="2969499E">
            <w:pPr>
              <w:kinsoku w:val="0"/>
              <w:overflowPunct w:val="0"/>
              <w:autoSpaceDE w:val="0"/>
              <w:autoSpaceDN w:val="0"/>
              <w:jc w:val="center"/>
              <w:rPr>
                <w:rFonts w:hint="eastAsia" w:ascii="宋体" w:hAnsi="宋体"/>
                <w:color w:val="auto"/>
                <w:szCs w:val="21"/>
              </w:rPr>
            </w:pPr>
            <w:r>
              <w:rPr>
                <w:rFonts w:hint="eastAsia" w:ascii="宋体" w:hAnsi="宋体"/>
                <w:color w:val="auto"/>
                <w:szCs w:val="21"/>
              </w:rPr>
              <w:t>卧式罐，</w:t>
            </w:r>
            <w:r>
              <w:rPr>
                <w:rFonts w:ascii="宋体" w:hAnsi="宋体"/>
                <w:color w:val="auto"/>
                <w:szCs w:val="21"/>
              </w:rPr>
              <w:t>单罐容积：V=19m</w:t>
            </w:r>
            <w:r>
              <w:rPr>
                <w:rFonts w:ascii="宋体" w:hAnsi="宋体"/>
                <w:color w:val="auto"/>
                <w:szCs w:val="21"/>
                <w:vertAlign w:val="superscript"/>
              </w:rPr>
              <w:t>3</w:t>
            </w:r>
          </w:p>
          <w:p w14:paraId="473A0B57">
            <w:pPr>
              <w:kinsoku w:val="0"/>
              <w:overflowPunct w:val="0"/>
              <w:autoSpaceDE w:val="0"/>
              <w:autoSpaceDN w:val="0"/>
              <w:jc w:val="center"/>
              <w:rPr>
                <w:rFonts w:hint="eastAsia" w:ascii="宋体" w:hAnsi="宋体"/>
                <w:color w:val="auto"/>
                <w:szCs w:val="21"/>
              </w:rPr>
            </w:pPr>
            <w:r>
              <w:rPr>
                <w:rFonts w:ascii="宋体" w:hAnsi="宋体"/>
                <w:color w:val="auto"/>
                <w:szCs w:val="21"/>
              </w:rPr>
              <w:t>设计/操作压力：2.0MPa/0.4MPa</w:t>
            </w:r>
          </w:p>
          <w:p w14:paraId="18D1D363">
            <w:pPr>
              <w:spacing w:line="280" w:lineRule="exact"/>
              <w:jc w:val="center"/>
              <w:rPr>
                <w:rFonts w:hint="eastAsia" w:ascii="宋体" w:hAnsi="宋体"/>
                <w:color w:val="auto"/>
                <w:szCs w:val="21"/>
              </w:rPr>
            </w:pPr>
            <w:r>
              <w:rPr>
                <w:rFonts w:ascii="宋体" w:hAnsi="宋体"/>
                <w:color w:val="auto"/>
                <w:szCs w:val="21"/>
              </w:rPr>
              <w:t>提升泵Q=30m</w:t>
            </w:r>
            <w:r>
              <w:rPr>
                <w:rFonts w:ascii="宋体" w:hAnsi="宋体"/>
                <w:color w:val="auto"/>
                <w:szCs w:val="21"/>
                <w:vertAlign w:val="superscript"/>
              </w:rPr>
              <w:t>3</w:t>
            </w:r>
            <w:r>
              <w:rPr>
                <w:rFonts w:ascii="宋体" w:hAnsi="宋体"/>
                <w:color w:val="auto"/>
                <w:szCs w:val="21"/>
              </w:rPr>
              <w:t>/h H=10m N=5.5kW</w:t>
            </w:r>
          </w:p>
        </w:tc>
        <w:tc>
          <w:tcPr>
            <w:tcW w:w="670" w:type="pct"/>
            <w:vAlign w:val="center"/>
          </w:tcPr>
          <w:p w14:paraId="44A73B15">
            <w:pPr>
              <w:spacing w:line="280" w:lineRule="exact"/>
              <w:jc w:val="center"/>
              <w:rPr>
                <w:rFonts w:hint="eastAsia" w:ascii="宋体" w:hAnsi="宋体"/>
                <w:color w:val="auto"/>
                <w:szCs w:val="21"/>
              </w:rPr>
            </w:pPr>
            <w:r>
              <w:rPr>
                <w:rFonts w:hint="eastAsia" w:ascii="宋体" w:hAnsi="宋体"/>
                <w:color w:val="auto"/>
                <w:szCs w:val="21"/>
              </w:rPr>
              <w:t>2</w:t>
            </w:r>
          </w:p>
        </w:tc>
        <w:tc>
          <w:tcPr>
            <w:tcW w:w="513" w:type="pct"/>
            <w:vAlign w:val="center"/>
          </w:tcPr>
          <w:p w14:paraId="5E925E5B">
            <w:pPr>
              <w:spacing w:line="280" w:lineRule="exact"/>
              <w:jc w:val="center"/>
              <w:rPr>
                <w:rFonts w:hint="eastAsia" w:ascii="宋体" w:hAnsi="宋体"/>
                <w:color w:val="auto"/>
                <w:szCs w:val="21"/>
              </w:rPr>
            </w:pPr>
            <w:r>
              <w:rPr>
                <w:rFonts w:hint="eastAsia" w:ascii="宋体" w:hAnsi="宋体"/>
                <w:color w:val="auto"/>
                <w:szCs w:val="21"/>
              </w:rPr>
              <w:t>搬迁</w:t>
            </w:r>
          </w:p>
        </w:tc>
      </w:tr>
      <w:tr w14:paraId="04111B4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58C0F299">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13</w:t>
            </w:r>
          </w:p>
        </w:tc>
        <w:tc>
          <w:tcPr>
            <w:tcW w:w="1491" w:type="pct"/>
            <w:vAlign w:val="center"/>
          </w:tcPr>
          <w:p w14:paraId="7D27C858">
            <w:pPr>
              <w:spacing w:line="280" w:lineRule="exact"/>
              <w:jc w:val="center"/>
              <w:rPr>
                <w:rFonts w:hint="eastAsia" w:ascii="宋体" w:hAnsi="宋体" w:cs="宋体"/>
                <w:color w:val="auto"/>
                <w:kern w:val="0"/>
                <w:szCs w:val="21"/>
              </w:rPr>
            </w:pPr>
            <w:r>
              <w:rPr>
                <w:rFonts w:hint="eastAsia" w:ascii="宋体" w:hAnsi="宋体"/>
                <w:color w:val="auto"/>
                <w:szCs w:val="21"/>
              </w:rPr>
              <w:t>原</w:t>
            </w:r>
            <w:r>
              <w:rPr>
                <w:rFonts w:ascii="宋体" w:hAnsi="宋体"/>
                <w:color w:val="auto"/>
                <w:szCs w:val="21"/>
              </w:rPr>
              <w:t>油储罐</w:t>
            </w:r>
          </w:p>
        </w:tc>
        <w:tc>
          <w:tcPr>
            <w:tcW w:w="1885" w:type="pct"/>
            <w:vAlign w:val="center"/>
          </w:tcPr>
          <w:p w14:paraId="7A3DE654">
            <w:pPr>
              <w:kinsoku w:val="0"/>
              <w:overflowPunct w:val="0"/>
              <w:autoSpaceDE w:val="0"/>
              <w:autoSpaceDN w:val="0"/>
              <w:jc w:val="center"/>
              <w:rPr>
                <w:rFonts w:hint="eastAsia" w:ascii="宋体" w:hAnsi="宋体"/>
                <w:color w:val="auto"/>
                <w:szCs w:val="21"/>
              </w:rPr>
            </w:pPr>
            <w:r>
              <w:rPr>
                <w:rFonts w:hint="eastAsia" w:ascii="宋体" w:hAnsi="宋体"/>
                <w:color w:val="auto"/>
                <w:szCs w:val="21"/>
              </w:rPr>
              <w:t>卧式罐，</w:t>
            </w:r>
            <w:r>
              <w:rPr>
                <w:rFonts w:ascii="宋体" w:hAnsi="宋体"/>
                <w:color w:val="auto"/>
                <w:szCs w:val="21"/>
              </w:rPr>
              <w:t>单罐容积：V=19m</w:t>
            </w:r>
            <w:r>
              <w:rPr>
                <w:rFonts w:ascii="宋体" w:hAnsi="宋体"/>
                <w:color w:val="auto"/>
                <w:szCs w:val="21"/>
                <w:vertAlign w:val="superscript"/>
              </w:rPr>
              <w:t>3</w:t>
            </w:r>
          </w:p>
          <w:p w14:paraId="33BA2937">
            <w:pPr>
              <w:kinsoku w:val="0"/>
              <w:overflowPunct w:val="0"/>
              <w:autoSpaceDE w:val="0"/>
              <w:autoSpaceDN w:val="0"/>
              <w:jc w:val="center"/>
              <w:rPr>
                <w:rFonts w:hint="eastAsia" w:ascii="宋体" w:hAnsi="宋体"/>
                <w:color w:val="auto"/>
                <w:szCs w:val="21"/>
              </w:rPr>
            </w:pPr>
            <w:r>
              <w:rPr>
                <w:rFonts w:ascii="宋体" w:hAnsi="宋体"/>
                <w:color w:val="auto"/>
                <w:szCs w:val="21"/>
              </w:rPr>
              <w:t>设计/操作压力：2.0MPa/0.4MPa</w:t>
            </w:r>
          </w:p>
          <w:p w14:paraId="07CBF0D6">
            <w:pPr>
              <w:spacing w:line="280" w:lineRule="exact"/>
              <w:jc w:val="center"/>
              <w:rPr>
                <w:rFonts w:hint="eastAsia" w:ascii="宋体" w:hAnsi="宋体" w:cs="宋体"/>
                <w:color w:val="auto"/>
                <w:kern w:val="0"/>
                <w:szCs w:val="21"/>
              </w:rPr>
            </w:pPr>
            <w:r>
              <w:rPr>
                <w:rFonts w:ascii="宋体" w:hAnsi="宋体"/>
                <w:color w:val="auto"/>
                <w:szCs w:val="21"/>
              </w:rPr>
              <w:t>提升泵：Q=30m</w:t>
            </w:r>
            <w:r>
              <w:rPr>
                <w:rFonts w:ascii="宋体" w:hAnsi="宋体"/>
                <w:color w:val="auto"/>
                <w:szCs w:val="21"/>
                <w:vertAlign w:val="superscript"/>
              </w:rPr>
              <w:t>3</w:t>
            </w:r>
            <w:r>
              <w:rPr>
                <w:rFonts w:ascii="宋体" w:hAnsi="宋体"/>
                <w:color w:val="auto"/>
                <w:szCs w:val="21"/>
              </w:rPr>
              <w:t>/h H=10m N=5.5kW</w:t>
            </w:r>
          </w:p>
        </w:tc>
        <w:tc>
          <w:tcPr>
            <w:tcW w:w="670" w:type="pct"/>
            <w:vAlign w:val="center"/>
          </w:tcPr>
          <w:p w14:paraId="35E2EAA7">
            <w:pPr>
              <w:spacing w:line="280" w:lineRule="exact"/>
              <w:jc w:val="center"/>
              <w:rPr>
                <w:rFonts w:hint="eastAsia" w:ascii="宋体" w:hAnsi="宋体" w:cs="宋体"/>
                <w:color w:val="auto"/>
                <w:szCs w:val="21"/>
              </w:rPr>
            </w:pPr>
            <w:r>
              <w:rPr>
                <w:rFonts w:hint="eastAsia" w:ascii="宋体" w:hAnsi="宋体"/>
                <w:color w:val="auto"/>
                <w:szCs w:val="21"/>
              </w:rPr>
              <w:t>1</w:t>
            </w:r>
          </w:p>
        </w:tc>
        <w:tc>
          <w:tcPr>
            <w:tcW w:w="513" w:type="pct"/>
            <w:vAlign w:val="center"/>
          </w:tcPr>
          <w:p w14:paraId="5D50E940">
            <w:pPr>
              <w:spacing w:line="280" w:lineRule="exact"/>
              <w:jc w:val="center"/>
              <w:rPr>
                <w:rFonts w:hint="eastAsia" w:ascii="宋体" w:hAnsi="宋体" w:cs="宋体"/>
                <w:color w:val="auto"/>
                <w:kern w:val="0"/>
                <w:szCs w:val="21"/>
              </w:rPr>
            </w:pPr>
            <w:r>
              <w:rPr>
                <w:rFonts w:hint="eastAsia" w:ascii="宋体" w:hAnsi="宋体"/>
                <w:color w:val="auto"/>
                <w:szCs w:val="21"/>
              </w:rPr>
              <w:t>搬迁</w:t>
            </w:r>
          </w:p>
        </w:tc>
      </w:tr>
      <w:tr w14:paraId="6DFBAB2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1F4F991B">
            <w:pPr>
              <w:spacing w:line="280" w:lineRule="exact"/>
              <w:jc w:val="center"/>
              <w:rPr>
                <w:rFonts w:hint="eastAsia" w:ascii="宋体" w:hAnsi="宋体"/>
                <w:color w:val="auto"/>
                <w:szCs w:val="21"/>
              </w:rPr>
            </w:pPr>
            <w:r>
              <w:rPr>
                <w:rFonts w:hint="eastAsia" w:ascii="宋体" w:hAnsi="宋体" w:cs="宋体"/>
                <w:color w:val="auto"/>
                <w:kern w:val="0"/>
                <w:szCs w:val="21"/>
              </w:rPr>
              <w:t>14</w:t>
            </w:r>
          </w:p>
        </w:tc>
        <w:tc>
          <w:tcPr>
            <w:tcW w:w="1491" w:type="pct"/>
            <w:vAlign w:val="center"/>
          </w:tcPr>
          <w:p w14:paraId="4BB16A63">
            <w:pPr>
              <w:spacing w:line="280" w:lineRule="exact"/>
              <w:jc w:val="center"/>
              <w:rPr>
                <w:rFonts w:hint="eastAsia" w:ascii="宋体" w:hAnsi="宋体" w:cs="宋体"/>
                <w:color w:val="auto"/>
                <w:kern w:val="0"/>
                <w:szCs w:val="21"/>
              </w:rPr>
            </w:pPr>
            <w:r>
              <w:rPr>
                <w:rFonts w:ascii="宋体" w:hAnsi="宋体"/>
                <w:color w:val="auto"/>
                <w:szCs w:val="21"/>
              </w:rPr>
              <w:t>原油储罐</w:t>
            </w:r>
          </w:p>
        </w:tc>
        <w:tc>
          <w:tcPr>
            <w:tcW w:w="1885" w:type="pct"/>
            <w:vAlign w:val="center"/>
          </w:tcPr>
          <w:p w14:paraId="704B400A">
            <w:pPr>
              <w:spacing w:line="280" w:lineRule="exact"/>
              <w:jc w:val="center"/>
              <w:rPr>
                <w:rFonts w:hint="eastAsia" w:ascii="宋体" w:hAnsi="宋体" w:cs="宋体"/>
                <w:color w:val="auto"/>
                <w:kern w:val="0"/>
                <w:szCs w:val="21"/>
              </w:rPr>
            </w:pPr>
            <w:r>
              <w:rPr>
                <w:rFonts w:hint="eastAsia" w:ascii="宋体" w:hAnsi="宋体"/>
                <w:color w:val="auto"/>
                <w:szCs w:val="21"/>
              </w:rPr>
              <w:t>内浮顶罐，</w:t>
            </w:r>
            <w:r>
              <w:rPr>
                <w:rFonts w:ascii="宋体" w:hAnsi="宋体"/>
                <w:color w:val="auto"/>
                <w:szCs w:val="21"/>
              </w:rPr>
              <w:t>单罐容积：V=</w:t>
            </w:r>
            <w:r>
              <w:rPr>
                <w:rFonts w:hint="eastAsia" w:ascii="宋体" w:hAnsi="宋体"/>
                <w:color w:val="auto"/>
                <w:szCs w:val="21"/>
              </w:rPr>
              <w:t>60</w:t>
            </w:r>
            <w:r>
              <w:rPr>
                <w:rFonts w:ascii="宋体" w:hAnsi="宋体"/>
                <w:color w:val="auto"/>
                <w:szCs w:val="21"/>
              </w:rPr>
              <w:t>m</w:t>
            </w:r>
            <w:r>
              <w:rPr>
                <w:rFonts w:ascii="宋体" w:hAnsi="宋体"/>
                <w:color w:val="auto"/>
                <w:szCs w:val="21"/>
                <w:vertAlign w:val="superscript"/>
              </w:rPr>
              <w:t>3</w:t>
            </w:r>
          </w:p>
        </w:tc>
        <w:tc>
          <w:tcPr>
            <w:tcW w:w="670" w:type="pct"/>
            <w:vAlign w:val="center"/>
          </w:tcPr>
          <w:p w14:paraId="11E4A4F0">
            <w:pPr>
              <w:spacing w:line="280" w:lineRule="exact"/>
              <w:jc w:val="center"/>
              <w:rPr>
                <w:rFonts w:hint="eastAsia" w:ascii="宋体" w:hAnsi="宋体" w:cs="宋体"/>
                <w:color w:val="auto"/>
                <w:szCs w:val="21"/>
              </w:rPr>
            </w:pPr>
            <w:r>
              <w:rPr>
                <w:rFonts w:hint="eastAsia" w:ascii="宋体" w:hAnsi="宋体"/>
                <w:color w:val="auto"/>
                <w:szCs w:val="21"/>
              </w:rPr>
              <w:t>2</w:t>
            </w:r>
          </w:p>
        </w:tc>
        <w:tc>
          <w:tcPr>
            <w:tcW w:w="513" w:type="pct"/>
            <w:vAlign w:val="center"/>
          </w:tcPr>
          <w:p w14:paraId="0B9854D8">
            <w:pPr>
              <w:spacing w:line="280" w:lineRule="exact"/>
              <w:jc w:val="center"/>
              <w:rPr>
                <w:rFonts w:hint="eastAsia" w:ascii="宋体" w:hAnsi="宋体" w:cs="宋体"/>
                <w:color w:val="auto"/>
                <w:kern w:val="0"/>
                <w:szCs w:val="21"/>
              </w:rPr>
            </w:pPr>
            <w:r>
              <w:rPr>
                <w:rFonts w:hint="eastAsia" w:ascii="宋体" w:hAnsi="宋体"/>
                <w:color w:val="auto"/>
                <w:szCs w:val="21"/>
              </w:rPr>
              <w:t>搬迁</w:t>
            </w:r>
          </w:p>
        </w:tc>
      </w:tr>
      <w:tr w14:paraId="0A80BBF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6AE1B1FC">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15</w:t>
            </w:r>
          </w:p>
        </w:tc>
        <w:tc>
          <w:tcPr>
            <w:tcW w:w="1491" w:type="pct"/>
            <w:vAlign w:val="center"/>
          </w:tcPr>
          <w:p w14:paraId="6F760103">
            <w:pPr>
              <w:spacing w:line="280" w:lineRule="exact"/>
              <w:jc w:val="center"/>
              <w:rPr>
                <w:rFonts w:hint="eastAsia" w:ascii="宋体" w:hAnsi="宋体" w:cs="宋体"/>
                <w:color w:val="auto"/>
                <w:kern w:val="0"/>
                <w:szCs w:val="21"/>
              </w:rPr>
            </w:pPr>
            <w:r>
              <w:rPr>
                <w:rFonts w:ascii="宋体" w:hAnsi="宋体"/>
                <w:color w:val="auto"/>
                <w:szCs w:val="21"/>
              </w:rPr>
              <w:t>污水罐</w:t>
            </w:r>
          </w:p>
        </w:tc>
        <w:tc>
          <w:tcPr>
            <w:tcW w:w="1885" w:type="pct"/>
            <w:vAlign w:val="center"/>
          </w:tcPr>
          <w:p w14:paraId="1D11C2A8">
            <w:pPr>
              <w:kinsoku w:val="0"/>
              <w:overflowPunct w:val="0"/>
              <w:autoSpaceDE w:val="0"/>
              <w:autoSpaceDN w:val="0"/>
              <w:jc w:val="center"/>
              <w:rPr>
                <w:rFonts w:hint="eastAsia" w:ascii="宋体" w:hAnsi="宋体"/>
                <w:color w:val="auto"/>
                <w:szCs w:val="21"/>
              </w:rPr>
            </w:pPr>
            <w:r>
              <w:rPr>
                <w:rFonts w:ascii="宋体" w:hAnsi="宋体"/>
                <w:color w:val="auto"/>
                <w:szCs w:val="21"/>
              </w:rPr>
              <w:t>单罐容积：V=40m</w:t>
            </w:r>
            <w:r>
              <w:rPr>
                <w:rFonts w:ascii="宋体" w:hAnsi="宋体"/>
                <w:color w:val="auto"/>
                <w:szCs w:val="21"/>
                <w:vertAlign w:val="superscript"/>
              </w:rPr>
              <w:t>3</w:t>
            </w:r>
          </w:p>
          <w:p w14:paraId="4D657688">
            <w:pPr>
              <w:spacing w:line="280" w:lineRule="exact"/>
              <w:jc w:val="center"/>
              <w:rPr>
                <w:rFonts w:hint="eastAsia" w:ascii="宋体" w:hAnsi="宋体" w:cs="宋体"/>
                <w:color w:val="auto"/>
                <w:kern w:val="0"/>
                <w:szCs w:val="21"/>
              </w:rPr>
            </w:pPr>
            <w:r>
              <w:rPr>
                <w:rFonts w:ascii="宋体" w:hAnsi="宋体"/>
                <w:color w:val="auto"/>
                <w:szCs w:val="21"/>
              </w:rPr>
              <w:t>提升泵：Q=30m</w:t>
            </w:r>
            <w:r>
              <w:rPr>
                <w:rFonts w:ascii="宋体" w:hAnsi="宋体"/>
                <w:color w:val="auto"/>
                <w:szCs w:val="21"/>
                <w:vertAlign w:val="superscript"/>
              </w:rPr>
              <w:t>3</w:t>
            </w:r>
            <w:r>
              <w:rPr>
                <w:rFonts w:ascii="宋体" w:hAnsi="宋体"/>
                <w:color w:val="auto"/>
                <w:szCs w:val="21"/>
              </w:rPr>
              <w:t>/h H=10m N=5.5kW</w:t>
            </w:r>
          </w:p>
        </w:tc>
        <w:tc>
          <w:tcPr>
            <w:tcW w:w="670" w:type="pct"/>
            <w:vAlign w:val="center"/>
          </w:tcPr>
          <w:p w14:paraId="48810E88">
            <w:pPr>
              <w:spacing w:line="280" w:lineRule="exact"/>
              <w:jc w:val="center"/>
              <w:rPr>
                <w:rFonts w:hint="eastAsia" w:ascii="宋体" w:hAnsi="宋体" w:cs="宋体"/>
                <w:color w:val="auto"/>
                <w:szCs w:val="21"/>
              </w:rPr>
            </w:pPr>
            <w:r>
              <w:rPr>
                <w:rFonts w:hint="eastAsia" w:ascii="宋体" w:hAnsi="宋体"/>
                <w:color w:val="auto"/>
                <w:szCs w:val="21"/>
              </w:rPr>
              <w:t>1</w:t>
            </w:r>
          </w:p>
        </w:tc>
        <w:tc>
          <w:tcPr>
            <w:tcW w:w="513" w:type="pct"/>
            <w:vAlign w:val="center"/>
          </w:tcPr>
          <w:p w14:paraId="1A174A0E">
            <w:pPr>
              <w:spacing w:line="280" w:lineRule="exact"/>
              <w:jc w:val="center"/>
              <w:rPr>
                <w:rFonts w:hint="eastAsia" w:ascii="宋体" w:hAnsi="宋体" w:cs="宋体"/>
                <w:color w:val="auto"/>
                <w:kern w:val="0"/>
                <w:szCs w:val="21"/>
              </w:rPr>
            </w:pPr>
            <w:r>
              <w:rPr>
                <w:rFonts w:hint="eastAsia" w:ascii="宋体" w:hAnsi="宋体"/>
                <w:color w:val="auto"/>
                <w:szCs w:val="21"/>
              </w:rPr>
              <w:t>搬迁</w:t>
            </w:r>
          </w:p>
        </w:tc>
      </w:tr>
      <w:tr w14:paraId="408B86F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07B824D7">
            <w:pPr>
              <w:spacing w:line="280" w:lineRule="exact"/>
              <w:jc w:val="center"/>
              <w:rPr>
                <w:rFonts w:hint="eastAsia" w:ascii="宋体" w:hAnsi="宋体" w:cs="宋体"/>
                <w:color w:val="auto"/>
                <w:kern w:val="0"/>
                <w:szCs w:val="21"/>
              </w:rPr>
            </w:pPr>
            <w:r>
              <w:rPr>
                <w:rFonts w:hint="eastAsia" w:ascii="宋体" w:hAnsi="宋体"/>
                <w:color w:val="auto"/>
                <w:szCs w:val="21"/>
              </w:rPr>
              <w:t>16</w:t>
            </w:r>
          </w:p>
        </w:tc>
        <w:tc>
          <w:tcPr>
            <w:tcW w:w="1491" w:type="pct"/>
            <w:vAlign w:val="center"/>
          </w:tcPr>
          <w:p w14:paraId="3E69F65E">
            <w:pPr>
              <w:spacing w:line="280" w:lineRule="exact"/>
              <w:jc w:val="center"/>
              <w:rPr>
                <w:rFonts w:hint="eastAsia" w:ascii="宋体" w:hAnsi="宋体" w:cs="宋体"/>
                <w:color w:val="auto"/>
                <w:kern w:val="0"/>
                <w:szCs w:val="21"/>
              </w:rPr>
            </w:pPr>
            <w:r>
              <w:rPr>
                <w:rFonts w:ascii="宋体" w:hAnsi="宋体"/>
                <w:color w:val="auto"/>
                <w:szCs w:val="21"/>
              </w:rPr>
              <w:t>混烃装车鹤管</w:t>
            </w:r>
          </w:p>
        </w:tc>
        <w:tc>
          <w:tcPr>
            <w:tcW w:w="1885" w:type="pct"/>
            <w:vAlign w:val="center"/>
          </w:tcPr>
          <w:p w14:paraId="021D38B6">
            <w:pPr>
              <w:spacing w:line="280" w:lineRule="exact"/>
              <w:jc w:val="center"/>
              <w:rPr>
                <w:rFonts w:hint="eastAsia" w:ascii="宋体" w:hAnsi="宋体" w:cs="宋体"/>
                <w:color w:val="auto"/>
                <w:kern w:val="0"/>
                <w:szCs w:val="21"/>
              </w:rPr>
            </w:pPr>
            <w:r>
              <w:rPr>
                <w:rFonts w:ascii="宋体" w:hAnsi="宋体"/>
                <w:color w:val="auto"/>
                <w:szCs w:val="21"/>
              </w:rPr>
              <w:t>30m</w:t>
            </w:r>
            <w:r>
              <w:rPr>
                <w:rFonts w:ascii="宋体" w:hAnsi="宋体"/>
                <w:color w:val="auto"/>
                <w:szCs w:val="21"/>
                <w:vertAlign w:val="superscript"/>
              </w:rPr>
              <w:t>3</w:t>
            </w:r>
            <w:r>
              <w:rPr>
                <w:rFonts w:ascii="宋体" w:hAnsi="宋体"/>
                <w:color w:val="auto"/>
                <w:szCs w:val="21"/>
              </w:rPr>
              <w:t>/h</w:t>
            </w:r>
          </w:p>
        </w:tc>
        <w:tc>
          <w:tcPr>
            <w:tcW w:w="670" w:type="pct"/>
            <w:vAlign w:val="center"/>
          </w:tcPr>
          <w:p w14:paraId="36155950">
            <w:pPr>
              <w:spacing w:line="280" w:lineRule="exact"/>
              <w:jc w:val="center"/>
              <w:rPr>
                <w:rFonts w:hint="eastAsia" w:ascii="宋体" w:hAnsi="宋体" w:cs="宋体"/>
                <w:color w:val="auto"/>
                <w:szCs w:val="21"/>
              </w:rPr>
            </w:pPr>
            <w:r>
              <w:rPr>
                <w:rFonts w:hint="eastAsia" w:ascii="宋体" w:hAnsi="宋体"/>
                <w:color w:val="auto"/>
                <w:szCs w:val="21"/>
              </w:rPr>
              <w:t>1</w:t>
            </w:r>
          </w:p>
        </w:tc>
        <w:tc>
          <w:tcPr>
            <w:tcW w:w="513" w:type="pct"/>
            <w:vAlign w:val="center"/>
          </w:tcPr>
          <w:p w14:paraId="6C101892">
            <w:pPr>
              <w:spacing w:line="280" w:lineRule="exact"/>
              <w:jc w:val="center"/>
              <w:rPr>
                <w:rFonts w:hint="eastAsia" w:ascii="宋体" w:hAnsi="宋体" w:cs="宋体"/>
                <w:color w:val="auto"/>
                <w:kern w:val="0"/>
                <w:szCs w:val="21"/>
              </w:rPr>
            </w:pPr>
            <w:r>
              <w:rPr>
                <w:rFonts w:hint="eastAsia" w:ascii="宋体" w:hAnsi="宋体"/>
                <w:color w:val="auto"/>
                <w:szCs w:val="21"/>
              </w:rPr>
              <w:t>新建</w:t>
            </w:r>
          </w:p>
        </w:tc>
      </w:tr>
      <w:tr w14:paraId="63CC7C8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43C550D3">
            <w:pPr>
              <w:spacing w:line="280" w:lineRule="exact"/>
              <w:jc w:val="center"/>
              <w:rPr>
                <w:rFonts w:hint="eastAsia" w:ascii="宋体" w:hAnsi="宋体" w:cs="宋体"/>
                <w:color w:val="auto"/>
                <w:kern w:val="0"/>
                <w:szCs w:val="21"/>
              </w:rPr>
            </w:pPr>
            <w:r>
              <w:rPr>
                <w:rFonts w:hint="eastAsia" w:ascii="宋体" w:hAnsi="宋体"/>
                <w:color w:val="auto"/>
                <w:szCs w:val="21"/>
              </w:rPr>
              <w:t>17</w:t>
            </w:r>
          </w:p>
        </w:tc>
        <w:tc>
          <w:tcPr>
            <w:tcW w:w="1491" w:type="pct"/>
            <w:vAlign w:val="center"/>
          </w:tcPr>
          <w:p w14:paraId="03BA971B">
            <w:pPr>
              <w:spacing w:line="280" w:lineRule="exact"/>
              <w:jc w:val="center"/>
              <w:rPr>
                <w:rFonts w:hint="eastAsia" w:ascii="宋体" w:hAnsi="宋体" w:cs="宋体"/>
                <w:color w:val="auto"/>
                <w:kern w:val="0"/>
                <w:szCs w:val="21"/>
              </w:rPr>
            </w:pPr>
            <w:r>
              <w:rPr>
                <w:rFonts w:hint="eastAsia" w:ascii="宋体" w:hAnsi="宋体"/>
                <w:color w:val="auto"/>
                <w:szCs w:val="21"/>
              </w:rPr>
              <w:t>原</w:t>
            </w:r>
            <w:r>
              <w:rPr>
                <w:rFonts w:ascii="宋体" w:hAnsi="宋体"/>
                <w:color w:val="auto"/>
                <w:szCs w:val="21"/>
              </w:rPr>
              <w:t>油装车鹤管</w:t>
            </w:r>
          </w:p>
        </w:tc>
        <w:tc>
          <w:tcPr>
            <w:tcW w:w="1885" w:type="pct"/>
            <w:vAlign w:val="center"/>
          </w:tcPr>
          <w:p w14:paraId="2843A23A">
            <w:pPr>
              <w:spacing w:line="280" w:lineRule="exact"/>
              <w:jc w:val="center"/>
              <w:rPr>
                <w:rFonts w:hint="eastAsia" w:ascii="宋体" w:hAnsi="宋体" w:cs="宋体"/>
                <w:color w:val="auto"/>
                <w:kern w:val="0"/>
                <w:szCs w:val="21"/>
              </w:rPr>
            </w:pPr>
            <w:r>
              <w:rPr>
                <w:rFonts w:ascii="宋体" w:hAnsi="宋体"/>
                <w:color w:val="auto"/>
                <w:szCs w:val="21"/>
              </w:rPr>
              <w:t>30m</w:t>
            </w:r>
            <w:r>
              <w:rPr>
                <w:rFonts w:ascii="宋体" w:hAnsi="宋体"/>
                <w:color w:val="auto"/>
                <w:szCs w:val="21"/>
                <w:vertAlign w:val="superscript"/>
              </w:rPr>
              <w:t>3</w:t>
            </w:r>
            <w:r>
              <w:rPr>
                <w:rFonts w:ascii="宋体" w:hAnsi="宋体"/>
                <w:color w:val="auto"/>
                <w:szCs w:val="21"/>
              </w:rPr>
              <w:t>/h</w:t>
            </w:r>
          </w:p>
        </w:tc>
        <w:tc>
          <w:tcPr>
            <w:tcW w:w="670" w:type="pct"/>
            <w:vAlign w:val="center"/>
          </w:tcPr>
          <w:p w14:paraId="45B3667C">
            <w:pPr>
              <w:spacing w:line="280" w:lineRule="exact"/>
              <w:jc w:val="center"/>
              <w:rPr>
                <w:rFonts w:hint="eastAsia" w:ascii="宋体" w:hAnsi="宋体" w:cs="宋体"/>
                <w:color w:val="auto"/>
                <w:szCs w:val="21"/>
              </w:rPr>
            </w:pPr>
            <w:r>
              <w:rPr>
                <w:rFonts w:hint="eastAsia" w:ascii="宋体" w:hAnsi="宋体"/>
                <w:color w:val="auto"/>
                <w:szCs w:val="21"/>
              </w:rPr>
              <w:t>1</w:t>
            </w:r>
          </w:p>
        </w:tc>
        <w:tc>
          <w:tcPr>
            <w:tcW w:w="513" w:type="pct"/>
            <w:vAlign w:val="center"/>
          </w:tcPr>
          <w:p w14:paraId="0E6F6D9B">
            <w:pPr>
              <w:spacing w:line="280" w:lineRule="exact"/>
              <w:jc w:val="center"/>
              <w:rPr>
                <w:rFonts w:hint="eastAsia" w:ascii="宋体" w:hAnsi="宋体" w:cs="宋体"/>
                <w:color w:val="auto"/>
                <w:kern w:val="0"/>
                <w:szCs w:val="21"/>
              </w:rPr>
            </w:pPr>
            <w:r>
              <w:rPr>
                <w:rFonts w:hint="eastAsia" w:ascii="宋体" w:hAnsi="宋体"/>
                <w:color w:val="auto"/>
                <w:szCs w:val="21"/>
              </w:rPr>
              <w:t>新建</w:t>
            </w:r>
          </w:p>
        </w:tc>
      </w:tr>
      <w:tr w14:paraId="6CA1ACC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36D1D069">
            <w:pPr>
              <w:spacing w:line="280" w:lineRule="exact"/>
              <w:jc w:val="center"/>
              <w:rPr>
                <w:rFonts w:hint="eastAsia" w:ascii="宋体" w:hAnsi="宋体"/>
                <w:color w:val="auto"/>
                <w:szCs w:val="21"/>
              </w:rPr>
            </w:pPr>
            <w:r>
              <w:rPr>
                <w:rFonts w:hint="eastAsia" w:ascii="宋体" w:hAnsi="宋体"/>
                <w:color w:val="auto"/>
                <w:szCs w:val="21"/>
              </w:rPr>
              <w:t>18</w:t>
            </w:r>
          </w:p>
        </w:tc>
        <w:tc>
          <w:tcPr>
            <w:tcW w:w="1491" w:type="pct"/>
            <w:vAlign w:val="center"/>
          </w:tcPr>
          <w:p w14:paraId="2A351AAC">
            <w:pPr>
              <w:spacing w:line="280" w:lineRule="exact"/>
              <w:jc w:val="center"/>
              <w:rPr>
                <w:rFonts w:hint="eastAsia" w:ascii="宋体" w:hAnsi="宋体"/>
                <w:color w:val="auto"/>
                <w:szCs w:val="21"/>
              </w:rPr>
            </w:pPr>
            <w:r>
              <w:rPr>
                <w:rFonts w:ascii="宋体" w:hAnsi="宋体"/>
                <w:color w:val="auto"/>
                <w:szCs w:val="21"/>
              </w:rPr>
              <w:t>污水装车鹤管</w:t>
            </w:r>
          </w:p>
        </w:tc>
        <w:tc>
          <w:tcPr>
            <w:tcW w:w="1885" w:type="pct"/>
            <w:vAlign w:val="center"/>
          </w:tcPr>
          <w:p w14:paraId="524CF9BF">
            <w:pPr>
              <w:kinsoku w:val="0"/>
              <w:overflowPunct w:val="0"/>
              <w:autoSpaceDE w:val="0"/>
              <w:autoSpaceDN w:val="0"/>
              <w:jc w:val="center"/>
              <w:rPr>
                <w:rFonts w:hint="eastAsia" w:ascii="宋体" w:hAnsi="宋体"/>
                <w:color w:val="auto"/>
                <w:szCs w:val="21"/>
              </w:rPr>
            </w:pPr>
          </w:p>
        </w:tc>
        <w:tc>
          <w:tcPr>
            <w:tcW w:w="670" w:type="pct"/>
            <w:vAlign w:val="center"/>
          </w:tcPr>
          <w:p w14:paraId="6E15F63E">
            <w:pPr>
              <w:spacing w:line="280" w:lineRule="exact"/>
              <w:jc w:val="center"/>
              <w:rPr>
                <w:rFonts w:hint="eastAsia" w:ascii="宋体" w:hAnsi="宋体"/>
                <w:color w:val="auto"/>
                <w:szCs w:val="21"/>
              </w:rPr>
            </w:pPr>
            <w:r>
              <w:rPr>
                <w:rFonts w:hint="eastAsia" w:ascii="宋体" w:hAnsi="宋体"/>
                <w:color w:val="auto"/>
                <w:szCs w:val="21"/>
              </w:rPr>
              <w:t>1</w:t>
            </w:r>
          </w:p>
        </w:tc>
        <w:tc>
          <w:tcPr>
            <w:tcW w:w="513" w:type="pct"/>
            <w:vAlign w:val="center"/>
          </w:tcPr>
          <w:p w14:paraId="5B948AE7">
            <w:pPr>
              <w:spacing w:line="280" w:lineRule="exact"/>
              <w:jc w:val="center"/>
              <w:rPr>
                <w:rFonts w:hint="eastAsia" w:ascii="宋体" w:hAnsi="宋体"/>
                <w:color w:val="auto"/>
                <w:szCs w:val="21"/>
              </w:rPr>
            </w:pPr>
            <w:r>
              <w:rPr>
                <w:rFonts w:hint="eastAsia" w:ascii="宋体" w:hAnsi="宋体"/>
                <w:color w:val="auto"/>
                <w:szCs w:val="21"/>
              </w:rPr>
              <w:t>新建</w:t>
            </w:r>
          </w:p>
        </w:tc>
      </w:tr>
      <w:tr w14:paraId="2CE9536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116E984E">
            <w:pPr>
              <w:spacing w:line="280" w:lineRule="exact"/>
              <w:jc w:val="center"/>
              <w:rPr>
                <w:rFonts w:hint="eastAsia" w:ascii="宋体" w:hAnsi="宋体"/>
                <w:color w:val="auto"/>
                <w:szCs w:val="21"/>
              </w:rPr>
            </w:pPr>
            <w:r>
              <w:rPr>
                <w:rFonts w:hint="eastAsia" w:ascii="宋体" w:hAnsi="宋体"/>
                <w:color w:val="auto"/>
                <w:szCs w:val="21"/>
              </w:rPr>
              <w:t>19</w:t>
            </w:r>
          </w:p>
        </w:tc>
        <w:tc>
          <w:tcPr>
            <w:tcW w:w="1491" w:type="pct"/>
            <w:vAlign w:val="center"/>
          </w:tcPr>
          <w:p w14:paraId="5AD5906C">
            <w:pPr>
              <w:spacing w:line="280" w:lineRule="exact"/>
              <w:jc w:val="center"/>
              <w:rPr>
                <w:rFonts w:hint="eastAsia" w:ascii="宋体" w:hAnsi="宋体"/>
                <w:color w:val="auto"/>
                <w:szCs w:val="21"/>
              </w:rPr>
            </w:pPr>
            <w:r>
              <w:rPr>
                <w:rFonts w:ascii="宋体" w:hAnsi="宋体"/>
                <w:color w:val="auto"/>
                <w:szCs w:val="21"/>
              </w:rPr>
              <w:t>CNG充气柱</w:t>
            </w:r>
          </w:p>
        </w:tc>
        <w:tc>
          <w:tcPr>
            <w:tcW w:w="1885" w:type="pct"/>
            <w:vAlign w:val="center"/>
          </w:tcPr>
          <w:p w14:paraId="4E125FE4">
            <w:pPr>
              <w:kinsoku w:val="0"/>
              <w:overflowPunct w:val="0"/>
              <w:autoSpaceDE w:val="0"/>
              <w:autoSpaceDN w:val="0"/>
              <w:jc w:val="center"/>
              <w:rPr>
                <w:rFonts w:hint="eastAsia" w:ascii="宋体" w:hAnsi="宋体"/>
                <w:color w:val="auto"/>
                <w:szCs w:val="21"/>
              </w:rPr>
            </w:pPr>
            <w:r>
              <w:rPr>
                <w:rFonts w:ascii="宋体" w:hAnsi="宋体"/>
                <w:color w:val="auto"/>
                <w:szCs w:val="21"/>
              </w:rPr>
              <w:t>Q=4×10</w:t>
            </w:r>
            <w:r>
              <w:rPr>
                <w:rFonts w:ascii="宋体" w:hAnsi="宋体"/>
                <w:color w:val="auto"/>
                <w:szCs w:val="21"/>
                <w:vertAlign w:val="superscript"/>
              </w:rPr>
              <w:t>4</w:t>
            </w:r>
            <w:r>
              <w:rPr>
                <w:rFonts w:ascii="宋体" w:hAnsi="宋体"/>
                <w:color w:val="auto"/>
                <w:szCs w:val="21"/>
              </w:rPr>
              <w:t>m</w:t>
            </w:r>
            <w:r>
              <w:rPr>
                <w:rFonts w:ascii="宋体" w:hAnsi="宋体"/>
                <w:color w:val="auto"/>
                <w:szCs w:val="21"/>
                <w:vertAlign w:val="superscript"/>
              </w:rPr>
              <w:t>3</w:t>
            </w:r>
            <w:r>
              <w:rPr>
                <w:rFonts w:ascii="宋体" w:hAnsi="宋体"/>
                <w:color w:val="auto"/>
                <w:szCs w:val="21"/>
              </w:rPr>
              <w:t>/d</w:t>
            </w:r>
          </w:p>
        </w:tc>
        <w:tc>
          <w:tcPr>
            <w:tcW w:w="670" w:type="pct"/>
            <w:vAlign w:val="center"/>
          </w:tcPr>
          <w:p w14:paraId="31F593CF">
            <w:pPr>
              <w:spacing w:line="280" w:lineRule="exact"/>
              <w:jc w:val="center"/>
              <w:rPr>
                <w:rFonts w:hint="eastAsia" w:ascii="宋体" w:hAnsi="宋体"/>
                <w:color w:val="auto"/>
                <w:szCs w:val="21"/>
              </w:rPr>
            </w:pPr>
            <w:r>
              <w:rPr>
                <w:rFonts w:hint="eastAsia" w:ascii="宋体" w:hAnsi="宋体"/>
                <w:color w:val="auto"/>
                <w:szCs w:val="21"/>
              </w:rPr>
              <w:t>2</w:t>
            </w:r>
          </w:p>
        </w:tc>
        <w:tc>
          <w:tcPr>
            <w:tcW w:w="513" w:type="pct"/>
            <w:vAlign w:val="center"/>
          </w:tcPr>
          <w:p w14:paraId="353427D8">
            <w:pPr>
              <w:spacing w:line="280" w:lineRule="exact"/>
              <w:jc w:val="center"/>
              <w:rPr>
                <w:rFonts w:hint="eastAsia" w:ascii="宋体" w:hAnsi="宋体"/>
                <w:color w:val="auto"/>
                <w:szCs w:val="21"/>
              </w:rPr>
            </w:pPr>
            <w:bookmarkStart w:id="226" w:name="OLE_LINK45"/>
            <w:r>
              <w:rPr>
                <w:rFonts w:hint="eastAsia" w:ascii="宋体" w:hAnsi="宋体"/>
                <w:color w:val="auto"/>
                <w:szCs w:val="21"/>
              </w:rPr>
              <w:t>搬迁</w:t>
            </w:r>
            <w:bookmarkEnd w:id="226"/>
            <w:r>
              <w:rPr>
                <w:rFonts w:hint="eastAsia" w:ascii="宋体" w:hAnsi="宋体"/>
                <w:color w:val="auto"/>
                <w:szCs w:val="21"/>
              </w:rPr>
              <w:t>1、新建1</w:t>
            </w:r>
          </w:p>
        </w:tc>
      </w:tr>
      <w:tr w14:paraId="4E29CA3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0E323ACB">
            <w:pPr>
              <w:spacing w:line="280" w:lineRule="exact"/>
              <w:jc w:val="center"/>
              <w:rPr>
                <w:rFonts w:hint="eastAsia" w:ascii="宋体" w:hAnsi="宋体"/>
                <w:color w:val="auto"/>
                <w:szCs w:val="21"/>
              </w:rPr>
            </w:pPr>
            <w:r>
              <w:rPr>
                <w:rFonts w:hint="eastAsia" w:ascii="宋体" w:hAnsi="宋体"/>
                <w:color w:val="auto"/>
                <w:szCs w:val="21"/>
              </w:rPr>
              <w:t>20</w:t>
            </w:r>
          </w:p>
        </w:tc>
        <w:tc>
          <w:tcPr>
            <w:tcW w:w="1491" w:type="pct"/>
            <w:vAlign w:val="center"/>
          </w:tcPr>
          <w:p w14:paraId="38062815">
            <w:pPr>
              <w:spacing w:line="280" w:lineRule="exact"/>
              <w:jc w:val="center"/>
              <w:rPr>
                <w:rFonts w:hint="eastAsia" w:ascii="宋体" w:hAnsi="宋体"/>
                <w:color w:val="auto"/>
                <w:szCs w:val="21"/>
              </w:rPr>
            </w:pPr>
            <w:r>
              <w:rPr>
                <w:rFonts w:hint="eastAsia" w:ascii="宋体" w:hAnsi="宋体" w:cs="宋体"/>
                <w:color w:val="auto"/>
                <w:kern w:val="0"/>
                <w:szCs w:val="21"/>
              </w:rPr>
              <w:t>火炬</w:t>
            </w:r>
          </w:p>
        </w:tc>
        <w:tc>
          <w:tcPr>
            <w:tcW w:w="1885" w:type="pct"/>
            <w:vAlign w:val="center"/>
          </w:tcPr>
          <w:p w14:paraId="5F3C7928">
            <w:pPr>
              <w:kinsoku w:val="0"/>
              <w:overflowPunct w:val="0"/>
              <w:autoSpaceDE w:val="0"/>
              <w:autoSpaceDN w:val="0"/>
              <w:jc w:val="center"/>
              <w:rPr>
                <w:rFonts w:hint="eastAsia" w:ascii="宋体" w:hAnsi="宋体"/>
                <w:color w:val="auto"/>
                <w:szCs w:val="21"/>
              </w:rPr>
            </w:pPr>
            <w:r>
              <w:rPr>
                <w:rFonts w:hint="eastAsia" w:ascii="宋体" w:hAnsi="宋体" w:cs="宋体"/>
                <w:color w:val="auto"/>
                <w:kern w:val="0"/>
                <w:szCs w:val="21"/>
              </w:rPr>
              <w:t>/</w:t>
            </w:r>
          </w:p>
        </w:tc>
        <w:tc>
          <w:tcPr>
            <w:tcW w:w="670" w:type="pct"/>
            <w:vAlign w:val="center"/>
          </w:tcPr>
          <w:p w14:paraId="2E00D0F8">
            <w:pPr>
              <w:spacing w:line="280" w:lineRule="exact"/>
              <w:jc w:val="center"/>
              <w:rPr>
                <w:rFonts w:hint="eastAsia" w:ascii="宋体" w:hAnsi="宋体"/>
                <w:color w:val="auto"/>
                <w:szCs w:val="21"/>
              </w:rPr>
            </w:pPr>
            <w:r>
              <w:rPr>
                <w:rFonts w:hint="eastAsia" w:ascii="宋体" w:hAnsi="宋体" w:cs="宋体"/>
                <w:color w:val="auto"/>
                <w:kern w:val="0"/>
                <w:szCs w:val="21"/>
              </w:rPr>
              <w:t>1</w:t>
            </w:r>
          </w:p>
        </w:tc>
        <w:tc>
          <w:tcPr>
            <w:tcW w:w="513" w:type="pct"/>
            <w:vAlign w:val="center"/>
          </w:tcPr>
          <w:p w14:paraId="705D80F9">
            <w:pPr>
              <w:spacing w:line="280" w:lineRule="exact"/>
              <w:jc w:val="center"/>
              <w:rPr>
                <w:rFonts w:hint="eastAsia" w:ascii="宋体" w:hAnsi="宋体"/>
                <w:color w:val="auto"/>
                <w:szCs w:val="21"/>
              </w:rPr>
            </w:pPr>
            <w:r>
              <w:rPr>
                <w:rFonts w:hint="eastAsia" w:ascii="宋体" w:hAnsi="宋体"/>
                <w:color w:val="auto"/>
                <w:szCs w:val="21"/>
              </w:rPr>
              <w:t>搬迁</w:t>
            </w:r>
          </w:p>
        </w:tc>
      </w:tr>
      <w:tr w14:paraId="70853F4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343F8044">
            <w:pPr>
              <w:spacing w:line="280" w:lineRule="exact"/>
              <w:jc w:val="center"/>
              <w:rPr>
                <w:rFonts w:hint="eastAsia" w:ascii="宋体" w:hAnsi="宋体"/>
                <w:color w:val="auto"/>
                <w:szCs w:val="21"/>
              </w:rPr>
            </w:pPr>
            <w:r>
              <w:rPr>
                <w:rFonts w:hint="eastAsia" w:ascii="宋体" w:hAnsi="宋体"/>
                <w:color w:val="auto"/>
                <w:szCs w:val="21"/>
              </w:rPr>
              <w:t>21</w:t>
            </w:r>
          </w:p>
        </w:tc>
        <w:tc>
          <w:tcPr>
            <w:tcW w:w="1491" w:type="pct"/>
            <w:vAlign w:val="center"/>
          </w:tcPr>
          <w:p w14:paraId="032873D8">
            <w:pPr>
              <w:spacing w:line="280" w:lineRule="exact"/>
              <w:jc w:val="center"/>
              <w:rPr>
                <w:rFonts w:hint="eastAsia" w:ascii="宋体" w:hAnsi="宋体"/>
                <w:color w:val="auto"/>
                <w:szCs w:val="21"/>
              </w:rPr>
            </w:pPr>
            <w:r>
              <w:rPr>
                <w:rFonts w:ascii="宋体" w:hAnsi="宋体"/>
                <w:color w:val="auto"/>
                <w:szCs w:val="21"/>
              </w:rPr>
              <w:t>火炬除液器橇</w:t>
            </w:r>
          </w:p>
        </w:tc>
        <w:tc>
          <w:tcPr>
            <w:tcW w:w="1885" w:type="pct"/>
            <w:vAlign w:val="center"/>
          </w:tcPr>
          <w:p w14:paraId="41F0CF5B">
            <w:pPr>
              <w:kinsoku w:val="0"/>
              <w:overflowPunct w:val="0"/>
              <w:autoSpaceDE w:val="0"/>
              <w:autoSpaceDN w:val="0"/>
              <w:jc w:val="center"/>
              <w:rPr>
                <w:rFonts w:hint="eastAsia" w:ascii="宋体" w:hAnsi="宋体"/>
                <w:color w:val="auto"/>
                <w:szCs w:val="21"/>
              </w:rPr>
            </w:pPr>
            <w:r>
              <w:rPr>
                <w:rFonts w:ascii="宋体" w:hAnsi="宋体"/>
                <w:color w:val="auto"/>
                <w:szCs w:val="21"/>
              </w:rPr>
              <w:t>设计/操作压力：0.5MPa/0.1MPa</w:t>
            </w:r>
          </w:p>
          <w:p w14:paraId="4E4F9E24">
            <w:pPr>
              <w:kinsoku w:val="0"/>
              <w:overflowPunct w:val="0"/>
              <w:autoSpaceDE w:val="0"/>
              <w:autoSpaceDN w:val="0"/>
              <w:jc w:val="center"/>
              <w:rPr>
                <w:rFonts w:hint="eastAsia" w:ascii="宋体" w:hAnsi="宋体"/>
                <w:color w:val="auto"/>
                <w:szCs w:val="21"/>
              </w:rPr>
            </w:pPr>
            <w:r>
              <w:rPr>
                <w:rFonts w:ascii="宋体" w:hAnsi="宋体"/>
                <w:color w:val="auto"/>
                <w:szCs w:val="21"/>
              </w:rPr>
              <w:t>设计/操作温度：60℃/20~40℃</w:t>
            </w:r>
          </w:p>
          <w:p w14:paraId="5F72B1E1">
            <w:pPr>
              <w:kinsoku w:val="0"/>
              <w:overflowPunct w:val="0"/>
              <w:autoSpaceDE w:val="0"/>
              <w:autoSpaceDN w:val="0"/>
              <w:jc w:val="center"/>
              <w:rPr>
                <w:rFonts w:hint="eastAsia" w:ascii="宋体" w:hAnsi="宋体"/>
                <w:color w:val="auto"/>
                <w:szCs w:val="21"/>
              </w:rPr>
            </w:pPr>
            <w:r>
              <w:rPr>
                <w:rFonts w:ascii="宋体" w:hAnsi="宋体"/>
                <w:color w:val="auto"/>
                <w:szCs w:val="21"/>
              </w:rPr>
              <w:t>L×D=3.2m×0.8m</w:t>
            </w:r>
          </w:p>
        </w:tc>
        <w:tc>
          <w:tcPr>
            <w:tcW w:w="670" w:type="pct"/>
            <w:vAlign w:val="center"/>
          </w:tcPr>
          <w:p w14:paraId="4E1EE6AB">
            <w:pPr>
              <w:spacing w:line="280" w:lineRule="exact"/>
              <w:jc w:val="center"/>
              <w:rPr>
                <w:rFonts w:hint="eastAsia" w:ascii="宋体" w:hAnsi="宋体"/>
                <w:color w:val="auto"/>
                <w:szCs w:val="21"/>
              </w:rPr>
            </w:pPr>
            <w:r>
              <w:rPr>
                <w:rFonts w:hint="eastAsia" w:ascii="宋体" w:hAnsi="宋体"/>
                <w:color w:val="auto"/>
                <w:szCs w:val="21"/>
              </w:rPr>
              <w:t>1</w:t>
            </w:r>
          </w:p>
        </w:tc>
        <w:tc>
          <w:tcPr>
            <w:tcW w:w="513" w:type="pct"/>
            <w:vAlign w:val="center"/>
          </w:tcPr>
          <w:p w14:paraId="12841779">
            <w:pPr>
              <w:spacing w:line="280" w:lineRule="exact"/>
              <w:jc w:val="center"/>
              <w:rPr>
                <w:rFonts w:hint="eastAsia" w:ascii="宋体" w:hAnsi="宋体"/>
                <w:color w:val="auto"/>
                <w:szCs w:val="21"/>
              </w:rPr>
            </w:pPr>
          </w:p>
        </w:tc>
      </w:tr>
      <w:tr w14:paraId="1B706D6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00" w:type="pct"/>
            <w:gridSpan w:val="5"/>
            <w:vAlign w:val="center"/>
          </w:tcPr>
          <w:p w14:paraId="42D90A64">
            <w:pPr>
              <w:spacing w:line="280" w:lineRule="exact"/>
              <w:jc w:val="center"/>
              <w:rPr>
                <w:rFonts w:hint="eastAsia" w:ascii="宋体" w:hAnsi="宋体"/>
                <w:color w:val="auto"/>
                <w:szCs w:val="21"/>
              </w:rPr>
            </w:pPr>
            <w:r>
              <w:rPr>
                <w:rFonts w:hint="eastAsia" w:ascii="宋体" w:hAnsi="宋体" w:cs="宋体"/>
                <w:color w:val="auto"/>
                <w:kern w:val="0"/>
                <w:szCs w:val="21"/>
              </w:rPr>
              <w:t>莫174H井场</w:t>
            </w:r>
          </w:p>
        </w:tc>
      </w:tr>
      <w:tr w14:paraId="321F7E1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4320EDEA">
            <w:pPr>
              <w:spacing w:line="280" w:lineRule="exact"/>
              <w:jc w:val="center"/>
              <w:rPr>
                <w:rFonts w:hint="eastAsia" w:ascii="宋体" w:hAnsi="宋体"/>
                <w:color w:val="auto"/>
                <w:szCs w:val="21"/>
              </w:rPr>
            </w:pPr>
            <w:r>
              <w:rPr>
                <w:rFonts w:hint="eastAsia" w:ascii="宋体" w:hAnsi="宋体" w:cs="宋体"/>
                <w:color w:val="auto"/>
                <w:kern w:val="0"/>
                <w:szCs w:val="21"/>
              </w:rPr>
              <w:t>1</w:t>
            </w:r>
          </w:p>
        </w:tc>
        <w:tc>
          <w:tcPr>
            <w:tcW w:w="1491" w:type="pct"/>
            <w:vAlign w:val="center"/>
          </w:tcPr>
          <w:p w14:paraId="61541561">
            <w:pPr>
              <w:spacing w:line="280" w:lineRule="exact"/>
              <w:jc w:val="center"/>
              <w:rPr>
                <w:rFonts w:hint="eastAsia" w:ascii="宋体" w:hAnsi="宋体"/>
                <w:color w:val="auto"/>
                <w:szCs w:val="21"/>
              </w:rPr>
            </w:pPr>
            <w:r>
              <w:rPr>
                <w:rFonts w:ascii="宋体" w:hAnsi="宋体"/>
                <w:color w:val="auto"/>
                <w:szCs w:val="21"/>
              </w:rPr>
              <w:t>三相分离器橇</w:t>
            </w:r>
          </w:p>
        </w:tc>
        <w:tc>
          <w:tcPr>
            <w:tcW w:w="1885" w:type="pct"/>
            <w:vAlign w:val="center"/>
          </w:tcPr>
          <w:p w14:paraId="71C50F3D">
            <w:pPr>
              <w:kinsoku w:val="0"/>
              <w:overflowPunct w:val="0"/>
              <w:autoSpaceDE w:val="0"/>
              <w:autoSpaceDN w:val="0"/>
              <w:jc w:val="center"/>
              <w:rPr>
                <w:rFonts w:hint="eastAsia" w:ascii="宋体" w:hAnsi="宋体"/>
                <w:color w:val="auto"/>
                <w:szCs w:val="21"/>
              </w:rPr>
            </w:pPr>
            <w:r>
              <w:rPr>
                <w:rFonts w:ascii="宋体" w:hAnsi="宋体"/>
                <w:color w:val="auto"/>
                <w:szCs w:val="21"/>
              </w:rPr>
              <w:t>Q=1.5×10</w:t>
            </w:r>
            <w:r>
              <w:rPr>
                <w:rFonts w:ascii="宋体" w:hAnsi="宋体"/>
                <w:color w:val="auto"/>
                <w:szCs w:val="21"/>
                <w:vertAlign w:val="superscript"/>
              </w:rPr>
              <w:t>4</w:t>
            </w:r>
            <w:r>
              <w:rPr>
                <w:rFonts w:ascii="宋体" w:hAnsi="宋体"/>
                <w:color w:val="auto"/>
                <w:szCs w:val="21"/>
              </w:rPr>
              <w:t>Nm</w:t>
            </w:r>
            <w:r>
              <w:rPr>
                <w:rFonts w:ascii="宋体" w:hAnsi="宋体"/>
                <w:color w:val="auto"/>
                <w:szCs w:val="21"/>
                <w:vertAlign w:val="superscript"/>
              </w:rPr>
              <w:t>3</w:t>
            </w:r>
            <w:r>
              <w:rPr>
                <w:rFonts w:ascii="宋体" w:hAnsi="宋体"/>
                <w:color w:val="auto"/>
                <w:szCs w:val="21"/>
              </w:rPr>
              <w:t xml:space="preserve">/d </w:t>
            </w:r>
            <w:r>
              <w:rPr>
                <w:rFonts w:hint="eastAsia" w:ascii="宋体" w:hAnsi="宋体"/>
                <w:color w:val="auto"/>
                <w:szCs w:val="21"/>
              </w:rPr>
              <w:t xml:space="preserve"> </w:t>
            </w:r>
            <w:r>
              <w:rPr>
                <w:rFonts w:ascii="宋体" w:hAnsi="宋体"/>
                <w:color w:val="auto"/>
                <w:szCs w:val="21"/>
              </w:rPr>
              <w:t>P=42MPa</w:t>
            </w:r>
            <w:r>
              <w:rPr>
                <w:rFonts w:hint="eastAsia" w:ascii="宋体" w:hAnsi="宋体"/>
                <w:color w:val="auto"/>
                <w:szCs w:val="21"/>
              </w:rPr>
              <w:t xml:space="preserve"> </w:t>
            </w:r>
            <w:r>
              <w:rPr>
                <w:rFonts w:ascii="宋体" w:hAnsi="宋体"/>
                <w:color w:val="auto"/>
                <w:szCs w:val="21"/>
              </w:rPr>
              <w:t>N=200kW</w:t>
            </w:r>
          </w:p>
        </w:tc>
        <w:tc>
          <w:tcPr>
            <w:tcW w:w="670" w:type="pct"/>
            <w:vAlign w:val="center"/>
          </w:tcPr>
          <w:p w14:paraId="2FE691AB">
            <w:pPr>
              <w:spacing w:line="280" w:lineRule="exact"/>
              <w:jc w:val="center"/>
              <w:rPr>
                <w:rFonts w:hint="eastAsia" w:ascii="宋体" w:hAnsi="宋体"/>
                <w:color w:val="auto"/>
                <w:szCs w:val="21"/>
              </w:rPr>
            </w:pPr>
            <w:r>
              <w:rPr>
                <w:rFonts w:hint="eastAsia" w:ascii="宋体" w:hAnsi="宋体"/>
                <w:color w:val="auto"/>
                <w:szCs w:val="21"/>
              </w:rPr>
              <w:t>2</w:t>
            </w:r>
          </w:p>
        </w:tc>
        <w:tc>
          <w:tcPr>
            <w:tcW w:w="513" w:type="pct"/>
          </w:tcPr>
          <w:p w14:paraId="3B6F265C">
            <w:pPr>
              <w:spacing w:line="280" w:lineRule="exact"/>
              <w:jc w:val="center"/>
              <w:rPr>
                <w:rFonts w:hint="eastAsia" w:ascii="宋体" w:hAnsi="宋体"/>
                <w:color w:val="auto"/>
                <w:szCs w:val="21"/>
              </w:rPr>
            </w:pPr>
            <w:r>
              <w:rPr>
                <w:rFonts w:hint="eastAsia" w:ascii="宋体" w:hAnsi="宋体"/>
                <w:color w:val="auto"/>
                <w:szCs w:val="21"/>
              </w:rPr>
              <w:t>搬迁</w:t>
            </w:r>
          </w:p>
        </w:tc>
      </w:tr>
      <w:tr w14:paraId="0F96E23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7D3472E5">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2</w:t>
            </w:r>
          </w:p>
        </w:tc>
        <w:tc>
          <w:tcPr>
            <w:tcW w:w="1491" w:type="pct"/>
            <w:vAlign w:val="center"/>
          </w:tcPr>
          <w:p w14:paraId="6028ACC8">
            <w:pPr>
              <w:spacing w:line="280" w:lineRule="exact"/>
              <w:jc w:val="center"/>
              <w:rPr>
                <w:rFonts w:hint="eastAsia" w:ascii="宋体" w:hAnsi="宋体"/>
                <w:color w:val="auto"/>
                <w:szCs w:val="21"/>
              </w:rPr>
            </w:pPr>
            <w:r>
              <w:rPr>
                <w:rFonts w:hint="eastAsia" w:ascii="宋体" w:hAnsi="宋体"/>
                <w:color w:val="auto"/>
                <w:szCs w:val="21"/>
              </w:rPr>
              <w:t>电加热炉</w:t>
            </w:r>
          </w:p>
        </w:tc>
        <w:tc>
          <w:tcPr>
            <w:tcW w:w="1885" w:type="pct"/>
            <w:vAlign w:val="center"/>
          </w:tcPr>
          <w:p w14:paraId="13795C96">
            <w:pPr>
              <w:kinsoku w:val="0"/>
              <w:overflowPunct w:val="0"/>
              <w:autoSpaceDE w:val="0"/>
              <w:autoSpaceDN w:val="0"/>
              <w:jc w:val="center"/>
              <w:rPr>
                <w:rFonts w:hint="eastAsia" w:ascii="宋体" w:hAnsi="宋体"/>
                <w:color w:val="auto"/>
                <w:szCs w:val="21"/>
              </w:rPr>
            </w:pPr>
            <w:r>
              <w:rPr>
                <w:rFonts w:hint="eastAsia" w:ascii="宋体" w:hAnsi="宋体"/>
                <w:color w:val="auto"/>
                <w:szCs w:val="21"/>
              </w:rPr>
              <w:t>150kW、42MPa</w:t>
            </w:r>
          </w:p>
        </w:tc>
        <w:tc>
          <w:tcPr>
            <w:tcW w:w="670" w:type="pct"/>
            <w:vAlign w:val="center"/>
          </w:tcPr>
          <w:p w14:paraId="31E1977F">
            <w:pPr>
              <w:spacing w:line="280" w:lineRule="exact"/>
              <w:jc w:val="center"/>
              <w:rPr>
                <w:rFonts w:hint="eastAsia" w:ascii="宋体" w:hAnsi="宋体"/>
                <w:color w:val="auto"/>
                <w:szCs w:val="21"/>
              </w:rPr>
            </w:pPr>
            <w:r>
              <w:rPr>
                <w:rFonts w:hint="eastAsia" w:ascii="宋体" w:hAnsi="宋体"/>
                <w:color w:val="auto"/>
                <w:szCs w:val="21"/>
              </w:rPr>
              <w:t>1</w:t>
            </w:r>
          </w:p>
        </w:tc>
        <w:tc>
          <w:tcPr>
            <w:tcW w:w="513" w:type="pct"/>
          </w:tcPr>
          <w:p w14:paraId="367DB509">
            <w:pPr>
              <w:spacing w:line="280" w:lineRule="exact"/>
              <w:jc w:val="center"/>
              <w:rPr>
                <w:rFonts w:hint="eastAsia" w:ascii="宋体" w:hAnsi="宋体"/>
                <w:color w:val="auto"/>
                <w:szCs w:val="21"/>
              </w:rPr>
            </w:pPr>
            <w:r>
              <w:rPr>
                <w:rFonts w:hint="eastAsia" w:ascii="宋体" w:hAnsi="宋体"/>
                <w:color w:val="auto"/>
                <w:szCs w:val="21"/>
              </w:rPr>
              <w:t>搬迁</w:t>
            </w:r>
          </w:p>
        </w:tc>
      </w:tr>
      <w:tr w14:paraId="1214511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2A70A6C1">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3</w:t>
            </w:r>
          </w:p>
        </w:tc>
        <w:tc>
          <w:tcPr>
            <w:tcW w:w="1491" w:type="pct"/>
            <w:vAlign w:val="center"/>
          </w:tcPr>
          <w:p w14:paraId="3EBA06FD">
            <w:pPr>
              <w:spacing w:line="280" w:lineRule="exact"/>
              <w:jc w:val="center"/>
              <w:rPr>
                <w:rFonts w:hint="eastAsia" w:ascii="宋体" w:hAnsi="宋体"/>
                <w:color w:val="auto"/>
                <w:szCs w:val="21"/>
              </w:rPr>
            </w:pPr>
            <w:r>
              <w:rPr>
                <w:rFonts w:ascii="宋体" w:hAnsi="宋体"/>
                <w:color w:val="auto"/>
                <w:szCs w:val="21"/>
              </w:rPr>
              <w:t>3万方分子筛脱水橇</w:t>
            </w:r>
          </w:p>
        </w:tc>
        <w:tc>
          <w:tcPr>
            <w:tcW w:w="1885" w:type="pct"/>
            <w:vAlign w:val="center"/>
          </w:tcPr>
          <w:p w14:paraId="01AAFFB1">
            <w:pPr>
              <w:kinsoku w:val="0"/>
              <w:overflowPunct w:val="0"/>
              <w:autoSpaceDE w:val="0"/>
              <w:autoSpaceDN w:val="0"/>
              <w:jc w:val="center"/>
              <w:rPr>
                <w:rFonts w:hint="eastAsia" w:ascii="宋体" w:hAnsi="宋体"/>
                <w:color w:val="auto"/>
                <w:szCs w:val="21"/>
              </w:rPr>
            </w:pPr>
            <w:r>
              <w:rPr>
                <w:rFonts w:ascii="宋体" w:hAnsi="宋体"/>
                <w:color w:val="auto"/>
                <w:szCs w:val="21"/>
              </w:rPr>
              <w:t>处理量</w:t>
            </w:r>
            <w:r>
              <w:rPr>
                <w:rFonts w:hint="eastAsia" w:ascii="宋体" w:hAnsi="宋体"/>
                <w:color w:val="auto"/>
                <w:szCs w:val="21"/>
              </w:rPr>
              <w:t>：</w:t>
            </w:r>
            <w:r>
              <w:rPr>
                <w:rFonts w:ascii="宋体" w:hAnsi="宋体"/>
                <w:color w:val="auto"/>
                <w:szCs w:val="21"/>
              </w:rPr>
              <w:t>3×10</w:t>
            </w:r>
            <w:r>
              <w:rPr>
                <w:rFonts w:ascii="宋体" w:hAnsi="宋体"/>
                <w:color w:val="auto"/>
                <w:szCs w:val="21"/>
                <w:vertAlign w:val="superscript"/>
              </w:rPr>
              <w:t>4</w:t>
            </w:r>
            <w:r>
              <w:rPr>
                <w:rFonts w:ascii="宋体" w:hAnsi="宋体"/>
                <w:color w:val="auto"/>
                <w:szCs w:val="21"/>
              </w:rPr>
              <w:t>Nm</w:t>
            </w:r>
            <w:r>
              <w:rPr>
                <w:rFonts w:ascii="宋体" w:hAnsi="宋体"/>
                <w:color w:val="auto"/>
                <w:szCs w:val="21"/>
                <w:vertAlign w:val="superscript"/>
              </w:rPr>
              <w:t>3</w:t>
            </w:r>
            <w:r>
              <w:rPr>
                <w:rFonts w:ascii="宋体" w:hAnsi="宋体"/>
                <w:color w:val="auto"/>
                <w:szCs w:val="21"/>
              </w:rPr>
              <w:t>/d</w:t>
            </w:r>
          </w:p>
        </w:tc>
        <w:tc>
          <w:tcPr>
            <w:tcW w:w="670" w:type="pct"/>
            <w:vAlign w:val="center"/>
          </w:tcPr>
          <w:p w14:paraId="181FCC5F">
            <w:pPr>
              <w:spacing w:line="280" w:lineRule="exact"/>
              <w:jc w:val="center"/>
              <w:rPr>
                <w:rFonts w:hint="eastAsia" w:ascii="宋体" w:hAnsi="宋体"/>
                <w:color w:val="auto"/>
                <w:szCs w:val="21"/>
              </w:rPr>
            </w:pPr>
            <w:r>
              <w:rPr>
                <w:rFonts w:hint="eastAsia" w:ascii="宋体" w:hAnsi="宋体"/>
                <w:color w:val="auto"/>
                <w:szCs w:val="21"/>
              </w:rPr>
              <w:t>1</w:t>
            </w:r>
          </w:p>
        </w:tc>
        <w:tc>
          <w:tcPr>
            <w:tcW w:w="513" w:type="pct"/>
          </w:tcPr>
          <w:p w14:paraId="16F00C4B">
            <w:pPr>
              <w:spacing w:line="280" w:lineRule="exact"/>
              <w:jc w:val="center"/>
              <w:rPr>
                <w:rFonts w:hint="eastAsia" w:ascii="宋体" w:hAnsi="宋体"/>
                <w:color w:val="auto"/>
                <w:szCs w:val="21"/>
              </w:rPr>
            </w:pPr>
            <w:r>
              <w:rPr>
                <w:rFonts w:hint="eastAsia" w:ascii="宋体" w:hAnsi="宋体"/>
                <w:color w:val="auto"/>
                <w:szCs w:val="21"/>
              </w:rPr>
              <w:t>搬迁</w:t>
            </w:r>
          </w:p>
        </w:tc>
      </w:tr>
      <w:tr w14:paraId="18F55F4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3076DF61">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4</w:t>
            </w:r>
          </w:p>
        </w:tc>
        <w:tc>
          <w:tcPr>
            <w:tcW w:w="1491" w:type="pct"/>
            <w:vAlign w:val="center"/>
          </w:tcPr>
          <w:p w14:paraId="5B645CC9">
            <w:pPr>
              <w:spacing w:line="280" w:lineRule="exact"/>
              <w:jc w:val="center"/>
              <w:rPr>
                <w:rFonts w:hint="eastAsia" w:ascii="宋体" w:hAnsi="宋体"/>
                <w:color w:val="auto"/>
                <w:szCs w:val="21"/>
              </w:rPr>
            </w:pPr>
            <w:r>
              <w:rPr>
                <w:rFonts w:ascii="宋体" w:hAnsi="宋体"/>
                <w:color w:val="auto"/>
                <w:szCs w:val="21"/>
              </w:rPr>
              <w:t>制冷机组橇</w:t>
            </w:r>
          </w:p>
        </w:tc>
        <w:tc>
          <w:tcPr>
            <w:tcW w:w="1885" w:type="pct"/>
            <w:vAlign w:val="center"/>
          </w:tcPr>
          <w:p w14:paraId="34486EFA">
            <w:pPr>
              <w:kinsoku w:val="0"/>
              <w:overflowPunct w:val="0"/>
              <w:autoSpaceDE w:val="0"/>
              <w:autoSpaceDN w:val="0"/>
              <w:jc w:val="center"/>
              <w:rPr>
                <w:rFonts w:hint="eastAsia" w:ascii="宋体" w:hAnsi="宋体"/>
                <w:color w:val="auto"/>
                <w:szCs w:val="21"/>
              </w:rPr>
            </w:pPr>
            <w:r>
              <w:rPr>
                <w:rFonts w:ascii="宋体" w:hAnsi="宋体"/>
                <w:color w:val="auto"/>
                <w:szCs w:val="21"/>
              </w:rPr>
              <w:t>L×D=7.0m×3.5m</w:t>
            </w:r>
          </w:p>
        </w:tc>
        <w:tc>
          <w:tcPr>
            <w:tcW w:w="670" w:type="pct"/>
            <w:vAlign w:val="center"/>
          </w:tcPr>
          <w:p w14:paraId="59D62C22">
            <w:pPr>
              <w:spacing w:line="280" w:lineRule="exact"/>
              <w:jc w:val="center"/>
              <w:rPr>
                <w:rFonts w:hint="eastAsia" w:ascii="宋体" w:hAnsi="宋体"/>
                <w:color w:val="auto"/>
                <w:szCs w:val="21"/>
              </w:rPr>
            </w:pPr>
            <w:r>
              <w:rPr>
                <w:rFonts w:hint="eastAsia" w:ascii="宋体" w:hAnsi="宋体"/>
                <w:color w:val="auto"/>
                <w:szCs w:val="21"/>
              </w:rPr>
              <w:t>1</w:t>
            </w:r>
          </w:p>
        </w:tc>
        <w:tc>
          <w:tcPr>
            <w:tcW w:w="513" w:type="pct"/>
          </w:tcPr>
          <w:p w14:paraId="086800DA">
            <w:pPr>
              <w:spacing w:line="280" w:lineRule="exact"/>
              <w:jc w:val="center"/>
              <w:rPr>
                <w:rFonts w:hint="eastAsia" w:ascii="宋体" w:hAnsi="宋体"/>
                <w:color w:val="auto"/>
                <w:szCs w:val="21"/>
              </w:rPr>
            </w:pPr>
            <w:r>
              <w:rPr>
                <w:rFonts w:hint="eastAsia" w:ascii="宋体" w:hAnsi="宋体"/>
                <w:color w:val="auto"/>
                <w:szCs w:val="21"/>
              </w:rPr>
              <w:t>搬迁</w:t>
            </w:r>
          </w:p>
        </w:tc>
      </w:tr>
      <w:tr w14:paraId="10B7084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1854BD20">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5</w:t>
            </w:r>
          </w:p>
        </w:tc>
        <w:tc>
          <w:tcPr>
            <w:tcW w:w="1491" w:type="pct"/>
            <w:vAlign w:val="center"/>
          </w:tcPr>
          <w:p w14:paraId="05E82D0D">
            <w:pPr>
              <w:spacing w:line="280" w:lineRule="exact"/>
              <w:jc w:val="center"/>
              <w:rPr>
                <w:rFonts w:hint="eastAsia" w:ascii="宋体" w:hAnsi="宋体"/>
                <w:color w:val="auto"/>
                <w:szCs w:val="21"/>
              </w:rPr>
            </w:pPr>
            <w:r>
              <w:rPr>
                <w:rFonts w:ascii="宋体" w:hAnsi="宋体"/>
                <w:color w:val="auto"/>
                <w:szCs w:val="21"/>
              </w:rPr>
              <w:t>低温分离及混烃回收橇</w:t>
            </w:r>
          </w:p>
        </w:tc>
        <w:tc>
          <w:tcPr>
            <w:tcW w:w="1885" w:type="pct"/>
            <w:vAlign w:val="center"/>
          </w:tcPr>
          <w:p w14:paraId="3714F695">
            <w:pPr>
              <w:kinsoku w:val="0"/>
              <w:overflowPunct w:val="0"/>
              <w:autoSpaceDE w:val="0"/>
              <w:autoSpaceDN w:val="0"/>
              <w:jc w:val="center"/>
              <w:rPr>
                <w:rFonts w:hint="eastAsia" w:ascii="宋体" w:hAnsi="宋体"/>
                <w:color w:val="auto"/>
                <w:szCs w:val="21"/>
              </w:rPr>
            </w:pPr>
            <w:r>
              <w:rPr>
                <w:rFonts w:ascii="宋体" w:hAnsi="宋体"/>
                <w:color w:val="auto"/>
                <w:szCs w:val="21"/>
              </w:rPr>
              <w:t>处理量</w:t>
            </w:r>
            <w:r>
              <w:rPr>
                <w:rFonts w:hint="eastAsia" w:ascii="宋体" w:hAnsi="宋体"/>
                <w:color w:val="auto"/>
                <w:szCs w:val="21"/>
              </w:rPr>
              <w:t>：</w:t>
            </w:r>
            <w:r>
              <w:rPr>
                <w:rFonts w:ascii="宋体" w:hAnsi="宋体"/>
                <w:color w:val="auto"/>
                <w:szCs w:val="21"/>
              </w:rPr>
              <w:t>4×10</w:t>
            </w:r>
            <w:r>
              <w:rPr>
                <w:rFonts w:ascii="宋体" w:hAnsi="宋体"/>
                <w:color w:val="auto"/>
                <w:szCs w:val="21"/>
                <w:vertAlign w:val="superscript"/>
              </w:rPr>
              <w:t>4</w:t>
            </w:r>
            <w:r>
              <w:rPr>
                <w:rFonts w:ascii="宋体" w:hAnsi="宋体"/>
                <w:color w:val="auto"/>
                <w:szCs w:val="21"/>
              </w:rPr>
              <w:t>Nm</w:t>
            </w:r>
            <w:r>
              <w:rPr>
                <w:rFonts w:ascii="宋体" w:hAnsi="宋体"/>
                <w:color w:val="auto"/>
                <w:szCs w:val="21"/>
                <w:vertAlign w:val="superscript"/>
              </w:rPr>
              <w:t>3</w:t>
            </w:r>
            <w:r>
              <w:rPr>
                <w:rFonts w:ascii="宋体" w:hAnsi="宋体"/>
                <w:color w:val="auto"/>
                <w:szCs w:val="21"/>
              </w:rPr>
              <w:t>/d</w:t>
            </w:r>
          </w:p>
        </w:tc>
        <w:tc>
          <w:tcPr>
            <w:tcW w:w="670" w:type="pct"/>
            <w:vAlign w:val="center"/>
          </w:tcPr>
          <w:p w14:paraId="3A448813">
            <w:pPr>
              <w:spacing w:line="280" w:lineRule="exact"/>
              <w:jc w:val="center"/>
              <w:rPr>
                <w:rFonts w:hint="eastAsia" w:ascii="宋体" w:hAnsi="宋体"/>
                <w:color w:val="auto"/>
                <w:szCs w:val="21"/>
              </w:rPr>
            </w:pPr>
            <w:r>
              <w:rPr>
                <w:rFonts w:hint="eastAsia" w:ascii="宋体" w:hAnsi="宋体"/>
                <w:color w:val="auto"/>
                <w:szCs w:val="21"/>
              </w:rPr>
              <w:t>1</w:t>
            </w:r>
          </w:p>
        </w:tc>
        <w:tc>
          <w:tcPr>
            <w:tcW w:w="513" w:type="pct"/>
          </w:tcPr>
          <w:p w14:paraId="7225017D">
            <w:pPr>
              <w:spacing w:line="280" w:lineRule="exact"/>
              <w:jc w:val="center"/>
              <w:rPr>
                <w:rFonts w:hint="eastAsia" w:ascii="宋体" w:hAnsi="宋体"/>
                <w:color w:val="auto"/>
                <w:szCs w:val="21"/>
              </w:rPr>
            </w:pPr>
            <w:r>
              <w:rPr>
                <w:rFonts w:hint="eastAsia" w:ascii="宋体" w:hAnsi="宋体"/>
                <w:color w:val="auto"/>
                <w:szCs w:val="21"/>
              </w:rPr>
              <w:t>搬迁</w:t>
            </w:r>
          </w:p>
        </w:tc>
      </w:tr>
      <w:tr w14:paraId="7005608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58C56CF9">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6</w:t>
            </w:r>
          </w:p>
        </w:tc>
        <w:tc>
          <w:tcPr>
            <w:tcW w:w="1491" w:type="pct"/>
            <w:vAlign w:val="center"/>
          </w:tcPr>
          <w:p w14:paraId="28F27CDA">
            <w:pPr>
              <w:spacing w:line="280" w:lineRule="exact"/>
              <w:jc w:val="center"/>
              <w:rPr>
                <w:rFonts w:hint="eastAsia" w:ascii="宋体" w:hAnsi="宋体"/>
                <w:color w:val="auto"/>
                <w:szCs w:val="21"/>
              </w:rPr>
            </w:pPr>
            <w:r>
              <w:rPr>
                <w:rFonts w:ascii="宋体" w:hAnsi="宋体"/>
                <w:color w:val="auto"/>
                <w:szCs w:val="21"/>
              </w:rPr>
              <w:t>CNG 压缩机橇A</w:t>
            </w:r>
          </w:p>
        </w:tc>
        <w:tc>
          <w:tcPr>
            <w:tcW w:w="1885" w:type="pct"/>
            <w:vAlign w:val="center"/>
          </w:tcPr>
          <w:p w14:paraId="79AC7C5A">
            <w:pPr>
              <w:kinsoku w:val="0"/>
              <w:overflowPunct w:val="0"/>
              <w:autoSpaceDE w:val="0"/>
              <w:autoSpaceDN w:val="0"/>
              <w:jc w:val="center"/>
              <w:rPr>
                <w:rFonts w:hint="eastAsia" w:ascii="宋体" w:hAnsi="宋体"/>
                <w:color w:val="auto"/>
                <w:szCs w:val="21"/>
              </w:rPr>
            </w:pPr>
            <w:r>
              <w:rPr>
                <w:rFonts w:ascii="宋体" w:hAnsi="宋体"/>
                <w:color w:val="auto"/>
                <w:szCs w:val="21"/>
              </w:rPr>
              <w:t>处理量</w:t>
            </w:r>
            <w:r>
              <w:rPr>
                <w:rFonts w:hint="eastAsia" w:ascii="宋体" w:hAnsi="宋体"/>
                <w:color w:val="auto"/>
                <w:szCs w:val="21"/>
              </w:rPr>
              <w:t>：</w:t>
            </w:r>
            <w:r>
              <w:rPr>
                <w:rFonts w:ascii="宋体" w:hAnsi="宋体"/>
                <w:color w:val="auto"/>
                <w:szCs w:val="21"/>
              </w:rPr>
              <w:t>3×10</w:t>
            </w:r>
            <w:r>
              <w:rPr>
                <w:rFonts w:ascii="宋体" w:hAnsi="宋体"/>
                <w:color w:val="auto"/>
                <w:szCs w:val="21"/>
                <w:vertAlign w:val="superscript"/>
              </w:rPr>
              <w:t>4</w:t>
            </w:r>
            <w:r>
              <w:rPr>
                <w:rFonts w:ascii="宋体" w:hAnsi="宋体"/>
                <w:color w:val="auto"/>
                <w:szCs w:val="21"/>
              </w:rPr>
              <w:t>Nm</w:t>
            </w:r>
            <w:r>
              <w:rPr>
                <w:rFonts w:ascii="宋体" w:hAnsi="宋体"/>
                <w:color w:val="auto"/>
                <w:szCs w:val="21"/>
                <w:vertAlign w:val="superscript"/>
              </w:rPr>
              <w:t>3</w:t>
            </w:r>
            <w:r>
              <w:rPr>
                <w:rFonts w:ascii="宋体" w:hAnsi="宋体"/>
                <w:color w:val="auto"/>
                <w:szCs w:val="21"/>
              </w:rPr>
              <w:t>/d</w:t>
            </w:r>
          </w:p>
        </w:tc>
        <w:tc>
          <w:tcPr>
            <w:tcW w:w="670" w:type="pct"/>
            <w:vAlign w:val="center"/>
          </w:tcPr>
          <w:p w14:paraId="692B7BA2">
            <w:pPr>
              <w:spacing w:line="280" w:lineRule="exact"/>
              <w:jc w:val="center"/>
              <w:rPr>
                <w:rFonts w:hint="eastAsia" w:ascii="宋体" w:hAnsi="宋体"/>
                <w:color w:val="auto"/>
                <w:szCs w:val="21"/>
              </w:rPr>
            </w:pPr>
            <w:r>
              <w:rPr>
                <w:rFonts w:hint="eastAsia" w:ascii="宋体" w:hAnsi="宋体"/>
                <w:color w:val="auto"/>
                <w:szCs w:val="21"/>
              </w:rPr>
              <w:t>1</w:t>
            </w:r>
          </w:p>
        </w:tc>
        <w:tc>
          <w:tcPr>
            <w:tcW w:w="513" w:type="pct"/>
          </w:tcPr>
          <w:p w14:paraId="4432E844">
            <w:pPr>
              <w:spacing w:line="280" w:lineRule="exact"/>
              <w:jc w:val="center"/>
              <w:rPr>
                <w:rFonts w:hint="eastAsia" w:ascii="宋体" w:hAnsi="宋体"/>
                <w:color w:val="auto"/>
                <w:szCs w:val="21"/>
              </w:rPr>
            </w:pPr>
            <w:r>
              <w:rPr>
                <w:rFonts w:hint="eastAsia" w:ascii="宋体" w:hAnsi="宋体"/>
                <w:color w:val="auto"/>
                <w:szCs w:val="21"/>
              </w:rPr>
              <w:t>搬迁</w:t>
            </w:r>
          </w:p>
        </w:tc>
      </w:tr>
      <w:tr w14:paraId="04693C1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1955F7FD">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7</w:t>
            </w:r>
          </w:p>
        </w:tc>
        <w:tc>
          <w:tcPr>
            <w:tcW w:w="1491" w:type="pct"/>
            <w:vAlign w:val="center"/>
          </w:tcPr>
          <w:p w14:paraId="121754A5">
            <w:pPr>
              <w:spacing w:line="280" w:lineRule="exact"/>
              <w:jc w:val="center"/>
              <w:rPr>
                <w:rFonts w:hint="eastAsia" w:ascii="宋体" w:hAnsi="宋体"/>
                <w:color w:val="auto"/>
                <w:szCs w:val="21"/>
              </w:rPr>
            </w:pPr>
            <w:r>
              <w:rPr>
                <w:rFonts w:hint="eastAsia" w:ascii="宋体" w:hAnsi="宋体"/>
                <w:color w:val="auto"/>
                <w:szCs w:val="21"/>
              </w:rPr>
              <w:t>燃气发电机</w:t>
            </w:r>
          </w:p>
        </w:tc>
        <w:tc>
          <w:tcPr>
            <w:tcW w:w="1885" w:type="pct"/>
            <w:vAlign w:val="center"/>
          </w:tcPr>
          <w:p w14:paraId="2416E61B">
            <w:pPr>
              <w:kinsoku w:val="0"/>
              <w:overflowPunct w:val="0"/>
              <w:autoSpaceDE w:val="0"/>
              <w:autoSpaceDN w:val="0"/>
              <w:jc w:val="center"/>
              <w:rPr>
                <w:rFonts w:hint="eastAsia" w:ascii="宋体" w:hAnsi="宋体"/>
                <w:color w:val="auto"/>
                <w:szCs w:val="21"/>
              </w:rPr>
            </w:pPr>
            <w:r>
              <w:rPr>
                <w:rFonts w:ascii="宋体" w:hAnsi="宋体"/>
                <w:color w:val="auto"/>
                <w:szCs w:val="21"/>
              </w:rPr>
              <w:t>20kPa</w:t>
            </w:r>
          </w:p>
        </w:tc>
        <w:tc>
          <w:tcPr>
            <w:tcW w:w="670" w:type="pct"/>
            <w:vAlign w:val="center"/>
          </w:tcPr>
          <w:p w14:paraId="1D865B13">
            <w:pPr>
              <w:spacing w:line="280" w:lineRule="exact"/>
              <w:jc w:val="center"/>
              <w:rPr>
                <w:rFonts w:hint="eastAsia" w:ascii="宋体" w:hAnsi="宋体"/>
                <w:color w:val="auto"/>
                <w:szCs w:val="21"/>
              </w:rPr>
            </w:pPr>
            <w:r>
              <w:rPr>
                <w:rFonts w:hint="eastAsia" w:ascii="宋体" w:hAnsi="宋体"/>
                <w:color w:val="auto"/>
                <w:szCs w:val="21"/>
              </w:rPr>
              <w:t>4（3用1备）</w:t>
            </w:r>
          </w:p>
        </w:tc>
        <w:tc>
          <w:tcPr>
            <w:tcW w:w="513" w:type="pct"/>
            <w:vAlign w:val="center"/>
          </w:tcPr>
          <w:p w14:paraId="4660A365">
            <w:pPr>
              <w:spacing w:line="280" w:lineRule="exact"/>
              <w:jc w:val="center"/>
              <w:rPr>
                <w:rFonts w:hint="eastAsia" w:ascii="宋体" w:hAnsi="宋体"/>
                <w:color w:val="auto"/>
                <w:szCs w:val="21"/>
              </w:rPr>
            </w:pPr>
            <w:r>
              <w:rPr>
                <w:rFonts w:hint="eastAsia" w:ascii="宋体" w:hAnsi="宋体"/>
                <w:color w:val="auto"/>
                <w:szCs w:val="21"/>
              </w:rPr>
              <w:t>第三方</w:t>
            </w:r>
          </w:p>
        </w:tc>
      </w:tr>
      <w:tr w14:paraId="24E8078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54326B56">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8</w:t>
            </w:r>
          </w:p>
        </w:tc>
        <w:tc>
          <w:tcPr>
            <w:tcW w:w="1491" w:type="pct"/>
            <w:vAlign w:val="center"/>
          </w:tcPr>
          <w:p w14:paraId="2D4C9231">
            <w:pPr>
              <w:spacing w:line="280" w:lineRule="exact"/>
              <w:jc w:val="center"/>
              <w:rPr>
                <w:rFonts w:hint="eastAsia" w:ascii="宋体" w:hAnsi="宋体"/>
                <w:color w:val="auto"/>
                <w:szCs w:val="21"/>
              </w:rPr>
            </w:pPr>
            <w:r>
              <w:rPr>
                <w:rFonts w:ascii="宋体" w:hAnsi="宋体"/>
                <w:color w:val="auto"/>
                <w:szCs w:val="21"/>
              </w:rPr>
              <w:t>混烃储罐</w:t>
            </w:r>
          </w:p>
        </w:tc>
        <w:tc>
          <w:tcPr>
            <w:tcW w:w="1885" w:type="pct"/>
            <w:vAlign w:val="center"/>
          </w:tcPr>
          <w:p w14:paraId="6D91345F">
            <w:pPr>
              <w:kinsoku w:val="0"/>
              <w:overflowPunct w:val="0"/>
              <w:autoSpaceDE w:val="0"/>
              <w:autoSpaceDN w:val="0"/>
              <w:jc w:val="center"/>
              <w:rPr>
                <w:rFonts w:hint="eastAsia" w:ascii="宋体" w:hAnsi="宋体"/>
                <w:color w:val="auto"/>
                <w:szCs w:val="21"/>
              </w:rPr>
            </w:pPr>
            <w:r>
              <w:rPr>
                <w:rFonts w:hint="eastAsia" w:ascii="宋体" w:hAnsi="宋体"/>
                <w:color w:val="auto"/>
                <w:szCs w:val="21"/>
              </w:rPr>
              <w:t>卧式罐，</w:t>
            </w:r>
            <w:r>
              <w:rPr>
                <w:rFonts w:ascii="宋体" w:hAnsi="宋体"/>
                <w:color w:val="auto"/>
                <w:szCs w:val="21"/>
              </w:rPr>
              <w:t>单罐容积：V=19m</w:t>
            </w:r>
            <w:r>
              <w:rPr>
                <w:rFonts w:ascii="宋体" w:hAnsi="宋体"/>
                <w:color w:val="auto"/>
                <w:szCs w:val="21"/>
                <w:vertAlign w:val="superscript"/>
              </w:rPr>
              <w:t>3</w:t>
            </w:r>
          </w:p>
          <w:p w14:paraId="769300CB">
            <w:pPr>
              <w:kinsoku w:val="0"/>
              <w:overflowPunct w:val="0"/>
              <w:autoSpaceDE w:val="0"/>
              <w:autoSpaceDN w:val="0"/>
              <w:jc w:val="center"/>
              <w:rPr>
                <w:rFonts w:hint="eastAsia" w:ascii="宋体" w:hAnsi="宋体"/>
                <w:color w:val="auto"/>
                <w:szCs w:val="21"/>
              </w:rPr>
            </w:pPr>
            <w:r>
              <w:rPr>
                <w:rFonts w:ascii="宋体" w:hAnsi="宋体"/>
                <w:color w:val="auto"/>
                <w:szCs w:val="21"/>
              </w:rPr>
              <w:t>设计/操作压力：2.0MPa/0.4MPa</w:t>
            </w:r>
          </w:p>
          <w:p w14:paraId="00925553">
            <w:pPr>
              <w:kinsoku w:val="0"/>
              <w:overflowPunct w:val="0"/>
              <w:autoSpaceDE w:val="0"/>
              <w:autoSpaceDN w:val="0"/>
              <w:jc w:val="center"/>
              <w:rPr>
                <w:rFonts w:hint="eastAsia" w:ascii="宋体" w:hAnsi="宋体"/>
                <w:color w:val="auto"/>
                <w:szCs w:val="21"/>
              </w:rPr>
            </w:pPr>
            <w:r>
              <w:rPr>
                <w:rFonts w:ascii="宋体" w:hAnsi="宋体"/>
                <w:color w:val="auto"/>
                <w:szCs w:val="21"/>
              </w:rPr>
              <w:t>提升泵Q=30m</w:t>
            </w:r>
            <w:r>
              <w:rPr>
                <w:rFonts w:ascii="宋体" w:hAnsi="宋体"/>
                <w:color w:val="auto"/>
                <w:szCs w:val="21"/>
                <w:vertAlign w:val="superscript"/>
              </w:rPr>
              <w:t>3</w:t>
            </w:r>
            <w:r>
              <w:rPr>
                <w:rFonts w:ascii="宋体" w:hAnsi="宋体"/>
                <w:color w:val="auto"/>
                <w:szCs w:val="21"/>
              </w:rPr>
              <w:t>/h H=10m N=5.5kW</w:t>
            </w:r>
          </w:p>
        </w:tc>
        <w:tc>
          <w:tcPr>
            <w:tcW w:w="670" w:type="pct"/>
            <w:vAlign w:val="center"/>
          </w:tcPr>
          <w:p w14:paraId="08E00216">
            <w:pPr>
              <w:spacing w:line="280" w:lineRule="exact"/>
              <w:jc w:val="center"/>
              <w:rPr>
                <w:rFonts w:hint="eastAsia" w:ascii="宋体" w:hAnsi="宋体"/>
                <w:color w:val="auto"/>
                <w:szCs w:val="21"/>
              </w:rPr>
            </w:pPr>
            <w:r>
              <w:rPr>
                <w:rFonts w:hint="eastAsia" w:ascii="宋体" w:hAnsi="宋体"/>
                <w:color w:val="auto"/>
                <w:szCs w:val="21"/>
              </w:rPr>
              <w:t>1</w:t>
            </w:r>
          </w:p>
        </w:tc>
        <w:tc>
          <w:tcPr>
            <w:tcW w:w="513" w:type="pct"/>
            <w:vAlign w:val="center"/>
          </w:tcPr>
          <w:p w14:paraId="14BCAA90">
            <w:pPr>
              <w:spacing w:line="280" w:lineRule="exact"/>
              <w:jc w:val="center"/>
              <w:rPr>
                <w:rFonts w:hint="eastAsia" w:ascii="宋体" w:hAnsi="宋体"/>
                <w:color w:val="auto"/>
                <w:szCs w:val="21"/>
              </w:rPr>
            </w:pPr>
            <w:r>
              <w:rPr>
                <w:rFonts w:hint="eastAsia" w:ascii="宋体" w:hAnsi="宋体"/>
                <w:color w:val="auto"/>
                <w:szCs w:val="21"/>
              </w:rPr>
              <w:t>搬迁</w:t>
            </w:r>
          </w:p>
        </w:tc>
      </w:tr>
      <w:tr w14:paraId="4EFD601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7474AFFF">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9</w:t>
            </w:r>
          </w:p>
        </w:tc>
        <w:tc>
          <w:tcPr>
            <w:tcW w:w="1491" w:type="pct"/>
            <w:vAlign w:val="center"/>
          </w:tcPr>
          <w:p w14:paraId="3B90C0D0">
            <w:pPr>
              <w:spacing w:line="280" w:lineRule="exact"/>
              <w:jc w:val="center"/>
              <w:rPr>
                <w:rFonts w:hint="eastAsia" w:ascii="宋体" w:hAnsi="宋体"/>
                <w:color w:val="auto"/>
                <w:szCs w:val="21"/>
              </w:rPr>
            </w:pPr>
            <w:r>
              <w:rPr>
                <w:rFonts w:hint="eastAsia" w:ascii="宋体" w:hAnsi="宋体"/>
                <w:color w:val="auto"/>
                <w:szCs w:val="21"/>
              </w:rPr>
              <w:t>原</w:t>
            </w:r>
            <w:r>
              <w:rPr>
                <w:rFonts w:ascii="宋体" w:hAnsi="宋体"/>
                <w:color w:val="auto"/>
                <w:szCs w:val="21"/>
              </w:rPr>
              <w:t>油储罐</w:t>
            </w:r>
          </w:p>
        </w:tc>
        <w:tc>
          <w:tcPr>
            <w:tcW w:w="1885" w:type="pct"/>
            <w:vAlign w:val="center"/>
          </w:tcPr>
          <w:p w14:paraId="3B41AE79">
            <w:pPr>
              <w:kinsoku w:val="0"/>
              <w:overflowPunct w:val="0"/>
              <w:autoSpaceDE w:val="0"/>
              <w:autoSpaceDN w:val="0"/>
              <w:jc w:val="center"/>
              <w:rPr>
                <w:rFonts w:hint="eastAsia" w:ascii="宋体" w:hAnsi="宋体"/>
                <w:color w:val="auto"/>
                <w:szCs w:val="21"/>
              </w:rPr>
            </w:pPr>
            <w:r>
              <w:rPr>
                <w:rFonts w:hint="eastAsia" w:ascii="宋体" w:hAnsi="宋体"/>
                <w:color w:val="auto"/>
                <w:szCs w:val="21"/>
              </w:rPr>
              <w:t>卧式罐，</w:t>
            </w:r>
            <w:r>
              <w:rPr>
                <w:rFonts w:ascii="宋体" w:hAnsi="宋体"/>
                <w:color w:val="auto"/>
                <w:szCs w:val="21"/>
              </w:rPr>
              <w:t>单罐容积：V=19m</w:t>
            </w:r>
            <w:r>
              <w:rPr>
                <w:rFonts w:ascii="宋体" w:hAnsi="宋体"/>
                <w:color w:val="auto"/>
                <w:szCs w:val="21"/>
                <w:vertAlign w:val="superscript"/>
              </w:rPr>
              <w:t>3</w:t>
            </w:r>
          </w:p>
          <w:p w14:paraId="61CF39A9">
            <w:pPr>
              <w:kinsoku w:val="0"/>
              <w:overflowPunct w:val="0"/>
              <w:autoSpaceDE w:val="0"/>
              <w:autoSpaceDN w:val="0"/>
              <w:jc w:val="center"/>
              <w:rPr>
                <w:rFonts w:hint="eastAsia" w:ascii="宋体" w:hAnsi="宋体"/>
                <w:color w:val="auto"/>
                <w:szCs w:val="21"/>
              </w:rPr>
            </w:pPr>
            <w:r>
              <w:rPr>
                <w:rFonts w:ascii="宋体" w:hAnsi="宋体"/>
                <w:color w:val="auto"/>
                <w:szCs w:val="21"/>
              </w:rPr>
              <w:t>设计/操作压力：2.0MPa/0.4MPa</w:t>
            </w:r>
          </w:p>
          <w:p w14:paraId="65E40333">
            <w:pPr>
              <w:kinsoku w:val="0"/>
              <w:overflowPunct w:val="0"/>
              <w:autoSpaceDE w:val="0"/>
              <w:autoSpaceDN w:val="0"/>
              <w:jc w:val="center"/>
              <w:rPr>
                <w:rFonts w:hint="eastAsia" w:ascii="宋体" w:hAnsi="宋体"/>
                <w:color w:val="auto"/>
                <w:szCs w:val="21"/>
              </w:rPr>
            </w:pPr>
            <w:r>
              <w:rPr>
                <w:rFonts w:ascii="宋体" w:hAnsi="宋体"/>
                <w:color w:val="auto"/>
                <w:szCs w:val="21"/>
              </w:rPr>
              <w:t>提升泵：Q=30m</w:t>
            </w:r>
            <w:r>
              <w:rPr>
                <w:rFonts w:ascii="宋体" w:hAnsi="宋体"/>
                <w:color w:val="auto"/>
                <w:szCs w:val="21"/>
                <w:vertAlign w:val="superscript"/>
              </w:rPr>
              <w:t>3</w:t>
            </w:r>
            <w:r>
              <w:rPr>
                <w:rFonts w:ascii="宋体" w:hAnsi="宋体"/>
                <w:color w:val="auto"/>
                <w:szCs w:val="21"/>
              </w:rPr>
              <w:t>/h H=10m N=5.5kW</w:t>
            </w:r>
          </w:p>
        </w:tc>
        <w:tc>
          <w:tcPr>
            <w:tcW w:w="670" w:type="pct"/>
            <w:vAlign w:val="center"/>
          </w:tcPr>
          <w:p w14:paraId="775BB090">
            <w:pPr>
              <w:spacing w:line="280" w:lineRule="exact"/>
              <w:jc w:val="center"/>
              <w:rPr>
                <w:rFonts w:hint="eastAsia" w:ascii="宋体" w:hAnsi="宋体"/>
                <w:color w:val="auto"/>
                <w:szCs w:val="21"/>
              </w:rPr>
            </w:pPr>
            <w:r>
              <w:rPr>
                <w:rFonts w:hint="eastAsia" w:ascii="宋体" w:hAnsi="宋体"/>
                <w:color w:val="auto"/>
                <w:szCs w:val="21"/>
              </w:rPr>
              <w:t>1</w:t>
            </w:r>
          </w:p>
        </w:tc>
        <w:tc>
          <w:tcPr>
            <w:tcW w:w="513" w:type="pct"/>
            <w:vAlign w:val="center"/>
          </w:tcPr>
          <w:p w14:paraId="139179E1">
            <w:pPr>
              <w:spacing w:line="280" w:lineRule="exact"/>
              <w:jc w:val="center"/>
              <w:rPr>
                <w:rFonts w:hint="eastAsia" w:ascii="宋体" w:hAnsi="宋体"/>
                <w:color w:val="auto"/>
                <w:szCs w:val="21"/>
              </w:rPr>
            </w:pPr>
            <w:r>
              <w:rPr>
                <w:rFonts w:hint="eastAsia" w:ascii="宋体" w:hAnsi="宋体"/>
                <w:color w:val="auto"/>
                <w:szCs w:val="21"/>
              </w:rPr>
              <w:t>搬迁</w:t>
            </w:r>
          </w:p>
        </w:tc>
      </w:tr>
      <w:tr w14:paraId="1B279D4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695B2FE9">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10</w:t>
            </w:r>
          </w:p>
        </w:tc>
        <w:tc>
          <w:tcPr>
            <w:tcW w:w="1491" w:type="pct"/>
            <w:vAlign w:val="center"/>
          </w:tcPr>
          <w:p w14:paraId="6A49DF46">
            <w:pPr>
              <w:spacing w:line="280" w:lineRule="exact"/>
              <w:jc w:val="center"/>
              <w:rPr>
                <w:rFonts w:hint="eastAsia" w:ascii="宋体" w:hAnsi="宋体"/>
                <w:color w:val="auto"/>
                <w:szCs w:val="21"/>
              </w:rPr>
            </w:pPr>
            <w:r>
              <w:rPr>
                <w:rFonts w:ascii="宋体" w:hAnsi="宋体"/>
                <w:color w:val="auto"/>
                <w:szCs w:val="21"/>
              </w:rPr>
              <w:t>原油储罐</w:t>
            </w:r>
          </w:p>
        </w:tc>
        <w:tc>
          <w:tcPr>
            <w:tcW w:w="1885" w:type="pct"/>
            <w:vAlign w:val="center"/>
          </w:tcPr>
          <w:p w14:paraId="2F077445">
            <w:pPr>
              <w:kinsoku w:val="0"/>
              <w:overflowPunct w:val="0"/>
              <w:autoSpaceDE w:val="0"/>
              <w:autoSpaceDN w:val="0"/>
              <w:jc w:val="center"/>
              <w:rPr>
                <w:rFonts w:hint="eastAsia" w:ascii="宋体" w:hAnsi="宋体"/>
                <w:color w:val="auto"/>
                <w:szCs w:val="21"/>
              </w:rPr>
            </w:pPr>
            <w:r>
              <w:rPr>
                <w:rFonts w:hint="eastAsia" w:ascii="宋体" w:hAnsi="宋体"/>
                <w:color w:val="auto"/>
                <w:szCs w:val="21"/>
              </w:rPr>
              <w:t>内浮顶罐，</w:t>
            </w:r>
            <w:r>
              <w:rPr>
                <w:rFonts w:ascii="宋体" w:hAnsi="宋体"/>
                <w:color w:val="auto"/>
                <w:szCs w:val="21"/>
              </w:rPr>
              <w:t>单罐容积：V=</w:t>
            </w:r>
            <w:r>
              <w:rPr>
                <w:rFonts w:hint="eastAsia" w:ascii="宋体" w:hAnsi="宋体"/>
                <w:color w:val="auto"/>
                <w:szCs w:val="21"/>
              </w:rPr>
              <w:t>60</w:t>
            </w:r>
            <w:r>
              <w:rPr>
                <w:rFonts w:ascii="宋体" w:hAnsi="宋体"/>
                <w:color w:val="auto"/>
                <w:szCs w:val="21"/>
              </w:rPr>
              <w:t>m</w:t>
            </w:r>
            <w:r>
              <w:rPr>
                <w:rFonts w:ascii="宋体" w:hAnsi="宋体"/>
                <w:color w:val="auto"/>
                <w:szCs w:val="21"/>
                <w:vertAlign w:val="superscript"/>
              </w:rPr>
              <w:t>3</w:t>
            </w:r>
          </w:p>
        </w:tc>
        <w:tc>
          <w:tcPr>
            <w:tcW w:w="670" w:type="pct"/>
            <w:vAlign w:val="center"/>
          </w:tcPr>
          <w:p w14:paraId="4C044DDD">
            <w:pPr>
              <w:spacing w:line="280" w:lineRule="exact"/>
              <w:jc w:val="center"/>
              <w:rPr>
                <w:rFonts w:hint="eastAsia" w:ascii="宋体" w:hAnsi="宋体"/>
                <w:color w:val="auto"/>
                <w:szCs w:val="21"/>
              </w:rPr>
            </w:pPr>
            <w:r>
              <w:rPr>
                <w:rFonts w:hint="eastAsia" w:ascii="宋体" w:hAnsi="宋体"/>
                <w:color w:val="auto"/>
                <w:szCs w:val="21"/>
              </w:rPr>
              <w:t>1</w:t>
            </w:r>
          </w:p>
        </w:tc>
        <w:tc>
          <w:tcPr>
            <w:tcW w:w="513" w:type="pct"/>
            <w:vAlign w:val="center"/>
          </w:tcPr>
          <w:p w14:paraId="5C2BE61C">
            <w:pPr>
              <w:spacing w:line="280" w:lineRule="exact"/>
              <w:jc w:val="center"/>
              <w:rPr>
                <w:rFonts w:hint="eastAsia" w:ascii="宋体" w:hAnsi="宋体"/>
                <w:color w:val="auto"/>
                <w:szCs w:val="21"/>
              </w:rPr>
            </w:pPr>
            <w:r>
              <w:rPr>
                <w:rFonts w:hint="eastAsia" w:ascii="宋体" w:hAnsi="宋体"/>
                <w:color w:val="auto"/>
                <w:szCs w:val="21"/>
              </w:rPr>
              <w:t>搬迁</w:t>
            </w:r>
          </w:p>
        </w:tc>
      </w:tr>
      <w:tr w14:paraId="1E2EDF5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59CAB112">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11</w:t>
            </w:r>
          </w:p>
        </w:tc>
        <w:tc>
          <w:tcPr>
            <w:tcW w:w="1491" w:type="pct"/>
            <w:vAlign w:val="center"/>
          </w:tcPr>
          <w:p w14:paraId="4FF7E36B">
            <w:pPr>
              <w:spacing w:line="280" w:lineRule="exact"/>
              <w:jc w:val="center"/>
              <w:rPr>
                <w:rFonts w:hint="eastAsia" w:ascii="宋体" w:hAnsi="宋体"/>
                <w:color w:val="auto"/>
                <w:szCs w:val="21"/>
              </w:rPr>
            </w:pPr>
            <w:r>
              <w:rPr>
                <w:rFonts w:ascii="宋体" w:hAnsi="宋体"/>
                <w:color w:val="auto"/>
                <w:szCs w:val="21"/>
              </w:rPr>
              <w:t>污水罐</w:t>
            </w:r>
          </w:p>
        </w:tc>
        <w:tc>
          <w:tcPr>
            <w:tcW w:w="1885" w:type="pct"/>
            <w:vAlign w:val="center"/>
          </w:tcPr>
          <w:p w14:paraId="73DC5E94">
            <w:pPr>
              <w:kinsoku w:val="0"/>
              <w:overflowPunct w:val="0"/>
              <w:autoSpaceDE w:val="0"/>
              <w:autoSpaceDN w:val="0"/>
              <w:jc w:val="center"/>
              <w:rPr>
                <w:rFonts w:hint="eastAsia" w:ascii="宋体" w:hAnsi="宋体"/>
                <w:color w:val="auto"/>
                <w:szCs w:val="21"/>
              </w:rPr>
            </w:pPr>
            <w:r>
              <w:rPr>
                <w:rFonts w:ascii="宋体" w:hAnsi="宋体"/>
                <w:color w:val="auto"/>
                <w:szCs w:val="21"/>
              </w:rPr>
              <w:t>单罐容积：V=40m</w:t>
            </w:r>
            <w:r>
              <w:rPr>
                <w:rFonts w:ascii="宋体" w:hAnsi="宋体"/>
                <w:color w:val="auto"/>
                <w:szCs w:val="21"/>
                <w:vertAlign w:val="superscript"/>
              </w:rPr>
              <w:t>3</w:t>
            </w:r>
          </w:p>
          <w:p w14:paraId="68254461">
            <w:pPr>
              <w:kinsoku w:val="0"/>
              <w:overflowPunct w:val="0"/>
              <w:autoSpaceDE w:val="0"/>
              <w:autoSpaceDN w:val="0"/>
              <w:jc w:val="center"/>
              <w:rPr>
                <w:rFonts w:hint="eastAsia" w:ascii="宋体" w:hAnsi="宋体"/>
                <w:color w:val="auto"/>
                <w:szCs w:val="21"/>
              </w:rPr>
            </w:pPr>
            <w:r>
              <w:rPr>
                <w:rFonts w:ascii="宋体" w:hAnsi="宋体"/>
                <w:color w:val="auto"/>
                <w:szCs w:val="21"/>
              </w:rPr>
              <w:t>提升泵：Q=30m</w:t>
            </w:r>
            <w:r>
              <w:rPr>
                <w:rFonts w:ascii="宋体" w:hAnsi="宋体"/>
                <w:color w:val="auto"/>
                <w:szCs w:val="21"/>
                <w:vertAlign w:val="superscript"/>
              </w:rPr>
              <w:t>3</w:t>
            </w:r>
            <w:r>
              <w:rPr>
                <w:rFonts w:ascii="宋体" w:hAnsi="宋体"/>
                <w:color w:val="auto"/>
                <w:szCs w:val="21"/>
              </w:rPr>
              <w:t>/h H=10m N=5.5kW</w:t>
            </w:r>
          </w:p>
        </w:tc>
        <w:tc>
          <w:tcPr>
            <w:tcW w:w="670" w:type="pct"/>
            <w:vAlign w:val="center"/>
          </w:tcPr>
          <w:p w14:paraId="78BD3DBD">
            <w:pPr>
              <w:spacing w:line="280" w:lineRule="exact"/>
              <w:jc w:val="center"/>
              <w:rPr>
                <w:rFonts w:hint="eastAsia" w:ascii="宋体" w:hAnsi="宋体"/>
                <w:color w:val="auto"/>
                <w:szCs w:val="21"/>
              </w:rPr>
            </w:pPr>
            <w:r>
              <w:rPr>
                <w:rFonts w:hint="eastAsia" w:ascii="宋体" w:hAnsi="宋体"/>
                <w:color w:val="auto"/>
                <w:szCs w:val="21"/>
              </w:rPr>
              <w:t>1</w:t>
            </w:r>
          </w:p>
        </w:tc>
        <w:tc>
          <w:tcPr>
            <w:tcW w:w="513" w:type="pct"/>
            <w:vAlign w:val="center"/>
          </w:tcPr>
          <w:p w14:paraId="0EF66935">
            <w:pPr>
              <w:spacing w:line="280" w:lineRule="exact"/>
              <w:jc w:val="center"/>
              <w:rPr>
                <w:rFonts w:hint="eastAsia" w:ascii="宋体" w:hAnsi="宋体"/>
                <w:color w:val="auto"/>
                <w:szCs w:val="21"/>
              </w:rPr>
            </w:pPr>
            <w:r>
              <w:rPr>
                <w:rFonts w:hint="eastAsia" w:ascii="宋体" w:hAnsi="宋体"/>
                <w:color w:val="auto"/>
                <w:szCs w:val="21"/>
              </w:rPr>
              <w:t>搬迁</w:t>
            </w:r>
          </w:p>
        </w:tc>
      </w:tr>
      <w:tr w14:paraId="6BCBD7F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0739B75D">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12</w:t>
            </w:r>
          </w:p>
        </w:tc>
        <w:tc>
          <w:tcPr>
            <w:tcW w:w="1491" w:type="pct"/>
            <w:vAlign w:val="center"/>
          </w:tcPr>
          <w:p w14:paraId="4C3C2035">
            <w:pPr>
              <w:spacing w:line="280" w:lineRule="exact"/>
              <w:jc w:val="center"/>
              <w:rPr>
                <w:rFonts w:hint="eastAsia" w:ascii="宋体" w:hAnsi="宋体"/>
                <w:color w:val="auto"/>
                <w:szCs w:val="21"/>
              </w:rPr>
            </w:pPr>
            <w:r>
              <w:rPr>
                <w:rFonts w:ascii="宋体" w:hAnsi="宋体"/>
                <w:color w:val="auto"/>
                <w:szCs w:val="21"/>
              </w:rPr>
              <w:t>混烃装车鹤管</w:t>
            </w:r>
          </w:p>
        </w:tc>
        <w:tc>
          <w:tcPr>
            <w:tcW w:w="1885" w:type="pct"/>
            <w:vAlign w:val="center"/>
          </w:tcPr>
          <w:p w14:paraId="39AC7EA6">
            <w:pPr>
              <w:kinsoku w:val="0"/>
              <w:overflowPunct w:val="0"/>
              <w:autoSpaceDE w:val="0"/>
              <w:autoSpaceDN w:val="0"/>
              <w:jc w:val="center"/>
              <w:rPr>
                <w:rFonts w:hint="eastAsia" w:ascii="宋体" w:hAnsi="宋体"/>
                <w:color w:val="auto"/>
                <w:szCs w:val="21"/>
              </w:rPr>
            </w:pPr>
            <w:r>
              <w:rPr>
                <w:rFonts w:ascii="宋体" w:hAnsi="宋体"/>
                <w:color w:val="auto"/>
                <w:szCs w:val="21"/>
              </w:rPr>
              <w:t>30m</w:t>
            </w:r>
            <w:r>
              <w:rPr>
                <w:rFonts w:ascii="宋体" w:hAnsi="宋体"/>
                <w:color w:val="auto"/>
                <w:szCs w:val="21"/>
                <w:vertAlign w:val="superscript"/>
              </w:rPr>
              <w:t>3</w:t>
            </w:r>
            <w:r>
              <w:rPr>
                <w:rFonts w:ascii="宋体" w:hAnsi="宋体"/>
                <w:color w:val="auto"/>
                <w:szCs w:val="21"/>
              </w:rPr>
              <w:t>/h</w:t>
            </w:r>
          </w:p>
        </w:tc>
        <w:tc>
          <w:tcPr>
            <w:tcW w:w="670" w:type="pct"/>
            <w:vAlign w:val="center"/>
          </w:tcPr>
          <w:p w14:paraId="298387A3">
            <w:pPr>
              <w:spacing w:line="280" w:lineRule="exact"/>
              <w:jc w:val="center"/>
              <w:rPr>
                <w:rFonts w:hint="eastAsia" w:ascii="宋体" w:hAnsi="宋体"/>
                <w:color w:val="auto"/>
                <w:szCs w:val="21"/>
              </w:rPr>
            </w:pPr>
            <w:r>
              <w:rPr>
                <w:rFonts w:hint="eastAsia" w:ascii="宋体" w:hAnsi="宋体"/>
                <w:color w:val="auto"/>
                <w:szCs w:val="21"/>
              </w:rPr>
              <w:t>1</w:t>
            </w:r>
          </w:p>
        </w:tc>
        <w:tc>
          <w:tcPr>
            <w:tcW w:w="513" w:type="pct"/>
            <w:vAlign w:val="center"/>
          </w:tcPr>
          <w:p w14:paraId="35F7502E">
            <w:pPr>
              <w:spacing w:line="280" w:lineRule="exact"/>
              <w:jc w:val="center"/>
              <w:rPr>
                <w:rFonts w:hint="eastAsia" w:ascii="宋体" w:hAnsi="宋体"/>
                <w:color w:val="auto"/>
                <w:szCs w:val="21"/>
              </w:rPr>
            </w:pPr>
            <w:r>
              <w:rPr>
                <w:rFonts w:hint="eastAsia" w:ascii="宋体" w:hAnsi="宋体"/>
                <w:color w:val="auto"/>
                <w:szCs w:val="21"/>
              </w:rPr>
              <w:t>新建</w:t>
            </w:r>
          </w:p>
        </w:tc>
      </w:tr>
      <w:tr w14:paraId="0A04577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0629F89A">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13</w:t>
            </w:r>
          </w:p>
        </w:tc>
        <w:tc>
          <w:tcPr>
            <w:tcW w:w="1491" w:type="pct"/>
            <w:vAlign w:val="center"/>
          </w:tcPr>
          <w:p w14:paraId="1332F0CF">
            <w:pPr>
              <w:spacing w:line="280" w:lineRule="exact"/>
              <w:jc w:val="center"/>
              <w:rPr>
                <w:rFonts w:hint="eastAsia" w:ascii="宋体" w:hAnsi="宋体"/>
                <w:color w:val="auto"/>
                <w:szCs w:val="21"/>
              </w:rPr>
            </w:pPr>
            <w:r>
              <w:rPr>
                <w:rFonts w:hint="eastAsia" w:ascii="宋体" w:hAnsi="宋体"/>
                <w:color w:val="auto"/>
                <w:szCs w:val="21"/>
              </w:rPr>
              <w:t>原</w:t>
            </w:r>
            <w:r>
              <w:rPr>
                <w:rFonts w:ascii="宋体" w:hAnsi="宋体"/>
                <w:color w:val="auto"/>
                <w:szCs w:val="21"/>
              </w:rPr>
              <w:t>油装车鹤管</w:t>
            </w:r>
          </w:p>
        </w:tc>
        <w:tc>
          <w:tcPr>
            <w:tcW w:w="1885" w:type="pct"/>
            <w:vAlign w:val="center"/>
          </w:tcPr>
          <w:p w14:paraId="244CE5E8">
            <w:pPr>
              <w:kinsoku w:val="0"/>
              <w:overflowPunct w:val="0"/>
              <w:autoSpaceDE w:val="0"/>
              <w:autoSpaceDN w:val="0"/>
              <w:jc w:val="center"/>
              <w:rPr>
                <w:rFonts w:hint="eastAsia" w:ascii="宋体" w:hAnsi="宋体"/>
                <w:color w:val="auto"/>
                <w:szCs w:val="21"/>
              </w:rPr>
            </w:pPr>
            <w:r>
              <w:rPr>
                <w:rFonts w:ascii="宋体" w:hAnsi="宋体"/>
                <w:color w:val="auto"/>
                <w:szCs w:val="21"/>
              </w:rPr>
              <w:t>30m</w:t>
            </w:r>
            <w:r>
              <w:rPr>
                <w:rFonts w:ascii="宋体" w:hAnsi="宋体"/>
                <w:color w:val="auto"/>
                <w:szCs w:val="21"/>
                <w:vertAlign w:val="superscript"/>
              </w:rPr>
              <w:t>3</w:t>
            </w:r>
            <w:r>
              <w:rPr>
                <w:rFonts w:ascii="宋体" w:hAnsi="宋体"/>
                <w:color w:val="auto"/>
                <w:szCs w:val="21"/>
              </w:rPr>
              <w:t>/h</w:t>
            </w:r>
          </w:p>
        </w:tc>
        <w:tc>
          <w:tcPr>
            <w:tcW w:w="670" w:type="pct"/>
            <w:vAlign w:val="center"/>
          </w:tcPr>
          <w:p w14:paraId="351CAB4E">
            <w:pPr>
              <w:spacing w:line="280" w:lineRule="exact"/>
              <w:jc w:val="center"/>
              <w:rPr>
                <w:rFonts w:hint="eastAsia" w:ascii="宋体" w:hAnsi="宋体"/>
                <w:color w:val="auto"/>
                <w:szCs w:val="21"/>
              </w:rPr>
            </w:pPr>
            <w:r>
              <w:rPr>
                <w:rFonts w:hint="eastAsia" w:ascii="宋体" w:hAnsi="宋体"/>
                <w:color w:val="auto"/>
                <w:szCs w:val="21"/>
              </w:rPr>
              <w:t>1</w:t>
            </w:r>
          </w:p>
        </w:tc>
        <w:tc>
          <w:tcPr>
            <w:tcW w:w="513" w:type="pct"/>
            <w:vAlign w:val="center"/>
          </w:tcPr>
          <w:p w14:paraId="27E4A7C1">
            <w:pPr>
              <w:spacing w:line="280" w:lineRule="exact"/>
              <w:jc w:val="center"/>
              <w:rPr>
                <w:rFonts w:hint="eastAsia" w:ascii="宋体" w:hAnsi="宋体"/>
                <w:color w:val="auto"/>
                <w:szCs w:val="21"/>
              </w:rPr>
            </w:pPr>
            <w:r>
              <w:rPr>
                <w:rFonts w:hint="eastAsia" w:ascii="宋体" w:hAnsi="宋体"/>
                <w:color w:val="auto"/>
                <w:szCs w:val="21"/>
              </w:rPr>
              <w:t>新建</w:t>
            </w:r>
          </w:p>
        </w:tc>
      </w:tr>
      <w:tr w14:paraId="693D1B8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639CBE48">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14</w:t>
            </w:r>
          </w:p>
        </w:tc>
        <w:tc>
          <w:tcPr>
            <w:tcW w:w="1491" w:type="pct"/>
            <w:vAlign w:val="center"/>
          </w:tcPr>
          <w:p w14:paraId="0F3CBDA1">
            <w:pPr>
              <w:spacing w:line="280" w:lineRule="exact"/>
              <w:jc w:val="center"/>
              <w:rPr>
                <w:rFonts w:hint="eastAsia" w:ascii="宋体" w:hAnsi="宋体"/>
                <w:color w:val="auto"/>
                <w:szCs w:val="21"/>
              </w:rPr>
            </w:pPr>
            <w:r>
              <w:rPr>
                <w:rFonts w:ascii="宋体" w:hAnsi="宋体"/>
                <w:color w:val="auto"/>
                <w:szCs w:val="21"/>
              </w:rPr>
              <w:t>污水装车鹤管</w:t>
            </w:r>
          </w:p>
        </w:tc>
        <w:tc>
          <w:tcPr>
            <w:tcW w:w="1885" w:type="pct"/>
            <w:vAlign w:val="center"/>
          </w:tcPr>
          <w:p w14:paraId="28438B6D">
            <w:pPr>
              <w:kinsoku w:val="0"/>
              <w:overflowPunct w:val="0"/>
              <w:autoSpaceDE w:val="0"/>
              <w:autoSpaceDN w:val="0"/>
              <w:jc w:val="center"/>
              <w:rPr>
                <w:rFonts w:hint="eastAsia" w:ascii="宋体" w:hAnsi="宋体"/>
                <w:color w:val="auto"/>
                <w:szCs w:val="21"/>
              </w:rPr>
            </w:pPr>
          </w:p>
        </w:tc>
        <w:tc>
          <w:tcPr>
            <w:tcW w:w="670" w:type="pct"/>
            <w:vAlign w:val="center"/>
          </w:tcPr>
          <w:p w14:paraId="4248A871">
            <w:pPr>
              <w:spacing w:line="280" w:lineRule="exact"/>
              <w:jc w:val="center"/>
              <w:rPr>
                <w:rFonts w:hint="eastAsia" w:ascii="宋体" w:hAnsi="宋体"/>
                <w:color w:val="auto"/>
                <w:szCs w:val="21"/>
              </w:rPr>
            </w:pPr>
            <w:r>
              <w:rPr>
                <w:rFonts w:hint="eastAsia" w:ascii="宋体" w:hAnsi="宋体"/>
                <w:color w:val="auto"/>
                <w:szCs w:val="21"/>
              </w:rPr>
              <w:t>1</w:t>
            </w:r>
          </w:p>
        </w:tc>
        <w:tc>
          <w:tcPr>
            <w:tcW w:w="513" w:type="pct"/>
            <w:vAlign w:val="center"/>
          </w:tcPr>
          <w:p w14:paraId="7872DAB4">
            <w:pPr>
              <w:spacing w:line="280" w:lineRule="exact"/>
              <w:jc w:val="center"/>
              <w:rPr>
                <w:rFonts w:hint="eastAsia" w:ascii="宋体" w:hAnsi="宋体"/>
                <w:color w:val="auto"/>
                <w:szCs w:val="21"/>
              </w:rPr>
            </w:pPr>
            <w:r>
              <w:rPr>
                <w:rFonts w:hint="eastAsia" w:ascii="宋体" w:hAnsi="宋体"/>
                <w:color w:val="auto"/>
                <w:szCs w:val="21"/>
              </w:rPr>
              <w:t>新建</w:t>
            </w:r>
          </w:p>
        </w:tc>
      </w:tr>
      <w:tr w14:paraId="3F83D5D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685713A4">
            <w:pPr>
              <w:spacing w:line="280" w:lineRule="exact"/>
              <w:jc w:val="center"/>
              <w:rPr>
                <w:rFonts w:hint="eastAsia" w:ascii="宋体" w:hAnsi="宋体" w:cs="宋体"/>
                <w:color w:val="auto"/>
                <w:kern w:val="0"/>
                <w:szCs w:val="21"/>
              </w:rPr>
            </w:pPr>
            <w:r>
              <w:rPr>
                <w:rFonts w:hint="eastAsia" w:ascii="宋体" w:hAnsi="宋体" w:cs="宋体"/>
                <w:color w:val="auto"/>
                <w:kern w:val="0"/>
                <w:szCs w:val="21"/>
              </w:rPr>
              <w:t>15</w:t>
            </w:r>
          </w:p>
        </w:tc>
        <w:tc>
          <w:tcPr>
            <w:tcW w:w="1491" w:type="pct"/>
            <w:vAlign w:val="center"/>
          </w:tcPr>
          <w:p w14:paraId="6F995A7C">
            <w:pPr>
              <w:spacing w:line="280" w:lineRule="exact"/>
              <w:jc w:val="center"/>
              <w:rPr>
                <w:rFonts w:hint="eastAsia" w:ascii="宋体" w:hAnsi="宋体"/>
                <w:color w:val="auto"/>
                <w:szCs w:val="21"/>
              </w:rPr>
            </w:pPr>
            <w:r>
              <w:rPr>
                <w:rFonts w:ascii="宋体" w:hAnsi="宋体"/>
                <w:color w:val="auto"/>
                <w:szCs w:val="21"/>
              </w:rPr>
              <w:t>CNG充气柱</w:t>
            </w:r>
          </w:p>
        </w:tc>
        <w:tc>
          <w:tcPr>
            <w:tcW w:w="1885" w:type="pct"/>
            <w:vAlign w:val="center"/>
          </w:tcPr>
          <w:p w14:paraId="69313411">
            <w:pPr>
              <w:kinsoku w:val="0"/>
              <w:overflowPunct w:val="0"/>
              <w:autoSpaceDE w:val="0"/>
              <w:autoSpaceDN w:val="0"/>
              <w:jc w:val="center"/>
              <w:rPr>
                <w:rFonts w:hint="eastAsia" w:ascii="宋体" w:hAnsi="宋体"/>
                <w:color w:val="auto"/>
                <w:szCs w:val="21"/>
              </w:rPr>
            </w:pPr>
            <w:r>
              <w:rPr>
                <w:rFonts w:ascii="宋体" w:hAnsi="宋体"/>
                <w:color w:val="auto"/>
                <w:szCs w:val="21"/>
              </w:rPr>
              <w:t>Q=4×10</w:t>
            </w:r>
            <w:r>
              <w:rPr>
                <w:rFonts w:ascii="宋体" w:hAnsi="宋体"/>
                <w:color w:val="auto"/>
                <w:szCs w:val="21"/>
                <w:vertAlign w:val="superscript"/>
              </w:rPr>
              <w:t>4</w:t>
            </w:r>
            <w:r>
              <w:rPr>
                <w:rFonts w:ascii="宋体" w:hAnsi="宋体"/>
                <w:color w:val="auto"/>
                <w:szCs w:val="21"/>
              </w:rPr>
              <w:t>m</w:t>
            </w:r>
            <w:r>
              <w:rPr>
                <w:rFonts w:ascii="宋体" w:hAnsi="宋体"/>
                <w:color w:val="auto"/>
                <w:szCs w:val="21"/>
                <w:vertAlign w:val="superscript"/>
              </w:rPr>
              <w:t>3</w:t>
            </w:r>
            <w:r>
              <w:rPr>
                <w:rFonts w:ascii="宋体" w:hAnsi="宋体"/>
                <w:color w:val="auto"/>
                <w:szCs w:val="21"/>
              </w:rPr>
              <w:t>/d</w:t>
            </w:r>
          </w:p>
        </w:tc>
        <w:tc>
          <w:tcPr>
            <w:tcW w:w="670" w:type="pct"/>
            <w:vAlign w:val="center"/>
          </w:tcPr>
          <w:p w14:paraId="1FA7551B">
            <w:pPr>
              <w:spacing w:line="280" w:lineRule="exact"/>
              <w:jc w:val="center"/>
              <w:rPr>
                <w:rFonts w:hint="eastAsia" w:ascii="宋体" w:hAnsi="宋体"/>
                <w:color w:val="auto"/>
                <w:szCs w:val="21"/>
              </w:rPr>
            </w:pPr>
            <w:r>
              <w:rPr>
                <w:rFonts w:hint="eastAsia" w:ascii="宋体" w:hAnsi="宋体"/>
                <w:color w:val="auto"/>
                <w:szCs w:val="21"/>
              </w:rPr>
              <w:t>1</w:t>
            </w:r>
          </w:p>
        </w:tc>
        <w:tc>
          <w:tcPr>
            <w:tcW w:w="513" w:type="pct"/>
            <w:vAlign w:val="center"/>
          </w:tcPr>
          <w:p w14:paraId="7178B9FB">
            <w:pPr>
              <w:spacing w:line="280" w:lineRule="exact"/>
              <w:jc w:val="center"/>
              <w:rPr>
                <w:rFonts w:hint="eastAsia" w:ascii="宋体" w:hAnsi="宋体"/>
                <w:color w:val="auto"/>
                <w:szCs w:val="21"/>
              </w:rPr>
            </w:pPr>
            <w:r>
              <w:rPr>
                <w:rFonts w:hint="eastAsia" w:ascii="宋体" w:hAnsi="宋体"/>
                <w:color w:val="auto"/>
                <w:szCs w:val="21"/>
              </w:rPr>
              <w:t>搬迁</w:t>
            </w:r>
          </w:p>
        </w:tc>
      </w:tr>
      <w:tr w14:paraId="1232CE0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3FAF2BC3">
            <w:pPr>
              <w:spacing w:line="280" w:lineRule="exact"/>
              <w:jc w:val="center"/>
              <w:rPr>
                <w:rFonts w:hint="eastAsia" w:ascii="宋体" w:hAnsi="宋体" w:cs="宋体"/>
                <w:color w:val="auto"/>
                <w:kern w:val="0"/>
                <w:szCs w:val="21"/>
              </w:rPr>
            </w:pPr>
            <w:r>
              <w:rPr>
                <w:rFonts w:hint="eastAsia" w:ascii="宋体" w:hAnsi="宋体"/>
                <w:color w:val="auto"/>
                <w:szCs w:val="21"/>
              </w:rPr>
              <w:t>16</w:t>
            </w:r>
          </w:p>
        </w:tc>
        <w:tc>
          <w:tcPr>
            <w:tcW w:w="1491" w:type="pct"/>
            <w:vAlign w:val="center"/>
          </w:tcPr>
          <w:p w14:paraId="3E2EBA72">
            <w:pPr>
              <w:spacing w:line="280" w:lineRule="exact"/>
              <w:jc w:val="center"/>
              <w:rPr>
                <w:rFonts w:hint="eastAsia" w:ascii="宋体" w:hAnsi="宋体"/>
                <w:color w:val="auto"/>
                <w:szCs w:val="21"/>
              </w:rPr>
            </w:pPr>
            <w:r>
              <w:rPr>
                <w:rFonts w:hint="eastAsia" w:ascii="宋体" w:hAnsi="宋体" w:cs="宋体"/>
                <w:color w:val="auto"/>
                <w:kern w:val="0"/>
                <w:szCs w:val="21"/>
              </w:rPr>
              <w:t>火炬</w:t>
            </w:r>
          </w:p>
        </w:tc>
        <w:tc>
          <w:tcPr>
            <w:tcW w:w="1885" w:type="pct"/>
            <w:vAlign w:val="center"/>
          </w:tcPr>
          <w:p w14:paraId="21B382C1">
            <w:pPr>
              <w:kinsoku w:val="0"/>
              <w:overflowPunct w:val="0"/>
              <w:autoSpaceDE w:val="0"/>
              <w:autoSpaceDN w:val="0"/>
              <w:jc w:val="center"/>
              <w:rPr>
                <w:rFonts w:hint="eastAsia" w:ascii="宋体" w:hAnsi="宋体"/>
                <w:color w:val="auto"/>
                <w:szCs w:val="21"/>
              </w:rPr>
            </w:pPr>
            <w:r>
              <w:rPr>
                <w:rFonts w:hint="eastAsia" w:ascii="宋体" w:hAnsi="宋体" w:cs="宋体"/>
                <w:color w:val="auto"/>
                <w:kern w:val="0"/>
                <w:szCs w:val="21"/>
              </w:rPr>
              <w:t>/</w:t>
            </w:r>
          </w:p>
        </w:tc>
        <w:tc>
          <w:tcPr>
            <w:tcW w:w="670" w:type="pct"/>
            <w:vAlign w:val="center"/>
          </w:tcPr>
          <w:p w14:paraId="7EABE9B2">
            <w:pPr>
              <w:spacing w:line="280" w:lineRule="exact"/>
              <w:jc w:val="center"/>
              <w:rPr>
                <w:rFonts w:hint="eastAsia" w:ascii="宋体" w:hAnsi="宋体"/>
                <w:color w:val="auto"/>
                <w:szCs w:val="21"/>
              </w:rPr>
            </w:pPr>
            <w:r>
              <w:rPr>
                <w:rFonts w:hint="eastAsia" w:ascii="宋体" w:hAnsi="宋体" w:cs="宋体"/>
                <w:color w:val="auto"/>
                <w:kern w:val="0"/>
                <w:szCs w:val="21"/>
              </w:rPr>
              <w:t>1</w:t>
            </w:r>
          </w:p>
        </w:tc>
        <w:tc>
          <w:tcPr>
            <w:tcW w:w="513" w:type="pct"/>
            <w:vAlign w:val="center"/>
          </w:tcPr>
          <w:p w14:paraId="24314BB9">
            <w:pPr>
              <w:spacing w:line="280" w:lineRule="exact"/>
              <w:jc w:val="center"/>
              <w:rPr>
                <w:rFonts w:hint="eastAsia" w:ascii="宋体" w:hAnsi="宋体"/>
                <w:color w:val="auto"/>
                <w:szCs w:val="21"/>
              </w:rPr>
            </w:pPr>
            <w:r>
              <w:rPr>
                <w:rFonts w:hint="eastAsia" w:ascii="宋体" w:hAnsi="宋体"/>
                <w:color w:val="auto"/>
                <w:szCs w:val="21"/>
              </w:rPr>
              <w:t>搬迁</w:t>
            </w:r>
          </w:p>
        </w:tc>
      </w:tr>
      <w:tr w14:paraId="17CE850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Align w:val="center"/>
          </w:tcPr>
          <w:p w14:paraId="4215AF04">
            <w:pPr>
              <w:spacing w:line="280" w:lineRule="exact"/>
              <w:jc w:val="center"/>
              <w:rPr>
                <w:rFonts w:hint="eastAsia" w:ascii="宋体" w:hAnsi="宋体"/>
                <w:color w:val="auto"/>
                <w:szCs w:val="21"/>
              </w:rPr>
            </w:pPr>
            <w:r>
              <w:rPr>
                <w:rFonts w:hint="eastAsia" w:ascii="宋体" w:hAnsi="宋体"/>
                <w:color w:val="auto"/>
                <w:szCs w:val="21"/>
              </w:rPr>
              <w:t>17</w:t>
            </w:r>
          </w:p>
        </w:tc>
        <w:tc>
          <w:tcPr>
            <w:tcW w:w="1491" w:type="pct"/>
            <w:vAlign w:val="center"/>
          </w:tcPr>
          <w:p w14:paraId="54E7FE33">
            <w:pPr>
              <w:spacing w:line="280" w:lineRule="exact"/>
              <w:jc w:val="center"/>
              <w:rPr>
                <w:rFonts w:hint="eastAsia" w:ascii="宋体" w:hAnsi="宋体"/>
                <w:color w:val="auto"/>
                <w:szCs w:val="21"/>
              </w:rPr>
            </w:pPr>
            <w:r>
              <w:rPr>
                <w:rFonts w:ascii="宋体" w:hAnsi="宋体"/>
                <w:color w:val="auto"/>
                <w:szCs w:val="21"/>
              </w:rPr>
              <w:t>火炬除液器橇</w:t>
            </w:r>
          </w:p>
        </w:tc>
        <w:tc>
          <w:tcPr>
            <w:tcW w:w="1885" w:type="pct"/>
            <w:vAlign w:val="center"/>
          </w:tcPr>
          <w:p w14:paraId="630FCAE2">
            <w:pPr>
              <w:kinsoku w:val="0"/>
              <w:overflowPunct w:val="0"/>
              <w:autoSpaceDE w:val="0"/>
              <w:autoSpaceDN w:val="0"/>
              <w:jc w:val="center"/>
              <w:rPr>
                <w:rFonts w:hint="eastAsia" w:ascii="宋体" w:hAnsi="宋体"/>
                <w:color w:val="auto"/>
                <w:szCs w:val="21"/>
              </w:rPr>
            </w:pPr>
            <w:r>
              <w:rPr>
                <w:rFonts w:ascii="宋体" w:hAnsi="宋体"/>
                <w:color w:val="auto"/>
                <w:szCs w:val="21"/>
              </w:rPr>
              <w:t>设计/操作压力：0.5MPa/0.1MPa</w:t>
            </w:r>
          </w:p>
          <w:p w14:paraId="6FE73091">
            <w:pPr>
              <w:kinsoku w:val="0"/>
              <w:overflowPunct w:val="0"/>
              <w:autoSpaceDE w:val="0"/>
              <w:autoSpaceDN w:val="0"/>
              <w:jc w:val="center"/>
              <w:rPr>
                <w:rFonts w:hint="eastAsia" w:ascii="宋体" w:hAnsi="宋体"/>
                <w:color w:val="auto"/>
                <w:szCs w:val="21"/>
              </w:rPr>
            </w:pPr>
            <w:r>
              <w:rPr>
                <w:rFonts w:ascii="宋体" w:hAnsi="宋体"/>
                <w:color w:val="auto"/>
                <w:szCs w:val="21"/>
              </w:rPr>
              <w:t>设计/操作温度：60℃/20~40℃</w:t>
            </w:r>
          </w:p>
          <w:p w14:paraId="133F1D2B">
            <w:pPr>
              <w:kinsoku w:val="0"/>
              <w:overflowPunct w:val="0"/>
              <w:autoSpaceDE w:val="0"/>
              <w:autoSpaceDN w:val="0"/>
              <w:jc w:val="center"/>
              <w:rPr>
                <w:rFonts w:hint="eastAsia" w:ascii="宋体" w:hAnsi="宋体"/>
                <w:color w:val="auto"/>
                <w:szCs w:val="21"/>
              </w:rPr>
            </w:pPr>
            <w:r>
              <w:rPr>
                <w:rFonts w:ascii="宋体" w:hAnsi="宋体"/>
                <w:color w:val="auto"/>
                <w:szCs w:val="21"/>
              </w:rPr>
              <w:t>L×D=3.2m×0.8m</w:t>
            </w:r>
          </w:p>
        </w:tc>
        <w:tc>
          <w:tcPr>
            <w:tcW w:w="670" w:type="pct"/>
            <w:vAlign w:val="center"/>
          </w:tcPr>
          <w:p w14:paraId="774EC313">
            <w:pPr>
              <w:spacing w:line="280" w:lineRule="exact"/>
              <w:jc w:val="center"/>
              <w:rPr>
                <w:rFonts w:hint="eastAsia" w:ascii="宋体" w:hAnsi="宋体"/>
                <w:color w:val="auto"/>
                <w:szCs w:val="21"/>
              </w:rPr>
            </w:pPr>
            <w:r>
              <w:rPr>
                <w:rFonts w:hint="eastAsia" w:ascii="宋体" w:hAnsi="宋体"/>
                <w:color w:val="auto"/>
                <w:szCs w:val="21"/>
              </w:rPr>
              <w:t>1</w:t>
            </w:r>
          </w:p>
        </w:tc>
        <w:tc>
          <w:tcPr>
            <w:tcW w:w="513" w:type="pct"/>
            <w:vAlign w:val="center"/>
          </w:tcPr>
          <w:p w14:paraId="239EA28B">
            <w:pPr>
              <w:spacing w:line="280" w:lineRule="exact"/>
              <w:jc w:val="center"/>
              <w:rPr>
                <w:rFonts w:hint="eastAsia" w:ascii="宋体" w:hAnsi="宋体"/>
                <w:color w:val="auto"/>
                <w:szCs w:val="21"/>
              </w:rPr>
            </w:pPr>
          </w:p>
        </w:tc>
      </w:tr>
      <w:tr w14:paraId="02E411B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Merge w:val="restart"/>
            <w:vAlign w:val="center"/>
          </w:tcPr>
          <w:p w14:paraId="68D2A29A">
            <w:pPr>
              <w:spacing w:line="280" w:lineRule="exact"/>
              <w:jc w:val="center"/>
              <w:rPr>
                <w:rFonts w:hint="eastAsia" w:ascii="宋体" w:hAnsi="宋体"/>
                <w:color w:val="auto"/>
                <w:szCs w:val="21"/>
              </w:rPr>
            </w:pPr>
            <w:r>
              <w:rPr>
                <w:rFonts w:hint="eastAsia" w:ascii="宋体" w:hAnsi="宋体"/>
                <w:color w:val="auto"/>
                <w:szCs w:val="21"/>
              </w:rPr>
              <w:t>18</w:t>
            </w:r>
          </w:p>
        </w:tc>
        <w:tc>
          <w:tcPr>
            <w:tcW w:w="1491" w:type="pct"/>
            <w:vMerge w:val="restart"/>
            <w:vAlign w:val="center"/>
          </w:tcPr>
          <w:p w14:paraId="73B4E335">
            <w:pPr>
              <w:spacing w:line="280" w:lineRule="exact"/>
              <w:jc w:val="center"/>
              <w:rPr>
                <w:rFonts w:hint="eastAsia" w:ascii="宋体" w:hAnsi="宋体"/>
                <w:color w:val="auto"/>
                <w:szCs w:val="21"/>
              </w:rPr>
            </w:pPr>
            <w:r>
              <w:rPr>
                <w:rFonts w:ascii="宋体" w:hAnsi="宋体"/>
                <w:color w:val="auto"/>
                <w:szCs w:val="21"/>
              </w:rPr>
              <w:t>锅炉用无缝钢管</w:t>
            </w:r>
          </w:p>
        </w:tc>
        <w:tc>
          <w:tcPr>
            <w:tcW w:w="1885" w:type="pct"/>
            <w:vAlign w:val="center"/>
          </w:tcPr>
          <w:p w14:paraId="7D7D4C5B">
            <w:pPr>
              <w:kinsoku w:val="0"/>
              <w:overflowPunct w:val="0"/>
              <w:autoSpaceDE w:val="0"/>
              <w:autoSpaceDN w:val="0"/>
              <w:jc w:val="center"/>
              <w:rPr>
                <w:rFonts w:hint="eastAsia" w:ascii="宋体" w:hAnsi="宋体"/>
                <w:color w:val="auto"/>
                <w:szCs w:val="21"/>
              </w:rPr>
            </w:pPr>
            <w:r>
              <w:rPr>
                <w:rFonts w:ascii="宋体" w:hAnsi="宋体"/>
                <w:color w:val="auto"/>
                <w:szCs w:val="21"/>
              </w:rPr>
              <w:t>D168×8/20G</w:t>
            </w:r>
          </w:p>
        </w:tc>
        <w:tc>
          <w:tcPr>
            <w:tcW w:w="670" w:type="pct"/>
            <w:vAlign w:val="center"/>
          </w:tcPr>
          <w:p w14:paraId="4AE732AC">
            <w:pPr>
              <w:spacing w:line="280" w:lineRule="exact"/>
              <w:jc w:val="center"/>
              <w:rPr>
                <w:rFonts w:hint="eastAsia" w:ascii="宋体" w:hAnsi="宋体"/>
                <w:color w:val="auto"/>
                <w:szCs w:val="21"/>
              </w:rPr>
            </w:pPr>
            <w:r>
              <w:rPr>
                <w:rFonts w:hint="eastAsia" w:ascii="宋体" w:hAnsi="宋体"/>
                <w:color w:val="auto"/>
                <w:szCs w:val="21"/>
              </w:rPr>
              <w:t>10m</w:t>
            </w:r>
          </w:p>
        </w:tc>
        <w:tc>
          <w:tcPr>
            <w:tcW w:w="513" w:type="pct"/>
            <w:vAlign w:val="center"/>
          </w:tcPr>
          <w:p w14:paraId="228FD4D1">
            <w:pPr>
              <w:spacing w:line="280" w:lineRule="exact"/>
              <w:jc w:val="center"/>
              <w:rPr>
                <w:rFonts w:hint="eastAsia" w:ascii="宋体" w:hAnsi="宋体"/>
                <w:color w:val="auto"/>
                <w:szCs w:val="21"/>
              </w:rPr>
            </w:pPr>
          </w:p>
        </w:tc>
      </w:tr>
      <w:tr w14:paraId="07E029D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Merge w:val="continue"/>
            <w:vAlign w:val="center"/>
          </w:tcPr>
          <w:p w14:paraId="028897BD">
            <w:pPr>
              <w:spacing w:line="280" w:lineRule="exact"/>
              <w:jc w:val="center"/>
              <w:rPr>
                <w:rFonts w:hint="eastAsia" w:ascii="宋体" w:hAnsi="宋体"/>
                <w:color w:val="auto"/>
                <w:szCs w:val="21"/>
              </w:rPr>
            </w:pPr>
          </w:p>
        </w:tc>
        <w:tc>
          <w:tcPr>
            <w:tcW w:w="1491" w:type="pct"/>
            <w:vMerge w:val="continue"/>
            <w:vAlign w:val="center"/>
          </w:tcPr>
          <w:p w14:paraId="4D31E39C">
            <w:pPr>
              <w:spacing w:line="280" w:lineRule="exact"/>
              <w:jc w:val="center"/>
              <w:rPr>
                <w:rFonts w:hint="eastAsia" w:ascii="宋体" w:hAnsi="宋体"/>
                <w:color w:val="auto"/>
                <w:szCs w:val="21"/>
              </w:rPr>
            </w:pPr>
          </w:p>
        </w:tc>
        <w:tc>
          <w:tcPr>
            <w:tcW w:w="1885" w:type="pct"/>
            <w:vAlign w:val="center"/>
          </w:tcPr>
          <w:p w14:paraId="0DF5C01F">
            <w:pPr>
              <w:kinsoku w:val="0"/>
              <w:overflowPunct w:val="0"/>
              <w:autoSpaceDE w:val="0"/>
              <w:autoSpaceDN w:val="0"/>
              <w:jc w:val="center"/>
              <w:rPr>
                <w:rFonts w:hint="eastAsia" w:ascii="宋体" w:hAnsi="宋体"/>
                <w:color w:val="auto"/>
                <w:szCs w:val="21"/>
              </w:rPr>
            </w:pPr>
            <w:r>
              <w:rPr>
                <w:rFonts w:ascii="宋体" w:hAnsi="宋体"/>
                <w:color w:val="auto"/>
                <w:szCs w:val="21"/>
              </w:rPr>
              <w:t>D89×15/20G</w:t>
            </w:r>
          </w:p>
        </w:tc>
        <w:tc>
          <w:tcPr>
            <w:tcW w:w="670" w:type="pct"/>
            <w:vAlign w:val="center"/>
          </w:tcPr>
          <w:p w14:paraId="27D8190A">
            <w:pPr>
              <w:spacing w:line="280" w:lineRule="exact"/>
              <w:jc w:val="center"/>
              <w:rPr>
                <w:rFonts w:hint="eastAsia" w:ascii="宋体" w:hAnsi="宋体"/>
                <w:color w:val="auto"/>
                <w:szCs w:val="21"/>
              </w:rPr>
            </w:pPr>
            <w:r>
              <w:rPr>
                <w:rFonts w:hint="eastAsia" w:ascii="宋体" w:hAnsi="宋体"/>
                <w:color w:val="auto"/>
                <w:szCs w:val="21"/>
              </w:rPr>
              <w:t>20m</w:t>
            </w:r>
          </w:p>
        </w:tc>
        <w:tc>
          <w:tcPr>
            <w:tcW w:w="513" w:type="pct"/>
            <w:vAlign w:val="center"/>
          </w:tcPr>
          <w:p w14:paraId="28455BD1">
            <w:pPr>
              <w:spacing w:line="280" w:lineRule="exact"/>
              <w:jc w:val="center"/>
              <w:rPr>
                <w:rFonts w:hint="eastAsia" w:ascii="宋体" w:hAnsi="宋体"/>
                <w:color w:val="auto"/>
                <w:szCs w:val="21"/>
              </w:rPr>
            </w:pPr>
          </w:p>
        </w:tc>
      </w:tr>
      <w:tr w14:paraId="2FFA627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Merge w:val="continue"/>
            <w:vAlign w:val="center"/>
          </w:tcPr>
          <w:p w14:paraId="3DB1A01A">
            <w:pPr>
              <w:spacing w:line="280" w:lineRule="exact"/>
              <w:jc w:val="center"/>
              <w:rPr>
                <w:rFonts w:hint="eastAsia" w:ascii="宋体" w:hAnsi="宋体"/>
                <w:color w:val="auto"/>
                <w:szCs w:val="21"/>
              </w:rPr>
            </w:pPr>
          </w:p>
        </w:tc>
        <w:tc>
          <w:tcPr>
            <w:tcW w:w="1491" w:type="pct"/>
            <w:vMerge w:val="continue"/>
            <w:vAlign w:val="center"/>
          </w:tcPr>
          <w:p w14:paraId="6257E979">
            <w:pPr>
              <w:spacing w:line="280" w:lineRule="exact"/>
              <w:jc w:val="center"/>
              <w:rPr>
                <w:rFonts w:hint="eastAsia" w:ascii="宋体" w:hAnsi="宋体"/>
                <w:color w:val="auto"/>
                <w:szCs w:val="21"/>
              </w:rPr>
            </w:pPr>
          </w:p>
        </w:tc>
        <w:tc>
          <w:tcPr>
            <w:tcW w:w="1885" w:type="pct"/>
            <w:vAlign w:val="center"/>
          </w:tcPr>
          <w:p w14:paraId="61A4B39A">
            <w:pPr>
              <w:kinsoku w:val="0"/>
              <w:overflowPunct w:val="0"/>
              <w:autoSpaceDE w:val="0"/>
              <w:autoSpaceDN w:val="0"/>
              <w:jc w:val="center"/>
              <w:rPr>
                <w:rFonts w:hint="eastAsia" w:ascii="宋体" w:hAnsi="宋体"/>
                <w:color w:val="auto"/>
                <w:szCs w:val="21"/>
              </w:rPr>
            </w:pPr>
            <w:r>
              <w:rPr>
                <w:rFonts w:ascii="宋体" w:hAnsi="宋体"/>
                <w:color w:val="auto"/>
                <w:szCs w:val="21"/>
              </w:rPr>
              <w:t>D89×6/20G</w:t>
            </w:r>
          </w:p>
        </w:tc>
        <w:tc>
          <w:tcPr>
            <w:tcW w:w="670" w:type="pct"/>
            <w:vAlign w:val="center"/>
          </w:tcPr>
          <w:p w14:paraId="068B0353">
            <w:pPr>
              <w:spacing w:line="280" w:lineRule="exact"/>
              <w:jc w:val="center"/>
              <w:rPr>
                <w:rFonts w:hint="eastAsia" w:ascii="宋体" w:hAnsi="宋体"/>
                <w:color w:val="auto"/>
                <w:szCs w:val="21"/>
              </w:rPr>
            </w:pPr>
            <w:r>
              <w:rPr>
                <w:rFonts w:hint="eastAsia" w:ascii="宋体" w:hAnsi="宋体"/>
                <w:color w:val="auto"/>
                <w:szCs w:val="21"/>
              </w:rPr>
              <w:t>90m</w:t>
            </w:r>
          </w:p>
        </w:tc>
        <w:tc>
          <w:tcPr>
            <w:tcW w:w="513" w:type="pct"/>
            <w:vAlign w:val="center"/>
          </w:tcPr>
          <w:p w14:paraId="1E0B3B9B">
            <w:pPr>
              <w:spacing w:line="280" w:lineRule="exact"/>
              <w:jc w:val="center"/>
              <w:rPr>
                <w:rFonts w:hint="eastAsia" w:ascii="宋体" w:hAnsi="宋体"/>
                <w:color w:val="auto"/>
                <w:szCs w:val="21"/>
              </w:rPr>
            </w:pPr>
          </w:p>
        </w:tc>
      </w:tr>
      <w:tr w14:paraId="313F739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Merge w:val="continue"/>
            <w:vAlign w:val="center"/>
          </w:tcPr>
          <w:p w14:paraId="33A0D2DD">
            <w:pPr>
              <w:spacing w:line="280" w:lineRule="exact"/>
              <w:jc w:val="center"/>
              <w:rPr>
                <w:rFonts w:hint="eastAsia" w:ascii="宋体" w:hAnsi="宋体"/>
                <w:color w:val="auto"/>
                <w:szCs w:val="21"/>
              </w:rPr>
            </w:pPr>
          </w:p>
        </w:tc>
        <w:tc>
          <w:tcPr>
            <w:tcW w:w="1491" w:type="pct"/>
            <w:vMerge w:val="continue"/>
            <w:vAlign w:val="center"/>
          </w:tcPr>
          <w:p w14:paraId="3BC63B62">
            <w:pPr>
              <w:spacing w:line="280" w:lineRule="exact"/>
              <w:jc w:val="center"/>
              <w:rPr>
                <w:rFonts w:hint="eastAsia" w:ascii="宋体" w:hAnsi="宋体"/>
                <w:color w:val="auto"/>
                <w:szCs w:val="21"/>
              </w:rPr>
            </w:pPr>
          </w:p>
        </w:tc>
        <w:tc>
          <w:tcPr>
            <w:tcW w:w="1885" w:type="pct"/>
            <w:vAlign w:val="center"/>
          </w:tcPr>
          <w:p w14:paraId="3EE0E2F0">
            <w:pPr>
              <w:kinsoku w:val="0"/>
              <w:overflowPunct w:val="0"/>
              <w:autoSpaceDE w:val="0"/>
              <w:autoSpaceDN w:val="0"/>
              <w:jc w:val="center"/>
              <w:rPr>
                <w:rFonts w:hint="eastAsia" w:ascii="宋体" w:hAnsi="宋体"/>
                <w:color w:val="auto"/>
                <w:szCs w:val="21"/>
              </w:rPr>
            </w:pPr>
            <w:r>
              <w:rPr>
                <w:rFonts w:ascii="宋体" w:hAnsi="宋体"/>
                <w:color w:val="auto"/>
                <w:szCs w:val="21"/>
              </w:rPr>
              <w:t>D48×6/20G</w:t>
            </w:r>
          </w:p>
        </w:tc>
        <w:tc>
          <w:tcPr>
            <w:tcW w:w="670" w:type="pct"/>
            <w:vAlign w:val="center"/>
          </w:tcPr>
          <w:p w14:paraId="546EDDD7">
            <w:pPr>
              <w:spacing w:line="280" w:lineRule="exact"/>
              <w:jc w:val="center"/>
              <w:rPr>
                <w:rFonts w:hint="eastAsia" w:ascii="宋体" w:hAnsi="宋体"/>
                <w:color w:val="auto"/>
                <w:szCs w:val="21"/>
              </w:rPr>
            </w:pPr>
            <w:r>
              <w:rPr>
                <w:rFonts w:hint="eastAsia" w:ascii="宋体" w:hAnsi="宋体"/>
                <w:color w:val="auto"/>
                <w:szCs w:val="21"/>
              </w:rPr>
              <w:t>700m</w:t>
            </w:r>
          </w:p>
        </w:tc>
        <w:tc>
          <w:tcPr>
            <w:tcW w:w="513" w:type="pct"/>
            <w:vAlign w:val="center"/>
          </w:tcPr>
          <w:p w14:paraId="3C4153FA">
            <w:pPr>
              <w:spacing w:line="280" w:lineRule="exact"/>
              <w:jc w:val="center"/>
              <w:rPr>
                <w:rFonts w:hint="eastAsia" w:ascii="宋体" w:hAnsi="宋体"/>
                <w:color w:val="auto"/>
                <w:szCs w:val="21"/>
              </w:rPr>
            </w:pPr>
          </w:p>
        </w:tc>
      </w:tr>
      <w:tr w14:paraId="6CAB7F6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Merge w:val="continue"/>
            <w:vAlign w:val="center"/>
          </w:tcPr>
          <w:p w14:paraId="6A43270C">
            <w:pPr>
              <w:spacing w:line="280" w:lineRule="exact"/>
              <w:jc w:val="center"/>
              <w:rPr>
                <w:rFonts w:hint="eastAsia" w:ascii="宋体" w:hAnsi="宋体"/>
                <w:color w:val="auto"/>
                <w:szCs w:val="21"/>
              </w:rPr>
            </w:pPr>
          </w:p>
        </w:tc>
        <w:tc>
          <w:tcPr>
            <w:tcW w:w="1491" w:type="pct"/>
            <w:vMerge w:val="continue"/>
            <w:vAlign w:val="center"/>
          </w:tcPr>
          <w:p w14:paraId="2D3DEF79">
            <w:pPr>
              <w:spacing w:line="280" w:lineRule="exact"/>
              <w:jc w:val="center"/>
              <w:rPr>
                <w:rFonts w:hint="eastAsia" w:ascii="宋体" w:hAnsi="宋体" w:cs="宋体"/>
                <w:color w:val="auto"/>
                <w:kern w:val="0"/>
                <w:szCs w:val="21"/>
              </w:rPr>
            </w:pPr>
          </w:p>
        </w:tc>
        <w:tc>
          <w:tcPr>
            <w:tcW w:w="1885" w:type="pct"/>
            <w:vAlign w:val="center"/>
          </w:tcPr>
          <w:p w14:paraId="3C18AEF4">
            <w:pPr>
              <w:kinsoku w:val="0"/>
              <w:overflowPunct w:val="0"/>
              <w:autoSpaceDE w:val="0"/>
              <w:autoSpaceDN w:val="0"/>
              <w:jc w:val="center"/>
              <w:rPr>
                <w:rFonts w:hint="eastAsia" w:ascii="宋体" w:hAnsi="宋体" w:cs="宋体"/>
                <w:color w:val="auto"/>
                <w:kern w:val="0"/>
                <w:szCs w:val="21"/>
              </w:rPr>
            </w:pPr>
            <w:r>
              <w:rPr>
                <w:rFonts w:ascii="宋体" w:hAnsi="宋体"/>
                <w:color w:val="auto"/>
                <w:szCs w:val="21"/>
              </w:rPr>
              <w:t>D48×4/20G</w:t>
            </w:r>
          </w:p>
        </w:tc>
        <w:tc>
          <w:tcPr>
            <w:tcW w:w="670" w:type="pct"/>
            <w:vAlign w:val="center"/>
          </w:tcPr>
          <w:p w14:paraId="19FC90BF">
            <w:pPr>
              <w:spacing w:line="280" w:lineRule="exact"/>
              <w:jc w:val="center"/>
              <w:rPr>
                <w:rFonts w:hint="eastAsia" w:ascii="宋体" w:hAnsi="宋体" w:cs="宋体"/>
                <w:color w:val="auto"/>
                <w:kern w:val="0"/>
                <w:szCs w:val="21"/>
              </w:rPr>
            </w:pPr>
            <w:r>
              <w:rPr>
                <w:rFonts w:hint="eastAsia" w:ascii="宋体" w:hAnsi="宋体"/>
                <w:color w:val="auto"/>
                <w:szCs w:val="21"/>
              </w:rPr>
              <w:t>250m</w:t>
            </w:r>
          </w:p>
        </w:tc>
        <w:tc>
          <w:tcPr>
            <w:tcW w:w="513" w:type="pct"/>
            <w:vAlign w:val="center"/>
          </w:tcPr>
          <w:p w14:paraId="0949BB84">
            <w:pPr>
              <w:spacing w:line="280" w:lineRule="exact"/>
              <w:jc w:val="center"/>
              <w:rPr>
                <w:rFonts w:hint="eastAsia" w:ascii="宋体" w:hAnsi="宋体"/>
                <w:color w:val="auto"/>
                <w:szCs w:val="21"/>
              </w:rPr>
            </w:pPr>
          </w:p>
        </w:tc>
      </w:tr>
      <w:tr w14:paraId="2E23A6F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Merge w:val="continue"/>
            <w:vAlign w:val="center"/>
          </w:tcPr>
          <w:p w14:paraId="0A43AB6D">
            <w:pPr>
              <w:spacing w:line="280" w:lineRule="exact"/>
              <w:jc w:val="center"/>
              <w:rPr>
                <w:rFonts w:hint="eastAsia" w:ascii="宋体" w:hAnsi="宋体"/>
                <w:color w:val="auto"/>
                <w:szCs w:val="21"/>
              </w:rPr>
            </w:pPr>
          </w:p>
        </w:tc>
        <w:tc>
          <w:tcPr>
            <w:tcW w:w="1491" w:type="pct"/>
            <w:vMerge w:val="continue"/>
            <w:vAlign w:val="center"/>
          </w:tcPr>
          <w:p w14:paraId="611424C6">
            <w:pPr>
              <w:spacing w:line="280" w:lineRule="exact"/>
              <w:jc w:val="center"/>
              <w:rPr>
                <w:rFonts w:hint="eastAsia" w:ascii="宋体" w:hAnsi="宋体"/>
                <w:color w:val="auto"/>
                <w:szCs w:val="21"/>
              </w:rPr>
            </w:pPr>
          </w:p>
        </w:tc>
        <w:tc>
          <w:tcPr>
            <w:tcW w:w="1885" w:type="pct"/>
            <w:vAlign w:val="center"/>
          </w:tcPr>
          <w:p w14:paraId="5CD3B843">
            <w:pPr>
              <w:kinsoku w:val="0"/>
              <w:overflowPunct w:val="0"/>
              <w:autoSpaceDE w:val="0"/>
              <w:autoSpaceDN w:val="0"/>
              <w:jc w:val="center"/>
              <w:rPr>
                <w:rFonts w:hint="eastAsia" w:ascii="宋体" w:hAnsi="宋体"/>
                <w:color w:val="auto"/>
                <w:szCs w:val="21"/>
              </w:rPr>
            </w:pPr>
            <w:r>
              <w:rPr>
                <w:rFonts w:ascii="宋体" w:hAnsi="宋体"/>
                <w:color w:val="auto"/>
                <w:szCs w:val="21"/>
              </w:rPr>
              <w:t>D34×3/20G</w:t>
            </w:r>
          </w:p>
        </w:tc>
        <w:tc>
          <w:tcPr>
            <w:tcW w:w="670" w:type="pct"/>
            <w:vAlign w:val="center"/>
          </w:tcPr>
          <w:p w14:paraId="4150D79A">
            <w:pPr>
              <w:spacing w:line="280" w:lineRule="exact"/>
              <w:jc w:val="center"/>
              <w:rPr>
                <w:rFonts w:hint="eastAsia" w:ascii="宋体" w:hAnsi="宋体"/>
                <w:color w:val="auto"/>
                <w:szCs w:val="21"/>
              </w:rPr>
            </w:pPr>
            <w:r>
              <w:rPr>
                <w:rFonts w:hint="eastAsia" w:ascii="宋体" w:hAnsi="宋体"/>
                <w:color w:val="auto"/>
                <w:szCs w:val="21"/>
              </w:rPr>
              <w:t>50m</w:t>
            </w:r>
          </w:p>
        </w:tc>
        <w:tc>
          <w:tcPr>
            <w:tcW w:w="513" w:type="pct"/>
            <w:vAlign w:val="center"/>
          </w:tcPr>
          <w:p w14:paraId="556C130C">
            <w:pPr>
              <w:spacing w:line="280" w:lineRule="exact"/>
              <w:jc w:val="center"/>
              <w:rPr>
                <w:rFonts w:hint="eastAsia" w:ascii="宋体" w:hAnsi="宋体"/>
                <w:color w:val="auto"/>
                <w:szCs w:val="21"/>
              </w:rPr>
            </w:pPr>
          </w:p>
        </w:tc>
      </w:tr>
      <w:tr w14:paraId="7366775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Merge w:val="continue"/>
            <w:vAlign w:val="center"/>
          </w:tcPr>
          <w:p w14:paraId="28C982B6">
            <w:pPr>
              <w:spacing w:line="280" w:lineRule="exact"/>
              <w:jc w:val="center"/>
              <w:rPr>
                <w:rFonts w:hint="eastAsia" w:ascii="宋体" w:hAnsi="宋体"/>
                <w:color w:val="auto"/>
                <w:szCs w:val="21"/>
              </w:rPr>
            </w:pPr>
          </w:p>
        </w:tc>
        <w:tc>
          <w:tcPr>
            <w:tcW w:w="1491" w:type="pct"/>
            <w:vMerge w:val="continue"/>
            <w:vAlign w:val="center"/>
          </w:tcPr>
          <w:p w14:paraId="55A85B4E">
            <w:pPr>
              <w:spacing w:line="280" w:lineRule="exact"/>
              <w:jc w:val="center"/>
              <w:rPr>
                <w:rFonts w:hint="eastAsia" w:ascii="宋体" w:hAnsi="宋体"/>
                <w:color w:val="auto"/>
                <w:szCs w:val="21"/>
              </w:rPr>
            </w:pPr>
          </w:p>
        </w:tc>
        <w:tc>
          <w:tcPr>
            <w:tcW w:w="1885" w:type="pct"/>
            <w:vAlign w:val="center"/>
          </w:tcPr>
          <w:p w14:paraId="36C39B59">
            <w:pPr>
              <w:kinsoku w:val="0"/>
              <w:overflowPunct w:val="0"/>
              <w:autoSpaceDE w:val="0"/>
              <w:autoSpaceDN w:val="0"/>
              <w:jc w:val="center"/>
              <w:rPr>
                <w:rFonts w:hint="eastAsia" w:ascii="宋体" w:hAnsi="宋体"/>
                <w:color w:val="auto"/>
                <w:szCs w:val="21"/>
              </w:rPr>
            </w:pPr>
            <w:r>
              <w:rPr>
                <w:rFonts w:ascii="宋体" w:hAnsi="宋体"/>
                <w:color w:val="auto"/>
                <w:szCs w:val="21"/>
              </w:rPr>
              <w:t>D27×6/20G</w:t>
            </w:r>
          </w:p>
        </w:tc>
        <w:tc>
          <w:tcPr>
            <w:tcW w:w="670" w:type="pct"/>
            <w:vAlign w:val="center"/>
          </w:tcPr>
          <w:p w14:paraId="092B8146">
            <w:pPr>
              <w:spacing w:line="280" w:lineRule="exact"/>
              <w:jc w:val="center"/>
              <w:rPr>
                <w:rFonts w:hint="eastAsia" w:ascii="宋体" w:hAnsi="宋体"/>
                <w:color w:val="auto"/>
                <w:szCs w:val="21"/>
              </w:rPr>
            </w:pPr>
            <w:r>
              <w:rPr>
                <w:rFonts w:hint="eastAsia" w:ascii="宋体" w:hAnsi="宋体"/>
                <w:color w:val="auto"/>
                <w:szCs w:val="21"/>
              </w:rPr>
              <w:t>10m</w:t>
            </w:r>
          </w:p>
        </w:tc>
        <w:tc>
          <w:tcPr>
            <w:tcW w:w="513" w:type="pct"/>
            <w:vAlign w:val="center"/>
          </w:tcPr>
          <w:p w14:paraId="650B0908">
            <w:pPr>
              <w:spacing w:line="280" w:lineRule="exact"/>
              <w:jc w:val="center"/>
              <w:rPr>
                <w:rFonts w:hint="eastAsia" w:ascii="宋体" w:hAnsi="宋体"/>
                <w:color w:val="auto"/>
                <w:szCs w:val="21"/>
              </w:rPr>
            </w:pPr>
          </w:p>
        </w:tc>
      </w:tr>
      <w:tr w14:paraId="76B4D53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Merge w:val="restart"/>
            <w:vAlign w:val="center"/>
          </w:tcPr>
          <w:p w14:paraId="3CFDDD23">
            <w:pPr>
              <w:spacing w:line="280" w:lineRule="exact"/>
              <w:jc w:val="center"/>
              <w:rPr>
                <w:rFonts w:hint="eastAsia" w:ascii="宋体" w:hAnsi="宋体"/>
                <w:color w:val="auto"/>
                <w:szCs w:val="21"/>
              </w:rPr>
            </w:pPr>
            <w:r>
              <w:rPr>
                <w:rFonts w:hint="eastAsia" w:ascii="宋体" w:hAnsi="宋体"/>
                <w:color w:val="auto"/>
                <w:szCs w:val="21"/>
              </w:rPr>
              <w:t>19</w:t>
            </w:r>
          </w:p>
        </w:tc>
        <w:tc>
          <w:tcPr>
            <w:tcW w:w="1491" w:type="pct"/>
            <w:vMerge w:val="restart"/>
            <w:vAlign w:val="center"/>
          </w:tcPr>
          <w:p w14:paraId="721963F3">
            <w:pPr>
              <w:spacing w:line="280" w:lineRule="exact"/>
              <w:jc w:val="center"/>
              <w:rPr>
                <w:rFonts w:hint="eastAsia" w:ascii="宋体" w:hAnsi="宋体"/>
                <w:color w:val="auto"/>
                <w:szCs w:val="21"/>
              </w:rPr>
            </w:pPr>
            <w:r>
              <w:rPr>
                <w:rFonts w:ascii="宋体" w:hAnsi="宋体"/>
                <w:color w:val="auto"/>
                <w:szCs w:val="21"/>
              </w:rPr>
              <w:t>输送流体用无缝钢管</w:t>
            </w:r>
          </w:p>
        </w:tc>
        <w:tc>
          <w:tcPr>
            <w:tcW w:w="1885" w:type="pct"/>
            <w:vAlign w:val="center"/>
          </w:tcPr>
          <w:p w14:paraId="531C521E">
            <w:pPr>
              <w:kinsoku w:val="0"/>
              <w:overflowPunct w:val="0"/>
              <w:autoSpaceDE w:val="0"/>
              <w:autoSpaceDN w:val="0"/>
              <w:jc w:val="center"/>
              <w:rPr>
                <w:rFonts w:hint="eastAsia" w:ascii="宋体" w:hAnsi="宋体"/>
                <w:color w:val="auto"/>
                <w:szCs w:val="21"/>
              </w:rPr>
            </w:pPr>
            <w:r>
              <w:rPr>
                <w:rFonts w:ascii="宋体" w:hAnsi="宋体"/>
                <w:color w:val="auto"/>
                <w:szCs w:val="21"/>
              </w:rPr>
              <w:t>D114×5/20</w:t>
            </w:r>
          </w:p>
        </w:tc>
        <w:tc>
          <w:tcPr>
            <w:tcW w:w="670" w:type="pct"/>
            <w:vAlign w:val="center"/>
          </w:tcPr>
          <w:p w14:paraId="00873805">
            <w:pPr>
              <w:spacing w:line="280" w:lineRule="exact"/>
              <w:jc w:val="center"/>
              <w:rPr>
                <w:rFonts w:hint="eastAsia" w:ascii="宋体" w:hAnsi="宋体"/>
                <w:color w:val="auto"/>
                <w:szCs w:val="21"/>
              </w:rPr>
            </w:pPr>
            <w:r>
              <w:rPr>
                <w:rFonts w:hint="eastAsia" w:ascii="宋体" w:hAnsi="宋体"/>
                <w:color w:val="auto"/>
                <w:szCs w:val="21"/>
              </w:rPr>
              <w:t>220m</w:t>
            </w:r>
          </w:p>
        </w:tc>
        <w:tc>
          <w:tcPr>
            <w:tcW w:w="513" w:type="pct"/>
            <w:vAlign w:val="center"/>
          </w:tcPr>
          <w:p w14:paraId="5E7CD99A">
            <w:pPr>
              <w:spacing w:line="280" w:lineRule="exact"/>
              <w:jc w:val="center"/>
              <w:rPr>
                <w:rFonts w:hint="eastAsia" w:ascii="宋体" w:hAnsi="宋体"/>
                <w:color w:val="auto"/>
                <w:szCs w:val="21"/>
              </w:rPr>
            </w:pPr>
          </w:p>
        </w:tc>
      </w:tr>
      <w:tr w14:paraId="11DCB7C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Merge w:val="continue"/>
            <w:vAlign w:val="center"/>
          </w:tcPr>
          <w:p w14:paraId="12649658">
            <w:pPr>
              <w:spacing w:line="280" w:lineRule="exact"/>
              <w:jc w:val="center"/>
              <w:rPr>
                <w:rFonts w:hint="eastAsia" w:ascii="宋体" w:hAnsi="宋体"/>
                <w:color w:val="auto"/>
                <w:szCs w:val="21"/>
              </w:rPr>
            </w:pPr>
          </w:p>
        </w:tc>
        <w:tc>
          <w:tcPr>
            <w:tcW w:w="1491" w:type="pct"/>
            <w:vMerge w:val="continue"/>
            <w:vAlign w:val="center"/>
          </w:tcPr>
          <w:p w14:paraId="37E86F15">
            <w:pPr>
              <w:spacing w:line="280" w:lineRule="exact"/>
              <w:jc w:val="center"/>
              <w:rPr>
                <w:rFonts w:hint="eastAsia" w:ascii="宋体" w:hAnsi="宋体"/>
                <w:color w:val="auto"/>
                <w:szCs w:val="21"/>
              </w:rPr>
            </w:pPr>
          </w:p>
        </w:tc>
        <w:tc>
          <w:tcPr>
            <w:tcW w:w="1885" w:type="pct"/>
            <w:vAlign w:val="center"/>
          </w:tcPr>
          <w:p w14:paraId="6AFA4C8C">
            <w:pPr>
              <w:kinsoku w:val="0"/>
              <w:overflowPunct w:val="0"/>
              <w:autoSpaceDE w:val="0"/>
              <w:autoSpaceDN w:val="0"/>
              <w:jc w:val="center"/>
              <w:rPr>
                <w:rFonts w:hint="eastAsia" w:ascii="宋体" w:hAnsi="宋体"/>
                <w:color w:val="auto"/>
                <w:szCs w:val="21"/>
              </w:rPr>
            </w:pPr>
            <w:r>
              <w:rPr>
                <w:rFonts w:ascii="宋体" w:hAnsi="宋体"/>
                <w:color w:val="auto"/>
                <w:szCs w:val="21"/>
              </w:rPr>
              <w:t>D48×4/20</w:t>
            </w:r>
          </w:p>
        </w:tc>
        <w:tc>
          <w:tcPr>
            <w:tcW w:w="670" w:type="pct"/>
            <w:vAlign w:val="center"/>
          </w:tcPr>
          <w:p w14:paraId="1F57817C">
            <w:pPr>
              <w:spacing w:line="280" w:lineRule="exact"/>
              <w:jc w:val="center"/>
              <w:rPr>
                <w:rFonts w:hint="eastAsia" w:ascii="宋体" w:hAnsi="宋体"/>
                <w:color w:val="auto"/>
                <w:szCs w:val="21"/>
              </w:rPr>
            </w:pPr>
            <w:r>
              <w:rPr>
                <w:rFonts w:hint="eastAsia" w:ascii="宋体" w:hAnsi="宋体"/>
                <w:color w:val="auto"/>
                <w:szCs w:val="21"/>
              </w:rPr>
              <w:t>2000m</w:t>
            </w:r>
          </w:p>
        </w:tc>
        <w:tc>
          <w:tcPr>
            <w:tcW w:w="513" w:type="pct"/>
            <w:vAlign w:val="center"/>
          </w:tcPr>
          <w:p w14:paraId="7B0F37CD">
            <w:pPr>
              <w:spacing w:line="280" w:lineRule="exact"/>
              <w:jc w:val="center"/>
              <w:rPr>
                <w:rFonts w:hint="eastAsia" w:ascii="宋体" w:hAnsi="宋体"/>
                <w:color w:val="auto"/>
                <w:szCs w:val="21"/>
              </w:rPr>
            </w:pPr>
          </w:p>
        </w:tc>
      </w:tr>
      <w:tr w14:paraId="61C65C5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Merge w:val="continue"/>
            <w:vAlign w:val="center"/>
          </w:tcPr>
          <w:p w14:paraId="5B83DE8E">
            <w:pPr>
              <w:spacing w:line="280" w:lineRule="exact"/>
              <w:jc w:val="center"/>
              <w:rPr>
                <w:rFonts w:hint="eastAsia" w:ascii="宋体" w:hAnsi="宋体"/>
                <w:color w:val="auto"/>
                <w:szCs w:val="21"/>
              </w:rPr>
            </w:pPr>
          </w:p>
        </w:tc>
        <w:tc>
          <w:tcPr>
            <w:tcW w:w="1491" w:type="pct"/>
            <w:vMerge w:val="continue"/>
            <w:vAlign w:val="center"/>
          </w:tcPr>
          <w:p w14:paraId="6CFDD86E">
            <w:pPr>
              <w:spacing w:line="280" w:lineRule="exact"/>
              <w:jc w:val="center"/>
              <w:rPr>
                <w:rFonts w:hint="eastAsia" w:ascii="宋体" w:hAnsi="宋体"/>
                <w:color w:val="auto"/>
                <w:szCs w:val="21"/>
              </w:rPr>
            </w:pPr>
          </w:p>
        </w:tc>
        <w:tc>
          <w:tcPr>
            <w:tcW w:w="1885" w:type="pct"/>
            <w:vAlign w:val="center"/>
          </w:tcPr>
          <w:p w14:paraId="6164F4E9">
            <w:pPr>
              <w:kinsoku w:val="0"/>
              <w:overflowPunct w:val="0"/>
              <w:autoSpaceDE w:val="0"/>
              <w:autoSpaceDN w:val="0"/>
              <w:jc w:val="center"/>
              <w:rPr>
                <w:rFonts w:hint="eastAsia" w:ascii="宋体" w:hAnsi="宋体"/>
                <w:color w:val="auto"/>
                <w:szCs w:val="21"/>
              </w:rPr>
            </w:pPr>
            <w:r>
              <w:rPr>
                <w:rFonts w:ascii="宋体" w:hAnsi="宋体"/>
                <w:color w:val="auto"/>
                <w:szCs w:val="21"/>
              </w:rPr>
              <w:t>D42×3/20</w:t>
            </w:r>
          </w:p>
        </w:tc>
        <w:tc>
          <w:tcPr>
            <w:tcW w:w="670" w:type="pct"/>
            <w:vAlign w:val="center"/>
          </w:tcPr>
          <w:p w14:paraId="79147FB5">
            <w:pPr>
              <w:spacing w:line="280" w:lineRule="exact"/>
              <w:jc w:val="center"/>
              <w:rPr>
                <w:rFonts w:hint="eastAsia" w:ascii="宋体" w:hAnsi="宋体"/>
                <w:color w:val="auto"/>
                <w:szCs w:val="21"/>
              </w:rPr>
            </w:pPr>
            <w:r>
              <w:rPr>
                <w:rFonts w:hint="eastAsia" w:ascii="宋体" w:hAnsi="宋体"/>
                <w:color w:val="auto"/>
                <w:szCs w:val="21"/>
              </w:rPr>
              <w:t>50m</w:t>
            </w:r>
          </w:p>
        </w:tc>
        <w:tc>
          <w:tcPr>
            <w:tcW w:w="513" w:type="pct"/>
            <w:vAlign w:val="center"/>
          </w:tcPr>
          <w:p w14:paraId="227446A1">
            <w:pPr>
              <w:spacing w:line="280" w:lineRule="exact"/>
              <w:jc w:val="center"/>
              <w:rPr>
                <w:rFonts w:hint="eastAsia" w:ascii="宋体" w:hAnsi="宋体"/>
                <w:color w:val="auto"/>
                <w:szCs w:val="21"/>
              </w:rPr>
            </w:pPr>
          </w:p>
        </w:tc>
      </w:tr>
      <w:tr w14:paraId="23A35FB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8" w:type="pct"/>
            <w:vMerge w:val="continue"/>
            <w:vAlign w:val="center"/>
          </w:tcPr>
          <w:p w14:paraId="11D144E2">
            <w:pPr>
              <w:spacing w:line="280" w:lineRule="exact"/>
              <w:jc w:val="center"/>
              <w:rPr>
                <w:rFonts w:hint="eastAsia" w:ascii="宋体" w:hAnsi="宋体"/>
                <w:color w:val="auto"/>
                <w:szCs w:val="21"/>
              </w:rPr>
            </w:pPr>
          </w:p>
        </w:tc>
        <w:tc>
          <w:tcPr>
            <w:tcW w:w="1491" w:type="pct"/>
            <w:vMerge w:val="continue"/>
            <w:vAlign w:val="center"/>
          </w:tcPr>
          <w:p w14:paraId="244C4C53">
            <w:pPr>
              <w:spacing w:line="280" w:lineRule="exact"/>
              <w:jc w:val="center"/>
              <w:rPr>
                <w:rFonts w:hint="eastAsia" w:ascii="宋体" w:hAnsi="宋体"/>
                <w:color w:val="auto"/>
                <w:szCs w:val="21"/>
              </w:rPr>
            </w:pPr>
          </w:p>
        </w:tc>
        <w:tc>
          <w:tcPr>
            <w:tcW w:w="1885" w:type="pct"/>
            <w:vAlign w:val="center"/>
          </w:tcPr>
          <w:p w14:paraId="1E18C4CD">
            <w:pPr>
              <w:kinsoku w:val="0"/>
              <w:overflowPunct w:val="0"/>
              <w:autoSpaceDE w:val="0"/>
              <w:autoSpaceDN w:val="0"/>
              <w:jc w:val="center"/>
              <w:rPr>
                <w:rFonts w:hint="eastAsia" w:ascii="宋体" w:hAnsi="宋体"/>
                <w:color w:val="auto"/>
                <w:szCs w:val="21"/>
              </w:rPr>
            </w:pPr>
            <w:r>
              <w:rPr>
                <w:rFonts w:ascii="宋体" w:hAnsi="宋体"/>
                <w:color w:val="auto"/>
                <w:szCs w:val="21"/>
              </w:rPr>
              <w:t>D34×3/20</w:t>
            </w:r>
          </w:p>
        </w:tc>
        <w:tc>
          <w:tcPr>
            <w:tcW w:w="670" w:type="pct"/>
            <w:vAlign w:val="center"/>
          </w:tcPr>
          <w:p w14:paraId="3742AC3D">
            <w:pPr>
              <w:spacing w:line="280" w:lineRule="exact"/>
              <w:jc w:val="center"/>
              <w:rPr>
                <w:rFonts w:hint="eastAsia" w:ascii="宋体" w:hAnsi="宋体"/>
                <w:color w:val="auto"/>
                <w:szCs w:val="21"/>
              </w:rPr>
            </w:pPr>
            <w:r>
              <w:rPr>
                <w:rFonts w:hint="eastAsia" w:ascii="宋体" w:hAnsi="宋体"/>
                <w:color w:val="auto"/>
                <w:szCs w:val="21"/>
              </w:rPr>
              <w:t>250m</w:t>
            </w:r>
          </w:p>
        </w:tc>
        <w:tc>
          <w:tcPr>
            <w:tcW w:w="513" w:type="pct"/>
            <w:vAlign w:val="center"/>
          </w:tcPr>
          <w:p w14:paraId="13D669BE">
            <w:pPr>
              <w:spacing w:line="280" w:lineRule="exact"/>
              <w:jc w:val="center"/>
              <w:rPr>
                <w:rFonts w:hint="eastAsia" w:ascii="宋体" w:hAnsi="宋体"/>
                <w:color w:val="auto"/>
                <w:szCs w:val="21"/>
              </w:rPr>
            </w:pPr>
          </w:p>
        </w:tc>
      </w:tr>
    </w:tbl>
    <w:p w14:paraId="4D9C9499">
      <w:pPr>
        <w:pStyle w:val="86"/>
        <w:adjustRightInd w:val="0"/>
        <w:snapToGrid w:val="0"/>
        <w:ind w:firstLine="480"/>
        <w:rPr>
          <w:rFonts w:hint="eastAsia"/>
          <w:color w:val="auto"/>
        </w:rPr>
      </w:pPr>
      <w:r>
        <w:rPr>
          <w:rFonts w:hint="eastAsia"/>
          <w:color w:val="auto"/>
        </w:rPr>
        <w:t>②CNG转运方案</w:t>
      </w:r>
    </w:p>
    <w:p w14:paraId="0AFDA19A">
      <w:pPr>
        <w:pStyle w:val="86"/>
        <w:adjustRightInd w:val="0"/>
        <w:snapToGrid w:val="0"/>
        <w:ind w:firstLine="480"/>
        <w:rPr>
          <w:rFonts w:hint="eastAsia" w:cs="宋体"/>
          <w:bCs/>
          <w:color w:val="auto"/>
        </w:rPr>
      </w:pPr>
      <w:r>
        <w:rPr>
          <w:rFonts w:hint="eastAsia"/>
          <w:color w:val="auto"/>
        </w:rPr>
        <w:t>莫172H井撬装天然气浅冷处理装置的</w:t>
      </w:r>
      <w:r>
        <w:rPr>
          <w:rFonts w:hint="eastAsia" w:cs="宋体"/>
          <w:bCs/>
          <w:color w:val="auto"/>
        </w:rPr>
        <w:t>产品为CNG，</w:t>
      </w:r>
      <w:r>
        <w:rPr>
          <w:rFonts w:hint="eastAsia" w:cs="宋体"/>
          <w:color w:val="auto"/>
          <w:lang w:bidi="ar"/>
        </w:rPr>
        <w:t>最大产量为8×10</w:t>
      </w:r>
      <w:r>
        <w:rPr>
          <w:rFonts w:cs="宋体"/>
          <w:color w:val="auto"/>
          <w:vertAlign w:val="superscript"/>
          <w:lang w:bidi="ar"/>
        </w:rPr>
        <w:t>4</w:t>
      </w:r>
      <w:r>
        <w:rPr>
          <w:rFonts w:hint="eastAsia" w:cs="宋体"/>
          <w:color w:val="auto"/>
          <w:lang w:bidi="ar"/>
        </w:rPr>
        <w:t>m</w:t>
      </w:r>
      <w:r>
        <w:rPr>
          <w:rFonts w:hint="eastAsia" w:cs="宋体"/>
          <w:color w:val="auto"/>
          <w:vertAlign w:val="superscript"/>
          <w:lang w:bidi="ar"/>
        </w:rPr>
        <w:t>3</w:t>
      </w:r>
      <w:r>
        <w:rPr>
          <w:rFonts w:hint="eastAsia" w:cs="宋体"/>
          <w:color w:val="auto"/>
          <w:lang w:bidi="ar"/>
        </w:rPr>
        <w:t>/d</w:t>
      </w:r>
      <w:r>
        <w:rPr>
          <w:rFonts w:hint="eastAsia" w:cs="宋体"/>
          <w:color w:val="auto"/>
          <w:kern w:val="0"/>
          <w:lang w:bidi="ar"/>
        </w:rPr>
        <w:t>，其中3400</w:t>
      </w:r>
      <w:r>
        <w:rPr>
          <w:rFonts w:hint="eastAsia" w:cs="宋体"/>
          <w:bCs/>
          <w:color w:val="auto"/>
        </w:rPr>
        <w:t>m</w:t>
      </w:r>
      <w:r>
        <w:rPr>
          <w:rFonts w:hint="eastAsia" w:cs="宋体"/>
          <w:bCs/>
          <w:color w:val="auto"/>
          <w:vertAlign w:val="superscript"/>
        </w:rPr>
        <w:t>3</w:t>
      </w:r>
      <w:r>
        <w:rPr>
          <w:rFonts w:hint="eastAsia" w:cs="宋体"/>
          <w:bCs/>
          <w:color w:val="auto"/>
        </w:rPr>
        <w:t>/d</w:t>
      </w:r>
      <w:r>
        <w:rPr>
          <w:rFonts w:hint="eastAsia" w:cs="宋体"/>
          <w:color w:val="auto"/>
          <w:kern w:val="0"/>
          <w:lang w:bidi="ar"/>
        </w:rPr>
        <w:t>用于</w:t>
      </w:r>
      <w:r>
        <w:rPr>
          <w:rFonts w:hint="eastAsia" w:cs="宋体"/>
          <w:color w:val="auto"/>
          <w:kern w:val="0"/>
          <w:lang w:bidi="ar"/>
        </w:rPr>
        <w:t>新建燃气发电装置的燃料</w:t>
      </w:r>
      <w:r>
        <w:rPr>
          <w:rFonts w:hint="eastAsia" w:cs="宋体"/>
          <w:color w:val="auto"/>
          <w:kern w:val="0"/>
        </w:rPr>
        <w:t>。</w:t>
      </w:r>
      <w:r>
        <w:rPr>
          <w:rFonts w:hint="eastAsia" w:cs="宋体"/>
          <w:color w:val="auto"/>
          <w:kern w:val="0"/>
        </w:rPr>
        <w:t>其余</w:t>
      </w:r>
      <w:r>
        <w:rPr>
          <w:rFonts w:hint="eastAsia" w:cs="宋体"/>
          <w:bCs/>
          <w:color w:val="auto"/>
        </w:rPr>
        <w:t>由CNG罐车拉运至外售。每辆CNG罐车灌装</w:t>
      </w:r>
      <w:bookmarkStart w:id="227" w:name="OLE_LINK51"/>
      <w:r>
        <w:rPr>
          <w:rFonts w:hint="eastAsia" w:cs="宋体"/>
          <w:bCs/>
          <w:color w:val="auto"/>
        </w:rPr>
        <w:t>4.2t</w:t>
      </w:r>
      <w:bookmarkEnd w:id="227"/>
      <w:r>
        <w:rPr>
          <w:rFonts w:hint="eastAsia" w:cs="宋体"/>
          <w:bCs/>
          <w:color w:val="auto"/>
        </w:rPr>
        <w:t>CNG，每4.8小时灌装一辆，装满即拉走，不在井场内停留，每天13辆。</w:t>
      </w:r>
    </w:p>
    <w:p w14:paraId="3F2D59A0">
      <w:pPr>
        <w:pStyle w:val="86"/>
        <w:adjustRightInd w:val="0"/>
        <w:snapToGrid w:val="0"/>
        <w:ind w:firstLine="480"/>
        <w:rPr>
          <w:rFonts w:hint="eastAsia" w:cs="宋体"/>
          <w:bCs/>
          <w:color w:val="auto"/>
        </w:rPr>
      </w:pPr>
      <w:r>
        <w:rPr>
          <w:rFonts w:hint="eastAsia"/>
          <w:color w:val="auto"/>
        </w:rPr>
        <w:t>莫174H井撬装天然气浅冷处理装置的</w:t>
      </w:r>
      <w:r>
        <w:rPr>
          <w:rFonts w:hint="eastAsia" w:cs="宋体"/>
          <w:bCs/>
          <w:color w:val="auto"/>
        </w:rPr>
        <w:t>产品为CNG，</w:t>
      </w:r>
      <w:r>
        <w:rPr>
          <w:rFonts w:hint="eastAsia" w:cs="宋体"/>
          <w:color w:val="auto"/>
          <w:lang w:bidi="ar"/>
        </w:rPr>
        <w:t>最大产量为3×10</w:t>
      </w:r>
      <w:r>
        <w:rPr>
          <w:rFonts w:cs="宋体"/>
          <w:color w:val="auto"/>
          <w:vertAlign w:val="superscript"/>
          <w:lang w:bidi="ar"/>
        </w:rPr>
        <w:t>4</w:t>
      </w:r>
      <w:r>
        <w:rPr>
          <w:rFonts w:hint="eastAsia" w:cs="宋体"/>
          <w:color w:val="auto"/>
          <w:lang w:bidi="ar"/>
        </w:rPr>
        <w:t>m</w:t>
      </w:r>
      <w:r>
        <w:rPr>
          <w:rFonts w:hint="eastAsia" w:cs="宋体"/>
          <w:color w:val="auto"/>
          <w:vertAlign w:val="superscript"/>
          <w:lang w:bidi="ar"/>
        </w:rPr>
        <w:t>3</w:t>
      </w:r>
      <w:r>
        <w:rPr>
          <w:rFonts w:hint="eastAsia" w:cs="宋体"/>
          <w:color w:val="auto"/>
          <w:lang w:bidi="ar"/>
        </w:rPr>
        <w:t>/d</w:t>
      </w:r>
      <w:r>
        <w:rPr>
          <w:rFonts w:hint="eastAsia" w:cs="宋体"/>
          <w:color w:val="auto"/>
          <w:kern w:val="0"/>
          <w:lang w:bidi="ar"/>
        </w:rPr>
        <w:t>，</w:t>
      </w:r>
      <w:r>
        <w:rPr>
          <w:rFonts w:hint="eastAsia" w:cs="宋体"/>
          <w:color w:val="auto"/>
          <w:kern w:val="0"/>
          <w:lang w:bidi="ar"/>
        </w:rPr>
        <w:t>其中1500</w:t>
      </w:r>
      <w:r>
        <w:rPr>
          <w:rFonts w:hint="eastAsia" w:cs="宋体"/>
          <w:bCs/>
          <w:color w:val="auto"/>
        </w:rPr>
        <w:t>m</w:t>
      </w:r>
      <w:r>
        <w:rPr>
          <w:rFonts w:hint="eastAsia" w:cs="宋体"/>
          <w:bCs/>
          <w:color w:val="auto"/>
          <w:vertAlign w:val="superscript"/>
        </w:rPr>
        <w:t>3</w:t>
      </w:r>
      <w:r>
        <w:rPr>
          <w:rFonts w:hint="eastAsia" w:cs="宋体"/>
          <w:bCs/>
          <w:color w:val="auto"/>
        </w:rPr>
        <w:t>/d</w:t>
      </w:r>
      <w:r>
        <w:rPr>
          <w:rFonts w:hint="eastAsia" w:cs="宋体"/>
          <w:color w:val="auto"/>
          <w:kern w:val="0"/>
          <w:lang w:bidi="ar"/>
        </w:rPr>
        <w:t>用于新建燃气发电装置的燃料</w:t>
      </w:r>
      <w:r>
        <w:rPr>
          <w:rFonts w:hint="eastAsia" w:cs="宋体"/>
          <w:color w:val="auto"/>
          <w:kern w:val="0"/>
        </w:rPr>
        <w:t>。</w:t>
      </w:r>
      <w:r>
        <w:rPr>
          <w:rFonts w:hint="eastAsia" w:cs="宋体"/>
          <w:color w:val="auto"/>
          <w:kern w:val="0"/>
        </w:rPr>
        <w:t>其余</w:t>
      </w:r>
      <w:r>
        <w:rPr>
          <w:rFonts w:hint="eastAsia" w:cs="宋体"/>
          <w:bCs/>
          <w:color w:val="auto"/>
        </w:rPr>
        <w:t>由CNG罐车拉运至外售。每辆CNG罐车灌装4.2tCNG，每4.8小时灌装一辆，装满即拉走，不在井场内停留，每天5辆。</w:t>
      </w:r>
    </w:p>
    <w:p w14:paraId="49D4304F">
      <w:pPr>
        <w:pStyle w:val="86"/>
        <w:adjustRightInd w:val="0"/>
        <w:snapToGrid w:val="0"/>
        <w:ind w:firstLine="480"/>
        <w:rPr>
          <w:rFonts w:hint="eastAsia" w:cs="宋体"/>
          <w:bCs/>
          <w:color w:val="auto"/>
        </w:rPr>
      </w:pPr>
      <w:r>
        <w:rPr>
          <w:rFonts w:hint="eastAsia" w:cs="宋体"/>
          <w:bCs/>
          <w:color w:val="auto"/>
        </w:rPr>
        <w:t>③原油和混烃转运方案</w:t>
      </w:r>
    </w:p>
    <w:p w14:paraId="6C4E10BA">
      <w:pPr>
        <w:pStyle w:val="86"/>
        <w:adjustRightInd w:val="0"/>
        <w:snapToGrid w:val="0"/>
        <w:ind w:firstLine="480"/>
        <w:rPr>
          <w:rFonts w:hint="eastAsia" w:cs="宋体"/>
          <w:bCs/>
          <w:color w:val="auto"/>
        </w:rPr>
      </w:pPr>
      <w:r>
        <w:rPr>
          <w:rFonts w:hint="eastAsia" w:cs="宋体"/>
          <w:bCs/>
          <w:color w:val="auto"/>
        </w:rPr>
        <w:t>原油和混烃暂存于储罐内，原油储罐暂存到一定的量后，由罐车拉运莫北转油站处理；混烃储罐容量满16m</w:t>
      </w:r>
      <w:r>
        <w:rPr>
          <w:rFonts w:hint="eastAsia" w:cs="宋体"/>
          <w:bCs/>
          <w:color w:val="auto"/>
          <w:vertAlign w:val="superscript"/>
        </w:rPr>
        <w:t>3</w:t>
      </w:r>
      <w:r>
        <w:rPr>
          <w:rFonts w:hint="eastAsia" w:cs="宋体"/>
          <w:bCs/>
          <w:color w:val="auto"/>
        </w:rPr>
        <w:t>后，由罐车拉运外售。</w:t>
      </w:r>
    </w:p>
    <w:p w14:paraId="09E49B19">
      <w:pPr>
        <w:pStyle w:val="86"/>
        <w:adjustRightInd w:val="0"/>
        <w:snapToGrid w:val="0"/>
        <w:ind w:firstLine="480"/>
        <w:rPr>
          <w:rFonts w:hint="eastAsia"/>
          <w:color w:val="auto"/>
        </w:rPr>
      </w:pPr>
      <w:r>
        <w:rPr>
          <w:rFonts w:hint="eastAsia"/>
          <w:color w:val="auto"/>
        </w:rPr>
        <w:t>（2）公辅工程</w:t>
      </w:r>
    </w:p>
    <w:p w14:paraId="221EB45F">
      <w:pPr>
        <w:pStyle w:val="86"/>
        <w:adjustRightInd w:val="0"/>
        <w:snapToGrid w:val="0"/>
        <w:ind w:firstLine="480"/>
        <w:rPr>
          <w:rFonts w:hint="eastAsia"/>
          <w:color w:val="auto"/>
          <w:szCs w:val="23"/>
        </w:rPr>
      </w:pPr>
      <w:r>
        <w:rPr>
          <w:rFonts w:hint="eastAsia"/>
          <w:color w:val="auto"/>
          <w:szCs w:val="23"/>
        </w:rPr>
        <w:t>①供配电</w:t>
      </w:r>
    </w:p>
    <w:p w14:paraId="0EFA7363">
      <w:pPr>
        <w:pStyle w:val="86"/>
        <w:adjustRightInd w:val="0"/>
        <w:snapToGrid w:val="0"/>
        <w:ind w:firstLine="480"/>
        <w:rPr>
          <w:rFonts w:hint="eastAsia"/>
          <w:color w:val="auto"/>
          <w:szCs w:val="23"/>
        </w:rPr>
      </w:pPr>
      <w:r>
        <w:rPr>
          <w:rFonts w:hint="eastAsia"/>
          <w:color w:val="auto"/>
          <w:szCs w:val="23"/>
        </w:rPr>
        <w:t>本项目新增用电负荷等级为三级，电压等级为380/220V，</w:t>
      </w:r>
      <w:r>
        <w:rPr>
          <w:rFonts w:hint="eastAsia" w:hAnsi="Times New Roman"/>
          <w:color w:val="auto"/>
          <w:szCs w:val="23"/>
        </w:rPr>
        <w:t>年耗电量为</w:t>
      </w:r>
      <w:bookmarkStart w:id="228" w:name="OLE_LINK35"/>
      <w:r>
        <w:rPr>
          <w:rFonts w:hint="eastAsia" w:hAnsi="Times New Roman"/>
          <w:color w:val="auto"/>
          <w:szCs w:val="23"/>
        </w:rPr>
        <w:t>932.25</w:t>
      </w:r>
      <w:bookmarkEnd w:id="228"/>
      <w:r>
        <w:rPr>
          <w:rFonts w:hint="eastAsia" w:hAnsi="Times New Roman"/>
          <w:color w:val="auto"/>
          <w:szCs w:val="23"/>
        </w:rPr>
        <w:t>×1</w:t>
      </w:r>
      <w:r>
        <w:rPr>
          <w:rFonts w:hAnsi="Times New Roman"/>
          <w:color w:val="auto"/>
          <w:szCs w:val="23"/>
        </w:rPr>
        <w:t>0</w:t>
      </w:r>
      <w:r>
        <w:rPr>
          <w:rFonts w:hAnsi="Times New Roman"/>
          <w:color w:val="auto"/>
          <w:szCs w:val="23"/>
          <w:vertAlign w:val="superscript"/>
        </w:rPr>
        <w:t>4</w:t>
      </w:r>
      <w:r>
        <w:rPr>
          <w:rFonts w:hint="eastAsia" w:hAnsi="Times New Roman"/>
          <w:color w:val="auto"/>
          <w:szCs w:val="23"/>
        </w:rPr>
        <w:t>k</w:t>
      </w:r>
      <w:r>
        <w:rPr>
          <w:rFonts w:hAnsi="Times New Roman"/>
          <w:color w:val="auto"/>
          <w:szCs w:val="23"/>
        </w:rPr>
        <w:t>W</w:t>
      </w:r>
      <w:r>
        <w:rPr>
          <w:rFonts w:hint="eastAsia" w:hAnsi="Times New Roman"/>
          <w:color w:val="auto"/>
          <w:szCs w:val="23"/>
        </w:rPr>
        <w:t>•h。</w:t>
      </w:r>
      <w:r>
        <w:rPr>
          <w:rFonts w:hint="eastAsia"/>
          <w:color w:val="auto"/>
          <w:szCs w:val="23"/>
        </w:rPr>
        <w:t>项目用电由新建的燃气发电机提供</w:t>
      </w:r>
      <w:r>
        <w:rPr>
          <w:rFonts w:hint="eastAsia"/>
          <w:color w:val="auto"/>
          <w:szCs w:val="23"/>
        </w:rPr>
        <w:t>。</w:t>
      </w:r>
    </w:p>
    <w:p w14:paraId="39294C65">
      <w:pPr>
        <w:pStyle w:val="86"/>
        <w:adjustRightInd w:val="0"/>
        <w:snapToGrid w:val="0"/>
        <w:ind w:firstLine="480"/>
        <w:rPr>
          <w:rFonts w:hint="eastAsia"/>
          <w:color w:val="auto"/>
          <w:szCs w:val="23"/>
        </w:rPr>
      </w:pPr>
      <w:r>
        <w:rPr>
          <w:rFonts w:hint="eastAsia"/>
          <w:color w:val="auto"/>
          <w:szCs w:val="23"/>
        </w:rPr>
        <w:t>②仪表自动化</w:t>
      </w:r>
    </w:p>
    <w:p w14:paraId="006497B6">
      <w:pPr>
        <w:pStyle w:val="86"/>
        <w:adjustRightInd w:val="0"/>
        <w:snapToGrid w:val="0"/>
        <w:ind w:firstLine="480"/>
        <w:rPr>
          <w:rFonts w:hint="eastAsia"/>
          <w:color w:val="auto"/>
          <w:szCs w:val="23"/>
        </w:rPr>
      </w:pPr>
      <w:bookmarkStart w:id="229" w:name="OLE_LINK36"/>
      <w:r>
        <w:rPr>
          <w:rFonts w:hint="eastAsia"/>
          <w:color w:val="auto"/>
          <w:szCs w:val="23"/>
        </w:rPr>
        <w:t>本项目</w:t>
      </w:r>
      <w:r>
        <w:rPr>
          <w:color w:val="auto"/>
          <w:szCs w:val="23"/>
        </w:rPr>
        <w:t>在</w:t>
      </w:r>
      <w:r>
        <w:rPr>
          <w:rFonts w:hint="eastAsia"/>
          <w:color w:val="auto"/>
          <w:szCs w:val="23"/>
        </w:rPr>
        <w:t>莫172H井和莫174H井的</w:t>
      </w:r>
      <w:r>
        <w:rPr>
          <w:color w:val="auto"/>
          <w:szCs w:val="23"/>
        </w:rPr>
        <w:t>仪控室内</w:t>
      </w:r>
      <w:r>
        <w:rPr>
          <w:rFonts w:hint="eastAsia"/>
          <w:color w:val="auto"/>
          <w:szCs w:val="23"/>
        </w:rPr>
        <w:t>均</w:t>
      </w:r>
      <w:r>
        <w:rPr>
          <w:color w:val="auto"/>
          <w:szCs w:val="23"/>
        </w:rPr>
        <w:t>设置1套SCADA系统上位机，橇装设备通过TCP传输至站控</w:t>
      </w:r>
      <w:r>
        <w:rPr>
          <w:rFonts w:hint="eastAsia"/>
          <w:color w:val="auto"/>
          <w:szCs w:val="23"/>
        </w:rPr>
        <w:t>系统</w:t>
      </w:r>
      <w:r>
        <w:rPr>
          <w:color w:val="auto"/>
          <w:szCs w:val="23"/>
        </w:rPr>
        <w:t>上位机内</w:t>
      </w:r>
      <w:r>
        <w:rPr>
          <w:rFonts w:hint="eastAsia"/>
          <w:color w:val="auto"/>
          <w:szCs w:val="23"/>
        </w:rPr>
        <w:t>。</w:t>
      </w:r>
      <w:r>
        <w:rPr>
          <w:color w:val="auto"/>
          <w:szCs w:val="23"/>
        </w:rPr>
        <w:t>新建1套站场视频安防监控系统（频机柜内），并敷设前端球机摄像机至新建视频安防监控系统后端的电缆。</w:t>
      </w:r>
    </w:p>
    <w:bookmarkEnd w:id="229"/>
    <w:p w14:paraId="2E1CCC81">
      <w:pPr>
        <w:pStyle w:val="86"/>
        <w:adjustRightInd w:val="0"/>
        <w:snapToGrid w:val="0"/>
        <w:ind w:firstLine="480"/>
        <w:rPr>
          <w:rFonts w:hint="eastAsia"/>
          <w:color w:val="auto"/>
          <w:szCs w:val="23"/>
        </w:rPr>
      </w:pPr>
      <w:r>
        <w:rPr>
          <w:rFonts w:hint="eastAsia"/>
          <w:color w:val="auto"/>
          <w:szCs w:val="23"/>
        </w:rPr>
        <w:t>③防腐除锈</w:t>
      </w:r>
    </w:p>
    <w:p w14:paraId="21DE2ADD">
      <w:pPr>
        <w:pStyle w:val="86"/>
        <w:adjustRightInd w:val="0"/>
        <w:snapToGrid w:val="0"/>
        <w:ind w:firstLine="480"/>
        <w:rPr>
          <w:rFonts w:hint="eastAsia"/>
          <w:color w:val="auto"/>
          <w:szCs w:val="23"/>
        </w:rPr>
      </w:pPr>
      <w:r>
        <w:rPr>
          <w:rFonts w:hint="eastAsia"/>
          <w:color w:val="auto"/>
          <w:szCs w:val="23"/>
        </w:rPr>
        <w:t>单井采油管线外壁防腐层采用熔结环氧粉末一次成膜结构，厚度≥</w:t>
      </w:r>
      <w:r>
        <w:rPr>
          <w:color w:val="auto"/>
          <w:szCs w:val="23"/>
        </w:rPr>
        <w:t>300μm</w:t>
      </w:r>
      <w:r>
        <w:rPr>
          <w:rFonts w:hint="eastAsia"/>
          <w:color w:val="auto"/>
          <w:szCs w:val="23"/>
        </w:rPr>
        <w:t>；保温层采用聚氨酯泡沫塑料，厚度</w:t>
      </w:r>
      <w:r>
        <w:rPr>
          <w:color w:val="auto"/>
          <w:szCs w:val="23"/>
        </w:rPr>
        <w:t>50mm</w:t>
      </w:r>
      <w:r>
        <w:rPr>
          <w:rFonts w:hint="eastAsia"/>
          <w:color w:val="auto"/>
          <w:szCs w:val="23"/>
        </w:rPr>
        <w:t>，轴向偏心量</w:t>
      </w:r>
      <w:r>
        <w:rPr>
          <w:color w:val="auto"/>
          <w:szCs w:val="23"/>
        </w:rPr>
        <w:t>±3mm</w:t>
      </w:r>
      <w:r>
        <w:rPr>
          <w:rFonts w:hint="eastAsia"/>
          <w:color w:val="auto"/>
          <w:szCs w:val="23"/>
        </w:rPr>
        <w:t>；防护层采用聚乙烯专用料，厚度≥</w:t>
      </w:r>
      <w:r>
        <w:rPr>
          <w:color w:val="auto"/>
          <w:szCs w:val="23"/>
        </w:rPr>
        <w:t>1.4mm</w:t>
      </w:r>
      <w:r>
        <w:rPr>
          <w:rFonts w:hint="eastAsia"/>
          <w:color w:val="auto"/>
          <w:szCs w:val="23"/>
        </w:rPr>
        <w:t>。采用“一步法”施工工艺。</w:t>
      </w:r>
    </w:p>
    <w:p w14:paraId="631F1269">
      <w:pPr>
        <w:pStyle w:val="86"/>
        <w:adjustRightInd w:val="0"/>
        <w:snapToGrid w:val="0"/>
        <w:ind w:firstLine="480"/>
        <w:rPr>
          <w:rFonts w:hint="eastAsia"/>
          <w:color w:val="auto"/>
        </w:rPr>
      </w:pPr>
      <w:r>
        <w:rPr>
          <w:rFonts w:hint="eastAsia"/>
          <w:color w:val="auto"/>
          <w:szCs w:val="23"/>
        </w:rPr>
        <w:t>④</w:t>
      </w:r>
      <w:r>
        <w:rPr>
          <w:rFonts w:hint="eastAsia"/>
          <w:color w:val="auto"/>
        </w:rPr>
        <w:t>消防</w:t>
      </w:r>
    </w:p>
    <w:p w14:paraId="3A1233D7">
      <w:pPr>
        <w:pStyle w:val="86"/>
        <w:adjustRightInd w:val="0"/>
        <w:snapToGrid w:val="0"/>
        <w:ind w:firstLine="480"/>
        <w:rPr>
          <w:rFonts w:hint="eastAsia"/>
          <w:color w:val="auto"/>
          <w:szCs w:val="23"/>
        </w:rPr>
      </w:pPr>
      <w:r>
        <w:rPr>
          <w:color w:val="auto"/>
          <w:szCs w:val="23"/>
        </w:rPr>
        <w:t>在新建的油井变压器区等防火区配置手提式磷酸铵盐灭火器和推车式磷酸铵盐干粉灭火器。</w:t>
      </w:r>
      <w:r>
        <w:rPr>
          <w:rFonts w:hint="eastAsia"/>
          <w:color w:val="auto"/>
        </w:rPr>
        <w:t>新建撬装天然气浅冷处理装置处设有一定数量的手提式灭火器。</w:t>
      </w:r>
    </w:p>
    <w:p w14:paraId="675B95F2">
      <w:pPr>
        <w:pStyle w:val="86"/>
        <w:adjustRightInd w:val="0"/>
        <w:snapToGrid w:val="0"/>
        <w:ind w:firstLine="480"/>
        <w:rPr>
          <w:rFonts w:hint="eastAsia"/>
          <w:color w:val="auto"/>
        </w:rPr>
      </w:pPr>
      <w:r>
        <w:rPr>
          <w:rFonts w:hint="eastAsia"/>
          <w:color w:val="auto"/>
        </w:rPr>
        <w:t>⑤道路</w:t>
      </w:r>
    </w:p>
    <w:p w14:paraId="3F9452C2">
      <w:pPr>
        <w:pStyle w:val="86"/>
        <w:adjustRightInd w:val="0"/>
        <w:snapToGrid w:val="0"/>
        <w:ind w:firstLine="480"/>
        <w:rPr>
          <w:rFonts w:hint="eastAsia"/>
          <w:color w:val="auto"/>
        </w:rPr>
      </w:pPr>
      <w:r>
        <w:rPr>
          <w:rFonts w:hint="eastAsia"/>
          <w:color w:val="auto"/>
        </w:rPr>
        <w:t>本项目均不新建道路，依托现有道路网。</w:t>
      </w:r>
    </w:p>
    <w:p w14:paraId="3837C142">
      <w:pPr>
        <w:pStyle w:val="86"/>
        <w:adjustRightInd w:val="0"/>
        <w:snapToGrid w:val="0"/>
        <w:ind w:firstLine="480"/>
        <w:rPr>
          <w:rFonts w:hint="eastAsia"/>
          <w:color w:val="auto"/>
        </w:rPr>
      </w:pPr>
      <w:r>
        <w:rPr>
          <w:rFonts w:hint="eastAsia"/>
          <w:color w:val="auto"/>
        </w:rPr>
        <w:t>⑥给排水</w:t>
      </w:r>
    </w:p>
    <w:p w14:paraId="4DFDC037">
      <w:pPr>
        <w:pStyle w:val="86"/>
        <w:adjustRightInd w:val="0"/>
        <w:snapToGrid w:val="0"/>
        <w:ind w:firstLine="480"/>
        <w:rPr>
          <w:rFonts w:hint="eastAsia"/>
          <w:color w:val="auto"/>
        </w:rPr>
      </w:pPr>
      <w:r>
        <w:rPr>
          <w:rFonts w:hint="eastAsia"/>
          <w:color w:val="auto"/>
        </w:rPr>
        <w:t>施工期用水主要为管道试压废水、混凝土养护用水，运营期用水主要为井下作业用水，由罐车从石西油田作业区拉运至项目区。</w:t>
      </w:r>
    </w:p>
    <w:p w14:paraId="1AC3E383">
      <w:pPr>
        <w:pStyle w:val="86"/>
        <w:adjustRightInd w:val="0"/>
        <w:snapToGrid w:val="0"/>
        <w:ind w:firstLine="480"/>
        <w:rPr>
          <w:rFonts w:hint="eastAsia"/>
          <w:color w:val="auto"/>
        </w:rPr>
      </w:pPr>
      <w:r>
        <w:rPr>
          <w:rFonts w:hint="eastAsia"/>
          <w:color w:val="auto"/>
        </w:rPr>
        <w:t>施工期废水主要为管道试压废水、混凝土养护用水，管道试压废水主要用于项目区洒水抑尘，混凝土养护用水主要靠自然蒸发；运营期废水主要为井下作业废液（压裂返排液和废洗井液）、含油污水和生活污水，井下作业废液和含油污水由罐车拉运至莫北转油站采出水处理系统处理，生活污水由吸污车拉运至玛纳斯县生活污水处理厂处理。</w:t>
      </w:r>
    </w:p>
    <w:p w14:paraId="67FBD0C9">
      <w:pPr>
        <w:pStyle w:val="86"/>
        <w:adjustRightInd w:val="0"/>
        <w:snapToGrid w:val="0"/>
        <w:ind w:firstLine="480"/>
        <w:rPr>
          <w:rFonts w:hint="eastAsia"/>
          <w:color w:val="auto"/>
        </w:rPr>
      </w:pPr>
      <w:r>
        <w:rPr>
          <w:rFonts w:hint="eastAsia"/>
          <w:color w:val="auto"/>
        </w:rPr>
        <w:t>（3）环保工程</w:t>
      </w:r>
    </w:p>
    <w:p w14:paraId="428591B3">
      <w:pPr>
        <w:pStyle w:val="86"/>
        <w:adjustRightInd w:val="0"/>
        <w:snapToGrid w:val="0"/>
        <w:ind w:firstLine="480"/>
        <w:rPr>
          <w:rFonts w:hint="eastAsia"/>
          <w:color w:val="auto"/>
        </w:rPr>
      </w:pPr>
      <w:r>
        <w:rPr>
          <w:rFonts w:hint="eastAsia"/>
          <w:color w:val="auto"/>
        </w:rPr>
        <w:t>环保工程主要为选用质量合格的设备、阀门、法兰及管线，燃气发电机采用清洁燃烧，加强设备检维修；</w:t>
      </w:r>
      <w:r>
        <w:rPr>
          <w:rFonts w:hint="eastAsia"/>
          <w:color w:val="auto"/>
        </w:rPr>
        <w:t>设备选用低噪声设备及基础减振；井场防渗措施；2套天然气处理设施均设置1套放空系统，</w:t>
      </w:r>
      <w:r>
        <w:rPr>
          <w:color w:val="auto"/>
        </w:rPr>
        <w:t>放空系统包括：火炬头、火炬筒体等设备和配管、电气、仪表自控等。火炬筒体直径DN200mm，高度20m，设计排放量10×10</w:t>
      </w:r>
      <w:r>
        <w:rPr>
          <w:color w:val="auto"/>
          <w:vertAlign w:val="superscript"/>
        </w:rPr>
        <w:t>4</w:t>
      </w:r>
      <w:r>
        <w:rPr>
          <w:color w:val="auto"/>
        </w:rPr>
        <w:t>Nm</w:t>
      </w:r>
      <w:r>
        <w:rPr>
          <w:color w:val="auto"/>
          <w:vertAlign w:val="superscript"/>
        </w:rPr>
        <w:t>3</w:t>
      </w:r>
      <w:r>
        <w:rPr>
          <w:color w:val="auto"/>
        </w:rPr>
        <w:t>/d。</w:t>
      </w:r>
    </w:p>
    <w:p w14:paraId="19336256">
      <w:pPr>
        <w:pStyle w:val="86"/>
        <w:adjustRightInd w:val="0"/>
        <w:snapToGrid w:val="0"/>
        <w:ind w:firstLine="480"/>
        <w:rPr>
          <w:rFonts w:hint="eastAsia"/>
          <w:color w:val="auto"/>
        </w:rPr>
      </w:pPr>
      <w:bookmarkStart w:id="230" w:name="_Hlk177301539"/>
      <w:r>
        <w:rPr>
          <w:rFonts w:hint="eastAsia"/>
          <w:color w:val="auto"/>
        </w:rPr>
        <w:t>（4）依托工程</w:t>
      </w:r>
    </w:p>
    <w:p w14:paraId="63503CB4">
      <w:pPr>
        <w:pStyle w:val="86"/>
        <w:adjustRightInd w:val="0"/>
        <w:snapToGrid w:val="0"/>
        <w:ind w:firstLine="480"/>
        <w:rPr>
          <w:rFonts w:hint="eastAsia"/>
          <w:color w:val="auto"/>
        </w:rPr>
      </w:pPr>
      <w:bookmarkStart w:id="231" w:name="_Hlk177507352"/>
      <w:bookmarkStart w:id="232" w:name="OLE_LINK8"/>
      <w:r>
        <w:rPr>
          <w:rFonts w:hint="eastAsia"/>
          <w:color w:val="auto"/>
        </w:rPr>
        <w:t>原油、凝析油</w:t>
      </w:r>
      <w:bookmarkEnd w:id="231"/>
      <w:bookmarkStart w:id="233" w:name="_Hlk177507359"/>
      <w:r>
        <w:rPr>
          <w:rFonts w:hint="eastAsia"/>
          <w:color w:val="auto"/>
        </w:rPr>
        <w:t>、井下作业废液和采出水</w:t>
      </w:r>
      <w:bookmarkStart w:id="234" w:name="OLE_LINK21"/>
      <w:r>
        <w:rPr>
          <w:rFonts w:hint="eastAsia"/>
          <w:color w:val="auto"/>
        </w:rPr>
        <w:t>依托莫北转油站处理，生活污水依托玛纳斯县生活污水处理厂处理；危险废物临时贮存在</w:t>
      </w:r>
      <w:r>
        <w:rPr>
          <w:color w:val="auto"/>
        </w:rPr>
        <w:t>石西油田作业区危险废物贮存点</w:t>
      </w:r>
      <w:r>
        <w:rPr>
          <w:rFonts w:hint="eastAsia"/>
          <w:color w:val="auto"/>
        </w:rPr>
        <w:t>，危险废物处置依托有相应</w:t>
      </w:r>
      <w:bookmarkEnd w:id="234"/>
      <w:r>
        <w:rPr>
          <w:rFonts w:hint="eastAsia"/>
          <w:color w:val="auto"/>
        </w:rPr>
        <w:t>危险废物处理资质的单位回收处置；生活垃圾依托玛纳斯县生活垃圾填埋场处理。</w:t>
      </w:r>
      <w:bookmarkEnd w:id="232"/>
      <w:bookmarkEnd w:id="233"/>
      <w:r>
        <w:rPr>
          <w:rFonts w:hint="eastAsia"/>
          <w:color w:val="auto"/>
        </w:rPr>
        <w:t>各依托工程环保手续见表3.2-10。</w:t>
      </w:r>
    </w:p>
    <w:p w14:paraId="1835BFD4">
      <w:pPr>
        <w:pStyle w:val="15"/>
        <w:rPr>
          <w:rFonts w:hint="eastAsia"/>
          <w:color w:val="auto"/>
        </w:rPr>
      </w:pPr>
      <w:r>
        <w:rPr>
          <w:color w:val="auto"/>
        </w:rPr>
        <w:t>表</w:t>
      </w:r>
      <w:r>
        <w:rPr>
          <w:rFonts w:hint="eastAsia"/>
          <w:color w:val="auto"/>
        </w:rPr>
        <w:t>3.2-10</w:t>
      </w:r>
      <w:r>
        <w:rPr>
          <w:color w:val="auto"/>
        </w:rPr>
        <w:t xml:space="preserve">  </w:t>
      </w:r>
      <w:r>
        <w:rPr>
          <w:rFonts w:hint="eastAsia"/>
          <w:color w:val="auto"/>
        </w:rPr>
        <w:t>项目依托工程环保手续履行情况一览表</w:t>
      </w:r>
    </w:p>
    <w:tbl>
      <w:tblPr>
        <w:tblStyle w:val="51"/>
        <w:tblW w:w="494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79"/>
        <w:gridCol w:w="1962"/>
        <w:gridCol w:w="2978"/>
        <w:gridCol w:w="2213"/>
      </w:tblGrid>
      <w:tr w14:paraId="62CD62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4" w:type="pct"/>
            <w:vAlign w:val="center"/>
          </w:tcPr>
          <w:p w14:paraId="610CD3D9">
            <w:pPr>
              <w:pStyle w:val="288"/>
              <w:spacing w:line="300" w:lineRule="exact"/>
              <w:rPr>
                <w:rFonts w:hint="eastAsia" w:eastAsia="宋体"/>
                <w:color w:val="auto"/>
              </w:rPr>
            </w:pPr>
            <w:r>
              <w:rPr>
                <w:rFonts w:hint="eastAsia" w:eastAsia="宋体"/>
                <w:color w:val="auto"/>
              </w:rPr>
              <w:t>类别</w:t>
            </w:r>
          </w:p>
        </w:tc>
        <w:tc>
          <w:tcPr>
            <w:tcW w:w="1123" w:type="pct"/>
            <w:tcMar>
              <w:left w:w="0" w:type="dxa"/>
              <w:right w:w="0" w:type="dxa"/>
            </w:tcMar>
            <w:vAlign w:val="center"/>
          </w:tcPr>
          <w:p w14:paraId="44280FA3">
            <w:pPr>
              <w:pStyle w:val="288"/>
              <w:spacing w:line="300" w:lineRule="exact"/>
              <w:rPr>
                <w:rFonts w:hint="eastAsia" w:eastAsia="宋体"/>
                <w:color w:val="auto"/>
              </w:rPr>
            </w:pPr>
            <w:r>
              <w:rPr>
                <w:rFonts w:hint="eastAsia" w:eastAsia="宋体"/>
                <w:color w:val="auto"/>
              </w:rPr>
              <w:t>环评文件名称</w:t>
            </w:r>
          </w:p>
        </w:tc>
        <w:tc>
          <w:tcPr>
            <w:tcW w:w="1705" w:type="pct"/>
            <w:tcMar>
              <w:left w:w="0" w:type="dxa"/>
              <w:right w:w="0" w:type="dxa"/>
            </w:tcMar>
            <w:vAlign w:val="center"/>
          </w:tcPr>
          <w:p w14:paraId="4FECB7F5">
            <w:pPr>
              <w:pStyle w:val="288"/>
              <w:spacing w:line="300" w:lineRule="exact"/>
              <w:rPr>
                <w:rFonts w:hint="eastAsia" w:eastAsia="宋体"/>
                <w:color w:val="auto"/>
              </w:rPr>
            </w:pPr>
            <w:r>
              <w:rPr>
                <w:rFonts w:hint="eastAsia" w:eastAsia="宋体"/>
                <w:color w:val="auto"/>
              </w:rPr>
              <w:t>环评批复机关、文号</w:t>
            </w:r>
          </w:p>
        </w:tc>
        <w:tc>
          <w:tcPr>
            <w:tcW w:w="1267" w:type="pct"/>
            <w:tcMar>
              <w:left w:w="0" w:type="dxa"/>
              <w:right w:w="0" w:type="dxa"/>
            </w:tcMar>
            <w:vAlign w:val="center"/>
          </w:tcPr>
          <w:p w14:paraId="475A0061">
            <w:pPr>
              <w:pStyle w:val="288"/>
              <w:spacing w:line="300" w:lineRule="exact"/>
              <w:rPr>
                <w:rFonts w:hint="eastAsia" w:eastAsia="宋体"/>
                <w:color w:val="auto"/>
              </w:rPr>
            </w:pPr>
            <w:r>
              <w:rPr>
                <w:rFonts w:hint="eastAsia" w:eastAsia="宋体"/>
                <w:color w:val="auto"/>
              </w:rPr>
              <w:t>验收批复机关、文号及时间</w:t>
            </w:r>
          </w:p>
        </w:tc>
      </w:tr>
      <w:tr w14:paraId="591322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4" w:type="pct"/>
            <w:vAlign w:val="center"/>
          </w:tcPr>
          <w:p w14:paraId="7C590831">
            <w:pPr>
              <w:pStyle w:val="288"/>
              <w:spacing w:line="300" w:lineRule="exact"/>
              <w:rPr>
                <w:rFonts w:hint="eastAsia" w:eastAsia="宋体"/>
                <w:color w:val="auto"/>
              </w:rPr>
            </w:pPr>
            <w:r>
              <w:rPr>
                <w:rFonts w:hint="eastAsia" w:eastAsia="宋体"/>
                <w:color w:val="auto"/>
              </w:rPr>
              <w:t>莫北转油站</w:t>
            </w:r>
          </w:p>
        </w:tc>
        <w:tc>
          <w:tcPr>
            <w:tcW w:w="1123" w:type="pct"/>
            <w:tcMar>
              <w:left w:w="0" w:type="dxa"/>
              <w:right w:w="0" w:type="dxa"/>
            </w:tcMar>
            <w:vAlign w:val="center"/>
          </w:tcPr>
          <w:p w14:paraId="7E9C47CB">
            <w:pPr>
              <w:pStyle w:val="288"/>
              <w:spacing w:line="300" w:lineRule="exact"/>
              <w:rPr>
                <w:rFonts w:hint="eastAsia" w:eastAsia="宋体"/>
                <w:color w:val="auto"/>
              </w:rPr>
            </w:pPr>
            <w:r>
              <w:rPr>
                <w:rFonts w:hint="eastAsia" w:eastAsia="宋体"/>
                <w:color w:val="auto"/>
              </w:rPr>
              <w:t>莫北转油站油水处理系统改造完善工程</w:t>
            </w:r>
          </w:p>
        </w:tc>
        <w:tc>
          <w:tcPr>
            <w:tcW w:w="1705" w:type="pct"/>
            <w:tcMar>
              <w:left w:w="0" w:type="dxa"/>
              <w:right w:w="0" w:type="dxa"/>
            </w:tcMar>
            <w:vAlign w:val="center"/>
          </w:tcPr>
          <w:p w14:paraId="4C7B2AA9">
            <w:pPr>
              <w:pStyle w:val="296"/>
              <w:rPr>
                <w:rFonts w:hint="eastAsia" w:cstheme="minorBidi"/>
                <w:color w:val="auto"/>
              </w:rPr>
            </w:pPr>
            <w:r>
              <w:rPr>
                <w:rFonts w:hint="eastAsia" w:cstheme="minorBidi"/>
                <w:color w:val="auto"/>
              </w:rPr>
              <w:t>原自治区环保厅</w:t>
            </w:r>
          </w:p>
          <w:p w14:paraId="2C206F3C">
            <w:pPr>
              <w:pStyle w:val="296"/>
              <w:rPr>
                <w:rFonts w:hint="eastAsia" w:cstheme="minorBidi"/>
                <w:color w:val="auto"/>
              </w:rPr>
            </w:pPr>
            <w:r>
              <w:rPr>
                <w:rFonts w:hint="eastAsia" w:cstheme="minorBidi"/>
                <w:color w:val="auto"/>
              </w:rPr>
              <w:t>新环函〔</w:t>
            </w:r>
            <w:r>
              <w:rPr>
                <w:rFonts w:cstheme="minorBidi"/>
                <w:color w:val="auto"/>
              </w:rPr>
              <w:t>2016〕560</w:t>
            </w:r>
            <w:r>
              <w:rPr>
                <w:rFonts w:hint="eastAsia" w:cstheme="minorBidi"/>
                <w:color w:val="auto"/>
              </w:rPr>
              <w:t>号</w:t>
            </w:r>
          </w:p>
          <w:p w14:paraId="73582277">
            <w:pPr>
              <w:pStyle w:val="288"/>
              <w:spacing w:line="300" w:lineRule="exact"/>
              <w:rPr>
                <w:rFonts w:hint="eastAsia" w:eastAsia="宋体"/>
                <w:color w:val="auto"/>
              </w:rPr>
            </w:pPr>
            <w:r>
              <w:rPr>
                <w:rFonts w:hint="eastAsia" w:eastAsia="宋体"/>
                <w:color w:val="auto"/>
              </w:rPr>
              <w:t>2</w:t>
            </w:r>
            <w:r>
              <w:rPr>
                <w:rFonts w:eastAsia="宋体"/>
                <w:color w:val="auto"/>
              </w:rPr>
              <w:t>016</w:t>
            </w:r>
            <w:r>
              <w:rPr>
                <w:rFonts w:hint="eastAsia" w:eastAsia="宋体"/>
                <w:color w:val="auto"/>
              </w:rPr>
              <w:t>年5月1</w:t>
            </w:r>
            <w:r>
              <w:rPr>
                <w:rFonts w:eastAsia="宋体"/>
                <w:color w:val="auto"/>
              </w:rPr>
              <w:t>7</w:t>
            </w:r>
            <w:r>
              <w:rPr>
                <w:rFonts w:hint="eastAsia" w:eastAsia="宋体"/>
                <w:color w:val="auto"/>
              </w:rPr>
              <w:t>日</w:t>
            </w:r>
          </w:p>
        </w:tc>
        <w:tc>
          <w:tcPr>
            <w:tcW w:w="1267" w:type="pct"/>
            <w:tcMar>
              <w:left w:w="0" w:type="dxa"/>
              <w:right w:w="0" w:type="dxa"/>
            </w:tcMar>
            <w:vAlign w:val="center"/>
          </w:tcPr>
          <w:p w14:paraId="172F2EFC">
            <w:pPr>
              <w:pStyle w:val="296"/>
              <w:rPr>
                <w:rFonts w:hint="eastAsia" w:cstheme="minorBidi"/>
                <w:color w:val="auto"/>
              </w:rPr>
            </w:pPr>
            <w:r>
              <w:rPr>
                <w:rFonts w:hint="eastAsia" w:cstheme="minorBidi"/>
                <w:color w:val="auto"/>
              </w:rPr>
              <w:t>自主验收</w:t>
            </w:r>
          </w:p>
          <w:p w14:paraId="082A47DA">
            <w:pPr>
              <w:pStyle w:val="288"/>
              <w:spacing w:line="300" w:lineRule="exact"/>
              <w:rPr>
                <w:rFonts w:hint="eastAsia" w:eastAsia="宋体"/>
                <w:color w:val="auto"/>
              </w:rPr>
            </w:pPr>
            <w:r>
              <w:rPr>
                <w:rFonts w:eastAsia="宋体"/>
                <w:color w:val="auto"/>
              </w:rPr>
              <w:t>2019</w:t>
            </w:r>
            <w:r>
              <w:rPr>
                <w:rFonts w:hint="eastAsia" w:eastAsia="宋体"/>
                <w:color w:val="auto"/>
              </w:rPr>
              <w:t>年1</w:t>
            </w:r>
            <w:r>
              <w:rPr>
                <w:rFonts w:eastAsia="宋体"/>
                <w:color w:val="auto"/>
              </w:rPr>
              <w:t>2</w:t>
            </w:r>
            <w:r>
              <w:rPr>
                <w:rFonts w:hint="eastAsia" w:eastAsia="宋体"/>
                <w:color w:val="auto"/>
              </w:rPr>
              <w:t>月5日</w:t>
            </w:r>
          </w:p>
        </w:tc>
      </w:tr>
      <w:tr w14:paraId="1CD9D1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4" w:type="pct"/>
            <w:vAlign w:val="center"/>
          </w:tcPr>
          <w:p w14:paraId="4E216971">
            <w:pPr>
              <w:pStyle w:val="288"/>
              <w:spacing w:line="300" w:lineRule="exact"/>
              <w:rPr>
                <w:rFonts w:hint="eastAsia" w:eastAsia="宋体"/>
                <w:color w:val="auto"/>
              </w:rPr>
            </w:pPr>
            <w:r>
              <w:rPr>
                <w:rFonts w:hint="eastAsia" w:eastAsia="宋体"/>
                <w:color w:val="auto"/>
              </w:rPr>
              <w:t>玛纳斯县污水处理厂</w:t>
            </w:r>
          </w:p>
        </w:tc>
        <w:tc>
          <w:tcPr>
            <w:tcW w:w="1123" w:type="pct"/>
            <w:tcMar>
              <w:left w:w="0" w:type="dxa"/>
              <w:right w:w="0" w:type="dxa"/>
            </w:tcMar>
            <w:vAlign w:val="center"/>
          </w:tcPr>
          <w:p w14:paraId="72D6F54E">
            <w:pPr>
              <w:pStyle w:val="288"/>
              <w:spacing w:line="300" w:lineRule="exact"/>
              <w:rPr>
                <w:rFonts w:hint="eastAsia" w:eastAsia="宋体"/>
                <w:color w:val="auto"/>
              </w:rPr>
            </w:pPr>
            <w:r>
              <w:rPr>
                <w:rFonts w:eastAsia="宋体"/>
                <w:color w:val="auto"/>
              </w:rPr>
              <w:t>玛纳斯县</w:t>
            </w:r>
            <w:r>
              <w:rPr>
                <w:rFonts w:hint="eastAsia" w:eastAsia="宋体"/>
                <w:color w:val="auto"/>
              </w:rPr>
              <w:t>城</w:t>
            </w:r>
            <w:r>
              <w:rPr>
                <w:rFonts w:eastAsia="宋体"/>
                <w:color w:val="auto"/>
              </w:rPr>
              <w:t>污水处理厂</w:t>
            </w:r>
          </w:p>
        </w:tc>
        <w:tc>
          <w:tcPr>
            <w:tcW w:w="1705" w:type="pct"/>
            <w:tcMar>
              <w:left w:w="0" w:type="dxa"/>
              <w:right w:w="0" w:type="dxa"/>
            </w:tcMar>
            <w:vAlign w:val="center"/>
          </w:tcPr>
          <w:p w14:paraId="3B8DA8B3">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原昌吉州环境保护局</w:t>
            </w:r>
          </w:p>
          <w:p w14:paraId="448D9C24">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昌州环评</w:t>
            </w:r>
            <w:r>
              <w:rPr>
                <w:rFonts w:hint="eastAsia" w:ascii="宋体" w:hAnsi="宋体"/>
                <w:color w:val="auto"/>
                <w:kern w:val="0"/>
                <w:szCs w:val="21"/>
              </w:rPr>
              <w:t>〔</w:t>
            </w:r>
            <w:r>
              <w:rPr>
                <w:rFonts w:ascii="宋体" w:hAnsi="宋体"/>
                <w:color w:val="auto"/>
                <w:kern w:val="0"/>
                <w:szCs w:val="21"/>
              </w:rPr>
              <w:t>20</w:t>
            </w:r>
            <w:r>
              <w:rPr>
                <w:rFonts w:hint="eastAsia" w:ascii="宋体" w:hAnsi="宋体"/>
                <w:color w:val="auto"/>
                <w:kern w:val="0"/>
                <w:szCs w:val="21"/>
              </w:rPr>
              <w:t>15〕43</w:t>
            </w:r>
            <w:r>
              <w:rPr>
                <w:rFonts w:ascii="宋体" w:hAnsi="宋体"/>
                <w:color w:val="auto"/>
                <w:kern w:val="0"/>
                <w:szCs w:val="21"/>
              </w:rPr>
              <w:t>号</w:t>
            </w:r>
          </w:p>
        </w:tc>
        <w:tc>
          <w:tcPr>
            <w:tcW w:w="1267" w:type="pct"/>
            <w:tcMar>
              <w:left w:w="0" w:type="dxa"/>
              <w:right w:w="0" w:type="dxa"/>
            </w:tcMar>
            <w:vAlign w:val="center"/>
          </w:tcPr>
          <w:p w14:paraId="07ABE500">
            <w:pPr>
              <w:pStyle w:val="288"/>
              <w:spacing w:line="300" w:lineRule="exact"/>
              <w:rPr>
                <w:rFonts w:hint="eastAsia" w:eastAsia="宋体"/>
                <w:color w:val="auto"/>
              </w:rPr>
            </w:pPr>
            <w:r>
              <w:rPr>
                <w:rFonts w:hint="eastAsia" w:eastAsia="宋体"/>
                <w:color w:val="auto"/>
              </w:rPr>
              <w:t>原昌吉回族自治州环境保护局</w:t>
            </w:r>
          </w:p>
          <w:p w14:paraId="687CF542">
            <w:pPr>
              <w:pStyle w:val="288"/>
              <w:spacing w:line="300" w:lineRule="exact"/>
              <w:rPr>
                <w:rFonts w:hint="eastAsia" w:eastAsia="宋体"/>
                <w:color w:val="auto"/>
              </w:rPr>
            </w:pPr>
            <w:r>
              <w:rPr>
                <w:rFonts w:hint="eastAsia" w:eastAsia="宋体"/>
                <w:color w:val="auto"/>
              </w:rPr>
              <w:t>昌州环函〔2016〕86号</w:t>
            </w:r>
          </w:p>
        </w:tc>
      </w:tr>
      <w:tr w14:paraId="0B1357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4" w:type="pct"/>
            <w:vAlign w:val="center"/>
          </w:tcPr>
          <w:p w14:paraId="6B34AA2B">
            <w:pPr>
              <w:pStyle w:val="288"/>
              <w:spacing w:line="300" w:lineRule="exact"/>
              <w:rPr>
                <w:rFonts w:hint="eastAsia" w:eastAsia="宋体"/>
                <w:color w:val="auto"/>
              </w:rPr>
            </w:pPr>
            <w:r>
              <w:rPr>
                <w:rFonts w:hint="eastAsia" w:eastAsia="宋体"/>
                <w:color w:val="auto"/>
              </w:rPr>
              <w:t>玛纳斯县生活垃圾填埋场</w:t>
            </w:r>
          </w:p>
        </w:tc>
        <w:tc>
          <w:tcPr>
            <w:tcW w:w="1123" w:type="pct"/>
            <w:tcMar>
              <w:left w:w="0" w:type="dxa"/>
              <w:right w:w="0" w:type="dxa"/>
            </w:tcMar>
            <w:vAlign w:val="center"/>
          </w:tcPr>
          <w:p w14:paraId="5E712F67">
            <w:pPr>
              <w:pStyle w:val="288"/>
              <w:spacing w:line="300" w:lineRule="exact"/>
              <w:rPr>
                <w:rFonts w:hint="eastAsia" w:eastAsia="宋体"/>
                <w:color w:val="auto"/>
              </w:rPr>
            </w:pPr>
            <w:r>
              <w:rPr>
                <w:rFonts w:hint="eastAsia" w:eastAsia="宋体"/>
                <w:color w:val="auto"/>
              </w:rPr>
              <w:t>玛纳斯县生活垃圾处理工程</w:t>
            </w:r>
          </w:p>
        </w:tc>
        <w:tc>
          <w:tcPr>
            <w:tcW w:w="1705" w:type="pct"/>
            <w:tcMar>
              <w:left w:w="0" w:type="dxa"/>
              <w:right w:w="0" w:type="dxa"/>
            </w:tcMar>
            <w:vAlign w:val="center"/>
          </w:tcPr>
          <w:p w14:paraId="37345EF5">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原自治区环境保护厅</w:t>
            </w:r>
          </w:p>
          <w:p w14:paraId="6F2B9CFD">
            <w:pPr>
              <w:adjustRightInd w:val="0"/>
              <w:snapToGrid w:val="0"/>
              <w:spacing w:line="300" w:lineRule="exact"/>
              <w:jc w:val="center"/>
              <w:rPr>
                <w:rFonts w:hint="eastAsia" w:ascii="宋体" w:hAnsi="宋体"/>
                <w:color w:val="auto"/>
                <w:szCs w:val="21"/>
              </w:rPr>
            </w:pPr>
            <w:r>
              <w:rPr>
                <w:rFonts w:hint="eastAsia" w:ascii="宋体" w:hAnsi="宋体"/>
                <w:color w:val="auto"/>
                <w:kern w:val="0"/>
                <w:szCs w:val="21"/>
              </w:rPr>
              <w:t>新环监函〔</w:t>
            </w:r>
            <w:r>
              <w:rPr>
                <w:rFonts w:ascii="宋体" w:hAnsi="宋体"/>
                <w:color w:val="auto"/>
                <w:kern w:val="0"/>
                <w:szCs w:val="21"/>
              </w:rPr>
              <w:t>20</w:t>
            </w:r>
            <w:r>
              <w:rPr>
                <w:rFonts w:hint="eastAsia" w:ascii="宋体" w:hAnsi="宋体"/>
                <w:color w:val="auto"/>
                <w:kern w:val="0"/>
                <w:szCs w:val="21"/>
              </w:rPr>
              <w:t>08〕569</w:t>
            </w:r>
            <w:r>
              <w:rPr>
                <w:rFonts w:ascii="宋体" w:hAnsi="宋体"/>
                <w:color w:val="auto"/>
                <w:kern w:val="0"/>
                <w:szCs w:val="21"/>
              </w:rPr>
              <w:t>号</w:t>
            </w:r>
          </w:p>
        </w:tc>
        <w:tc>
          <w:tcPr>
            <w:tcW w:w="1267" w:type="pct"/>
            <w:tcMar>
              <w:left w:w="0" w:type="dxa"/>
              <w:right w:w="0" w:type="dxa"/>
            </w:tcMar>
            <w:vAlign w:val="center"/>
          </w:tcPr>
          <w:p w14:paraId="77329AC1">
            <w:pPr>
              <w:pStyle w:val="288"/>
              <w:spacing w:line="300" w:lineRule="exact"/>
              <w:rPr>
                <w:rFonts w:hint="eastAsia" w:eastAsia="宋体"/>
                <w:color w:val="auto"/>
              </w:rPr>
            </w:pPr>
            <w:r>
              <w:rPr>
                <w:rFonts w:hint="eastAsia" w:eastAsia="宋体"/>
                <w:color w:val="auto"/>
              </w:rPr>
              <w:t>原昌吉回族自治州环境保护局</w:t>
            </w:r>
          </w:p>
          <w:p w14:paraId="6B67E043">
            <w:pPr>
              <w:pStyle w:val="288"/>
              <w:spacing w:line="300" w:lineRule="exact"/>
              <w:rPr>
                <w:rFonts w:hint="eastAsia" w:eastAsia="宋体"/>
                <w:color w:val="auto"/>
              </w:rPr>
            </w:pPr>
            <w:r>
              <w:rPr>
                <w:rFonts w:hint="eastAsia" w:eastAsia="宋体"/>
                <w:color w:val="auto"/>
              </w:rPr>
              <w:t>昌州环函〔2016〕13号</w:t>
            </w:r>
          </w:p>
        </w:tc>
      </w:tr>
    </w:tbl>
    <w:p w14:paraId="001C8894">
      <w:pPr>
        <w:pStyle w:val="86"/>
        <w:adjustRightInd w:val="0"/>
        <w:snapToGrid w:val="0"/>
        <w:ind w:firstLine="480"/>
        <w:rPr>
          <w:rFonts w:hint="eastAsia"/>
          <w:color w:val="auto"/>
        </w:rPr>
      </w:pPr>
      <w:r>
        <w:rPr>
          <w:rFonts w:hint="eastAsia"/>
          <w:color w:val="auto"/>
        </w:rPr>
        <w:t>（1）原油依托可行性分析</w:t>
      </w:r>
    </w:p>
    <w:p w14:paraId="61B04A37">
      <w:pPr>
        <w:pStyle w:val="86"/>
        <w:ind w:firstLine="488"/>
        <w:rPr>
          <w:rFonts w:hint="eastAsia"/>
          <w:color w:val="auto"/>
        </w:rPr>
      </w:pPr>
      <w:bookmarkStart w:id="235" w:name="OLE_LINK11"/>
      <w:r>
        <w:rPr>
          <w:rFonts w:hint="eastAsia"/>
          <w:bCs/>
          <w:color w:val="auto"/>
          <w:spacing w:val="4"/>
        </w:rPr>
        <w:t>莫北转油站</w:t>
      </w:r>
      <w:bookmarkEnd w:id="235"/>
      <w:r>
        <w:rPr>
          <w:rFonts w:hint="eastAsia"/>
          <w:bCs/>
          <w:color w:val="auto"/>
          <w:spacing w:val="4"/>
        </w:rPr>
        <w:t>建于200</w:t>
      </w:r>
      <w:r>
        <w:rPr>
          <w:bCs/>
          <w:color w:val="auto"/>
          <w:spacing w:val="4"/>
        </w:rPr>
        <w:t>3</w:t>
      </w:r>
      <w:r>
        <w:rPr>
          <w:rFonts w:hint="eastAsia"/>
          <w:bCs/>
          <w:color w:val="auto"/>
          <w:spacing w:val="4"/>
        </w:rPr>
        <w:t>年，承担着莫北油田原油转输、天然气处理和转输的任务。</w:t>
      </w:r>
      <w:r>
        <w:rPr>
          <w:rFonts w:hint="eastAsia"/>
          <w:color w:val="auto"/>
        </w:rPr>
        <w:t>设计采出液预脱水能力为6</w:t>
      </w:r>
      <w:r>
        <w:rPr>
          <w:color w:val="auto"/>
        </w:rPr>
        <w:t>0</w:t>
      </w:r>
      <w:r>
        <w:rPr>
          <w:rFonts w:hint="eastAsia"/>
          <w:color w:val="auto"/>
        </w:rPr>
        <w:t>×</w:t>
      </w:r>
      <w:r>
        <w:rPr>
          <w:color w:val="auto"/>
        </w:rPr>
        <w:t>10</w:t>
      </w:r>
      <w:r>
        <w:rPr>
          <w:color w:val="auto"/>
          <w:vertAlign w:val="superscript"/>
        </w:rPr>
        <w:t>4</w:t>
      </w:r>
      <w:r>
        <w:rPr>
          <w:rFonts w:hint="eastAsia"/>
          <w:color w:val="auto"/>
        </w:rPr>
        <w:t>t</w:t>
      </w:r>
      <w:r>
        <w:rPr>
          <w:color w:val="auto"/>
        </w:rPr>
        <w:t>/a</w:t>
      </w:r>
      <w:r>
        <w:rPr>
          <w:rFonts w:hint="eastAsia"/>
          <w:color w:val="auto"/>
        </w:rPr>
        <w:t>，油区来液经两相分离器进行气液分离，分离出的液相（</w:t>
      </w:r>
      <w:r>
        <w:rPr>
          <w:color w:val="auto"/>
        </w:rPr>
        <w:t>T=25℃，P=0.3Mpa，Q=2000m³/d）进加热装置加热升温至60℃后，进新建采</w:t>
      </w:r>
      <w:r>
        <w:rPr>
          <w:rFonts w:hint="eastAsia"/>
          <w:color w:val="auto"/>
        </w:rPr>
        <w:t>出液预脱水器实现油、汽、水三相分离，分离出的低含水原油进缓冲分离器，经外输泵增压后输往莫北转油站进一步处理；分出的伴生气进转油联合站的天然气处理系统；分离出的采出污水（</w:t>
      </w:r>
      <w:r>
        <w:rPr>
          <w:color w:val="auto"/>
        </w:rPr>
        <w:t>T=60℃，P=0.15Mpa，Q=1333m³/d）进入新建2座500m³调储罐，调储罐内污</w:t>
      </w:r>
      <w:r>
        <w:rPr>
          <w:rFonts w:hint="eastAsia"/>
          <w:color w:val="auto"/>
        </w:rPr>
        <w:t>水通过提升泵提升至采出液中的采出水处理系统，底部污泥通过污泥沉降池沉降后脱水处理，上部污油通过污油罐收集后提升至油气分离器前端回收系统。</w:t>
      </w:r>
    </w:p>
    <w:p w14:paraId="431BFF84">
      <w:pPr>
        <w:pStyle w:val="86"/>
        <w:ind w:firstLine="480"/>
        <w:rPr>
          <w:rFonts w:hint="eastAsia"/>
          <w:color w:val="auto"/>
        </w:rPr>
      </w:pPr>
      <w:r>
        <w:rPr>
          <w:rFonts w:hint="eastAsia"/>
          <w:color w:val="auto"/>
        </w:rPr>
        <w:t>对采用汽车拉油的边远区块采出液（</w:t>
      </w:r>
      <w:r>
        <w:rPr>
          <w:color w:val="auto"/>
        </w:rPr>
        <w:t>T=20</w:t>
      </w:r>
      <w:r>
        <w:rPr>
          <w:rFonts w:hint="eastAsia"/>
          <w:color w:val="auto"/>
        </w:rPr>
        <w:t>℃，</w:t>
      </w:r>
      <w:r>
        <w:rPr>
          <w:color w:val="auto"/>
        </w:rPr>
        <w:t>Q=60m</w:t>
      </w:r>
      <w:r>
        <w:rPr>
          <w:rFonts w:hint="eastAsia"/>
          <w:color w:val="auto"/>
        </w:rPr>
        <w:t>³</w:t>
      </w:r>
      <w:r>
        <w:rPr>
          <w:color w:val="auto"/>
        </w:rPr>
        <w:t>/d</w:t>
      </w:r>
      <w:r>
        <w:rPr>
          <w:rFonts w:hint="eastAsia"/>
          <w:color w:val="auto"/>
        </w:rPr>
        <w:t>），由卸油泵将原油转到事故罐中，再由提升泵将事故罐中的原油均匀提升至油气分离器，与集油区密闭集输来油气混合进脱水装置处理。莫北转油站设计的处理</w:t>
      </w:r>
      <w:r>
        <w:rPr>
          <w:color w:val="auto"/>
        </w:rPr>
        <w:t>规模为</w:t>
      </w:r>
      <w:r>
        <w:rPr>
          <w:rFonts w:hint="eastAsia"/>
          <w:color w:val="auto"/>
        </w:rPr>
        <w:t>60×10</w:t>
      </w:r>
      <w:r>
        <w:rPr>
          <w:rFonts w:hint="eastAsia"/>
          <w:color w:val="auto"/>
          <w:vertAlign w:val="superscript"/>
        </w:rPr>
        <w:t>4</w:t>
      </w:r>
      <w:r>
        <w:rPr>
          <w:rFonts w:hint="eastAsia"/>
          <w:color w:val="auto"/>
        </w:rPr>
        <w:t>t/a，实际处理</w:t>
      </w:r>
      <w:r>
        <w:rPr>
          <w:color w:val="auto"/>
        </w:rPr>
        <w:t>规模为</w:t>
      </w:r>
      <w:r>
        <w:rPr>
          <w:rFonts w:hint="eastAsia"/>
          <w:color w:val="auto"/>
        </w:rPr>
        <w:t>30×10</w:t>
      </w:r>
      <w:r>
        <w:rPr>
          <w:rFonts w:hint="eastAsia"/>
          <w:color w:val="auto"/>
          <w:vertAlign w:val="superscript"/>
        </w:rPr>
        <w:t>4</w:t>
      </w:r>
      <w:r>
        <w:rPr>
          <w:rFonts w:hint="eastAsia"/>
          <w:color w:val="auto"/>
        </w:rPr>
        <w:t>t/a，本项目新增原油产能为69t/d，莫北转油站富余处理规模可满足需求，依托可行。</w:t>
      </w:r>
    </w:p>
    <w:p w14:paraId="24264385">
      <w:pPr>
        <w:pStyle w:val="86"/>
        <w:ind w:firstLine="480"/>
        <w:rPr>
          <w:rFonts w:hint="eastAsia"/>
          <w:color w:val="auto"/>
        </w:rPr>
      </w:pPr>
      <w:bookmarkStart w:id="236" w:name="_Hlk177302497"/>
      <w:r>
        <w:rPr>
          <w:rFonts w:hint="eastAsia"/>
          <w:color w:val="auto"/>
        </w:rPr>
        <w:t>（2）井下作业废液和采出水依托可行性分析</w:t>
      </w:r>
    </w:p>
    <w:p w14:paraId="6AF9139D">
      <w:pPr>
        <w:pStyle w:val="86"/>
        <w:ind w:firstLine="480"/>
        <w:rPr>
          <w:rFonts w:hint="eastAsia"/>
          <w:color w:val="auto"/>
        </w:rPr>
      </w:pPr>
      <w:r>
        <w:rPr>
          <w:rFonts w:hint="eastAsia"/>
          <w:color w:val="auto"/>
        </w:rPr>
        <w:t>莫北转油站采出水处理采用</w:t>
      </w:r>
      <w:r>
        <w:rPr>
          <w:color w:val="auto"/>
        </w:rPr>
        <w:t>SGOT</w:t>
      </w:r>
      <w:r>
        <w:rPr>
          <w:rFonts w:hint="eastAsia"/>
          <w:color w:val="auto"/>
        </w:rPr>
        <w:t>工艺，原油预脱水系统来水进入</w:t>
      </w:r>
      <w:r>
        <w:rPr>
          <w:color w:val="auto"/>
        </w:rPr>
        <w:t>SGOT</w:t>
      </w:r>
      <w:r>
        <w:rPr>
          <w:rFonts w:hint="eastAsia"/>
          <w:color w:val="auto"/>
        </w:rPr>
        <w:t>双旋流除油器进行物理除油，除油器可去除大部分水体中的油。出水进入缓冲水罐，经泵提升后进入</w:t>
      </w:r>
      <w:r>
        <w:rPr>
          <w:color w:val="auto"/>
        </w:rPr>
        <w:t>SGOT速沉器，在速沉器中投加絮凝剂、</w:t>
      </w:r>
      <w:r>
        <w:rPr>
          <w:rFonts w:hint="eastAsia"/>
          <w:color w:val="auto"/>
        </w:rPr>
        <w:t>助凝剂，药剂与污水反应后出水进入</w:t>
      </w:r>
      <w:r>
        <w:rPr>
          <w:color w:val="auto"/>
        </w:rPr>
        <w:t>SGOT过滤器，经过滤后出水进</w:t>
      </w:r>
      <w:r>
        <w:rPr>
          <w:rFonts w:hint="eastAsia"/>
          <w:color w:val="auto"/>
        </w:rPr>
        <w:t>注水系统进行回注。采出水设计处理规模为1500m</w:t>
      </w:r>
      <w:r>
        <w:rPr>
          <w:rFonts w:hint="eastAsia"/>
          <w:color w:val="auto"/>
          <w:vertAlign w:val="superscript"/>
        </w:rPr>
        <w:t>3</w:t>
      </w:r>
      <w:r>
        <w:rPr>
          <w:rFonts w:hint="eastAsia"/>
          <w:color w:val="auto"/>
        </w:rPr>
        <w:t>/d，实际处理规模为500m</w:t>
      </w:r>
      <w:r>
        <w:rPr>
          <w:rFonts w:hint="eastAsia"/>
          <w:color w:val="auto"/>
          <w:vertAlign w:val="superscript"/>
        </w:rPr>
        <w:t>3</w:t>
      </w:r>
      <w:r>
        <w:rPr>
          <w:rFonts w:hint="eastAsia"/>
          <w:color w:val="auto"/>
        </w:rPr>
        <w:t>/d，本项目新增采出水量为39m</w:t>
      </w:r>
      <w:r>
        <w:rPr>
          <w:rFonts w:hint="eastAsia"/>
          <w:color w:val="auto"/>
          <w:vertAlign w:val="superscript"/>
        </w:rPr>
        <w:t>3</w:t>
      </w:r>
      <w:r>
        <w:rPr>
          <w:rFonts w:hint="eastAsia"/>
          <w:color w:val="auto"/>
        </w:rPr>
        <w:t>/d，莫北转油站富余处理规模可满足需求，依托可行。</w:t>
      </w:r>
    </w:p>
    <w:bookmarkEnd w:id="236"/>
    <w:p w14:paraId="7072671E">
      <w:pPr>
        <w:pStyle w:val="86"/>
        <w:adjustRightInd w:val="0"/>
        <w:snapToGrid w:val="0"/>
        <w:ind w:firstLine="480"/>
        <w:rPr>
          <w:rFonts w:hint="eastAsia"/>
          <w:color w:val="auto"/>
        </w:rPr>
      </w:pPr>
      <w:r>
        <w:rPr>
          <w:rFonts w:hint="eastAsia"/>
          <w:color w:val="auto"/>
        </w:rPr>
        <w:t>（3）危险废物贮存及处置依托可行性分析</w:t>
      </w:r>
    </w:p>
    <w:p w14:paraId="6FEAD81E">
      <w:pPr>
        <w:pStyle w:val="86"/>
        <w:adjustRightInd w:val="0"/>
        <w:snapToGrid w:val="0"/>
        <w:ind w:firstLine="480"/>
        <w:rPr>
          <w:rFonts w:hint="eastAsia"/>
          <w:color w:val="auto"/>
        </w:rPr>
      </w:pPr>
      <w:r>
        <w:rPr>
          <w:color w:val="auto"/>
        </w:rPr>
        <w:t>石西油田作业区危险废物贮存点位于石西油田作业区公寓西北约2.5km处</w:t>
      </w:r>
      <w:r>
        <w:rPr>
          <w:rFonts w:hint="eastAsia"/>
          <w:color w:val="auto"/>
        </w:rPr>
        <w:t>，距本项目区约44.3km，</w:t>
      </w:r>
      <w:r>
        <w:rPr>
          <w:color w:val="auto"/>
        </w:rPr>
        <w:t>占地约650m</w:t>
      </w:r>
      <w:r>
        <w:rPr>
          <w:color w:val="auto"/>
          <w:vertAlign w:val="superscript"/>
        </w:rPr>
        <w:t>2</w:t>
      </w:r>
      <w:r>
        <w:rPr>
          <w:color w:val="auto"/>
        </w:rPr>
        <w:t>，设计危险废物最大暂存量400m</w:t>
      </w:r>
      <w:r>
        <w:rPr>
          <w:color w:val="auto"/>
          <w:vertAlign w:val="superscript"/>
        </w:rPr>
        <w:t>3</w:t>
      </w:r>
      <w:r>
        <w:rPr>
          <w:color w:val="auto"/>
        </w:rPr>
        <w:t>，最长暂存时间为半年，地上半封闭式棚，长度为36m，宽度为18m，四周设250mm厚钢混凝土挡墙，墙高2.5m，墙体及地面采用2mm厚高密度聚乙烯防渗膜；屋面为彩钢板屋面；建筑耐火等级为二级，屋面防水等级为</w:t>
      </w:r>
      <w:r>
        <w:rPr>
          <w:rFonts w:hint="eastAsia"/>
          <w:color w:val="auto"/>
        </w:rPr>
        <w:t>Ⅱ</w:t>
      </w:r>
      <w:r>
        <w:rPr>
          <w:color w:val="auto"/>
        </w:rPr>
        <w:t>级，抗震设防烈度为6度。</w:t>
      </w:r>
      <w:r>
        <w:rPr>
          <w:rFonts w:hint="eastAsia"/>
          <w:color w:val="auto"/>
        </w:rPr>
        <w:t>危废暂存间采取分区放置，不相容的危险废物必须分开存放，并设有隔离间隔断，基础进行防渗处理，防渗层为1m厚黏土层（渗透系数≤10-7cm/s），满足《危险废物贮存污染控制标准》（GB18597-2023）要求。</w:t>
      </w:r>
    </w:p>
    <w:p w14:paraId="1F71D83C">
      <w:pPr>
        <w:pStyle w:val="86"/>
        <w:adjustRightInd w:val="0"/>
        <w:snapToGrid w:val="0"/>
        <w:ind w:firstLine="480"/>
        <w:rPr>
          <w:rFonts w:hint="eastAsia"/>
          <w:color w:val="auto"/>
        </w:rPr>
      </w:pPr>
      <w:r>
        <w:rPr>
          <w:rFonts w:hint="eastAsia"/>
          <w:color w:val="auto"/>
        </w:rPr>
        <w:t>危险废物</w:t>
      </w:r>
      <w:r>
        <w:rPr>
          <w:color w:val="auto"/>
        </w:rPr>
        <w:t>贮存点</w:t>
      </w:r>
      <w:r>
        <w:rPr>
          <w:rFonts w:hint="eastAsia"/>
          <w:color w:val="auto"/>
        </w:rPr>
        <w:t>已进行防渗漏处理，并按《危险废物贮存污染控制标准》（GB18597-2023）进行设计，并按《危险废物识别标志设置技术规范》（HJ1276-2022）的规定设置警示标志。收运车采用密闭运输方式，防止外泄。</w:t>
      </w:r>
    </w:p>
    <w:p w14:paraId="6D812779">
      <w:pPr>
        <w:pStyle w:val="86"/>
        <w:adjustRightInd w:val="0"/>
        <w:snapToGrid w:val="0"/>
        <w:ind w:firstLine="480"/>
        <w:rPr>
          <w:rFonts w:hint="eastAsia"/>
          <w:color w:val="auto"/>
        </w:rPr>
      </w:pPr>
      <w:r>
        <w:rPr>
          <w:rFonts w:hint="eastAsia"/>
          <w:color w:val="auto"/>
        </w:rPr>
        <w:t>危险废物</w:t>
      </w:r>
      <w:r>
        <w:rPr>
          <w:color w:val="auto"/>
        </w:rPr>
        <w:t>贮存点主要用于暂存石西油田作业区含油污泥</w:t>
      </w:r>
      <w:r>
        <w:rPr>
          <w:rFonts w:hint="eastAsia"/>
          <w:color w:val="auto"/>
        </w:rPr>
        <w:t>和沾油废物</w:t>
      </w:r>
      <w:r>
        <w:rPr>
          <w:color w:val="auto"/>
        </w:rPr>
        <w:t>等各类危险废物，危险废物不在同一时间进行，其危险废物不在同一时间大量产生。</w:t>
      </w:r>
      <w:r>
        <w:rPr>
          <w:rFonts w:hint="eastAsia"/>
          <w:color w:val="auto"/>
        </w:rPr>
        <w:t>本项目产生危险废物较少</w:t>
      </w:r>
      <w:r>
        <w:rPr>
          <w:color w:val="auto"/>
        </w:rPr>
        <w:t>，危险废物储存场储存量可满足本项目需求。</w:t>
      </w:r>
    </w:p>
    <w:p w14:paraId="0ED43735">
      <w:pPr>
        <w:pStyle w:val="86"/>
        <w:adjustRightInd w:val="0"/>
        <w:snapToGrid w:val="0"/>
        <w:ind w:firstLine="480"/>
        <w:rPr>
          <w:rFonts w:hint="eastAsia"/>
          <w:color w:val="auto"/>
        </w:rPr>
      </w:pPr>
      <w:r>
        <w:rPr>
          <w:rFonts w:hint="eastAsia"/>
          <w:color w:val="auto"/>
        </w:rPr>
        <w:t>（4）生活污水依托可行性分析</w:t>
      </w:r>
    </w:p>
    <w:p w14:paraId="7E56B59B">
      <w:pPr>
        <w:spacing w:line="500" w:lineRule="exact"/>
        <w:ind w:firstLine="480" w:firstLineChars="200"/>
        <w:rPr>
          <w:rFonts w:ascii="宋体" w:hAnsi="Times New Roman"/>
          <w:color w:val="auto"/>
          <w:sz w:val="24"/>
          <w:szCs w:val="24"/>
        </w:rPr>
      </w:pPr>
      <w:bookmarkStart w:id="237" w:name="_Hlk177508618"/>
      <w:r>
        <w:rPr>
          <w:rFonts w:ascii="宋体" w:hAnsi="宋体"/>
          <w:color w:val="auto"/>
          <w:sz w:val="24"/>
          <w:szCs w:val="24"/>
        </w:rPr>
        <w:t>玛纳斯县</w:t>
      </w:r>
      <w:r>
        <w:rPr>
          <w:rFonts w:hint="eastAsia" w:ascii="宋体" w:hAnsi="宋体"/>
          <w:color w:val="auto"/>
          <w:sz w:val="24"/>
          <w:szCs w:val="24"/>
        </w:rPr>
        <w:t>城</w:t>
      </w:r>
      <w:r>
        <w:rPr>
          <w:rFonts w:ascii="宋体" w:hAnsi="宋体"/>
          <w:color w:val="auto"/>
          <w:sz w:val="24"/>
          <w:szCs w:val="24"/>
        </w:rPr>
        <w:t>污水处理厂</w:t>
      </w:r>
      <w:bookmarkEnd w:id="237"/>
      <w:r>
        <w:rPr>
          <w:rFonts w:hint="eastAsia" w:ascii="宋体" w:hAnsi="宋体"/>
          <w:color w:val="auto"/>
          <w:sz w:val="24"/>
          <w:szCs w:val="24"/>
        </w:rPr>
        <w:t>（现运营单位为玛纳斯县禹源排水有限责任公司）位于玛纳斯县城东北13km广东地乡小海字村，该污水处理厂于</w:t>
      </w:r>
      <w:r>
        <w:rPr>
          <w:rFonts w:hint="eastAsia" w:ascii="宋体" w:hAnsi="Times New Roman"/>
          <w:color w:val="auto"/>
          <w:sz w:val="24"/>
          <w:szCs w:val="24"/>
        </w:rPr>
        <w:t>2015</w:t>
      </w:r>
      <w:r>
        <w:rPr>
          <w:rFonts w:hint="eastAsia" w:ascii="宋体" w:hAnsi="宋体"/>
          <w:color w:val="auto"/>
          <w:sz w:val="24"/>
          <w:szCs w:val="24"/>
        </w:rPr>
        <w:t>年在原有污水处理厂的基础上进行了改扩建二期工程，将</w:t>
      </w:r>
      <w:r>
        <w:rPr>
          <w:rFonts w:hint="eastAsia" w:ascii="宋体" w:hAnsi="Times New Roman"/>
          <w:color w:val="auto"/>
          <w:sz w:val="24"/>
          <w:szCs w:val="24"/>
        </w:rPr>
        <w:t>10000m</w:t>
      </w:r>
      <w:r>
        <w:rPr>
          <w:rFonts w:hint="eastAsia" w:ascii="宋体" w:hAnsi="宋体"/>
          <w:color w:val="auto"/>
          <w:sz w:val="24"/>
          <w:szCs w:val="24"/>
          <w:vertAlign w:val="superscript"/>
        </w:rPr>
        <w:t>3</w:t>
      </w:r>
      <w:r>
        <w:rPr>
          <w:rFonts w:hint="eastAsia" w:ascii="宋体" w:hAnsi="宋体"/>
          <w:color w:val="auto"/>
          <w:sz w:val="24"/>
          <w:szCs w:val="24"/>
        </w:rPr>
        <w:t>/d处理能力扩大到</w:t>
      </w:r>
      <w:r>
        <w:rPr>
          <w:rFonts w:hint="eastAsia" w:ascii="宋体" w:hAnsi="Times New Roman"/>
          <w:color w:val="auto"/>
          <w:sz w:val="24"/>
          <w:szCs w:val="24"/>
        </w:rPr>
        <w:t>20000m</w:t>
      </w:r>
      <w:r>
        <w:rPr>
          <w:rFonts w:hint="eastAsia" w:ascii="宋体" w:hAnsi="宋体"/>
          <w:color w:val="auto"/>
          <w:sz w:val="24"/>
          <w:szCs w:val="24"/>
          <w:vertAlign w:val="superscript"/>
        </w:rPr>
        <w:t>3</w:t>
      </w:r>
      <w:r>
        <w:rPr>
          <w:rFonts w:hint="eastAsia" w:ascii="宋体" w:hAnsi="宋体"/>
          <w:color w:val="auto"/>
          <w:sz w:val="24"/>
          <w:szCs w:val="24"/>
        </w:rPr>
        <w:t>/d，新建改良型</w:t>
      </w:r>
      <w:r>
        <w:rPr>
          <w:rFonts w:hint="eastAsia" w:ascii="宋体" w:hAnsi="Times New Roman"/>
          <w:color w:val="auto"/>
          <w:sz w:val="24"/>
          <w:szCs w:val="24"/>
        </w:rPr>
        <w:t>A</w:t>
      </w:r>
      <w:r>
        <w:rPr>
          <w:rFonts w:hint="eastAsia" w:ascii="宋体" w:hAnsi="宋体"/>
          <w:color w:val="auto"/>
          <w:sz w:val="24"/>
          <w:szCs w:val="24"/>
          <w:vertAlign w:val="superscript"/>
        </w:rPr>
        <w:t>2</w:t>
      </w:r>
      <w:r>
        <w:rPr>
          <w:rFonts w:hint="eastAsia" w:ascii="宋体" w:hAnsi="宋体"/>
          <w:color w:val="auto"/>
          <w:sz w:val="24"/>
          <w:szCs w:val="24"/>
        </w:rPr>
        <w:t>/O生化池、二沉池、化学除磷池、污泥泵房、废油池，各工艺管道的架设、各设备的安装及自控设备的安装调试，该项目于</w:t>
      </w:r>
      <w:r>
        <w:rPr>
          <w:rFonts w:hint="eastAsia" w:ascii="宋体" w:hAnsi="Times New Roman"/>
          <w:color w:val="auto"/>
          <w:sz w:val="24"/>
          <w:szCs w:val="24"/>
        </w:rPr>
        <w:t>2015</w:t>
      </w:r>
      <w:r>
        <w:rPr>
          <w:rFonts w:hint="eastAsia" w:ascii="宋体" w:hAnsi="宋体"/>
          <w:color w:val="auto"/>
          <w:sz w:val="24"/>
          <w:szCs w:val="24"/>
        </w:rPr>
        <w:t>年由巴州绿环环境科学技术研究所编制了环评报告表，</w:t>
      </w:r>
      <w:bookmarkStart w:id="238" w:name="_Hlk177508628"/>
      <w:r>
        <w:rPr>
          <w:rFonts w:hint="eastAsia" w:ascii="宋体" w:hAnsi="宋体"/>
          <w:color w:val="auto"/>
          <w:sz w:val="24"/>
          <w:szCs w:val="24"/>
        </w:rPr>
        <w:t>昌吉回族自治州环境保护局于2015年</w:t>
      </w:r>
      <w:r>
        <w:rPr>
          <w:rFonts w:hint="eastAsia" w:ascii="宋体" w:hAnsi="Times New Roman"/>
          <w:color w:val="auto"/>
          <w:sz w:val="24"/>
          <w:szCs w:val="24"/>
        </w:rPr>
        <w:t>5</w:t>
      </w:r>
      <w:r>
        <w:rPr>
          <w:rFonts w:hint="eastAsia" w:ascii="宋体" w:hAnsi="宋体"/>
          <w:color w:val="auto"/>
          <w:sz w:val="24"/>
          <w:szCs w:val="24"/>
        </w:rPr>
        <w:t>月</w:t>
      </w:r>
      <w:r>
        <w:rPr>
          <w:rFonts w:hint="eastAsia" w:ascii="宋体" w:hAnsi="Times New Roman"/>
          <w:color w:val="auto"/>
          <w:sz w:val="24"/>
          <w:szCs w:val="24"/>
        </w:rPr>
        <w:t>18</w:t>
      </w:r>
      <w:r>
        <w:rPr>
          <w:rFonts w:hint="eastAsia" w:ascii="宋体" w:hAnsi="宋体"/>
          <w:color w:val="auto"/>
          <w:sz w:val="24"/>
          <w:szCs w:val="24"/>
        </w:rPr>
        <w:t>日批复同意（昌州环评〔2015〕43号），根据批复，该污水处理厂尾水用于厂区绿化及生态林灌溉用水，非灌溉期尾水储存于白土坑水库。该项目于2015年</w:t>
      </w:r>
      <w:r>
        <w:rPr>
          <w:rFonts w:hint="eastAsia" w:ascii="宋体" w:hAnsi="Times New Roman"/>
          <w:color w:val="auto"/>
          <w:sz w:val="24"/>
          <w:szCs w:val="24"/>
        </w:rPr>
        <w:t>8</w:t>
      </w:r>
      <w:r>
        <w:rPr>
          <w:rFonts w:hint="eastAsia" w:ascii="宋体" w:hAnsi="宋体"/>
          <w:color w:val="auto"/>
          <w:sz w:val="24"/>
          <w:szCs w:val="24"/>
        </w:rPr>
        <w:t>月建成并试运行，</w:t>
      </w:r>
      <w:bookmarkStart w:id="239" w:name="_Hlk177509608"/>
      <w:r>
        <w:rPr>
          <w:rFonts w:hint="eastAsia" w:ascii="宋体" w:hAnsi="Times New Roman"/>
          <w:color w:val="auto"/>
          <w:sz w:val="24"/>
          <w:szCs w:val="24"/>
        </w:rPr>
        <w:t>2016</w:t>
      </w:r>
      <w:r>
        <w:rPr>
          <w:rFonts w:hint="eastAsia" w:ascii="宋体" w:hAnsi="宋体"/>
          <w:color w:val="auto"/>
          <w:sz w:val="24"/>
          <w:szCs w:val="24"/>
        </w:rPr>
        <w:t>年</w:t>
      </w:r>
      <w:r>
        <w:rPr>
          <w:rFonts w:hint="eastAsia" w:ascii="宋体" w:hAnsi="Times New Roman"/>
          <w:color w:val="auto"/>
          <w:sz w:val="24"/>
          <w:szCs w:val="24"/>
        </w:rPr>
        <w:t>4</w:t>
      </w:r>
      <w:r>
        <w:rPr>
          <w:rFonts w:hint="eastAsia" w:ascii="宋体" w:hAnsi="宋体"/>
          <w:color w:val="auto"/>
          <w:sz w:val="24"/>
          <w:szCs w:val="24"/>
        </w:rPr>
        <w:t>月</w:t>
      </w:r>
      <w:r>
        <w:rPr>
          <w:rFonts w:hint="eastAsia" w:ascii="宋体" w:hAnsi="Times New Roman"/>
          <w:color w:val="auto"/>
          <w:sz w:val="24"/>
          <w:szCs w:val="24"/>
        </w:rPr>
        <w:t>8</w:t>
      </w:r>
      <w:r>
        <w:rPr>
          <w:rFonts w:hint="eastAsia" w:ascii="宋体" w:hAnsi="宋体"/>
          <w:color w:val="auto"/>
          <w:sz w:val="24"/>
          <w:szCs w:val="24"/>
        </w:rPr>
        <w:t>日该项目由昌吉回族自治州环境保护局通过了竣工环境保护验收</w:t>
      </w:r>
      <w:bookmarkEnd w:id="239"/>
      <w:bookmarkStart w:id="240" w:name="_Hlk177509623"/>
      <w:r>
        <w:rPr>
          <w:rFonts w:hint="eastAsia" w:ascii="宋体" w:hAnsi="宋体"/>
          <w:color w:val="auto"/>
          <w:sz w:val="24"/>
          <w:szCs w:val="24"/>
        </w:rPr>
        <w:t>（昌州环函〔2016〕86号）。</w:t>
      </w:r>
    </w:p>
    <w:bookmarkEnd w:id="238"/>
    <w:bookmarkEnd w:id="240"/>
    <w:p w14:paraId="5F81F4D7">
      <w:pPr>
        <w:spacing w:line="500" w:lineRule="exact"/>
        <w:ind w:firstLine="480" w:firstLineChars="200"/>
        <w:rPr>
          <w:rFonts w:ascii="宋体" w:hAnsi="Times New Roman"/>
          <w:color w:val="auto"/>
          <w:sz w:val="24"/>
          <w:szCs w:val="24"/>
        </w:rPr>
      </w:pPr>
      <w:r>
        <w:rPr>
          <w:rFonts w:hint="eastAsia" w:ascii="宋体" w:hAnsi="Times New Roman"/>
          <w:color w:val="auto"/>
          <w:sz w:val="24"/>
          <w:szCs w:val="24"/>
        </w:rPr>
        <w:t>本</w:t>
      </w:r>
      <w:bookmarkStart w:id="241" w:name="_Hlk177509635"/>
      <w:r>
        <w:rPr>
          <w:rFonts w:hint="eastAsia" w:ascii="宋体" w:hAnsi="Times New Roman"/>
          <w:color w:val="auto"/>
          <w:sz w:val="24"/>
          <w:szCs w:val="24"/>
        </w:rPr>
        <w:t>项目产生的生活污水的量较少，一年清运一次，根据实际清运经验数据，吸污车最大容量约为3</w:t>
      </w:r>
      <w:r>
        <w:rPr>
          <w:rFonts w:ascii="宋体" w:hAnsi="Times New Roman"/>
          <w:color w:val="auto"/>
          <w:sz w:val="24"/>
          <w:szCs w:val="24"/>
        </w:rPr>
        <w:t>0m</w:t>
      </w:r>
      <w:r>
        <w:rPr>
          <w:rFonts w:ascii="宋体" w:hAnsi="Times New Roman"/>
          <w:color w:val="auto"/>
          <w:sz w:val="24"/>
          <w:szCs w:val="24"/>
          <w:vertAlign w:val="superscript"/>
        </w:rPr>
        <w:t>3</w:t>
      </w:r>
      <w:r>
        <w:rPr>
          <w:rFonts w:hint="eastAsia" w:ascii="宋体" w:hAnsi="Times New Roman"/>
          <w:color w:val="auto"/>
          <w:sz w:val="24"/>
          <w:szCs w:val="24"/>
        </w:rPr>
        <w:t>，清运时每日清运一次，即单日进入污水处理厂的污水量为24.2</w:t>
      </w:r>
      <w:r>
        <w:rPr>
          <w:rFonts w:ascii="宋体" w:hAnsi="Times New Roman"/>
          <w:color w:val="auto"/>
          <w:sz w:val="24"/>
          <w:szCs w:val="24"/>
        </w:rPr>
        <w:t>m</w:t>
      </w:r>
      <w:r>
        <w:rPr>
          <w:rFonts w:ascii="宋体" w:hAnsi="Times New Roman"/>
          <w:color w:val="auto"/>
          <w:sz w:val="24"/>
          <w:szCs w:val="24"/>
          <w:vertAlign w:val="superscript"/>
        </w:rPr>
        <w:t>3</w:t>
      </w:r>
      <w:r>
        <w:rPr>
          <w:rFonts w:hint="eastAsia" w:ascii="宋体" w:hAnsi="Times New Roman"/>
          <w:color w:val="auto"/>
          <w:sz w:val="24"/>
          <w:szCs w:val="24"/>
        </w:rPr>
        <w:t>，水量较小，不会对污水处理系统造成冲击，因此，可满足本项目需求，依托可行。</w:t>
      </w:r>
      <w:bookmarkEnd w:id="241"/>
    </w:p>
    <w:p w14:paraId="179ACDED">
      <w:pPr>
        <w:pStyle w:val="86"/>
        <w:adjustRightInd w:val="0"/>
        <w:snapToGrid w:val="0"/>
        <w:ind w:firstLine="480"/>
        <w:rPr>
          <w:rFonts w:hint="eastAsia"/>
          <w:color w:val="auto"/>
        </w:rPr>
      </w:pPr>
      <w:r>
        <w:rPr>
          <w:rFonts w:hint="eastAsia"/>
          <w:color w:val="auto"/>
        </w:rPr>
        <w:t>（5）生活垃圾依托可行性分析</w:t>
      </w:r>
    </w:p>
    <w:p w14:paraId="28DAAD34">
      <w:pPr>
        <w:spacing w:line="520" w:lineRule="exact"/>
        <w:ind w:firstLine="480" w:firstLineChars="200"/>
        <w:rPr>
          <w:rFonts w:ascii="宋体" w:hAnsi="Times New Roman"/>
          <w:color w:val="auto"/>
          <w:sz w:val="24"/>
          <w:szCs w:val="24"/>
        </w:rPr>
      </w:pPr>
      <w:bookmarkStart w:id="242" w:name="_Hlk177509647"/>
      <w:r>
        <w:rPr>
          <w:rFonts w:ascii="宋体" w:hAnsi="Times New Roman"/>
          <w:color w:val="auto"/>
          <w:sz w:val="24"/>
          <w:szCs w:val="24"/>
        </w:rPr>
        <w:t>玛纳斯县城生活垃圾处理工程</w:t>
      </w:r>
      <w:bookmarkEnd w:id="242"/>
      <w:r>
        <w:rPr>
          <w:rFonts w:hint="eastAsia" w:ascii="宋体" w:hAnsi="Times New Roman"/>
          <w:color w:val="auto"/>
          <w:sz w:val="24"/>
          <w:szCs w:val="24"/>
        </w:rPr>
        <w:t>位于</w:t>
      </w:r>
      <w:r>
        <w:rPr>
          <w:rFonts w:ascii="宋体" w:hAnsi="Times New Roman"/>
          <w:color w:val="auto"/>
          <w:sz w:val="24"/>
          <w:szCs w:val="24"/>
        </w:rPr>
        <w:t>玛纳斯县</w:t>
      </w:r>
      <w:r>
        <w:rPr>
          <w:rFonts w:hint="eastAsia" w:ascii="宋体" w:hAnsi="Times New Roman"/>
          <w:color w:val="auto"/>
          <w:sz w:val="24"/>
          <w:szCs w:val="24"/>
        </w:rPr>
        <w:t>西北，距离县城中心距离约4.5km，下兰州湾村北550</w:t>
      </w:r>
      <w:r>
        <w:rPr>
          <w:rFonts w:ascii="宋体" w:hAnsi="Times New Roman"/>
          <w:color w:val="auto"/>
          <w:sz w:val="24"/>
          <w:szCs w:val="24"/>
        </w:rPr>
        <w:t>m处的</w:t>
      </w:r>
      <w:r>
        <w:rPr>
          <w:rFonts w:hint="eastAsia" w:ascii="宋体" w:hAnsi="Times New Roman"/>
          <w:color w:val="auto"/>
          <w:sz w:val="24"/>
          <w:szCs w:val="24"/>
        </w:rPr>
        <w:t>玛管处工程队废弃采砂坑，</w:t>
      </w:r>
      <w:r>
        <w:rPr>
          <w:rFonts w:ascii="宋体" w:hAnsi="Times New Roman"/>
          <w:color w:val="auto"/>
          <w:sz w:val="24"/>
          <w:szCs w:val="24"/>
        </w:rPr>
        <w:t>垃圾填埋场近</w:t>
      </w:r>
      <w:r>
        <w:rPr>
          <w:rFonts w:hint="eastAsia" w:ascii="宋体" w:hAnsi="Times New Roman"/>
          <w:color w:val="auto"/>
          <w:sz w:val="24"/>
          <w:szCs w:val="24"/>
        </w:rPr>
        <w:t>期设计有效库容为54.2×10</w:t>
      </w:r>
      <w:r>
        <w:rPr>
          <w:rFonts w:hint="eastAsia" w:ascii="宋体" w:hAnsi="Times New Roman"/>
          <w:color w:val="auto"/>
          <w:sz w:val="24"/>
          <w:szCs w:val="24"/>
          <w:vertAlign w:val="superscript"/>
        </w:rPr>
        <w:t>4</w:t>
      </w:r>
      <w:r>
        <w:rPr>
          <w:rFonts w:hint="eastAsia" w:ascii="宋体" w:hAnsi="Times New Roman"/>
          <w:color w:val="auto"/>
          <w:sz w:val="24"/>
          <w:szCs w:val="24"/>
        </w:rPr>
        <w:t>m</w:t>
      </w:r>
      <w:r>
        <w:rPr>
          <w:rFonts w:hint="eastAsia" w:ascii="宋体" w:hAnsi="Times New Roman"/>
          <w:color w:val="auto"/>
          <w:sz w:val="24"/>
          <w:szCs w:val="24"/>
          <w:vertAlign w:val="superscript"/>
        </w:rPr>
        <w:t>3</w:t>
      </w:r>
      <w:r>
        <w:rPr>
          <w:rFonts w:hint="eastAsia" w:ascii="宋体" w:hAnsi="Times New Roman"/>
          <w:color w:val="auto"/>
          <w:sz w:val="24"/>
          <w:szCs w:val="24"/>
        </w:rPr>
        <w:t>，使用年限10年，</w:t>
      </w:r>
      <w:r>
        <w:rPr>
          <w:rFonts w:ascii="宋体" w:hAnsi="Times New Roman"/>
          <w:color w:val="auto"/>
          <w:sz w:val="24"/>
          <w:szCs w:val="24"/>
        </w:rPr>
        <w:t>填埋场</w:t>
      </w:r>
      <w:r>
        <w:rPr>
          <w:rFonts w:hint="eastAsia" w:ascii="宋体" w:hAnsi="Times New Roman"/>
          <w:color w:val="auto"/>
          <w:sz w:val="24"/>
          <w:szCs w:val="24"/>
        </w:rPr>
        <w:t>采用</w:t>
      </w:r>
      <w:r>
        <w:rPr>
          <w:rFonts w:ascii="宋体" w:hAnsi="Times New Roman"/>
          <w:color w:val="auto"/>
          <w:sz w:val="24"/>
          <w:szCs w:val="24"/>
        </w:rPr>
        <w:t>准好氧卫生填埋工艺。主要建设内容包括垃圾收运系统、填埋场建设工程（坝体工程、防渗工程、渗滤液、沼气导排收集系统、绿化及防飞散网设施、终场工程和填埋场道路工程）等。</w:t>
      </w:r>
      <w:r>
        <w:rPr>
          <w:rFonts w:hint="eastAsia" w:ascii="宋体" w:hAnsi="Times New Roman"/>
          <w:color w:val="auto"/>
          <w:sz w:val="24"/>
          <w:szCs w:val="24"/>
        </w:rPr>
        <w:t>该垃圾填埋场于</w:t>
      </w:r>
      <w:bookmarkStart w:id="243" w:name="_Hlk177510252"/>
      <w:r>
        <w:rPr>
          <w:rFonts w:hint="eastAsia" w:ascii="宋体" w:hAnsi="Times New Roman"/>
          <w:color w:val="auto"/>
          <w:sz w:val="24"/>
          <w:szCs w:val="24"/>
        </w:rPr>
        <w:t>2008年12月取得原自治区环境保护厅出具的《关于玛纳斯县城生活垃圾处理工程环境影响报告书的批复》（新环监函〔</w:t>
      </w:r>
      <w:r>
        <w:rPr>
          <w:rFonts w:ascii="宋体" w:hAnsi="Times New Roman"/>
          <w:color w:val="auto"/>
          <w:sz w:val="24"/>
          <w:szCs w:val="24"/>
        </w:rPr>
        <w:t>20</w:t>
      </w:r>
      <w:r>
        <w:rPr>
          <w:rFonts w:hint="eastAsia" w:ascii="宋体" w:hAnsi="Times New Roman"/>
          <w:color w:val="auto"/>
          <w:sz w:val="24"/>
          <w:szCs w:val="24"/>
        </w:rPr>
        <w:t>08〕569</w:t>
      </w:r>
      <w:r>
        <w:rPr>
          <w:rFonts w:ascii="宋体" w:hAnsi="Times New Roman"/>
          <w:color w:val="auto"/>
          <w:sz w:val="24"/>
          <w:szCs w:val="24"/>
        </w:rPr>
        <w:t>号</w:t>
      </w:r>
      <w:r>
        <w:rPr>
          <w:rFonts w:hint="eastAsia" w:ascii="宋体" w:hAnsi="Times New Roman"/>
          <w:color w:val="auto"/>
          <w:sz w:val="24"/>
          <w:szCs w:val="24"/>
        </w:rPr>
        <w:t>），一期工程于2016年1月18日由昌吉回族自治州环境保护局通过了竣工环境保护验收（昌州环函〔2016〕13号），二期工程于2019年6月11日取得昌吉州生态环境局出具的《关于玛纳斯县生活垃圾处理工程（二期）竣工环境保护验收意见》（昌州环评〔2019〕48号）。</w:t>
      </w:r>
    </w:p>
    <w:bookmarkEnd w:id="243"/>
    <w:p w14:paraId="68336EE4">
      <w:pPr>
        <w:spacing w:line="500" w:lineRule="exact"/>
        <w:ind w:firstLine="480" w:firstLineChars="200"/>
        <w:rPr>
          <w:rFonts w:ascii="宋体" w:hAnsi="Times New Roman"/>
          <w:color w:val="auto"/>
          <w:sz w:val="24"/>
        </w:rPr>
      </w:pPr>
      <w:r>
        <w:rPr>
          <w:rFonts w:hint="eastAsia" w:ascii="宋体" w:hAnsi="Times New Roman"/>
          <w:color w:val="auto"/>
          <w:sz w:val="24"/>
        </w:rPr>
        <w:t>本</w:t>
      </w:r>
      <w:bookmarkStart w:id="244" w:name="_Hlk177510264"/>
      <w:r>
        <w:rPr>
          <w:rFonts w:hint="eastAsia" w:ascii="宋体" w:hAnsi="Times New Roman"/>
          <w:color w:val="auto"/>
          <w:sz w:val="24"/>
        </w:rPr>
        <w:t>项目产生的生活垃圾相对于垃圾填埋场的库容所占比例很小，因此可满足本项目需求，依托可行。</w:t>
      </w:r>
      <w:bookmarkEnd w:id="244"/>
    </w:p>
    <w:bookmarkEnd w:id="230"/>
    <w:p w14:paraId="18321A37">
      <w:pPr>
        <w:spacing w:line="500" w:lineRule="exact"/>
        <w:ind w:firstLine="480" w:firstLineChars="200"/>
        <w:rPr>
          <w:rFonts w:ascii="宋体" w:hAnsi="Times New Roman"/>
          <w:color w:val="auto"/>
          <w:sz w:val="24"/>
        </w:rPr>
      </w:pPr>
      <w:bookmarkStart w:id="245" w:name="_Hlk33456988"/>
      <w:bookmarkStart w:id="246" w:name="_Ref494273744"/>
      <w:r>
        <w:rPr>
          <w:rFonts w:hint="eastAsia" w:ascii="宋体" w:hAnsi="Times New Roman"/>
          <w:color w:val="auto"/>
          <w:sz w:val="24"/>
        </w:rPr>
        <w:t>（5）工程组成</w:t>
      </w:r>
    </w:p>
    <w:p w14:paraId="55246D59">
      <w:pPr>
        <w:spacing w:line="500" w:lineRule="exact"/>
        <w:ind w:firstLine="480" w:firstLineChars="200"/>
        <w:rPr>
          <w:rFonts w:ascii="宋体" w:hAnsi="Times New Roman"/>
          <w:color w:val="auto"/>
          <w:sz w:val="24"/>
        </w:rPr>
      </w:pPr>
      <w:r>
        <w:rPr>
          <w:rFonts w:hint="eastAsia" w:ascii="宋体" w:hAnsi="Times New Roman"/>
          <w:color w:val="auto"/>
          <w:sz w:val="24"/>
        </w:rPr>
        <w:t>工程组成汇总见表</w:t>
      </w:r>
      <w:r>
        <w:rPr>
          <w:rFonts w:ascii="宋体" w:hAnsi="Times New Roman"/>
          <w:color w:val="auto"/>
          <w:sz w:val="24"/>
        </w:rPr>
        <w:t>3.</w:t>
      </w:r>
      <w:r>
        <w:rPr>
          <w:rFonts w:hint="eastAsia" w:ascii="宋体" w:hAnsi="Times New Roman"/>
          <w:color w:val="auto"/>
          <w:sz w:val="24"/>
        </w:rPr>
        <w:t>2-12。</w:t>
      </w:r>
      <w:bookmarkStart w:id="247" w:name="_Ref77035750"/>
    </w:p>
    <w:p w14:paraId="7183C01A">
      <w:pPr>
        <w:pStyle w:val="209"/>
        <w:ind w:firstLine="0" w:firstLineChars="0"/>
        <w:jc w:val="center"/>
        <w:rPr>
          <w:rFonts w:hint="eastAsia" w:ascii="黑体" w:hAnsi="黑体" w:eastAsia="黑体"/>
          <w:color w:val="auto"/>
          <w:sz w:val="21"/>
          <w:szCs w:val="21"/>
          <w:lang w:bidi="ar"/>
        </w:rPr>
      </w:pPr>
      <w:r>
        <w:rPr>
          <w:rFonts w:hint="eastAsia" w:ascii="黑体" w:hAnsi="黑体" w:eastAsia="黑体"/>
          <w:color w:val="auto"/>
          <w:sz w:val="21"/>
          <w:szCs w:val="21"/>
        </w:rPr>
        <w:t>表</w:t>
      </w:r>
      <w:bookmarkEnd w:id="247"/>
      <w:r>
        <w:rPr>
          <w:rFonts w:ascii="黑体" w:hAnsi="黑体" w:eastAsia="黑体"/>
          <w:color w:val="auto"/>
          <w:sz w:val="21"/>
          <w:szCs w:val="21"/>
        </w:rPr>
        <w:t>3.2</w:t>
      </w:r>
      <w:r>
        <w:rPr>
          <w:rFonts w:hint="eastAsia" w:ascii="黑体" w:hAnsi="黑体" w:eastAsia="黑体"/>
          <w:color w:val="auto"/>
          <w:sz w:val="21"/>
          <w:szCs w:val="21"/>
        </w:rPr>
        <w:t xml:space="preserve">-12 </w:t>
      </w:r>
      <w:r>
        <w:rPr>
          <w:rFonts w:ascii="黑体" w:hAnsi="黑体" w:eastAsia="黑体"/>
          <w:color w:val="auto"/>
          <w:sz w:val="21"/>
          <w:szCs w:val="21"/>
          <w:lang w:bidi="ar"/>
        </w:rPr>
        <w:t xml:space="preserve"> </w:t>
      </w:r>
      <w:r>
        <w:rPr>
          <w:rFonts w:hint="eastAsia" w:ascii="黑体" w:hAnsi="黑体" w:eastAsia="黑体"/>
          <w:color w:val="auto"/>
          <w:sz w:val="21"/>
          <w:szCs w:val="21"/>
          <w:lang w:bidi="ar"/>
        </w:rPr>
        <w:t>工程组成一览表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571"/>
        <w:gridCol w:w="1427"/>
        <w:gridCol w:w="6788"/>
      </w:tblGrid>
      <w:tr w14:paraId="531F80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325" w:type="pct"/>
            <w:vAlign w:val="center"/>
          </w:tcPr>
          <w:p w14:paraId="666D9E4D">
            <w:pPr>
              <w:widowControl/>
              <w:overflowPunct w:val="0"/>
              <w:adjustRightInd w:val="0"/>
              <w:snapToGrid w:val="0"/>
              <w:spacing w:line="300" w:lineRule="exact"/>
              <w:jc w:val="center"/>
              <w:rPr>
                <w:rFonts w:hint="eastAsia" w:ascii="宋体" w:hAnsi="宋体"/>
                <w:color w:val="auto"/>
                <w:kern w:val="0"/>
                <w:szCs w:val="21"/>
              </w:rPr>
            </w:pPr>
            <w:bookmarkStart w:id="248" w:name="OLE_LINK50"/>
            <w:bookmarkStart w:id="249" w:name="_Hlk63094264"/>
            <w:r>
              <w:rPr>
                <w:rFonts w:ascii="宋体" w:hAnsi="宋体"/>
                <w:color w:val="auto"/>
                <w:kern w:val="0"/>
                <w:szCs w:val="21"/>
              </w:rPr>
              <w:t>类别</w:t>
            </w:r>
          </w:p>
        </w:tc>
        <w:tc>
          <w:tcPr>
            <w:tcW w:w="4675" w:type="pct"/>
            <w:gridSpan w:val="2"/>
            <w:vAlign w:val="center"/>
          </w:tcPr>
          <w:p w14:paraId="165EEFBA">
            <w:pPr>
              <w:widowControl/>
              <w:overflowPunct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具体内容</w:t>
            </w:r>
          </w:p>
        </w:tc>
      </w:tr>
      <w:tr w14:paraId="1BB13F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restart"/>
            <w:vAlign w:val="center"/>
          </w:tcPr>
          <w:p w14:paraId="7A9CDDDC">
            <w:pPr>
              <w:widowControl/>
              <w:overflowPunct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主体</w:t>
            </w:r>
          </w:p>
          <w:p w14:paraId="6EF83343">
            <w:pPr>
              <w:widowControl/>
              <w:overflowPunct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工程</w:t>
            </w:r>
          </w:p>
        </w:tc>
        <w:tc>
          <w:tcPr>
            <w:tcW w:w="812" w:type="pct"/>
            <w:vAlign w:val="center"/>
          </w:tcPr>
          <w:p w14:paraId="42D3725F">
            <w:pPr>
              <w:adjustRightInd w:val="0"/>
              <w:snapToGrid w:val="0"/>
              <w:spacing w:line="300" w:lineRule="exact"/>
              <w:jc w:val="center"/>
              <w:rPr>
                <w:rFonts w:hint="eastAsia" w:ascii="宋体" w:hAnsi="宋体"/>
                <w:color w:val="auto"/>
                <w:szCs w:val="21"/>
              </w:rPr>
            </w:pPr>
            <w:r>
              <w:rPr>
                <w:rFonts w:hint="eastAsia" w:ascii="宋体" w:hAnsi="宋体"/>
                <w:color w:val="auto"/>
                <w:szCs w:val="21"/>
              </w:rPr>
              <w:t>采油井场</w:t>
            </w:r>
          </w:p>
        </w:tc>
        <w:tc>
          <w:tcPr>
            <w:tcW w:w="3863" w:type="pct"/>
            <w:vAlign w:val="center"/>
          </w:tcPr>
          <w:p w14:paraId="44D7890B">
            <w:pPr>
              <w:pStyle w:val="86"/>
              <w:adjustRightInd w:val="0"/>
              <w:snapToGrid w:val="0"/>
              <w:spacing w:line="300" w:lineRule="exact"/>
              <w:ind w:firstLine="0" w:firstLineChars="0"/>
              <w:rPr>
                <w:rFonts w:hint="eastAsia"/>
                <w:color w:val="auto"/>
                <w:sz w:val="21"/>
                <w:szCs w:val="21"/>
              </w:rPr>
            </w:pPr>
            <w:r>
              <w:rPr>
                <w:rFonts w:hint="eastAsia"/>
                <w:color w:val="auto"/>
                <w:sz w:val="21"/>
                <w:szCs w:val="21"/>
              </w:rPr>
              <w:t>新建采油井场3座，分别为</w:t>
            </w:r>
            <w:bookmarkStart w:id="250" w:name="OLE_LINK23"/>
            <w:r>
              <w:rPr>
                <w:rFonts w:hint="eastAsia"/>
                <w:color w:val="auto"/>
                <w:sz w:val="21"/>
                <w:szCs w:val="21"/>
              </w:rPr>
              <w:t>莫27井、莫172H井</w:t>
            </w:r>
            <w:bookmarkEnd w:id="250"/>
            <w:r>
              <w:rPr>
                <w:rFonts w:hint="eastAsia"/>
                <w:color w:val="auto"/>
                <w:sz w:val="21"/>
                <w:szCs w:val="21"/>
              </w:rPr>
              <w:t>和莫174H井，每座井场设1套井口一体化装置。莫172H井井场内建设2台加热节流装置，莫174H井井场内建设1台加热节流装置。</w:t>
            </w:r>
          </w:p>
        </w:tc>
      </w:tr>
      <w:tr w14:paraId="40A231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79D8C0DA">
            <w:pPr>
              <w:widowControl/>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0B6B64E2">
            <w:pPr>
              <w:adjustRightInd w:val="0"/>
              <w:snapToGrid w:val="0"/>
              <w:spacing w:line="300" w:lineRule="exact"/>
              <w:jc w:val="center"/>
              <w:rPr>
                <w:rFonts w:hint="eastAsia" w:ascii="宋体" w:hAnsi="宋体"/>
                <w:color w:val="auto"/>
                <w:szCs w:val="21"/>
              </w:rPr>
            </w:pPr>
            <w:r>
              <w:rPr>
                <w:rFonts w:hint="eastAsia" w:ascii="宋体" w:hAnsi="宋体"/>
                <w:color w:val="auto"/>
                <w:szCs w:val="21"/>
              </w:rPr>
              <w:t>单井采油管线</w:t>
            </w:r>
          </w:p>
        </w:tc>
        <w:tc>
          <w:tcPr>
            <w:tcW w:w="3863" w:type="pct"/>
            <w:vAlign w:val="center"/>
          </w:tcPr>
          <w:p w14:paraId="3209E4FB">
            <w:pPr>
              <w:pStyle w:val="86"/>
              <w:adjustRightInd w:val="0"/>
              <w:snapToGrid w:val="0"/>
              <w:spacing w:line="300" w:lineRule="exact"/>
              <w:ind w:firstLine="0" w:firstLineChars="0"/>
              <w:rPr>
                <w:rFonts w:hint="eastAsia"/>
                <w:color w:val="auto"/>
                <w:sz w:val="21"/>
                <w:szCs w:val="21"/>
              </w:rPr>
            </w:pPr>
            <w:r>
              <w:rPr>
                <w:rFonts w:hint="eastAsia"/>
                <w:color w:val="auto"/>
                <w:sz w:val="21"/>
                <w:szCs w:val="21"/>
              </w:rPr>
              <w:t>新建莫27井至莫172H井的单井采油管线1.09km，管径为DN50、10MPa，设计温度为60℃，管材为优质碳素结构钢</w:t>
            </w:r>
            <w:r>
              <w:rPr>
                <w:color w:val="auto"/>
                <w:sz w:val="21"/>
                <w:szCs w:val="21"/>
              </w:rPr>
              <w:t>20G</w:t>
            </w:r>
            <w:r>
              <w:rPr>
                <w:rFonts w:hint="eastAsia"/>
                <w:color w:val="auto"/>
                <w:sz w:val="21"/>
                <w:szCs w:val="21"/>
              </w:rPr>
              <w:t>材质。</w:t>
            </w:r>
          </w:p>
        </w:tc>
      </w:tr>
      <w:tr w14:paraId="508417C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2950C2F4">
            <w:pPr>
              <w:widowControl/>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1A53D5DF">
            <w:pPr>
              <w:adjustRightInd w:val="0"/>
              <w:snapToGrid w:val="0"/>
              <w:spacing w:line="300" w:lineRule="exact"/>
              <w:jc w:val="center"/>
              <w:rPr>
                <w:rFonts w:hint="eastAsia" w:ascii="宋体" w:hAnsi="宋体"/>
                <w:color w:val="auto"/>
                <w:szCs w:val="21"/>
              </w:rPr>
            </w:pPr>
            <w:r>
              <w:rPr>
                <w:rFonts w:hint="eastAsia" w:ascii="宋体" w:hAnsi="宋体"/>
                <w:color w:val="auto"/>
                <w:szCs w:val="21"/>
              </w:rPr>
              <w:t>橇装天然气浅冷处理装置</w:t>
            </w:r>
          </w:p>
        </w:tc>
        <w:tc>
          <w:tcPr>
            <w:tcW w:w="3863" w:type="pct"/>
            <w:vAlign w:val="center"/>
          </w:tcPr>
          <w:p w14:paraId="1D408D94">
            <w:pPr>
              <w:pStyle w:val="86"/>
              <w:adjustRightInd w:val="0"/>
              <w:snapToGrid w:val="0"/>
              <w:spacing w:line="300" w:lineRule="exact"/>
              <w:ind w:firstLine="0" w:firstLineChars="0"/>
              <w:rPr>
                <w:rFonts w:hint="eastAsia"/>
                <w:color w:val="auto"/>
                <w:sz w:val="21"/>
                <w:szCs w:val="21"/>
              </w:rPr>
            </w:pPr>
            <w:bookmarkStart w:id="251" w:name="OLE_LINK76"/>
            <w:r>
              <w:rPr>
                <w:rFonts w:hint="eastAsia"/>
                <w:color w:val="auto"/>
                <w:sz w:val="21"/>
                <w:szCs w:val="21"/>
              </w:rPr>
              <w:t>在莫172H井场内新建1座8×10</w:t>
            </w:r>
            <w:r>
              <w:rPr>
                <w:rFonts w:hint="eastAsia"/>
                <w:color w:val="auto"/>
                <w:sz w:val="21"/>
                <w:szCs w:val="21"/>
                <w:vertAlign w:val="superscript"/>
              </w:rPr>
              <w:t>4</w:t>
            </w:r>
            <w:r>
              <w:rPr>
                <w:rFonts w:hint="eastAsia"/>
                <w:color w:val="auto"/>
                <w:sz w:val="21"/>
                <w:szCs w:val="21"/>
              </w:rPr>
              <w:t>m</w:t>
            </w:r>
            <w:r>
              <w:rPr>
                <w:rFonts w:hint="eastAsia"/>
                <w:color w:val="auto"/>
                <w:sz w:val="21"/>
                <w:szCs w:val="21"/>
                <w:vertAlign w:val="superscript"/>
              </w:rPr>
              <w:t>3</w:t>
            </w:r>
            <w:r>
              <w:rPr>
                <w:rFonts w:hint="eastAsia"/>
                <w:color w:val="auto"/>
                <w:sz w:val="21"/>
                <w:szCs w:val="21"/>
              </w:rPr>
              <w:t>/d的橇装天然气浅冷处理装置</w:t>
            </w:r>
            <w:bookmarkEnd w:id="251"/>
            <w:r>
              <w:rPr>
                <w:rFonts w:hint="eastAsia"/>
                <w:color w:val="auto"/>
                <w:sz w:val="21"/>
                <w:szCs w:val="21"/>
              </w:rPr>
              <w:t>；在莫174H井场内新建1座3×10</w:t>
            </w:r>
            <w:r>
              <w:rPr>
                <w:rFonts w:hint="eastAsia"/>
                <w:color w:val="auto"/>
                <w:sz w:val="21"/>
                <w:szCs w:val="21"/>
                <w:vertAlign w:val="superscript"/>
              </w:rPr>
              <w:t>4</w:t>
            </w:r>
            <w:r>
              <w:rPr>
                <w:rFonts w:hint="eastAsia"/>
                <w:color w:val="auto"/>
                <w:sz w:val="21"/>
                <w:szCs w:val="21"/>
              </w:rPr>
              <w:t>m</w:t>
            </w:r>
            <w:r>
              <w:rPr>
                <w:rFonts w:hint="eastAsia"/>
                <w:color w:val="auto"/>
                <w:sz w:val="21"/>
                <w:szCs w:val="21"/>
                <w:vertAlign w:val="superscript"/>
              </w:rPr>
              <w:t>3</w:t>
            </w:r>
            <w:r>
              <w:rPr>
                <w:rFonts w:hint="eastAsia"/>
                <w:color w:val="auto"/>
                <w:sz w:val="21"/>
                <w:szCs w:val="21"/>
              </w:rPr>
              <w:t>/d的橇装天然气浅冷处理装置，</w:t>
            </w:r>
            <w:r>
              <w:rPr>
                <w:color w:val="auto"/>
                <w:sz w:val="21"/>
                <w:szCs w:val="21"/>
              </w:rPr>
              <w:t>CNG充气柱</w:t>
            </w:r>
            <w:r>
              <w:rPr>
                <w:rFonts w:hint="eastAsia"/>
                <w:color w:val="auto"/>
                <w:sz w:val="21"/>
                <w:szCs w:val="21"/>
              </w:rPr>
              <w:t>1座，规模</w:t>
            </w:r>
            <w:r>
              <w:rPr>
                <w:color w:val="auto"/>
                <w:sz w:val="21"/>
                <w:szCs w:val="21"/>
              </w:rPr>
              <w:t>为4×10</w:t>
            </w:r>
            <w:r>
              <w:rPr>
                <w:color w:val="auto"/>
                <w:sz w:val="21"/>
                <w:szCs w:val="21"/>
                <w:vertAlign w:val="superscript"/>
              </w:rPr>
              <w:t>4</w:t>
            </w:r>
            <w:r>
              <w:rPr>
                <w:color w:val="auto"/>
                <w:sz w:val="21"/>
                <w:szCs w:val="21"/>
              </w:rPr>
              <w:t>Nm</w:t>
            </w:r>
            <w:r>
              <w:rPr>
                <w:color w:val="auto"/>
                <w:sz w:val="21"/>
                <w:szCs w:val="21"/>
                <w:vertAlign w:val="superscript"/>
              </w:rPr>
              <w:t>3</w:t>
            </w:r>
            <w:r>
              <w:rPr>
                <w:color w:val="auto"/>
                <w:sz w:val="21"/>
                <w:szCs w:val="21"/>
              </w:rPr>
              <w:t>/d</w:t>
            </w:r>
            <w:r>
              <w:rPr>
                <w:rFonts w:hint="eastAsia"/>
                <w:color w:val="auto"/>
                <w:sz w:val="21"/>
                <w:szCs w:val="21"/>
              </w:rPr>
              <w:t>；</w:t>
            </w:r>
            <w:r>
              <w:rPr>
                <w:color w:val="auto"/>
                <w:sz w:val="21"/>
                <w:szCs w:val="21"/>
              </w:rPr>
              <w:t>1座混烃装车鹤管</w:t>
            </w:r>
            <w:r>
              <w:rPr>
                <w:rFonts w:hint="eastAsia"/>
                <w:color w:val="auto"/>
                <w:sz w:val="21"/>
                <w:szCs w:val="21"/>
              </w:rPr>
              <w:t>，</w:t>
            </w:r>
            <w:r>
              <w:rPr>
                <w:color w:val="auto"/>
                <w:sz w:val="21"/>
                <w:szCs w:val="21"/>
              </w:rPr>
              <w:t>处理量为</w:t>
            </w:r>
            <w:r>
              <w:rPr>
                <w:rFonts w:hint="eastAsia"/>
                <w:color w:val="auto"/>
                <w:sz w:val="21"/>
                <w:szCs w:val="21"/>
              </w:rPr>
              <w:t>15</w:t>
            </w:r>
            <w:r>
              <w:rPr>
                <w:color w:val="auto"/>
                <w:sz w:val="21"/>
                <w:szCs w:val="21"/>
              </w:rPr>
              <w:t>m</w:t>
            </w:r>
            <w:r>
              <w:rPr>
                <w:color w:val="auto"/>
                <w:sz w:val="21"/>
                <w:szCs w:val="21"/>
                <w:vertAlign w:val="superscript"/>
              </w:rPr>
              <w:t>3</w:t>
            </w:r>
            <w:r>
              <w:rPr>
                <w:color w:val="auto"/>
                <w:sz w:val="21"/>
                <w:szCs w:val="21"/>
              </w:rPr>
              <w:t>/h</w:t>
            </w:r>
            <w:r>
              <w:rPr>
                <w:rFonts w:hint="eastAsia"/>
                <w:color w:val="auto"/>
                <w:sz w:val="21"/>
                <w:szCs w:val="21"/>
              </w:rPr>
              <w:t>；1座原油装车鹤管</w:t>
            </w:r>
            <w:r>
              <w:rPr>
                <w:color w:val="auto"/>
                <w:sz w:val="21"/>
                <w:szCs w:val="21"/>
              </w:rPr>
              <w:t>，处理量为</w:t>
            </w:r>
            <w:r>
              <w:rPr>
                <w:rFonts w:hint="eastAsia"/>
                <w:color w:val="auto"/>
                <w:sz w:val="21"/>
                <w:szCs w:val="21"/>
              </w:rPr>
              <w:t>15</w:t>
            </w:r>
            <w:r>
              <w:rPr>
                <w:color w:val="auto"/>
                <w:sz w:val="21"/>
                <w:szCs w:val="21"/>
              </w:rPr>
              <w:t>m</w:t>
            </w:r>
            <w:r>
              <w:rPr>
                <w:color w:val="auto"/>
                <w:sz w:val="21"/>
                <w:szCs w:val="21"/>
                <w:vertAlign w:val="superscript"/>
              </w:rPr>
              <w:t>3</w:t>
            </w:r>
            <w:r>
              <w:rPr>
                <w:color w:val="auto"/>
                <w:sz w:val="21"/>
                <w:szCs w:val="21"/>
              </w:rPr>
              <w:t>/h。19m</w:t>
            </w:r>
            <w:r>
              <w:rPr>
                <w:color w:val="auto"/>
                <w:sz w:val="21"/>
                <w:szCs w:val="21"/>
                <w:vertAlign w:val="superscript"/>
              </w:rPr>
              <w:t>3</w:t>
            </w:r>
            <w:r>
              <w:rPr>
                <w:color w:val="auto"/>
                <w:sz w:val="21"/>
                <w:szCs w:val="21"/>
              </w:rPr>
              <w:t>混烃储罐橇</w:t>
            </w:r>
            <w:r>
              <w:rPr>
                <w:rFonts w:hint="eastAsia"/>
                <w:color w:val="auto"/>
                <w:sz w:val="21"/>
                <w:szCs w:val="21"/>
              </w:rPr>
              <w:t>1座</w:t>
            </w:r>
            <w:bookmarkStart w:id="252" w:name="OLE_LINK13"/>
            <w:r>
              <w:rPr>
                <w:rFonts w:hint="eastAsia"/>
                <w:color w:val="auto"/>
                <w:sz w:val="21"/>
                <w:szCs w:val="21"/>
              </w:rPr>
              <w:t>（压力罐）</w:t>
            </w:r>
            <w:bookmarkEnd w:id="252"/>
            <w:r>
              <w:rPr>
                <w:rFonts w:hint="eastAsia"/>
                <w:color w:val="auto"/>
                <w:sz w:val="21"/>
                <w:szCs w:val="21"/>
              </w:rPr>
              <w:t>，</w:t>
            </w:r>
            <w:r>
              <w:rPr>
                <w:color w:val="auto"/>
                <w:sz w:val="21"/>
                <w:szCs w:val="21"/>
              </w:rPr>
              <w:t>60m</w:t>
            </w:r>
            <w:r>
              <w:rPr>
                <w:color w:val="auto"/>
                <w:sz w:val="21"/>
                <w:szCs w:val="21"/>
                <w:vertAlign w:val="superscript"/>
              </w:rPr>
              <w:t>3</w:t>
            </w:r>
            <w:r>
              <w:rPr>
                <w:color w:val="auto"/>
                <w:sz w:val="21"/>
                <w:szCs w:val="21"/>
              </w:rPr>
              <w:t>原油储罐</w:t>
            </w:r>
            <w:r>
              <w:rPr>
                <w:rFonts w:hint="eastAsia"/>
                <w:color w:val="auto"/>
                <w:sz w:val="21"/>
                <w:szCs w:val="21"/>
              </w:rPr>
              <w:t>2座。</w:t>
            </w:r>
          </w:p>
        </w:tc>
      </w:tr>
      <w:tr w14:paraId="5EC0EA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7690B276">
            <w:pPr>
              <w:widowControl/>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281B472A">
            <w:pPr>
              <w:adjustRightInd w:val="0"/>
              <w:snapToGrid w:val="0"/>
              <w:spacing w:line="300" w:lineRule="exact"/>
              <w:jc w:val="center"/>
              <w:rPr>
                <w:rFonts w:hint="eastAsia" w:ascii="宋体" w:hAnsi="宋体"/>
                <w:color w:val="auto"/>
                <w:szCs w:val="21"/>
              </w:rPr>
            </w:pPr>
            <w:r>
              <w:rPr>
                <w:rFonts w:hint="eastAsia" w:ascii="宋体" w:hAnsi="宋体"/>
                <w:color w:val="auto"/>
                <w:szCs w:val="21"/>
              </w:rPr>
              <w:t>充装区</w:t>
            </w:r>
          </w:p>
        </w:tc>
        <w:tc>
          <w:tcPr>
            <w:tcW w:w="3863" w:type="pct"/>
            <w:vAlign w:val="center"/>
          </w:tcPr>
          <w:p w14:paraId="3985D81F">
            <w:pPr>
              <w:pStyle w:val="86"/>
              <w:adjustRightInd w:val="0"/>
              <w:snapToGrid w:val="0"/>
              <w:spacing w:line="300" w:lineRule="exact"/>
              <w:ind w:firstLine="0" w:firstLineChars="0"/>
              <w:rPr>
                <w:rFonts w:hint="eastAsia"/>
                <w:color w:val="auto"/>
                <w:sz w:val="21"/>
                <w:szCs w:val="21"/>
              </w:rPr>
            </w:pPr>
            <w:r>
              <w:rPr>
                <w:rFonts w:hint="eastAsia"/>
                <w:color w:val="auto"/>
                <w:sz w:val="21"/>
                <w:szCs w:val="21"/>
              </w:rPr>
              <w:t>在莫172H井场附近建设1座充装区，包含</w:t>
            </w:r>
            <w:r>
              <w:rPr>
                <w:color w:val="auto"/>
                <w:sz w:val="21"/>
                <w:szCs w:val="21"/>
              </w:rPr>
              <w:t>新建CNG充气柱</w:t>
            </w:r>
            <w:r>
              <w:rPr>
                <w:rFonts w:hint="eastAsia"/>
                <w:color w:val="auto"/>
                <w:sz w:val="21"/>
                <w:szCs w:val="21"/>
              </w:rPr>
              <w:t>2座，规模</w:t>
            </w:r>
            <w:r>
              <w:rPr>
                <w:color w:val="auto"/>
                <w:sz w:val="21"/>
                <w:szCs w:val="21"/>
              </w:rPr>
              <w:t>为4×10</w:t>
            </w:r>
            <w:r>
              <w:rPr>
                <w:color w:val="auto"/>
                <w:sz w:val="21"/>
                <w:szCs w:val="21"/>
                <w:vertAlign w:val="superscript"/>
              </w:rPr>
              <w:t>4</w:t>
            </w:r>
            <w:r>
              <w:rPr>
                <w:color w:val="auto"/>
                <w:sz w:val="21"/>
                <w:szCs w:val="21"/>
              </w:rPr>
              <w:t>Nm</w:t>
            </w:r>
            <w:r>
              <w:rPr>
                <w:color w:val="auto"/>
                <w:sz w:val="21"/>
                <w:szCs w:val="21"/>
                <w:vertAlign w:val="superscript"/>
              </w:rPr>
              <w:t>3</w:t>
            </w:r>
            <w:r>
              <w:rPr>
                <w:color w:val="auto"/>
                <w:sz w:val="21"/>
                <w:szCs w:val="21"/>
              </w:rPr>
              <w:t>/d</w:t>
            </w:r>
            <w:r>
              <w:rPr>
                <w:rFonts w:hint="eastAsia"/>
                <w:color w:val="auto"/>
                <w:sz w:val="21"/>
                <w:szCs w:val="21"/>
              </w:rPr>
              <w:t>；</w:t>
            </w:r>
            <w:bookmarkStart w:id="253" w:name="OLE_LINK77"/>
            <w:r>
              <w:rPr>
                <w:color w:val="auto"/>
                <w:sz w:val="21"/>
                <w:szCs w:val="21"/>
              </w:rPr>
              <w:t>1座混烃装车鹤管</w:t>
            </w:r>
            <w:r>
              <w:rPr>
                <w:rFonts w:hint="eastAsia"/>
                <w:color w:val="auto"/>
                <w:sz w:val="21"/>
                <w:szCs w:val="21"/>
              </w:rPr>
              <w:t>，</w:t>
            </w:r>
            <w:r>
              <w:rPr>
                <w:color w:val="auto"/>
                <w:sz w:val="21"/>
                <w:szCs w:val="21"/>
              </w:rPr>
              <w:t>处理量为30m</w:t>
            </w:r>
            <w:r>
              <w:rPr>
                <w:color w:val="auto"/>
                <w:sz w:val="21"/>
                <w:szCs w:val="21"/>
                <w:vertAlign w:val="superscript"/>
              </w:rPr>
              <w:t>3</w:t>
            </w:r>
            <w:r>
              <w:rPr>
                <w:color w:val="auto"/>
                <w:sz w:val="21"/>
                <w:szCs w:val="21"/>
              </w:rPr>
              <w:t>/h</w:t>
            </w:r>
            <w:r>
              <w:rPr>
                <w:rFonts w:hint="eastAsia"/>
                <w:color w:val="auto"/>
                <w:sz w:val="21"/>
                <w:szCs w:val="21"/>
              </w:rPr>
              <w:t>；1座原油装车鹤管</w:t>
            </w:r>
            <w:r>
              <w:rPr>
                <w:color w:val="auto"/>
                <w:sz w:val="21"/>
                <w:szCs w:val="21"/>
              </w:rPr>
              <w:t>，处理量为30m</w:t>
            </w:r>
            <w:r>
              <w:rPr>
                <w:color w:val="auto"/>
                <w:sz w:val="21"/>
                <w:szCs w:val="21"/>
                <w:vertAlign w:val="superscript"/>
              </w:rPr>
              <w:t>3</w:t>
            </w:r>
            <w:r>
              <w:rPr>
                <w:color w:val="auto"/>
                <w:sz w:val="21"/>
                <w:szCs w:val="21"/>
              </w:rPr>
              <w:t>/h。19m</w:t>
            </w:r>
            <w:r>
              <w:rPr>
                <w:color w:val="auto"/>
                <w:sz w:val="21"/>
                <w:szCs w:val="21"/>
                <w:vertAlign w:val="superscript"/>
              </w:rPr>
              <w:t>3</w:t>
            </w:r>
            <w:r>
              <w:rPr>
                <w:color w:val="auto"/>
                <w:sz w:val="21"/>
                <w:szCs w:val="21"/>
              </w:rPr>
              <w:t>混烃储罐橇</w:t>
            </w:r>
            <w:r>
              <w:rPr>
                <w:rFonts w:hint="eastAsia"/>
                <w:color w:val="auto"/>
                <w:sz w:val="21"/>
                <w:szCs w:val="21"/>
              </w:rPr>
              <w:t>2座（压力罐），</w:t>
            </w:r>
            <w:r>
              <w:rPr>
                <w:color w:val="auto"/>
                <w:sz w:val="21"/>
                <w:szCs w:val="21"/>
              </w:rPr>
              <w:t>19m</w:t>
            </w:r>
            <w:r>
              <w:rPr>
                <w:color w:val="auto"/>
                <w:sz w:val="21"/>
                <w:szCs w:val="21"/>
                <w:vertAlign w:val="superscript"/>
              </w:rPr>
              <w:t>3</w:t>
            </w:r>
            <w:r>
              <w:rPr>
                <w:rFonts w:hint="eastAsia"/>
                <w:color w:val="auto"/>
                <w:sz w:val="21"/>
                <w:szCs w:val="21"/>
              </w:rPr>
              <w:t>原油</w:t>
            </w:r>
            <w:r>
              <w:rPr>
                <w:color w:val="auto"/>
                <w:sz w:val="21"/>
                <w:szCs w:val="21"/>
              </w:rPr>
              <w:t>储罐橇</w:t>
            </w:r>
            <w:r>
              <w:rPr>
                <w:rFonts w:hint="eastAsia"/>
                <w:color w:val="auto"/>
                <w:sz w:val="21"/>
                <w:szCs w:val="21"/>
              </w:rPr>
              <w:t>2座，</w:t>
            </w:r>
            <w:r>
              <w:rPr>
                <w:color w:val="auto"/>
                <w:sz w:val="21"/>
                <w:szCs w:val="21"/>
              </w:rPr>
              <w:t>60m</w:t>
            </w:r>
            <w:r>
              <w:rPr>
                <w:color w:val="auto"/>
                <w:sz w:val="21"/>
                <w:szCs w:val="21"/>
                <w:vertAlign w:val="superscript"/>
              </w:rPr>
              <w:t>3</w:t>
            </w:r>
            <w:r>
              <w:rPr>
                <w:color w:val="auto"/>
                <w:sz w:val="21"/>
                <w:szCs w:val="21"/>
              </w:rPr>
              <w:t>原油储罐</w:t>
            </w:r>
            <w:r>
              <w:rPr>
                <w:rFonts w:hint="eastAsia"/>
                <w:color w:val="auto"/>
                <w:sz w:val="21"/>
                <w:szCs w:val="21"/>
              </w:rPr>
              <w:t>2座。</w:t>
            </w:r>
            <w:bookmarkEnd w:id="253"/>
          </w:p>
        </w:tc>
      </w:tr>
      <w:tr w14:paraId="6C0899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restart"/>
            <w:vAlign w:val="center"/>
          </w:tcPr>
          <w:p w14:paraId="29E3287E">
            <w:pPr>
              <w:overflowPunct w:val="0"/>
              <w:adjustRightInd w:val="0"/>
              <w:snapToGrid w:val="0"/>
              <w:spacing w:line="300" w:lineRule="exact"/>
              <w:jc w:val="center"/>
              <w:rPr>
                <w:rFonts w:hint="eastAsia" w:ascii="宋体" w:hAnsi="宋体"/>
                <w:color w:val="auto"/>
                <w:kern w:val="0"/>
                <w:szCs w:val="21"/>
              </w:rPr>
            </w:pPr>
            <w:bookmarkStart w:id="254" w:name="_Hlk177548922"/>
            <w:r>
              <w:rPr>
                <w:rFonts w:hint="eastAsia" w:ascii="宋体" w:hAnsi="宋体"/>
                <w:color w:val="auto"/>
                <w:kern w:val="0"/>
                <w:szCs w:val="21"/>
              </w:rPr>
              <w:t>公用</w:t>
            </w:r>
          </w:p>
          <w:p w14:paraId="0A953335">
            <w:pPr>
              <w:overflowPunct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工程</w:t>
            </w:r>
          </w:p>
        </w:tc>
        <w:tc>
          <w:tcPr>
            <w:tcW w:w="812" w:type="pct"/>
            <w:vAlign w:val="center"/>
          </w:tcPr>
          <w:p w14:paraId="18DA2C08">
            <w:pPr>
              <w:adjustRightInd w:val="0"/>
              <w:snapToGrid w:val="0"/>
              <w:spacing w:line="300" w:lineRule="exact"/>
              <w:jc w:val="center"/>
              <w:rPr>
                <w:rFonts w:hint="eastAsia" w:ascii="宋体" w:hAnsi="宋体"/>
                <w:color w:val="auto"/>
                <w:szCs w:val="21"/>
              </w:rPr>
            </w:pPr>
            <w:r>
              <w:rPr>
                <w:rFonts w:hint="eastAsia" w:ascii="宋体" w:hAnsi="宋体"/>
                <w:color w:val="auto"/>
                <w:kern w:val="0"/>
                <w:szCs w:val="21"/>
              </w:rPr>
              <w:t>供配电</w:t>
            </w:r>
          </w:p>
        </w:tc>
        <w:tc>
          <w:tcPr>
            <w:tcW w:w="3863" w:type="pct"/>
            <w:vAlign w:val="center"/>
          </w:tcPr>
          <w:p w14:paraId="04D7F618">
            <w:pPr>
              <w:pStyle w:val="86"/>
              <w:adjustRightInd w:val="0"/>
              <w:snapToGrid w:val="0"/>
              <w:spacing w:line="300" w:lineRule="exact"/>
              <w:ind w:firstLine="0" w:firstLineChars="0"/>
              <w:rPr>
                <w:rFonts w:hint="eastAsia"/>
                <w:color w:val="auto"/>
                <w:sz w:val="21"/>
                <w:szCs w:val="21"/>
              </w:rPr>
            </w:pPr>
            <w:r>
              <w:rPr>
                <w:rFonts w:hint="eastAsia"/>
                <w:color w:val="auto"/>
                <w:sz w:val="21"/>
                <w:szCs w:val="21"/>
              </w:rPr>
              <w:t>用电负荷等级为三级，电压等级为380/220V，年耗电量为932.25×1</w:t>
            </w:r>
            <w:r>
              <w:rPr>
                <w:color w:val="auto"/>
                <w:sz w:val="21"/>
                <w:szCs w:val="21"/>
              </w:rPr>
              <w:t>0</w:t>
            </w:r>
            <w:r>
              <w:rPr>
                <w:color w:val="auto"/>
                <w:sz w:val="21"/>
                <w:szCs w:val="21"/>
                <w:vertAlign w:val="superscript"/>
              </w:rPr>
              <w:t>4</w:t>
            </w:r>
            <w:r>
              <w:rPr>
                <w:rFonts w:hint="eastAsia"/>
                <w:color w:val="auto"/>
                <w:sz w:val="21"/>
                <w:szCs w:val="21"/>
              </w:rPr>
              <w:t>k</w:t>
            </w:r>
            <w:r>
              <w:rPr>
                <w:color w:val="auto"/>
                <w:sz w:val="21"/>
                <w:szCs w:val="21"/>
              </w:rPr>
              <w:t>W</w:t>
            </w:r>
            <w:r>
              <w:rPr>
                <w:rFonts w:hint="eastAsia"/>
                <w:color w:val="auto"/>
                <w:sz w:val="21"/>
                <w:szCs w:val="21"/>
              </w:rPr>
              <w:t>•h。用电由新建的燃气发电机提供。</w:t>
            </w:r>
          </w:p>
        </w:tc>
      </w:tr>
      <w:tr w14:paraId="05233E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20EC6F11">
            <w:pPr>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296D9CD8">
            <w:pPr>
              <w:pStyle w:val="209"/>
              <w:adjustRightInd w:val="0"/>
              <w:snapToGrid w:val="0"/>
              <w:spacing w:line="300" w:lineRule="exact"/>
              <w:ind w:firstLine="0" w:firstLineChars="0"/>
              <w:jc w:val="center"/>
              <w:rPr>
                <w:rFonts w:hint="eastAsia" w:eastAsia="宋体"/>
                <w:color w:val="auto"/>
                <w:sz w:val="21"/>
                <w:szCs w:val="21"/>
              </w:rPr>
            </w:pPr>
            <w:r>
              <w:rPr>
                <w:rFonts w:hint="eastAsia" w:eastAsia="宋体"/>
                <w:color w:val="auto"/>
                <w:sz w:val="21"/>
                <w:szCs w:val="21"/>
              </w:rPr>
              <w:t>仪表自动化</w:t>
            </w:r>
          </w:p>
        </w:tc>
        <w:tc>
          <w:tcPr>
            <w:tcW w:w="3863" w:type="pct"/>
            <w:vAlign w:val="center"/>
          </w:tcPr>
          <w:p w14:paraId="6D26D0C0">
            <w:pPr>
              <w:pStyle w:val="209"/>
              <w:adjustRightInd w:val="0"/>
              <w:snapToGrid w:val="0"/>
              <w:spacing w:line="300" w:lineRule="exact"/>
              <w:ind w:firstLine="0" w:firstLineChars="0"/>
              <w:rPr>
                <w:rFonts w:hint="eastAsia" w:eastAsia="宋体"/>
                <w:color w:val="auto"/>
                <w:sz w:val="21"/>
                <w:szCs w:val="21"/>
              </w:rPr>
            </w:pPr>
            <w:r>
              <w:rPr>
                <w:rFonts w:hint="eastAsia" w:eastAsia="宋体"/>
                <w:color w:val="auto"/>
                <w:sz w:val="21"/>
                <w:szCs w:val="21"/>
              </w:rPr>
              <w:t>本项目</w:t>
            </w:r>
            <w:r>
              <w:rPr>
                <w:rFonts w:eastAsia="宋体"/>
                <w:color w:val="auto"/>
                <w:sz w:val="21"/>
                <w:szCs w:val="21"/>
              </w:rPr>
              <w:t>在</w:t>
            </w:r>
            <w:r>
              <w:rPr>
                <w:rFonts w:hint="eastAsia" w:eastAsia="宋体"/>
                <w:color w:val="auto"/>
                <w:sz w:val="21"/>
                <w:szCs w:val="21"/>
              </w:rPr>
              <w:t>莫172H井和莫174H井</w:t>
            </w:r>
            <w:r>
              <w:rPr>
                <w:rFonts w:eastAsia="宋体"/>
                <w:color w:val="auto"/>
                <w:sz w:val="21"/>
                <w:szCs w:val="21"/>
              </w:rPr>
              <w:t>仪控室内</w:t>
            </w:r>
            <w:r>
              <w:rPr>
                <w:rFonts w:hint="eastAsia" w:eastAsia="宋体"/>
                <w:color w:val="auto"/>
                <w:sz w:val="21"/>
                <w:szCs w:val="21"/>
              </w:rPr>
              <w:t>均</w:t>
            </w:r>
            <w:r>
              <w:rPr>
                <w:rFonts w:eastAsia="宋体"/>
                <w:color w:val="auto"/>
                <w:sz w:val="21"/>
                <w:szCs w:val="21"/>
              </w:rPr>
              <w:t>设置1套SCADA系统上位机，橇装设备通过TCP传输至站控系上位机内</w:t>
            </w:r>
            <w:r>
              <w:rPr>
                <w:rFonts w:hint="eastAsia" w:eastAsia="宋体"/>
                <w:color w:val="auto"/>
                <w:sz w:val="21"/>
                <w:szCs w:val="21"/>
              </w:rPr>
              <w:t>。各井场</w:t>
            </w:r>
            <w:r>
              <w:rPr>
                <w:rFonts w:eastAsia="宋体"/>
                <w:color w:val="auto"/>
                <w:sz w:val="21"/>
                <w:szCs w:val="21"/>
              </w:rPr>
              <w:t>新建1套站场视频安防监控系统（频机柜内），并敷设前端球机摄像机至新建视频安防监控系统后端的电缆。</w:t>
            </w:r>
          </w:p>
        </w:tc>
      </w:tr>
      <w:tr w14:paraId="69C36F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34132C84">
            <w:pPr>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5E9F8417">
            <w:pPr>
              <w:pStyle w:val="209"/>
              <w:adjustRightInd w:val="0"/>
              <w:snapToGrid w:val="0"/>
              <w:spacing w:line="300" w:lineRule="exact"/>
              <w:ind w:firstLine="0" w:firstLineChars="0"/>
              <w:jc w:val="center"/>
              <w:rPr>
                <w:rFonts w:hint="eastAsia" w:eastAsia="宋体"/>
                <w:color w:val="auto"/>
                <w:sz w:val="21"/>
                <w:szCs w:val="21"/>
              </w:rPr>
            </w:pPr>
            <w:r>
              <w:rPr>
                <w:rFonts w:hint="eastAsia" w:eastAsia="宋体"/>
                <w:color w:val="auto"/>
                <w:sz w:val="21"/>
                <w:szCs w:val="21"/>
              </w:rPr>
              <w:t>消防</w:t>
            </w:r>
          </w:p>
        </w:tc>
        <w:tc>
          <w:tcPr>
            <w:tcW w:w="3863" w:type="pct"/>
            <w:vAlign w:val="center"/>
          </w:tcPr>
          <w:p w14:paraId="289B52C7">
            <w:pPr>
              <w:pStyle w:val="209"/>
              <w:adjustRightInd w:val="0"/>
              <w:snapToGrid w:val="0"/>
              <w:spacing w:line="300" w:lineRule="exact"/>
              <w:ind w:firstLine="0" w:firstLineChars="0"/>
              <w:rPr>
                <w:rFonts w:hint="eastAsia" w:eastAsia="宋体"/>
                <w:color w:val="auto"/>
                <w:sz w:val="21"/>
                <w:szCs w:val="21"/>
              </w:rPr>
            </w:pPr>
            <w:r>
              <w:rPr>
                <w:rFonts w:eastAsia="宋体"/>
                <w:color w:val="auto"/>
                <w:sz w:val="21"/>
                <w:szCs w:val="21"/>
              </w:rPr>
              <w:t>在新建的油井变压器区等防火区配置手提式磷酸铵盐灭火器和推车式磷酸铵盐干粉灭火器。</w:t>
            </w:r>
            <w:r>
              <w:rPr>
                <w:rFonts w:hint="eastAsia" w:eastAsia="宋体"/>
                <w:color w:val="auto"/>
                <w:sz w:val="21"/>
                <w:szCs w:val="21"/>
              </w:rPr>
              <w:t>新建的2座撬装天然气浅冷处理装置处设有一定数量的手提式灭火器。</w:t>
            </w:r>
          </w:p>
        </w:tc>
      </w:tr>
      <w:tr w14:paraId="3539139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09A37305">
            <w:pPr>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5E803EDC">
            <w:pPr>
              <w:pStyle w:val="209"/>
              <w:adjustRightInd w:val="0"/>
              <w:snapToGrid w:val="0"/>
              <w:spacing w:line="300" w:lineRule="exact"/>
              <w:ind w:firstLine="0" w:firstLineChars="0"/>
              <w:jc w:val="center"/>
              <w:rPr>
                <w:rFonts w:hint="eastAsia" w:eastAsia="宋体"/>
                <w:color w:val="auto"/>
                <w:sz w:val="21"/>
                <w:szCs w:val="21"/>
              </w:rPr>
            </w:pPr>
            <w:r>
              <w:rPr>
                <w:rFonts w:hint="eastAsia" w:eastAsia="宋体"/>
                <w:color w:val="auto"/>
                <w:sz w:val="21"/>
                <w:szCs w:val="21"/>
              </w:rPr>
              <w:t>给排水</w:t>
            </w:r>
          </w:p>
        </w:tc>
        <w:tc>
          <w:tcPr>
            <w:tcW w:w="3863" w:type="pct"/>
            <w:vAlign w:val="center"/>
          </w:tcPr>
          <w:p w14:paraId="78F87907">
            <w:pPr>
              <w:pStyle w:val="209"/>
              <w:adjustRightInd w:val="0"/>
              <w:snapToGrid w:val="0"/>
              <w:spacing w:line="300" w:lineRule="exact"/>
              <w:ind w:firstLine="0" w:firstLineChars="0"/>
              <w:rPr>
                <w:rFonts w:hint="eastAsia" w:eastAsia="宋体"/>
                <w:color w:val="auto"/>
                <w:sz w:val="21"/>
                <w:szCs w:val="21"/>
              </w:rPr>
            </w:pPr>
            <w:r>
              <w:rPr>
                <w:rFonts w:hint="eastAsia" w:eastAsia="宋体"/>
                <w:color w:val="auto"/>
                <w:sz w:val="21"/>
                <w:szCs w:val="21"/>
              </w:rPr>
              <w:t>施工期用水主要为管道试压废水、混凝土养护用水，运营期用水主要为井下作业用水，由罐车从石西油田作业区拉运至项目区。</w:t>
            </w:r>
          </w:p>
          <w:p w14:paraId="6F47EC17">
            <w:pPr>
              <w:pStyle w:val="209"/>
              <w:adjustRightInd w:val="0"/>
              <w:snapToGrid w:val="0"/>
              <w:spacing w:line="300" w:lineRule="exact"/>
              <w:ind w:firstLine="0" w:firstLineChars="0"/>
              <w:rPr>
                <w:rFonts w:hint="eastAsia" w:eastAsia="宋体"/>
                <w:color w:val="auto"/>
                <w:sz w:val="21"/>
                <w:szCs w:val="21"/>
              </w:rPr>
            </w:pPr>
            <w:r>
              <w:rPr>
                <w:rFonts w:hint="eastAsia" w:eastAsia="宋体"/>
                <w:color w:val="auto"/>
                <w:sz w:val="21"/>
                <w:szCs w:val="21"/>
              </w:rPr>
              <w:t>施工期废水主要为管道试压废水、混凝土养护用水，管道试压废水主要用于项目区洒水抑尘，混凝土养护用水主要靠自然蒸发；运营期废水主要为井下作业废液（压裂返排液和废洗井液）、含油污水和生活污水，井下作业废液和含油污水由罐车拉运至莫北转油站采出水处理系统处理，生活污水由吸污车拉运至玛纳斯县生活污水处理厂处理。</w:t>
            </w:r>
          </w:p>
        </w:tc>
      </w:tr>
      <w:bookmarkEnd w:id="248"/>
      <w:tr w14:paraId="483C4D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69B12440">
            <w:pPr>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4BC8A562">
            <w:pPr>
              <w:pStyle w:val="209"/>
              <w:adjustRightInd w:val="0"/>
              <w:snapToGrid w:val="0"/>
              <w:spacing w:line="300" w:lineRule="exact"/>
              <w:ind w:firstLine="0" w:firstLineChars="0"/>
              <w:jc w:val="center"/>
              <w:rPr>
                <w:rFonts w:hint="eastAsia" w:eastAsia="宋体"/>
                <w:color w:val="auto"/>
                <w:sz w:val="21"/>
                <w:szCs w:val="21"/>
              </w:rPr>
            </w:pPr>
            <w:r>
              <w:rPr>
                <w:rFonts w:hint="eastAsia" w:eastAsia="宋体"/>
                <w:color w:val="auto"/>
                <w:sz w:val="21"/>
                <w:szCs w:val="21"/>
              </w:rPr>
              <w:t>道路</w:t>
            </w:r>
          </w:p>
        </w:tc>
        <w:tc>
          <w:tcPr>
            <w:tcW w:w="3863" w:type="pct"/>
            <w:vAlign w:val="center"/>
          </w:tcPr>
          <w:p w14:paraId="6B7D7D49">
            <w:pPr>
              <w:pStyle w:val="86"/>
              <w:adjustRightInd w:val="0"/>
              <w:snapToGrid w:val="0"/>
              <w:spacing w:line="300" w:lineRule="exact"/>
              <w:ind w:firstLine="0" w:firstLineChars="0"/>
              <w:rPr>
                <w:rFonts w:hint="eastAsia"/>
                <w:color w:val="auto"/>
                <w:sz w:val="21"/>
                <w:szCs w:val="21"/>
              </w:rPr>
            </w:pPr>
            <w:r>
              <w:rPr>
                <w:rFonts w:hint="eastAsia"/>
                <w:color w:val="auto"/>
                <w:sz w:val="21"/>
                <w:szCs w:val="21"/>
              </w:rPr>
              <w:t>不新建道路，依托现有道路网</w:t>
            </w:r>
          </w:p>
        </w:tc>
      </w:tr>
      <w:tr w14:paraId="0C5953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restart"/>
            <w:vAlign w:val="center"/>
          </w:tcPr>
          <w:p w14:paraId="4C81D471">
            <w:pPr>
              <w:overflowPunct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环保</w:t>
            </w:r>
          </w:p>
          <w:p w14:paraId="2BBFCF84">
            <w:pPr>
              <w:overflowPunct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工程</w:t>
            </w:r>
          </w:p>
        </w:tc>
        <w:tc>
          <w:tcPr>
            <w:tcW w:w="812" w:type="pct"/>
            <w:vAlign w:val="center"/>
          </w:tcPr>
          <w:p w14:paraId="7888B3F8">
            <w:pPr>
              <w:adjustRightInd w:val="0"/>
              <w:snapToGrid w:val="0"/>
              <w:spacing w:line="300" w:lineRule="exact"/>
              <w:jc w:val="center"/>
              <w:rPr>
                <w:rFonts w:hint="eastAsia" w:ascii="宋体" w:hAnsi="宋体"/>
                <w:color w:val="auto"/>
                <w:szCs w:val="21"/>
              </w:rPr>
            </w:pPr>
            <w:r>
              <w:rPr>
                <w:rFonts w:hint="eastAsia" w:ascii="宋体" w:hAnsi="宋体"/>
                <w:color w:val="auto"/>
                <w:szCs w:val="21"/>
              </w:rPr>
              <w:t>废气</w:t>
            </w:r>
          </w:p>
        </w:tc>
        <w:tc>
          <w:tcPr>
            <w:tcW w:w="3863" w:type="pct"/>
            <w:vAlign w:val="center"/>
          </w:tcPr>
          <w:p w14:paraId="2F6D3A10">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选用质量合格的设备、阀门、法兰及管线，</w:t>
            </w:r>
            <w:r>
              <w:rPr>
                <w:rFonts w:hint="eastAsia"/>
                <w:color w:val="auto"/>
                <w:sz w:val="21"/>
                <w:szCs w:val="21"/>
              </w:rPr>
              <w:t>燃气发电机采用清洁燃烧，加强设备检维修。</w:t>
            </w:r>
          </w:p>
        </w:tc>
      </w:tr>
      <w:tr w14:paraId="5A0AFC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59D7C2C1">
            <w:pPr>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455739CF">
            <w:pPr>
              <w:adjustRightInd w:val="0"/>
              <w:snapToGrid w:val="0"/>
              <w:spacing w:line="300" w:lineRule="exact"/>
              <w:jc w:val="center"/>
              <w:rPr>
                <w:rFonts w:hint="eastAsia" w:ascii="宋体" w:hAnsi="宋体"/>
                <w:color w:val="auto"/>
                <w:szCs w:val="21"/>
              </w:rPr>
            </w:pPr>
            <w:r>
              <w:rPr>
                <w:rFonts w:hint="eastAsia" w:ascii="宋体" w:hAnsi="宋体"/>
                <w:color w:val="auto"/>
                <w:szCs w:val="21"/>
              </w:rPr>
              <w:t>废水</w:t>
            </w:r>
          </w:p>
        </w:tc>
        <w:tc>
          <w:tcPr>
            <w:tcW w:w="3863" w:type="pct"/>
            <w:vAlign w:val="center"/>
          </w:tcPr>
          <w:p w14:paraId="3E518FEB">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莫172H井和莫174H井井场各设1座排污罐；生活污水暂存在生活污水防渗池内，定期拉运至玛纳斯县生活污水处理厂处理。</w:t>
            </w:r>
          </w:p>
        </w:tc>
      </w:tr>
      <w:tr w14:paraId="126FDA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72826ABC">
            <w:pPr>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1045B4A6">
            <w:pPr>
              <w:adjustRightInd w:val="0"/>
              <w:snapToGrid w:val="0"/>
              <w:spacing w:line="300" w:lineRule="exact"/>
              <w:jc w:val="center"/>
              <w:rPr>
                <w:rFonts w:hint="eastAsia" w:ascii="宋体" w:hAnsi="宋体"/>
                <w:color w:val="auto"/>
                <w:szCs w:val="21"/>
              </w:rPr>
            </w:pPr>
            <w:r>
              <w:rPr>
                <w:rFonts w:hint="eastAsia" w:ascii="宋体" w:hAnsi="宋体"/>
                <w:color w:val="auto"/>
                <w:szCs w:val="21"/>
              </w:rPr>
              <w:t>噪声</w:t>
            </w:r>
          </w:p>
        </w:tc>
        <w:tc>
          <w:tcPr>
            <w:tcW w:w="3863" w:type="pct"/>
            <w:vAlign w:val="center"/>
          </w:tcPr>
          <w:p w14:paraId="5D2FEBA4">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选用低噪声设备、基础减振。</w:t>
            </w:r>
          </w:p>
        </w:tc>
      </w:tr>
      <w:tr w14:paraId="3DF4E2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6815BE9E">
            <w:pPr>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253E91A9">
            <w:pPr>
              <w:adjustRightInd w:val="0"/>
              <w:snapToGrid w:val="0"/>
              <w:spacing w:line="300" w:lineRule="exact"/>
              <w:jc w:val="center"/>
              <w:rPr>
                <w:rFonts w:hint="eastAsia" w:ascii="宋体" w:hAnsi="宋体"/>
                <w:color w:val="auto"/>
                <w:szCs w:val="21"/>
              </w:rPr>
            </w:pPr>
            <w:r>
              <w:rPr>
                <w:rFonts w:hint="eastAsia" w:ascii="宋体" w:hAnsi="宋体"/>
                <w:color w:val="auto"/>
                <w:szCs w:val="21"/>
              </w:rPr>
              <w:t>地下水</w:t>
            </w:r>
          </w:p>
        </w:tc>
        <w:tc>
          <w:tcPr>
            <w:tcW w:w="3863" w:type="pct"/>
            <w:vAlign w:val="center"/>
          </w:tcPr>
          <w:p w14:paraId="6C66C733">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井场防渗措施</w:t>
            </w:r>
          </w:p>
        </w:tc>
      </w:tr>
      <w:tr w14:paraId="7C2F6C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769B21C0">
            <w:pPr>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386ACB45">
            <w:pPr>
              <w:adjustRightInd w:val="0"/>
              <w:snapToGrid w:val="0"/>
              <w:spacing w:line="300" w:lineRule="exact"/>
              <w:jc w:val="center"/>
              <w:rPr>
                <w:rFonts w:hint="eastAsia" w:ascii="宋体" w:hAnsi="宋体"/>
                <w:color w:val="auto"/>
                <w:szCs w:val="21"/>
              </w:rPr>
            </w:pPr>
            <w:r>
              <w:rPr>
                <w:rFonts w:hint="eastAsia" w:ascii="宋体" w:hAnsi="宋体"/>
                <w:color w:val="auto"/>
                <w:szCs w:val="21"/>
              </w:rPr>
              <w:t>环境风险</w:t>
            </w:r>
          </w:p>
        </w:tc>
        <w:tc>
          <w:tcPr>
            <w:tcW w:w="3863" w:type="pct"/>
            <w:vAlign w:val="center"/>
          </w:tcPr>
          <w:p w14:paraId="7404EE1B">
            <w:pPr>
              <w:pStyle w:val="86"/>
              <w:adjustRightInd w:val="0"/>
              <w:snapToGrid w:val="0"/>
              <w:spacing w:line="300" w:lineRule="exact"/>
              <w:ind w:firstLine="0" w:firstLineChars="0"/>
              <w:rPr>
                <w:rFonts w:hint="eastAsia"/>
                <w:color w:val="auto"/>
                <w:sz w:val="21"/>
                <w:szCs w:val="21"/>
              </w:rPr>
            </w:pPr>
            <w:r>
              <w:rPr>
                <w:rFonts w:hint="eastAsia"/>
                <w:color w:val="auto"/>
                <w:sz w:val="21"/>
                <w:szCs w:val="21"/>
              </w:rPr>
              <w:t>2套天然气处理设施均设置1套放空系统，</w:t>
            </w:r>
            <w:r>
              <w:rPr>
                <w:color w:val="auto"/>
                <w:sz w:val="21"/>
                <w:szCs w:val="21"/>
              </w:rPr>
              <w:t>放空系统包括：火炬头、火炬筒体等设备和配管、电气、仪表自控等。火炬筒体直径DN200mm，高度20m，设计排放量10×10</w:t>
            </w:r>
            <w:r>
              <w:rPr>
                <w:color w:val="auto"/>
                <w:sz w:val="21"/>
                <w:szCs w:val="21"/>
                <w:vertAlign w:val="superscript"/>
              </w:rPr>
              <w:t>4</w:t>
            </w:r>
            <w:r>
              <w:rPr>
                <w:color w:val="auto"/>
                <w:sz w:val="21"/>
                <w:szCs w:val="21"/>
              </w:rPr>
              <w:t>Nm</w:t>
            </w:r>
            <w:r>
              <w:rPr>
                <w:color w:val="auto"/>
                <w:sz w:val="21"/>
                <w:szCs w:val="21"/>
                <w:vertAlign w:val="superscript"/>
              </w:rPr>
              <w:t>3</w:t>
            </w:r>
            <w:r>
              <w:rPr>
                <w:color w:val="auto"/>
                <w:sz w:val="21"/>
                <w:szCs w:val="21"/>
              </w:rPr>
              <w:t>/d。</w:t>
            </w:r>
          </w:p>
        </w:tc>
      </w:tr>
      <w:tr w14:paraId="091533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restart"/>
            <w:vAlign w:val="center"/>
          </w:tcPr>
          <w:p w14:paraId="425144CE">
            <w:pPr>
              <w:overflowPunct w:val="0"/>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依托工程</w:t>
            </w:r>
          </w:p>
        </w:tc>
        <w:tc>
          <w:tcPr>
            <w:tcW w:w="812" w:type="pct"/>
            <w:vAlign w:val="center"/>
          </w:tcPr>
          <w:p w14:paraId="42C96615">
            <w:pPr>
              <w:adjustRightInd w:val="0"/>
              <w:snapToGrid w:val="0"/>
              <w:spacing w:line="300" w:lineRule="exact"/>
              <w:jc w:val="center"/>
              <w:rPr>
                <w:rFonts w:hint="eastAsia" w:ascii="宋体" w:hAnsi="宋体"/>
                <w:color w:val="auto"/>
                <w:szCs w:val="21"/>
              </w:rPr>
            </w:pPr>
            <w:r>
              <w:rPr>
                <w:rFonts w:hint="eastAsia" w:ascii="宋体" w:hAnsi="宋体"/>
                <w:color w:val="auto"/>
                <w:szCs w:val="21"/>
              </w:rPr>
              <w:t>原油和凝析油</w:t>
            </w:r>
          </w:p>
        </w:tc>
        <w:tc>
          <w:tcPr>
            <w:tcW w:w="3863" w:type="pct"/>
            <w:vAlign w:val="center"/>
          </w:tcPr>
          <w:p w14:paraId="435E05E6">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依托莫北转油站转输</w:t>
            </w:r>
          </w:p>
        </w:tc>
      </w:tr>
      <w:tr w14:paraId="5C8A27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0D5EF124">
            <w:pPr>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0E559A78">
            <w:pPr>
              <w:adjustRightInd w:val="0"/>
              <w:snapToGrid w:val="0"/>
              <w:spacing w:line="300" w:lineRule="exact"/>
              <w:jc w:val="center"/>
              <w:rPr>
                <w:rFonts w:hint="eastAsia" w:ascii="宋体" w:hAnsi="宋体"/>
                <w:color w:val="auto"/>
                <w:szCs w:val="21"/>
              </w:rPr>
            </w:pPr>
            <w:r>
              <w:rPr>
                <w:rFonts w:hint="eastAsia" w:ascii="宋体" w:hAnsi="宋体"/>
                <w:color w:val="auto"/>
                <w:szCs w:val="21"/>
              </w:rPr>
              <w:t>采出水</w:t>
            </w:r>
          </w:p>
        </w:tc>
        <w:tc>
          <w:tcPr>
            <w:tcW w:w="3863" w:type="pct"/>
            <w:vAlign w:val="center"/>
          </w:tcPr>
          <w:p w14:paraId="05139D67">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依托莫北转油站采出水处理系统处理</w:t>
            </w:r>
          </w:p>
        </w:tc>
      </w:tr>
      <w:tr w14:paraId="2B7A7C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3B1C095D">
            <w:pPr>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3DA01704">
            <w:pPr>
              <w:adjustRightInd w:val="0"/>
              <w:snapToGrid w:val="0"/>
              <w:spacing w:line="300" w:lineRule="exact"/>
              <w:jc w:val="center"/>
              <w:rPr>
                <w:rFonts w:hint="eastAsia" w:ascii="宋体" w:hAnsi="宋体"/>
                <w:color w:val="auto"/>
                <w:szCs w:val="21"/>
              </w:rPr>
            </w:pPr>
            <w:r>
              <w:rPr>
                <w:rFonts w:hint="eastAsia" w:ascii="宋体" w:hAnsi="宋体"/>
                <w:color w:val="auto"/>
                <w:szCs w:val="21"/>
              </w:rPr>
              <w:t>井下作业废液</w:t>
            </w:r>
          </w:p>
        </w:tc>
        <w:tc>
          <w:tcPr>
            <w:tcW w:w="3863" w:type="pct"/>
            <w:vAlign w:val="center"/>
          </w:tcPr>
          <w:p w14:paraId="419FD350">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井下作业废液和含油污水依托莫北转油站处理采出水处理系统处理</w:t>
            </w:r>
          </w:p>
        </w:tc>
      </w:tr>
      <w:tr w14:paraId="2E8A87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14FD9B70">
            <w:pPr>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6040D8A6">
            <w:pPr>
              <w:adjustRightInd w:val="0"/>
              <w:snapToGrid w:val="0"/>
              <w:spacing w:line="300" w:lineRule="exact"/>
              <w:jc w:val="center"/>
              <w:rPr>
                <w:rFonts w:hint="eastAsia" w:ascii="宋体" w:hAnsi="宋体"/>
                <w:color w:val="auto"/>
                <w:szCs w:val="21"/>
              </w:rPr>
            </w:pPr>
            <w:r>
              <w:rPr>
                <w:rFonts w:hint="eastAsia" w:ascii="宋体" w:hAnsi="宋体"/>
                <w:color w:val="auto"/>
                <w:szCs w:val="21"/>
              </w:rPr>
              <w:t>生活污水</w:t>
            </w:r>
          </w:p>
        </w:tc>
        <w:tc>
          <w:tcPr>
            <w:tcW w:w="3863" w:type="pct"/>
            <w:vAlign w:val="center"/>
          </w:tcPr>
          <w:p w14:paraId="32C444A7">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依托玛纳斯县生活污水处理厂处理</w:t>
            </w:r>
          </w:p>
        </w:tc>
      </w:tr>
      <w:tr w14:paraId="46A21B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137067EC">
            <w:pPr>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5A4F8068">
            <w:pPr>
              <w:pStyle w:val="86"/>
              <w:adjustRightInd w:val="0"/>
              <w:snapToGrid w:val="0"/>
              <w:spacing w:line="300" w:lineRule="exact"/>
              <w:ind w:firstLine="0" w:firstLineChars="0"/>
              <w:jc w:val="center"/>
              <w:rPr>
                <w:rFonts w:hint="eastAsia"/>
                <w:color w:val="auto"/>
                <w:sz w:val="21"/>
                <w:szCs w:val="21"/>
              </w:rPr>
            </w:pPr>
            <w:r>
              <w:rPr>
                <w:rFonts w:hint="eastAsia"/>
                <w:color w:val="auto"/>
                <w:sz w:val="21"/>
                <w:szCs w:val="21"/>
              </w:rPr>
              <w:t>危险废物贮存</w:t>
            </w:r>
          </w:p>
        </w:tc>
        <w:tc>
          <w:tcPr>
            <w:tcW w:w="3863" w:type="pct"/>
            <w:vAlign w:val="center"/>
          </w:tcPr>
          <w:p w14:paraId="36FDEE0C">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依托</w:t>
            </w:r>
            <w:r>
              <w:rPr>
                <w:color w:val="auto"/>
                <w:sz w:val="21"/>
                <w:szCs w:val="21"/>
              </w:rPr>
              <w:t>石西油田作业区危险废物贮存点</w:t>
            </w:r>
            <w:r>
              <w:rPr>
                <w:rFonts w:hint="eastAsia"/>
                <w:color w:val="auto"/>
                <w:sz w:val="21"/>
                <w:szCs w:val="21"/>
              </w:rPr>
              <w:t>暂存</w:t>
            </w:r>
          </w:p>
        </w:tc>
      </w:tr>
      <w:tr w14:paraId="0F1A12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53F86402">
            <w:pPr>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7B218D72">
            <w:pPr>
              <w:adjustRightInd w:val="0"/>
              <w:snapToGrid w:val="0"/>
              <w:spacing w:line="300" w:lineRule="exact"/>
              <w:jc w:val="center"/>
              <w:rPr>
                <w:rFonts w:hint="eastAsia" w:ascii="宋体" w:hAnsi="宋体"/>
                <w:color w:val="auto"/>
                <w:szCs w:val="21"/>
              </w:rPr>
            </w:pPr>
            <w:r>
              <w:rPr>
                <w:rFonts w:hint="eastAsia" w:ascii="宋体" w:hAnsi="宋体"/>
                <w:color w:val="auto"/>
                <w:szCs w:val="21"/>
              </w:rPr>
              <w:t>危险废物处置</w:t>
            </w:r>
          </w:p>
        </w:tc>
        <w:tc>
          <w:tcPr>
            <w:tcW w:w="3863" w:type="pct"/>
            <w:vAlign w:val="center"/>
          </w:tcPr>
          <w:p w14:paraId="513C3DC2">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依托有相应危险废物处理资质的单位回收处置</w:t>
            </w:r>
          </w:p>
        </w:tc>
      </w:tr>
      <w:tr w14:paraId="54B485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25" w:type="pct"/>
            <w:vMerge w:val="continue"/>
            <w:vAlign w:val="center"/>
          </w:tcPr>
          <w:p w14:paraId="763D9B45">
            <w:pPr>
              <w:overflowPunct w:val="0"/>
              <w:adjustRightInd w:val="0"/>
              <w:snapToGrid w:val="0"/>
              <w:spacing w:line="300" w:lineRule="exact"/>
              <w:jc w:val="center"/>
              <w:rPr>
                <w:rFonts w:hint="eastAsia" w:ascii="宋体" w:hAnsi="宋体"/>
                <w:color w:val="auto"/>
                <w:kern w:val="0"/>
                <w:szCs w:val="21"/>
              </w:rPr>
            </w:pPr>
          </w:p>
        </w:tc>
        <w:tc>
          <w:tcPr>
            <w:tcW w:w="812" w:type="pct"/>
            <w:vAlign w:val="center"/>
          </w:tcPr>
          <w:p w14:paraId="347A8AD9">
            <w:pPr>
              <w:adjustRightInd w:val="0"/>
              <w:snapToGrid w:val="0"/>
              <w:spacing w:line="300" w:lineRule="exact"/>
              <w:jc w:val="center"/>
              <w:rPr>
                <w:rFonts w:hint="eastAsia" w:ascii="宋体" w:hAnsi="宋体"/>
                <w:color w:val="auto"/>
                <w:szCs w:val="21"/>
              </w:rPr>
            </w:pPr>
            <w:r>
              <w:rPr>
                <w:rFonts w:hint="eastAsia" w:ascii="宋体" w:hAnsi="宋体"/>
                <w:color w:val="auto"/>
                <w:szCs w:val="21"/>
              </w:rPr>
              <w:t>生活垃圾</w:t>
            </w:r>
          </w:p>
        </w:tc>
        <w:tc>
          <w:tcPr>
            <w:tcW w:w="3863" w:type="pct"/>
            <w:vAlign w:val="center"/>
          </w:tcPr>
          <w:p w14:paraId="5C2D6625">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依托玛纳斯县生活垃圾填埋场处理</w:t>
            </w:r>
          </w:p>
        </w:tc>
      </w:tr>
      <w:bookmarkEnd w:id="245"/>
      <w:bookmarkEnd w:id="246"/>
      <w:bookmarkEnd w:id="249"/>
      <w:bookmarkEnd w:id="254"/>
    </w:tbl>
    <w:p w14:paraId="2C8322A1">
      <w:pPr>
        <w:pStyle w:val="86"/>
        <w:ind w:firstLine="480"/>
        <w:rPr>
          <w:rFonts w:hint="eastAsia"/>
          <w:color w:val="auto"/>
        </w:rPr>
      </w:pPr>
      <w:r>
        <w:rPr>
          <w:rFonts w:hint="eastAsia"/>
          <w:color w:val="auto"/>
        </w:rPr>
        <w:t>（6）能源物料消耗情况</w:t>
      </w:r>
    </w:p>
    <w:p w14:paraId="3DD4372E">
      <w:pPr>
        <w:pStyle w:val="209"/>
        <w:ind w:firstLine="0" w:firstLineChars="0"/>
        <w:jc w:val="center"/>
        <w:rPr>
          <w:rFonts w:hint="eastAsia" w:ascii="黑体" w:hAnsi="黑体" w:eastAsia="黑体"/>
          <w:color w:val="auto"/>
          <w:sz w:val="21"/>
          <w:szCs w:val="21"/>
          <w:lang w:bidi="ar"/>
        </w:rPr>
      </w:pPr>
      <w:bookmarkStart w:id="255" w:name="_Ref155174621"/>
      <w:r>
        <w:rPr>
          <w:rFonts w:hint="eastAsia" w:ascii="黑体" w:hAnsi="黑体" w:eastAsia="黑体"/>
          <w:color w:val="auto"/>
          <w:sz w:val="21"/>
          <w:szCs w:val="21"/>
          <w:lang w:bidi="ar"/>
        </w:rPr>
        <w:t>表</w:t>
      </w:r>
      <w:bookmarkEnd w:id="255"/>
      <w:r>
        <w:rPr>
          <w:rFonts w:hint="eastAsia" w:ascii="黑体" w:hAnsi="黑体" w:eastAsia="黑体"/>
          <w:color w:val="auto"/>
          <w:sz w:val="21"/>
          <w:szCs w:val="21"/>
          <w:lang w:bidi="ar"/>
        </w:rPr>
        <w:t xml:space="preserve">3.2-13 </w:t>
      </w:r>
      <w:r>
        <w:rPr>
          <w:rFonts w:ascii="黑体" w:hAnsi="黑体" w:eastAsia="黑体"/>
          <w:color w:val="auto"/>
          <w:sz w:val="21"/>
          <w:szCs w:val="21"/>
          <w:lang w:bidi="ar"/>
        </w:rPr>
        <w:t xml:space="preserve">  </w:t>
      </w:r>
      <w:r>
        <w:rPr>
          <w:rFonts w:hint="eastAsia" w:ascii="黑体" w:hAnsi="黑体" w:eastAsia="黑体"/>
          <w:color w:val="auto"/>
          <w:sz w:val="21"/>
          <w:szCs w:val="21"/>
          <w:lang w:bidi="ar"/>
        </w:rPr>
        <w:t xml:space="preserve"> 主要物料平衡表</w:t>
      </w:r>
    </w:p>
    <w:tbl>
      <w:tblPr>
        <w:tblStyle w:val="5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3"/>
        <w:gridCol w:w="1696"/>
        <w:gridCol w:w="1458"/>
        <w:gridCol w:w="2018"/>
        <w:gridCol w:w="1415"/>
        <w:gridCol w:w="1416"/>
      </w:tblGrid>
      <w:tr w14:paraId="0AB3B0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7" w:type="pct"/>
            <w:vMerge w:val="restart"/>
            <w:tcBorders>
              <w:top w:val="single" w:color="auto" w:sz="12" w:space="0"/>
            </w:tcBorders>
            <w:vAlign w:val="center"/>
          </w:tcPr>
          <w:p w14:paraId="1155BE80">
            <w:pPr>
              <w:spacing w:line="300" w:lineRule="exact"/>
              <w:jc w:val="center"/>
              <w:rPr>
                <w:rFonts w:hint="eastAsia" w:ascii="宋体" w:hAnsi="宋体" w:cs="宋体"/>
                <w:color w:val="auto"/>
                <w:szCs w:val="21"/>
              </w:rPr>
            </w:pPr>
            <w:r>
              <w:rPr>
                <w:rFonts w:ascii="宋体" w:hAnsi="宋体" w:cs="宋体"/>
                <w:color w:val="auto"/>
                <w:szCs w:val="21"/>
              </w:rPr>
              <w:t>序号</w:t>
            </w:r>
          </w:p>
        </w:tc>
        <w:tc>
          <w:tcPr>
            <w:tcW w:w="1763" w:type="pct"/>
            <w:gridSpan w:val="2"/>
            <w:tcBorders>
              <w:top w:val="single" w:color="auto" w:sz="12" w:space="0"/>
            </w:tcBorders>
            <w:vAlign w:val="center"/>
          </w:tcPr>
          <w:p w14:paraId="2179DF5C">
            <w:pPr>
              <w:spacing w:line="300" w:lineRule="exact"/>
              <w:jc w:val="center"/>
              <w:rPr>
                <w:rFonts w:hint="eastAsia" w:ascii="宋体" w:hAnsi="宋体" w:cs="宋体"/>
                <w:color w:val="auto"/>
                <w:szCs w:val="21"/>
              </w:rPr>
            </w:pPr>
            <w:r>
              <w:rPr>
                <w:rFonts w:hint="eastAsia" w:ascii="宋体" w:hAnsi="宋体" w:cs="宋体"/>
                <w:color w:val="auto"/>
                <w:szCs w:val="21"/>
              </w:rPr>
              <w:t>产能情况</w:t>
            </w:r>
          </w:p>
        </w:tc>
        <w:tc>
          <w:tcPr>
            <w:tcW w:w="2710" w:type="pct"/>
            <w:gridSpan w:val="3"/>
            <w:tcBorders>
              <w:top w:val="single" w:color="auto" w:sz="12" w:space="0"/>
            </w:tcBorders>
            <w:vAlign w:val="center"/>
          </w:tcPr>
          <w:p w14:paraId="5B7AA25D">
            <w:pPr>
              <w:spacing w:line="300" w:lineRule="exact"/>
              <w:jc w:val="center"/>
              <w:rPr>
                <w:rFonts w:hint="eastAsia" w:ascii="宋体" w:hAnsi="宋体" w:cs="宋体"/>
                <w:color w:val="auto"/>
                <w:szCs w:val="21"/>
              </w:rPr>
            </w:pPr>
            <w:r>
              <w:rPr>
                <w:rFonts w:hint="eastAsia" w:ascii="宋体" w:hAnsi="宋体" w:cs="宋体"/>
                <w:color w:val="auto"/>
                <w:szCs w:val="21"/>
              </w:rPr>
              <w:t>去向</w:t>
            </w:r>
          </w:p>
        </w:tc>
      </w:tr>
      <w:tr w14:paraId="6EE92B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527" w:type="pct"/>
            <w:vMerge w:val="continue"/>
            <w:vAlign w:val="center"/>
          </w:tcPr>
          <w:p w14:paraId="2A900C2B">
            <w:pPr>
              <w:spacing w:line="300" w:lineRule="exact"/>
              <w:jc w:val="center"/>
              <w:rPr>
                <w:rFonts w:hint="eastAsia" w:ascii="宋体" w:hAnsi="宋体" w:cs="宋体"/>
                <w:color w:val="auto"/>
                <w:szCs w:val="21"/>
              </w:rPr>
            </w:pPr>
          </w:p>
        </w:tc>
        <w:tc>
          <w:tcPr>
            <w:tcW w:w="948" w:type="pct"/>
            <w:vAlign w:val="center"/>
          </w:tcPr>
          <w:p w14:paraId="732F885D">
            <w:pPr>
              <w:spacing w:line="300" w:lineRule="exact"/>
              <w:jc w:val="center"/>
              <w:rPr>
                <w:rFonts w:hint="eastAsia" w:ascii="宋体" w:hAnsi="宋体" w:cs="宋体"/>
                <w:color w:val="auto"/>
                <w:szCs w:val="21"/>
              </w:rPr>
            </w:pPr>
            <w:r>
              <w:rPr>
                <w:rFonts w:ascii="宋体" w:hAnsi="宋体" w:cs="宋体"/>
                <w:color w:val="auto"/>
                <w:szCs w:val="21"/>
              </w:rPr>
              <w:t>名称</w:t>
            </w:r>
          </w:p>
        </w:tc>
        <w:tc>
          <w:tcPr>
            <w:tcW w:w="815" w:type="pct"/>
            <w:vAlign w:val="center"/>
          </w:tcPr>
          <w:p w14:paraId="018F4137">
            <w:pPr>
              <w:spacing w:line="300" w:lineRule="exact"/>
              <w:jc w:val="center"/>
              <w:rPr>
                <w:rFonts w:hint="eastAsia" w:ascii="宋体" w:hAnsi="宋体" w:cs="宋体"/>
                <w:color w:val="auto"/>
                <w:szCs w:val="21"/>
              </w:rPr>
            </w:pPr>
            <w:r>
              <w:rPr>
                <w:rFonts w:ascii="宋体" w:hAnsi="宋体" w:cs="宋体"/>
                <w:color w:val="auto"/>
                <w:szCs w:val="21"/>
              </w:rPr>
              <w:t>数量</w:t>
            </w:r>
          </w:p>
        </w:tc>
        <w:tc>
          <w:tcPr>
            <w:tcW w:w="1128" w:type="pct"/>
            <w:vAlign w:val="center"/>
          </w:tcPr>
          <w:p w14:paraId="6FC57DF8">
            <w:pPr>
              <w:spacing w:line="300" w:lineRule="exact"/>
              <w:jc w:val="center"/>
              <w:rPr>
                <w:rFonts w:hint="eastAsia" w:ascii="宋体" w:hAnsi="宋体" w:cs="宋体"/>
                <w:color w:val="auto"/>
                <w:szCs w:val="21"/>
              </w:rPr>
            </w:pPr>
            <w:r>
              <w:rPr>
                <w:rFonts w:ascii="宋体" w:hAnsi="宋体" w:cs="宋体"/>
                <w:color w:val="auto"/>
                <w:szCs w:val="21"/>
              </w:rPr>
              <w:t>名称</w:t>
            </w:r>
          </w:p>
        </w:tc>
        <w:tc>
          <w:tcPr>
            <w:tcW w:w="791" w:type="pct"/>
            <w:vAlign w:val="center"/>
          </w:tcPr>
          <w:p w14:paraId="067E8CA2">
            <w:pPr>
              <w:spacing w:line="300" w:lineRule="exact"/>
              <w:jc w:val="center"/>
              <w:rPr>
                <w:rFonts w:hint="eastAsia" w:ascii="宋体" w:hAnsi="宋体" w:cs="宋体"/>
                <w:color w:val="auto"/>
                <w:szCs w:val="21"/>
              </w:rPr>
            </w:pPr>
            <w:r>
              <w:rPr>
                <w:rFonts w:ascii="宋体" w:hAnsi="宋体" w:cs="宋体"/>
                <w:color w:val="auto"/>
                <w:szCs w:val="21"/>
              </w:rPr>
              <w:t>数量</w:t>
            </w:r>
          </w:p>
        </w:tc>
        <w:tc>
          <w:tcPr>
            <w:tcW w:w="791" w:type="pct"/>
            <w:vAlign w:val="center"/>
          </w:tcPr>
          <w:p w14:paraId="3FE5D355">
            <w:pPr>
              <w:spacing w:line="300" w:lineRule="exact"/>
              <w:jc w:val="center"/>
              <w:rPr>
                <w:rFonts w:hint="eastAsia" w:ascii="宋体" w:hAnsi="宋体" w:cs="宋体"/>
                <w:color w:val="auto"/>
                <w:szCs w:val="21"/>
              </w:rPr>
            </w:pPr>
            <w:r>
              <w:rPr>
                <w:rFonts w:hint="eastAsia" w:ascii="宋体" w:hAnsi="宋体" w:cs="宋体"/>
                <w:color w:val="auto"/>
                <w:szCs w:val="21"/>
              </w:rPr>
              <w:t>位置</w:t>
            </w:r>
          </w:p>
        </w:tc>
      </w:tr>
      <w:tr w14:paraId="280AD8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527" w:type="pct"/>
            <w:vAlign w:val="center"/>
          </w:tcPr>
          <w:p w14:paraId="02314D34">
            <w:pPr>
              <w:spacing w:line="300" w:lineRule="exact"/>
              <w:jc w:val="center"/>
              <w:rPr>
                <w:rFonts w:hint="eastAsia" w:ascii="宋体" w:hAnsi="宋体" w:cs="宋体"/>
                <w:color w:val="auto"/>
                <w:szCs w:val="21"/>
              </w:rPr>
            </w:pPr>
            <w:r>
              <w:rPr>
                <w:rFonts w:ascii="宋体" w:hAnsi="宋体" w:cs="宋体"/>
                <w:color w:val="auto"/>
                <w:szCs w:val="21"/>
              </w:rPr>
              <w:t>1</w:t>
            </w:r>
          </w:p>
        </w:tc>
        <w:tc>
          <w:tcPr>
            <w:tcW w:w="948" w:type="pct"/>
            <w:vAlign w:val="center"/>
          </w:tcPr>
          <w:p w14:paraId="386B8335">
            <w:pPr>
              <w:spacing w:line="300" w:lineRule="exact"/>
              <w:jc w:val="center"/>
              <w:rPr>
                <w:rFonts w:hint="eastAsia" w:ascii="宋体" w:hAnsi="宋体" w:cs="宋体"/>
                <w:color w:val="auto"/>
                <w:szCs w:val="21"/>
              </w:rPr>
            </w:pPr>
            <w:r>
              <w:rPr>
                <w:rFonts w:hint="eastAsia" w:ascii="宋体" w:hAnsi="宋体" w:cs="宋体"/>
                <w:color w:val="auto"/>
                <w:szCs w:val="21"/>
              </w:rPr>
              <w:t>原油</w:t>
            </w:r>
          </w:p>
        </w:tc>
        <w:tc>
          <w:tcPr>
            <w:tcW w:w="815" w:type="pct"/>
            <w:vAlign w:val="center"/>
          </w:tcPr>
          <w:p w14:paraId="0F954E64">
            <w:pPr>
              <w:spacing w:line="300" w:lineRule="exact"/>
              <w:jc w:val="center"/>
              <w:rPr>
                <w:rFonts w:hint="eastAsia" w:ascii="宋体" w:hAnsi="宋体" w:cs="宋体"/>
                <w:color w:val="auto"/>
                <w:szCs w:val="21"/>
              </w:rPr>
            </w:pPr>
            <w:r>
              <w:rPr>
                <w:rFonts w:hint="eastAsia" w:ascii="宋体" w:hAnsi="宋体" w:cs="宋体"/>
                <w:color w:val="auto"/>
                <w:szCs w:val="21"/>
              </w:rPr>
              <w:t>69t/d</w:t>
            </w:r>
          </w:p>
        </w:tc>
        <w:tc>
          <w:tcPr>
            <w:tcW w:w="1128" w:type="pct"/>
            <w:vAlign w:val="center"/>
          </w:tcPr>
          <w:p w14:paraId="6DED1D67">
            <w:pPr>
              <w:spacing w:line="300" w:lineRule="exact"/>
              <w:jc w:val="center"/>
              <w:rPr>
                <w:rFonts w:hint="eastAsia" w:ascii="宋体" w:hAnsi="宋体" w:cs="宋体"/>
                <w:color w:val="auto"/>
                <w:szCs w:val="21"/>
              </w:rPr>
            </w:pPr>
            <w:r>
              <w:rPr>
                <w:rFonts w:hint="eastAsia" w:ascii="宋体" w:hAnsi="宋体" w:cs="宋体"/>
                <w:color w:val="auto"/>
                <w:szCs w:val="21"/>
              </w:rPr>
              <w:t>原油</w:t>
            </w:r>
          </w:p>
        </w:tc>
        <w:tc>
          <w:tcPr>
            <w:tcW w:w="791" w:type="pct"/>
            <w:vAlign w:val="center"/>
          </w:tcPr>
          <w:p w14:paraId="3C8DF8C5">
            <w:pPr>
              <w:spacing w:line="300" w:lineRule="exact"/>
              <w:jc w:val="center"/>
              <w:rPr>
                <w:rFonts w:hint="eastAsia" w:ascii="宋体" w:hAnsi="宋体" w:cs="宋体"/>
                <w:color w:val="auto"/>
                <w:szCs w:val="21"/>
              </w:rPr>
            </w:pPr>
            <w:r>
              <w:rPr>
                <w:rFonts w:hint="eastAsia" w:ascii="宋体" w:hAnsi="宋体" w:cs="宋体"/>
                <w:color w:val="auto"/>
                <w:szCs w:val="21"/>
              </w:rPr>
              <w:t>69t/d</w:t>
            </w:r>
          </w:p>
        </w:tc>
        <w:tc>
          <w:tcPr>
            <w:tcW w:w="791" w:type="pct"/>
            <w:vAlign w:val="center"/>
          </w:tcPr>
          <w:p w14:paraId="2D8D7D40">
            <w:pPr>
              <w:spacing w:line="300" w:lineRule="exact"/>
              <w:jc w:val="center"/>
              <w:rPr>
                <w:rFonts w:hint="eastAsia" w:ascii="宋体" w:hAnsi="宋体" w:cs="宋体"/>
                <w:color w:val="auto"/>
                <w:szCs w:val="21"/>
              </w:rPr>
            </w:pPr>
            <w:r>
              <w:rPr>
                <w:rFonts w:hint="eastAsia" w:cs="宋体"/>
                <w:color w:val="auto"/>
                <w:szCs w:val="21"/>
              </w:rPr>
              <w:t>拉运至莫北转油站处理</w:t>
            </w:r>
          </w:p>
        </w:tc>
      </w:tr>
      <w:tr w14:paraId="7838A1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527" w:type="pct"/>
            <w:vAlign w:val="center"/>
          </w:tcPr>
          <w:p w14:paraId="431B5900">
            <w:pPr>
              <w:spacing w:line="300" w:lineRule="exact"/>
              <w:jc w:val="center"/>
              <w:rPr>
                <w:rFonts w:hint="eastAsia" w:ascii="宋体" w:hAnsi="宋体" w:cs="宋体"/>
                <w:color w:val="auto"/>
                <w:szCs w:val="21"/>
              </w:rPr>
            </w:pPr>
            <w:r>
              <w:rPr>
                <w:rFonts w:ascii="宋体" w:hAnsi="宋体" w:cs="宋体"/>
                <w:color w:val="auto"/>
                <w:szCs w:val="21"/>
              </w:rPr>
              <w:t>2</w:t>
            </w:r>
          </w:p>
        </w:tc>
        <w:tc>
          <w:tcPr>
            <w:tcW w:w="948" w:type="pct"/>
            <w:vAlign w:val="center"/>
          </w:tcPr>
          <w:p w14:paraId="0B324073">
            <w:pPr>
              <w:spacing w:line="300" w:lineRule="exact"/>
              <w:jc w:val="center"/>
              <w:rPr>
                <w:rFonts w:hint="eastAsia" w:ascii="宋体" w:hAnsi="宋体" w:cs="宋体"/>
                <w:color w:val="auto"/>
                <w:szCs w:val="21"/>
              </w:rPr>
            </w:pPr>
            <w:r>
              <w:rPr>
                <w:rFonts w:hint="eastAsia" w:ascii="宋体" w:hAnsi="宋体" w:cs="宋体"/>
                <w:color w:val="auto"/>
                <w:szCs w:val="21"/>
              </w:rPr>
              <w:t>天然气</w:t>
            </w:r>
          </w:p>
        </w:tc>
        <w:tc>
          <w:tcPr>
            <w:tcW w:w="815" w:type="pct"/>
            <w:vAlign w:val="center"/>
          </w:tcPr>
          <w:p w14:paraId="21DF4163">
            <w:pPr>
              <w:spacing w:line="300" w:lineRule="exact"/>
              <w:jc w:val="center"/>
              <w:rPr>
                <w:rFonts w:hint="eastAsia" w:ascii="宋体" w:hAnsi="宋体" w:cs="宋体"/>
                <w:color w:val="auto"/>
                <w:szCs w:val="21"/>
              </w:rPr>
            </w:pPr>
            <w:r>
              <w:rPr>
                <w:rFonts w:hint="eastAsia" w:ascii="宋体" w:hAnsi="宋体" w:cs="宋体"/>
                <w:color w:val="auto"/>
                <w:szCs w:val="21"/>
              </w:rPr>
              <w:t>9×1</w:t>
            </w:r>
            <w:r>
              <w:rPr>
                <w:rFonts w:ascii="宋体" w:hAnsi="宋体" w:cs="宋体"/>
                <w:color w:val="auto"/>
                <w:szCs w:val="21"/>
              </w:rPr>
              <w:t>0</w:t>
            </w:r>
            <w:r>
              <w:rPr>
                <w:rFonts w:ascii="宋体" w:hAnsi="宋体" w:cs="宋体"/>
                <w:color w:val="auto"/>
                <w:szCs w:val="21"/>
                <w:vertAlign w:val="superscript"/>
              </w:rPr>
              <w:t>4</w:t>
            </w:r>
            <w:r>
              <w:rPr>
                <w:rFonts w:ascii="宋体" w:hAnsi="宋体" w:cs="宋体"/>
                <w:color w:val="auto"/>
                <w:szCs w:val="21"/>
              </w:rPr>
              <w:t>m</w:t>
            </w:r>
            <w:r>
              <w:rPr>
                <w:rFonts w:ascii="宋体" w:hAnsi="宋体" w:cs="宋体"/>
                <w:color w:val="auto"/>
                <w:szCs w:val="21"/>
                <w:vertAlign w:val="superscript"/>
              </w:rPr>
              <w:t>3</w:t>
            </w:r>
            <w:r>
              <w:rPr>
                <w:rFonts w:ascii="宋体" w:hAnsi="宋体" w:cs="宋体"/>
                <w:color w:val="auto"/>
                <w:szCs w:val="21"/>
              </w:rPr>
              <w:t>/d</w:t>
            </w:r>
          </w:p>
        </w:tc>
        <w:tc>
          <w:tcPr>
            <w:tcW w:w="1128" w:type="pct"/>
            <w:vAlign w:val="center"/>
          </w:tcPr>
          <w:p w14:paraId="0CDC42FE">
            <w:pPr>
              <w:spacing w:line="300" w:lineRule="exact"/>
              <w:jc w:val="center"/>
              <w:rPr>
                <w:rFonts w:hint="eastAsia" w:ascii="宋体" w:hAnsi="宋体" w:cs="宋体"/>
                <w:color w:val="auto"/>
                <w:szCs w:val="21"/>
              </w:rPr>
            </w:pPr>
            <w:r>
              <w:rPr>
                <w:rFonts w:hint="eastAsia" w:ascii="宋体" w:hAnsi="宋体" w:cs="宋体"/>
                <w:color w:val="auto"/>
                <w:szCs w:val="21"/>
              </w:rPr>
              <w:t>天然气</w:t>
            </w:r>
          </w:p>
        </w:tc>
        <w:tc>
          <w:tcPr>
            <w:tcW w:w="791" w:type="pct"/>
            <w:vAlign w:val="center"/>
          </w:tcPr>
          <w:p w14:paraId="7902BD72">
            <w:pPr>
              <w:spacing w:line="300" w:lineRule="exact"/>
              <w:jc w:val="center"/>
              <w:rPr>
                <w:rFonts w:hint="eastAsia" w:ascii="宋体" w:hAnsi="宋体" w:cs="宋体"/>
                <w:color w:val="auto"/>
                <w:szCs w:val="21"/>
              </w:rPr>
            </w:pPr>
            <w:r>
              <w:rPr>
                <w:rFonts w:hint="eastAsia" w:ascii="宋体" w:hAnsi="宋体" w:cs="宋体"/>
                <w:color w:val="auto"/>
                <w:szCs w:val="21"/>
              </w:rPr>
              <w:t>9×1</w:t>
            </w:r>
            <w:r>
              <w:rPr>
                <w:rFonts w:ascii="宋体" w:hAnsi="宋体" w:cs="宋体"/>
                <w:color w:val="auto"/>
                <w:szCs w:val="21"/>
              </w:rPr>
              <w:t>0</w:t>
            </w:r>
            <w:r>
              <w:rPr>
                <w:rFonts w:ascii="宋体" w:hAnsi="宋体" w:cs="宋体"/>
                <w:color w:val="auto"/>
                <w:szCs w:val="21"/>
                <w:vertAlign w:val="superscript"/>
              </w:rPr>
              <w:t>4</w:t>
            </w:r>
            <w:r>
              <w:rPr>
                <w:rFonts w:ascii="宋体" w:hAnsi="宋体" w:cs="宋体"/>
                <w:color w:val="auto"/>
                <w:szCs w:val="21"/>
              </w:rPr>
              <w:t>m</w:t>
            </w:r>
            <w:r>
              <w:rPr>
                <w:rFonts w:ascii="宋体" w:hAnsi="宋体" w:cs="宋体"/>
                <w:color w:val="auto"/>
                <w:szCs w:val="21"/>
                <w:vertAlign w:val="superscript"/>
              </w:rPr>
              <w:t>3</w:t>
            </w:r>
            <w:r>
              <w:rPr>
                <w:rFonts w:ascii="宋体" w:hAnsi="宋体" w:cs="宋体"/>
                <w:color w:val="auto"/>
                <w:szCs w:val="21"/>
              </w:rPr>
              <w:t>/d</w:t>
            </w:r>
          </w:p>
        </w:tc>
        <w:tc>
          <w:tcPr>
            <w:tcW w:w="791" w:type="pct"/>
            <w:vAlign w:val="center"/>
          </w:tcPr>
          <w:p w14:paraId="792AC0F0">
            <w:pPr>
              <w:spacing w:line="300" w:lineRule="exact"/>
              <w:jc w:val="center"/>
              <w:rPr>
                <w:rFonts w:hint="eastAsia" w:ascii="宋体" w:hAnsi="宋体" w:cs="宋体"/>
                <w:color w:val="auto"/>
                <w:szCs w:val="21"/>
              </w:rPr>
            </w:pPr>
            <w:r>
              <w:rPr>
                <w:rFonts w:hint="eastAsia" w:ascii="宋体" w:hAnsi="宋体" w:cs="宋体"/>
                <w:color w:val="auto"/>
                <w:szCs w:val="21"/>
              </w:rPr>
              <w:t>天然气处理设施处理后拉运外售</w:t>
            </w:r>
          </w:p>
        </w:tc>
      </w:tr>
      <w:tr w14:paraId="54D090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527" w:type="pct"/>
            <w:vAlign w:val="center"/>
          </w:tcPr>
          <w:p w14:paraId="2F8D6F5B">
            <w:pPr>
              <w:spacing w:line="300" w:lineRule="exact"/>
              <w:jc w:val="center"/>
              <w:rPr>
                <w:rFonts w:hint="eastAsia" w:ascii="宋体" w:hAnsi="宋体" w:cs="宋体"/>
                <w:color w:val="auto"/>
                <w:szCs w:val="21"/>
              </w:rPr>
            </w:pPr>
            <w:r>
              <w:rPr>
                <w:rFonts w:hint="eastAsia" w:ascii="宋体" w:hAnsi="宋体" w:cs="宋体"/>
                <w:color w:val="auto"/>
                <w:szCs w:val="21"/>
              </w:rPr>
              <w:t>3</w:t>
            </w:r>
          </w:p>
        </w:tc>
        <w:tc>
          <w:tcPr>
            <w:tcW w:w="948" w:type="pct"/>
            <w:vAlign w:val="center"/>
          </w:tcPr>
          <w:p w14:paraId="5FF5CEB2">
            <w:pPr>
              <w:spacing w:line="300" w:lineRule="exact"/>
              <w:jc w:val="center"/>
              <w:rPr>
                <w:rFonts w:hint="eastAsia" w:ascii="宋体" w:hAnsi="宋体" w:cs="宋体"/>
                <w:color w:val="auto"/>
                <w:szCs w:val="21"/>
              </w:rPr>
            </w:pPr>
            <w:r>
              <w:rPr>
                <w:rFonts w:hint="eastAsia" w:ascii="宋体" w:hAnsi="宋体" w:cs="宋体"/>
                <w:color w:val="auto"/>
                <w:szCs w:val="21"/>
              </w:rPr>
              <w:t>采出水</w:t>
            </w:r>
          </w:p>
        </w:tc>
        <w:tc>
          <w:tcPr>
            <w:tcW w:w="815" w:type="pct"/>
            <w:vAlign w:val="center"/>
          </w:tcPr>
          <w:p w14:paraId="74077E4B">
            <w:pPr>
              <w:spacing w:line="300" w:lineRule="exact"/>
              <w:jc w:val="center"/>
              <w:rPr>
                <w:rFonts w:hint="eastAsia" w:ascii="宋体" w:hAnsi="宋体" w:cs="宋体"/>
                <w:color w:val="auto"/>
                <w:szCs w:val="21"/>
              </w:rPr>
            </w:pPr>
            <w:r>
              <w:rPr>
                <w:rFonts w:hint="eastAsia" w:ascii="宋体" w:hAnsi="宋体" w:cs="宋体"/>
                <w:color w:val="auto"/>
                <w:szCs w:val="21"/>
              </w:rPr>
              <w:t>74m</w:t>
            </w:r>
            <w:r>
              <w:rPr>
                <w:rFonts w:hint="eastAsia" w:ascii="宋体" w:hAnsi="宋体" w:cs="宋体"/>
                <w:color w:val="auto"/>
                <w:szCs w:val="21"/>
                <w:vertAlign w:val="superscript"/>
              </w:rPr>
              <w:t>3</w:t>
            </w:r>
            <w:r>
              <w:rPr>
                <w:rFonts w:hint="eastAsia" w:ascii="宋体" w:hAnsi="宋体" w:cs="宋体"/>
                <w:color w:val="auto"/>
                <w:szCs w:val="21"/>
              </w:rPr>
              <w:t>/d</w:t>
            </w:r>
          </w:p>
        </w:tc>
        <w:tc>
          <w:tcPr>
            <w:tcW w:w="1128" w:type="pct"/>
            <w:vAlign w:val="center"/>
          </w:tcPr>
          <w:p w14:paraId="5E84F835">
            <w:pPr>
              <w:spacing w:line="300" w:lineRule="exact"/>
              <w:jc w:val="center"/>
              <w:rPr>
                <w:rFonts w:hint="eastAsia" w:ascii="宋体" w:hAnsi="宋体" w:cs="宋体"/>
                <w:color w:val="auto"/>
                <w:szCs w:val="21"/>
              </w:rPr>
            </w:pPr>
            <w:r>
              <w:rPr>
                <w:rFonts w:hint="eastAsia" w:ascii="宋体" w:hAnsi="宋体" w:cs="宋体"/>
                <w:color w:val="auto"/>
                <w:szCs w:val="21"/>
              </w:rPr>
              <w:t>采出水</w:t>
            </w:r>
          </w:p>
        </w:tc>
        <w:tc>
          <w:tcPr>
            <w:tcW w:w="791" w:type="pct"/>
            <w:vAlign w:val="center"/>
          </w:tcPr>
          <w:p w14:paraId="2E32F7ED">
            <w:pPr>
              <w:spacing w:line="300" w:lineRule="exact"/>
              <w:jc w:val="center"/>
              <w:rPr>
                <w:rFonts w:hint="eastAsia" w:ascii="宋体" w:hAnsi="宋体" w:cs="宋体"/>
                <w:color w:val="auto"/>
                <w:szCs w:val="21"/>
              </w:rPr>
            </w:pPr>
            <w:r>
              <w:rPr>
                <w:rFonts w:hint="eastAsia" w:ascii="宋体" w:hAnsi="宋体" w:cs="宋体"/>
                <w:color w:val="auto"/>
                <w:szCs w:val="21"/>
              </w:rPr>
              <w:t>74m</w:t>
            </w:r>
            <w:r>
              <w:rPr>
                <w:rFonts w:hint="eastAsia" w:ascii="宋体" w:hAnsi="宋体" w:cs="宋体"/>
                <w:color w:val="auto"/>
                <w:szCs w:val="21"/>
                <w:vertAlign w:val="superscript"/>
              </w:rPr>
              <w:t>3</w:t>
            </w:r>
            <w:r>
              <w:rPr>
                <w:rFonts w:hint="eastAsia" w:ascii="宋体" w:hAnsi="宋体" w:cs="宋体"/>
                <w:color w:val="auto"/>
                <w:szCs w:val="21"/>
              </w:rPr>
              <w:t>/d</w:t>
            </w:r>
          </w:p>
        </w:tc>
        <w:tc>
          <w:tcPr>
            <w:tcW w:w="791" w:type="pct"/>
            <w:vAlign w:val="center"/>
          </w:tcPr>
          <w:p w14:paraId="745DFD6F">
            <w:pPr>
              <w:spacing w:line="300" w:lineRule="exact"/>
              <w:jc w:val="center"/>
              <w:rPr>
                <w:rFonts w:hint="eastAsia" w:ascii="宋体" w:hAnsi="宋体" w:cs="宋体"/>
                <w:color w:val="auto"/>
                <w:szCs w:val="21"/>
              </w:rPr>
            </w:pPr>
            <w:r>
              <w:rPr>
                <w:rFonts w:hint="eastAsia" w:cs="宋体"/>
                <w:color w:val="auto"/>
                <w:szCs w:val="21"/>
              </w:rPr>
              <w:t>拉运至莫北转油站处理</w:t>
            </w:r>
          </w:p>
        </w:tc>
      </w:tr>
    </w:tbl>
    <w:p w14:paraId="603D8383">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主要技术经济指标</w:t>
      </w:r>
    </w:p>
    <w:p w14:paraId="32EB1DBF">
      <w:pPr>
        <w:pStyle w:val="86"/>
        <w:ind w:firstLine="480"/>
        <w:rPr>
          <w:rFonts w:hint="eastAsia" w:ascii="黑体" w:hAnsi="黑体" w:eastAsia="黑体"/>
          <w:color w:val="auto"/>
          <w:sz w:val="21"/>
          <w:szCs w:val="21"/>
        </w:rPr>
      </w:pPr>
      <w:r>
        <w:rPr>
          <w:rFonts w:hint="eastAsia"/>
          <w:color w:val="auto"/>
        </w:rPr>
        <w:t>本项目主要技术经济指标见表</w:t>
      </w:r>
      <w:r>
        <w:rPr>
          <w:color w:val="auto"/>
        </w:rPr>
        <w:t>3.2</w:t>
      </w:r>
      <w:r>
        <w:rPr>
          <w:rFonts w:hint="eastAsia"/>
          <w:color w:val="auto"/>
        </w:rPr>
        <w:t>-13。</w:t>
      </w:r>
    </w:p>
    <w:p w14:paraId="00E0E41C">
      <w:pPr>
        <w:pStyle w:val="209"/>
        <w:ind w:firstLine="0" w:firstLineChars="0"/>
        <w:jc w:val="center"/>
        <w:rPr>
          <w:rFonts w:hint="eastAsia" w:ascii="黑体" w:hAnsi="黑体" w:eastAsia="黑体"/>
          <w:color w:val="auto"/>
          <w:sz w:val="21"/>
          <w:szCs w:val="21"/>
        </w:rPr>
      </w:pPr>
      <w:r>
        <w:rPr>
          <w:rFonts w:hint="eastAsia" w:ascii="黑体" w:hAnsi="黑体" w:eastAsia="黑体"/>
          <w:color w:val="auto"/>
          <w:sz w:val="21"/>
          <w:szCs w:val="21"/>
        </w:rPr>
        <w:t>表3</w:t>
      </w:r>
      <w:r>
        <w:rPr>
          <w:rFonts w:ascii="黑体" w:hAnsi="黑体" w:eastAsia="黑体"/>
          <w:color w:val="auto"/>
          <w:sz w:val="21"/>
          <w:szCs w:val="21"/>
        </w:rPr>
        <w:t>.2</w:t>
      </w:r>
      <w:r>
        <w:rPr>
          <w:rFonts w:hint="eastAsia" w:ascii="黑体" w:hAnsi="黑体" w:eastAsia="黑体"/>
          <w:color w:val="auto"/>
          <w:sz w:val="21"/>
          <w:szCs w:val="21"/>
        </w:rPr>
        <w:t xml:space="preserve">-13 </w:t>
      </w:r>
      <w:r>
        <w:rPr>
          <w:rFonts w:ascii="黑体" w:hAnsi="黑体" w:eastAsia="黑体"/>
          <w:color w:val="auto"/>
          <w:sz w:val="21"/>
          <w:szCs w:val="21"/>
        </w:rPr>
        <w:t xml:space="preserve"> </w:t>
      </w:r>
      <w:r>
        <w:rPr>
          <w:rFonts w:hint="eastAsia" w:ascii="黑体" w:hAnsi="黑体" w:eastAsia="黑体"/>
          <w:color w:val="auto"/>
          <w:sz w:val="21"/>
          <w:szCs w:val="21"/>
        </w:rPr>
        <w:t>主要技术经济指标一览表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915"/>
        <w:gridCol w:w="2935"/>
        <w:gridCol w:w="1713"/>
        <w:gridCol w:w="2223"/>
      </w:tblGrid>
      <w:tr w14:paraId="6039D5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90" w:type="pct"/>
            <w:vAlign w:val="center"/>
          </w:tcPr>
          <w:p w14:paraId="4E9BB0BB">
            <w:pPr>
              <w:widowControl/>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类别</w:t>
            </w:r>
          </w:p>
        </w:tc>
        <w:tc>
          <w:tcPr>
            <w:tcW w:w="1670" w:type="pct"/>
            <w:vAlign w:val="center"/>
          </w:tcPr>
          <w:p w14:paraId="45D7D65E">
            <w:pPr>
              <w:widowControl/>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数量</w:t>
            </w:r>
          </w:p>
        </w:tc>
        <w:tc>
          <w:tcPr>
            <w:tcW w:w="975" w:type="pct"/>
            <w:vAlign w:val="center"/>
          </w:tcPr>
          <w:p w14:paraId="0447B0B0">
            <w:pPr>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类别</w:t>
            </w:r>
          </w:p>
        </w:tc>
        <w:tc>
          <w:tcPr>
            <w:tcW w:w="1265" w:type="pct"/>
            <w:vAlign w:val="center"/>
          </w:tcPr>
          <w:p w14:paraId="4D520FED">
            <w:pPr>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数量</w:t>
            </w:r>
          </w:p>
        </w:tc>
      </w:tr>
      <w:tr w14:paraId="6436D7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90" w:type="pct"/>
            <w:vAlign w:val="center"/>
          </w:tcPr>
          <w:p w14:paraId="25C390D8">
            <w:pPr>
              <w:widowControl/>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设计动用资源储量</w:t>
            </w:r>
          </w:p>
        </w:tc>
        <w:tc>
          <w:tcPr>
            <w:tcW w:w="1670" w:type="pct"/>
            <w:vAlign w:val="center"/>
          </w:tcPr>
          <w:p w14:paraId="5A986E88">
            <w:pPr>
              <w:widowControl/>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69t/d</w:t>
            </w:r>
          </w:p>
        </w:tc>
        <w:tc>
          <w:tcPr>
            <w:tcW w:w="975" w:type="pct"/>
            <w:vAlign w:val="center"/>
          </w:tcPr>
          <w:p w14:paraId="24D53CDC">
            <w:pPr>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临时占地面积</w:t>
            </w:r>
          </w:p>
        </w:tc>
        <w:tc>
          <w:tcPr>
            <w:tcW w:w="1265" w:type="pct"/>
            <w:vAlign w:val="center"/>
          </w:tcPr>
          <w:p w14:paraId="238C9B84">
            <w:pPr>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8720m</w:t>
            </w:r>
            <w:r>
              <w:rPr>
                <w:rFonts w:hint="eastAsia" w:ascii="宋体" w:hAnsi="宋体"/>
                <w:color w:val="auto"/>
                <w:szCs w:val="21"/>
                <w:vertAlign w:val="superscript"/>
              </w:rPr>
              <w:t>2</w:t>
            </w:r>
          </w:p>
        </w:tc>
      </w:tr>
      <w:tr w14:paraId="529D5B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90" w:type="pct"/>
            <w:vAlign w:val="center"/>
          </w:tcPr>
          <w:p w14:paraId="26F1F943">
            <w:pPr>
              <w:widowControl/>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设计井数</w:t>
            </w:r>
          </w:p>
        </w:tc>
        <w:tc>
          <w:tcPr>
            <w:tcW w:w="1670" w:type="pct"/>
            <w:vAlign w:val="center"/>
          </w:tcPr>
          <w:p w14:paraId="2BF44254">
            <w:pPr>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3口</w:t>
            </w:r>
          </w:p>
        </w:tc>
        <w:tc>
          <w:tcPr>
            <w:tcW w:w="975" w:type="pct"/>
            <w:vAlign w:val="center"/>
          </w:tcPr>
          <w:p w14:paraId="54A152D4">
            <w:pPr>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永久占地面积</w:t>
            </w:r>
          </w:p>
        </w:tc>
        <w:tc>
          <w:tcPr>
            <w:tcW w:w="1265" w:type="pct"/>
            <w:vAlign w:val="center"/>
          </w:tcPr>
          <w:p w14:paraId="4BF35F57">
            <w:pPr>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21850m</w:t>
            </w:r>
            <w:r>
              <w:rPr>
                <w:rFonts w:hint="eastAsia" w:ascii="宋体" w:hAnsi="宋体"/>
                <w:color w:val="auto"/>
                <w:szCs w:val="21"/>
                <w:vertAlign w:val="superscript"/>
              </w:rPr>
              <w:t>2</w:t>
            </w:r>
          </w:p>
        </w:tc>
      </w:tr>
      <w:tr w14:paraId="388C4B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90" w:type="pct"/>
            <w:vAlign w:val="center"/>
          </w:tcPr>
          <w:p w14:paraId="79D207B5">
            <w:pPr>
              <w:widowControl/>
              <w:overflowPunct w:val="0"/>
              <w:adjustRightInd w:val="0"/>
              <w:snapToGrid w:val="0"/>
              <w:spacing w:line="300" w:lineRule="exact"/>
              <w:jc w:val="center"/>
              <w:rPr>
                <w:rFonts w:hint="eastAsia" w:ascii="宋体" w:hAnsi="宋体"/>
                <w:color w:val="auto"/>
                <w:kern w:val="0"/>
                <w:szCs w:val="21"/>
                <w:lang w:bidi="ar"/>
              </w:rPr>
            </w:pPr>
            <w:r>
              <w:rPr>
                <w:rFonts w:hint="eastAsia" w:ascii="宋体" w:hAnsi="宋体"/>
                <w:color w:val="auto"/>
                <w:kern w:val="0"/>
                <w:szCs w:val="21"/>
                <w:lang w:bidi="ar"/>
              </w:rPr>
              <w:t>不同规模站场数</w:t>
            </w:r>
          </w:p>
        </w:tc>
        <w:tc>
          <w:tcPr>
            <w:tcW w:w="1670" w:type="pct"/>
            <w:vAlign w:val="center"/>
          </w:tcPr>
          <w:p w14:paraId="097E9621">
            <w:pPr>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不涉及</w:t>
            </w:r>
          </w:p>
        </w:tc>
        <w:tc>
          <w:tcPr>
            <w:tcW w:w="975" w:type="pct"/>
            <w:vAlign w:val="center"/>
          </w:tcPr>
          <w:p w14:paraId="58522EB4">
            <w:pPr>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电能消耗量</w:t>
            </w:r>
          </w:p>
        </w:tc>
        <w:tc>
          <w:tcPr>
            <w:tcW w:w="1265" w:type="pct"/>
            <w:vAlign w:val="center"/>
          </w:tcPr>
          <w:p w14:paraId="63D68A80">
            <w:pPr>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932.25×</w:t>
            </w:r>
            <w:r>
              <w:rPr>
                <w:rFonts w:ascii="宋体" w:hAnsi="宋体"/>
                <w:color w:val="auto"/>
                <w:szCs w:val="21"/>
              </w:rPr>
              <w:t>10</w:t>
            </w:r>
            <w:r>
              <w:rPr>
                <w:rFonts w:ascii="宋体" w:hAnsi="宋体"/>
                <w:color w:val="auto"/>
                <w:szCs w:val="21"/>
                <w:vertAlign w:val="superscript"/>
              </w:rPr>
              <w:t>4</w:t>
            </w:r>
            <w:r>
              <w:rPr>
                <w:rFonts w:ascii="宋体" w:hAnsi="宋体"/>
                <w:color w:val="auto"/>
                <w:szCs w:val="21"/>
              </w:rPr>
              <w:t>kW</w:t>
            </w:r>
            <w:r>
              <w:rPr>
                <w:rFonts w:ascii="Times New Roman" w:hAnsi="Times New Roman"/>
                <w:color w:val="auto"/>
                <w:szCs w:val="21"/>
              </w:rPr>
              <w:t>▪</w:t>
            </w:r>
            <w:r>
              <w:rPr>
                <w:rFonts w:ascii="宋体" w:hAnsi="宋体"/>
                <w:color w:val="auto"/>
                <w:szCs w:val="21"/>
              </w:rPr>
              <w:t>h</w:t>
            </w:r>
            <w:r>
              <w:rPr>
                <w:rFonts w:hint="eastAsia" w:ascii="宋体" w:hAnsi="宋体"/>
                <w:color w:val="auto"/>
                <w:szCs w:val="21"/>
              </w:rPr>
              <w:t>/a</w:t>
            </w:r>
          </w:p>
        </w:tc>
      </w:tr>
      <w:tr w14:paraId="25976B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90" w:type="pct"/>
            <w:vAlign w:val="center"/>
          </w:tcPr>
          <w:p w14:paraId="7948E356">
            <w:pPr>
              <w:widowControl/>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管道长度</w:t>
            </w:r>
          </w:p>
        </w:tc>
        <w:tc>
          <w:tcPr>
            <w:tcW w:w="1670" w:type="pct"/>
            <w:tcBorders>
              <w:bottom w:val="single" w:color="auto" w:sz="4" w:space="0"/>
            </w:tcBorders>
            <w:vAlign w:val="center"/>
          </w:tcPr>
          <w:p w14:paraId="7C465532">
            <w:pPr>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单井采油管线1.09</w:t>
            </w:r>
            <w:r>
              <w:rPr>
                <w:rFonts w:ascii="宋体" w:hAnsi="宋体"/>
                <w:color w:val="auto"/>
                <w:szCs w:val="21"/>
              </w:rPr>
              <w:t>km</w:t>
            </w:r>
          </w:p>
        </w:tc>
        <w:tc>
          <w:tcPr>
            <w:tcW w:w="975" w:type="pct"/>
            <w:vAlign w:val="center"/>
          </w:tcPr>
          <w:p w14:paraId="313F6237">
            <w:pPr>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总投资</w:t>
            </w:r>
          </w:p>
        </w:tc>
        <w:tc>
          <w:tcPr>
            <w:tcW w:w="1265" w:type="pct"/>
            <w:vAlign w:val="center"/>
          </w:tcPr>
          <w:p w14:paraId="67A7A5FB">
            <w:pPr>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5500万元</w:t>
            </w:r>
          </w:p>
        </w:tc>
      </w:tr>
      <w:tr w14:paraId="4EF96D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90" w:type="pct"/>
            <w:vAlign w:val="center"/>
          </w:tcPr>
          <w:p w14:paraId="3CFFDA08">
            <w:pPr>
              <w:widowControl/>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劳动定员</w:t>
            </w:r>
          </w:p>
        </w:tc>
        <w:tc>
          <w:tcPr>
            <w:tcW w:w="1670" w:type="pct"/>
            <w:tcBorders>
              <w:top w:val="single" w:color="auto" w:sz="4" w:space="0"/>
            </w:tcBorders>
            <w:vAlign w:val="center"/>
          </w:tcPr>
          <w:p w14:paraId="3E5C44AA">
            <w:pPr>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每座橇装天然气处理装置处设工作人员4人</w:t>
            </w:r>
          </w:p>
        </w:tc>
        <w:tc>
          <w:tcPr>
            <w:tcW w:w="975" w:type="pct"/>
            <w:vAlign w:val="center"/>
          </w:tcPr>
          <w:p w14:paraId="74C30CD7">
            <w:pPr>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环保投资</w:t>
            </w:r>
          </w:p>
        </w:tc>
        <w:tc>
          <w:tcPr>
            <w:tcW w:w="1265" w:type="pct"/>
            <w:vAlign w:val="center"/>
          </w:tcPr>
          <w:p w14:paraId="79D08133">
            <w:pPr>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145万元</w:t>
            </w:r>
          </w:p>
        </w:tc>
      </w:tr>
      <w:tr w14:paraId="77B223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90" w:type="pct"/>
            <w:vAlign w:val="center"/>
          </w:tcPr>
          <w:p w14:paraId="51E4D7DB">
            <w:pPr>
              <w:widowControl/>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工作制度</w:t>
            </w:r>
          </w:p>
        </w:tc>
        <w:tc>
          <w:tcPr>
            <w:tcW w:w="1670" w:type="pct"/>
            <w:vAlign w:val="center"/>
          </w:tcPr>
          <w:p w14:paraId="5339D54F">
            <w:pPr>
              <w:widowControl/>
              <w:overflowPunct w:val="0"/>
              <w:adjustRightInd w:val="0"/>
              <w:snapToGrid w:val="0"/>
              <w:spacing w:line="300" w:lineRule="exact"/>
              <w:jc w:val="center"/>
              <w:rPr>
                <w:rFonts w:hint="eastAsia" w:ascii="宋体" w:hAnsi="宋体"/>
                <w:color w:val="auto"/>
                <w:szCs w:val="21"/>
              </w:rPr>
            </w:pPr>
            <w:r>
              <w:rPr>
                <w:rFonts w:hint="eastAsia" w:ascii="宋体" w:hAnsi="宋体"/>
                <w:color w:val="auto"/>
                <w:szCs w:val="21"/>
              </w:rPr>
              <w:t>年运行</w:t>
            </w:r>
            <w:r>
              <w:rPr>
                <w:rFonts w:ascii="宋体" w:hAnsi="宋体"/>
                <w:color w:val="auto"/>
                <w:szCs w:val="21"/>
              </w:rPr>
              <w:t>330</w:t>
            </w:r>
            <w:r>
              <w:rPr>
                <w:rFonts w:hint="eastAsia" w:ascii="宋体" w:hAnsi="宋体"/>
                <w:color w:val="auto"/>
                <w:szCs w:val="21"/>
              </w:rPr>
              <w:t>天</w:t>
            </w:r>
          </w:p>
        </w:tc>
        <w:tc>
          <w:tcPr>
            <w:tcW w:w="975" w:type="pct"/>
            <w:vAlign w:val="center"/>
          </w:tcPr>
          <w:p w14:paraId="6CB90EFD">
            <w:pPr>
              <w:overflowPunct w:val="0"/>
              <w:adjustRightInd w:val="0"/>
              <w:snapToGrid w:val="0"/>
              <w:spacing w:line="300" w:lineRule="exact"/>
              <w:jc w:val="center"/>
              <w:rPr>
                <w:rFonts w:hint="eastAsia" w:ascii="宋体" w:hAnsi="宋体"/>
                <w:color w:val="auto"/>
                <w:szCs w:val="21"/>
              </w:rPr>
            </w:pPr>
          </w:p>
        </w:tc>
        <w:tc>
          <w:tcPr>
            <w:tcW w:w="1265" w:type="pct"/>
            <w:vAlign w:val="center"/>
          </w:tcPr>
          <w:p w14:paraId="1280F134">
            <w:pPr>
              <w:overflowPunct w:val="0"/>
              <w:adjustRightInd w:val="0"/>
              <w:snapToGrid w:val="0"/>
              <w:spacing w:line="300" w:lineRule="exact"/>
              <w:jc w:val="center"/>
              <w:rPr>
                <w:rFonts w:hint="eastAsia" w:ascii="宋体" w:hAnsi="宋体"/>
                <w:color w:val="auto"/>
                <w:szCs w:val="21"/>
              </w:rPr>
            </w:pPr>
          </w:p>
        </w:tc>
      </w:tr>
    </w:tbl>
    <w:p w14:paraId="0819BC68">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工艺流程及环境影响因素分析</w:t>
      </w:r>
    </w:p>
    <w:p w14:paraId="5E5D8BF7">
      <w:pPr>
        <w:pStyle w:val="86"/>
        <w:adjustRightInd w:val="0"/>
        <w:snapToGrid w:val="0"/>
        <w:ind w:firstLine="480"/>
        <w:rPr>
          <w:rFonts w:hint="eastAsia"/>
          <w:color w:val="auto"/>
        </w:rPr>
      </w:pPr>
      <w:r>
        <w:rPr>
          <w:rFonts w:hint="eastAsia"/>
          <w:color w:val="auto"/>
        </w:rPr>
        <w:t>（1）施工期施工工艺及环境影响因素分析</w:t>
      </w:r>
    </w:p>
    <w:p w14:paraId="45CF66AF">
      <w:pPr>
        <w:pStyle w:val="86"/>
        <w:adjustRightInd w:val="0"/>
        <w:snapToGrid w:val="0"/>
        <w:ind w:firstLine="480"/>
        <w:rPr>
          <w:rFonts w:hint="eastAsia"/>
          <w:color w:val="auto"/>
        </w:rPr>
      </w:pPr>
      <w:r>
        <w:rPr>
          <w:rFonts w:hint="eastAsia"/>
          <w:color w:val="auto"/>
        </w:rPr>
        <w:t>施工期主要包括站场建构筑物建设、管线建设及公辅工程建设，其施工工艺及产污节点见图</w:t>
      </w:r>
      <w:r>
        <w:rPr>
          <w:color w:val="auto"/>
        </w:rPr>
        <w:t>3.2</w:t>
      </w:r>
      <w:r>
        <w:rPr>
          <w:rFonts w:hint="eastAsia"/>
          <w:color w:val="auto"/>
        </w:rPr>
        <w:t>-8。</w:t>
      </w:r>
    </w:p>
    <w:p w14:paraId="40A32D41">
      <w:pPr>
        <w:pStyle w:val="86"/>
        <w:adjustRightInd w:val="0"/>
        <w:snapToGrid w:val="0"/>
        <w:spacing w:line="360" w:lineRule="auto"/>
        <w:ind w:firstLine="0" w:firstLineChars="0"/>
        <w:jc w:val="center"/>
        <w:rPr>
          <w:rFonts w:hint="eastAsia"/>
          <w:color w:val="auto"/>
        </w:rPr>
      </w:pPr>
      <w:r>
        <w:rPr>
          <w:color w:val="auto"/>
        </w:rPr>
        <w:object>
          <v:shape id="_x0000_i1025" o:spt="75" type="#_x0000_t75" style="height:119.3pt;width:327.55pt;" o:ole="t" filled="f" o:preferrelative="t" stroked="f" coordsize="21600,21600">
            <v:path/>
            <v:fill on="f" focussize="0,0"/>
            <v:stroke on="f" joinstyle="miter"/>
            <v:imagedata r:id="rId59" o:title=""/>
            <o:lock v:ext="edit" aspectratio="t"/>
            <w10:wrap type="none"/>
            <w10:anchorlock/>
          </v:shape>
          <o:OLEObject Type="Embed" ProgID="Visio.Drawing.15" ShapeID="_x0000_i1025" DrawAspect="Content" ObjectID="_1468075725" r:id="rId58">
            <o:LockedField>false</o:LockedField>
          </o:OLEObject>
        </w:object>
      </w:r>
    </w:p>
    <w:p w14:paraId="4F0BDCBF">
      <w:pPr>
        <w:spacing w:line="500" w:lineRule="exact"/>
        <w:ind w:firstLine="420" w:firstLineChars="200"/>
        <w:jc w:val="center"/>
        <w:rPr>
          <w:rFonts w:hint="eastAsia" w:ascii="黑体" w:hAnsi="黑体" w:eastAsia="黑体"/>
          <w:color w:val="auto"/>
          <w:kern w:val="0"/>
          <w:szCs w:val="21"/>
          <w:lang w:val="zh-CN"/>
        </w:rPr>
      </w:pPr>
      <w:r>
        <w:rPr>
          <w:rFonts w:hint="eastAsia" w:ascii="黑体" w:hAnsi="黑体" w:eastAsia="黑体"/>
          <w:color w:val="auto"/>
          <w:kern w:val="0"/>
          <w:szCs w:val="21"/>
          <w:lang w:val="zh-CN"/>
        </w:rPr>
        <w:t>图3</w:t>
      </w:r>
      <w:r>
        <w:rPr>
          <w:rFonts w:ascii="黑体" w:hAnsi="黑体" w:eastAsia="黑体"/>
          <w:color w:val="auto"/>
          <w:kern w:val="0"/>
          <w:szCs w:val="21"/>
          <w:lang w:val="zh-CN"/>
        </w:rPr>
        <w:t>.2</w:t>
      </w:r>
      <w:r>
        <w:rPr>
          <w:rFonts w:hint="eastAsia" w:ascii="黑体" w:hAnsi="黑体" w:eastAsia="黑体"/>
          <w:color w:val="auto"/>
          <w:kern w:val="0"/>
          <w:szCs w:val="21"/>
          <w:lang w:val="zh-CN"/>
        </w:rPr>
        <w:t xml:space="preserve">-8 </w:t>
      </w:r>
      <w:r>
        <w:rPr>
          <w:rFonts w:ascii="黑体" w:hAnsi="黑体" w:eastAsia="黑体"/>
          <w:color w:val="auto"/>
          <w:kern w:val="0"/>
          <w:szCs w:val="21"/>
          <w:lang w:val="zh-CN"/>
        </w:rPr>
        <w:t xml:space="preserve"> </w:t>
      </w:r>
      <w:r>
        <w:rPr>
          <w:rFonts w:hint="eastAsia" w:ascii="黑体" w:hAnsi="黑体" w:eastAsia="黑体"/>
          <w:color w:val="auto"/>
          <w:kern w:val="0"/>
          <w:szCs w:val="21"/>
          <w:lang w:val="zh-CN"/>
        </w:rPr>
        <w:t>施工工艺及产污节点示意图</w:t>
      </w:r>
    </w:p>
    <w:p w14:paraId="152065D4">
      <w:pPr>
        <w:pStyle w:val="86"/>
        <w:adjustRightInd w:val="0"/>
        <w:snapToGrid w:val="0"/>
        <w:ind w:firstLine="480"/>
        <w:rPr>
          <w:rFonts w:hint="eastAsia"/>
          <w:color w:val="auto"/>
        </w:rPr>
      </w:pPr>
      <w:r>
        <w:rPr>
          <w:rFonts w:hint="eastAsia"/>
          <w:color w:val="auto"/>
        </w:rPr>
        <w:t>①井场、站场建设</w:t>
      </w:r>
    </w:p>
    <w:p w14:paraId="16EF32B6">
      <w:pPr>
        <w:pStyle w:val="86"/>
        <w:adjustRightInd w:val="0"/>
        <w:snapToGrid w:val="0"/>
        <w:ind w:firstLine="480"/>
        <w:rPr>
          <w:rFonts w:hint="eastAsia"/>
          <w:color w:val="auto"/>
        </w:rPr>
      </w:pPr>
      <w:r>
        <w:rPr>
          <w:rFonts w:hint="eastAsia"/>
          <w:color w:val="auto"/>
        </w:rPr>
        <w:t>新建井场、站场施工期内容主要为设备安装及管线连接。新增设备为成品外购，用施工车辆运至指定井场位置即可。首先需对占地进行场地平整，设置施工车辆临时停放场地，将各类设备拉运至场地，进行安装调试。施工结束后，对施工场地临时占地进行平整恢复。</w:t>
      </w:r>
    </w:p>
    <w:p w14:paraId="71792889">
      <w:pPr>
        <w:pStyle w:val="86"/>
        <w:adjustRightInd w:val="0"/>
        <w:snapToGrid w:val="0"/>
        <w:ind w:firstLine="480"/>
        <w:rPr>
          <w:rFonts w:hint="eastAsia"/>
          <w:color w:val="auto"/>
        </w:rPr>
      </w:pPr>
      <w:r>
        <w:rPr>
          <w:rFonts w:hint="eastAsia"/>
          <w:color w:val="auto"/>
        </w:rPr>
        <w:t>该过程废气污染源主要为施工车辆尾气，设备运输和装卸时产生的扬尘，通过洒水抑尘减少扬尘产生量；噪声污染源为施工机械产生的噪声，通过选取低噪声设备、加强设备维护保养降低噪声；固体废物主要为设备废弃包装等，施工废料收集后统一送至当地建筑垃圾填埋场进行处置。</w:t>
      </w:r>
    </w:p>
    <w:p w14:paraId="5015075B">
      <w:pPr>
        <w:pStyle w:val="86"/>
        <w:adjustRightInd w:val="0"/>
        <w:snapToGrid w:val="0"/>
        <w:ind w:firstLine="480"/>
        <w:rPr>
          <w:rFonts w:hint="eastAsia"/>
          <w:color w:val="auto"/>
        </w:rPr>
      </w:pPr>
      <w:r>
        <w:rPr>
          <w:rFonts w:hint="eastAsia"/>
          <w:color w:val="auto"/>
        </w:rPr>
        <w:t>②管线施工工艺</w:t>
      </w:r>
    </w:p>
    <w:p w14:paraId="51C80400">
      <w:pPr>
        <w:pStyle w:val="86"/>
        <w:adjustRightInd w:val="0"/>
        <w:snapToGrid w:val="0"/>
        <w:ind w:firstLine="480"/>
        <w:rPr>
          <w:rFonts w:hint="eastAsia"/>
          <w:color w:val="auto"/>
        </w:rPr>
      </w:pPr>
      <w:r>
        <w:rPr>
          <w:rFonts w:hint="eastAsia"/>
          <w:color w:val="auto"/>
        </w:rPr>
        <w:t>管线施工工艺流程简介：</w:t>
      </w:r>
    </w:p>
    <w:p w14:paraId="014E5AF5">
      <w:pPr>
        <w:pStyle w:val="86"/>
        <w:adjustRightInd w:val="0"/>
        <w:snapToGrid w:val="0"/>
        <w:ind w:firstLine="480"/>
        <w:rPr>
          <w:rFonts w:hint="eastAsia"/>
          <w:color w:val="auto"/>
        </w:rPr>
      </w:pPr>
      <w:r>
        <w:rPr>
          <w:rFonts w:hint="eastAsia"/>
          <w:color w:val="auto"/>
        </w:rPr>
        <w:t>（1）施工放线</w:t>
      </w:r>
    </w:p>
    <w:p w14:paraId="36040C25">
      <w:pPr>
        <w:pStyle w:val="86"/>
        <w:adjustRightInd w:val="0"/>
        <w:snapToGrid w:val="0"/>
        <w:ind w:firstLine="480"/>
        <w:rPr>
          <w:rFonts w:hint="eastAsia"/>
          <w:color w:val="auto"/>
        </w:rPr>
      </w:pPr>
      <w:r>
        <w:rPr>
          <w:rFonts w:hint="eastAsia"/>
          <w:color w:val="auto"/>
        </w:rPr>
        <w:t>施工放线时，施工单位必须对设计图纸进行现场核对，根据设计图纸进行放线，打百米桩，标桩上注明标号、里程、高程，转角桩应注明角度、外矢矩及切线长度，在地形起伏及较大拐弯处应打加密桩。施工时按管道两侧土地占用范围划定临时用地边界线，特殊地段增加用地宽度时应与当地有关部门协商。</w:t>
      </w:r>
    </w:p>
    <w:p w14:paraId="5452C88C">
      <w:pPr>
        <w:pStyle w:val="86"/>
        <w:adjustRightInd w:val="0"/>
        <w:snapToGrid w:val="0"/>
        <w:ind w:firstLine="480"/>
        <w:rPr>
          <w:rFonts w:hint="eastAsia"/>
          <w:color w:val="auto"/>
        </w:rPr>
      </w:pPr>
      <w:r>
        <w:rPr>
          <w:rFonts w:hint="eastAsia"/>
          <w:color w:val="auto"/>
        </w:rPr>
        <w:t>（2）管沟开挖</w:t>
      </w:r>
    </w:p>
    <w:p w14:paraId="06E497C0">
      <w:pPr>
        <w:pStyle w:val="86"/>
        <w:adjustRightInd w:val="0"/>
        <w:snapToGrid w:val="0"/>
        <w:ind w:firstLine="480"/>
        <w:rPr>
          <w:rFonts w:hint="eastAsia"/>
          <w:color w:val="auto"/>
        </w:rPr>
      </w:pPr>
      <w:r>
        <w:rPr>
          <w:rFonts w:hint="eastAsia"/>
          <w:color w:val="auto"/>
        </w:rPr>
        <w:t>本工程管线采用沟埋式敷设，开挖管沟前，应根据管道施工用地宽度清理其中的杂物，平整沟、坎，以便施工机具通行，同时清除管线中心线两侧以及附近斜坡上危及管道安全的崩塌堆积物。</w:t>
      </w:r>
    </w:p>
    <w:p w14:paraId="0A9E6204">
      <w:pPr>
        <w:pStyle w:val="86"/>
        <w:adjustRightInd w:val="0"/>
        <w:snapToGrid w:val="0"/>
        <w:ind w:firstLine="480"/>
        <w:rPr>
          <w:rFonts w:hint="eastAsia"/>
          <w:color w:val="auto"/>
        </w:rPr>
      </w:pPr>
      <w:r>
        <w:rPr>
          <w:rFonts w:hint="eastAsia"/>
          <w:color w:val="auto"/>
        </w:rPr>
        <w:t>沿管线设计路线进行开挖管沟，并根据现场情况适当调整，开挖过程中对管沟区挖方单侧堆放，以机械开挖为主，人工为辅。开挖到设计深度位置，并对管沟底进行夯实、铺小颗粒原土、下管。</w:t>
      </w:r>
    </w:p>
    <w:p w14:paraId="7922EEF1">
      <w:pPr>
        <w:pStyle w:val="86"/>
        <w:adjustRightInd w:val="0"/>
        <w:snapToGrid w:val="0"/>
        <w:ind w:firstLine="480"/>
        <w:rPr>
          <w:rFonts w:hint="eastAsia"/>
          <w:color w:val="auto"/>
        </w:rPr>
      </w:pPr>
      <w:bookmarkStart w:id="256" w:name="_Hlk165553712"/>
      <w:r>
        <w:rPr>
          <w:rFonts w:hint="eastAsia"/>
          <w:color w:val="auto"/>
        </w:rPr>
        <w:t>单井采油管线采用埋地敷设，管沟挖深2.2m，保温层采用30mm厚保温橡塑海绵，防护层采用1mm厚聚乙烯胶粘带，并在管线接头处增设地面标志桩；单井采油管线仅穿越土路和碎石路面，不穿越沥青路面，采用大开挖方式，并设套管保护。</w:t>
      </w:r>
    </w:p>
    <w:p w14:paraId="4C359C4B">
      <w:pPr>
        <w:pStyle w:val="86"/>
        <w:adjustRightInd w:val="0"/>
        <w:snapToGrid w:val="0"/>
        <w:ind w:firstLine="480"/>
        <w:rPr>
          <w:rFonts w:hint="eastAsia"/>
          <w:color w:val="auto"/>
        </w:rPr>
      </w:pPr>
      <w:r>
        <w:rPr>
          <w:rFonts w:hint="eastAsia"/>
          <w:color w:val="auto"/>
        </w:rPr>
        <w:t>（3）管道下沟</w:t>
      </w:r>
    </w:p>
    <w:p w14:paraId="3FB9D61E">
      <w:pPr>
        <w:pStyle w:val="86"/>
        <w:adjustRightInd w:val="0"/>
        <w:snapToGrid w:val="0"/>
        <w:ind w:firstLine="480"/>
        <w:rPr>
          <w:rFonts w:hint="eastAsia"/>
          <w:color w:val="auto"/>
        </w:rPr>
      </w:pPr>
      <w:r>
        <w:rPr>
          <w:rFonts w:hint="eastAsia"/>
          <w:color w:val="auto"/>
        </w:rPr>
        <w:t>管段下沟前，需清除沟中的石块及塌方泥土、积水等，对管道进行外观检查并及时修补；管段下沟时，不允许任何导致管段产生弯折、永久性变形、破坏管材的现象出现；管段下沟后，在不受外力的条件下，应与沟底表面贴实且放到管沟中心位置。如出现管底局部悬空应用细土填塞，不得出现浅埋。</w:t>
      </w:r>
    </w:p>
    <w:p w14:paraId="575813D0">
      <w:pPr>
        <w:pStyle w:val="86"/>
        <w:adjustRightInd w:val="0"/>
        <w:snapToGrid w:val="0"/>
        <w:ind w:firstLine="480"/>
        <w:rPr>
          <w:rFonts w:hint="eastAsia"/>
          <w:color w:val="auto"/>
        </w:rPr>
      </w:pPr>
      <w:r>
        <w:rPr>
          <w:rFonts w:hint="eastAsia"/>
          <w:color w:val="auto"/>
        </w:rPr>
        <w:t>（4）管道连接与、吹扫与试压</w:t>
      </w:r>
    </w:p>
    <w:p w14:paraId="68FD0760">
      <w:pPr>
        <w:pStyle w:val="86"/>
        <w:adjustRightInd w:val="0"/>
        <w:snapToGrid w:val="0"/>
        <w:ind w:firstLine="480"/>
        <w:rPr>
          <w:rFonts w:hint="eastAsia"/>
          <w:color w:val="auto"/>
        </w:rPr>
      </w:pPr>
      <w:r>
        <w:rPr>
          <w:rFonts w:hint="eastAsia"/>
          <w:color w:val="auto"/>
        </w:rPr>
        <w:t>管道进行焊接、补口、补伤、接口防腐等，进行注水试压。管道在试压前应进行吹扫，当吹扫出的气体无铁锈、尘土、焊渣、水等脏物时为合格，吹扫气体在管道内流速应大于20m/s。</w:t>
      </w:r>
    </w:p>
    <w:p w14:paraId="4E10CE88">
      <w:pPr>
        <w:pStyle w:val="86"/>
        <w:adjustRightInd w:val="0"/>
        <w:snapToGrid w:val="0"/>
        <w:ind w:firstLine="480"/>
        <w:rPr>
          <w:rFonts w:hint="eastAsia"/>
          <w:color w:val="auto"/>
        </w:rPr>
      </w:pPr>
      <w:r>
        <w:rPr>
          <w:rFonts w:hint="eastAsia"/>
          <w:color w:val="auto"/>
        </w:rPr>
        <w:t>管线试压介质采用中性洁净水，管道试压分段进行，集输管线试压水由排出后进入下一段管线循环使用，试压结束后排入撬装组合型钢板池暂存。</w:t>
      </w:r>
    </w:p>
    <w:p w14:paraId="75D01D61">
      <w:pPr>
        <w:pStyle w:val="86"/>
        <w:adjustRightInd w:val="0"/>
        <w:snapToGrid w:val="0"/>
        <w:ind w:firstLine="480"/>
        <w:rPr>
          <w:rFonts w:hint="eastAsia"/>
          <w:color w:val="auto"/>
        </w:rPr>
      </w:pPr>
      <w:r>
        <w:rPr>
          <w:rFonts w:hint="eastAsia"/>
          <w:color w:val="auto"/>
        </w:rPr>
        <w:t>（5）管沟回填</w:t>
      </w:r>
    </w:p>
    <w:p w14:paraId="4C041A9B">
      <w:pPr>
        <w:pStyle w:val="86"/>
        <w:adjustRightInd w:val="0"/>
        <w:snapToGrid w:val="0"/>
        <w:ind w:firstLine="480"/>
        <w:rPr>
          <w:rFonts w:hint="eastAsia"/>
          <w:color w:val="auto"/>
        </w:rPr>
      </w:pPr>
      <w:r>
        <w:rPr>
          <w:rFonts w:hint="eastAsia"/>
          <w:color w:val="auto"/>
        </w:rPr>
        <w:t>收尾工作包括管沟回填、场地平整和临时场地恢复。管线连接成功并检验合格后进行管沟回填。对管沟实施土方回填，回填时分二次回填，回填土应与管沟自然土相似，首先距管壁 300mm 范围先用较小粒径的原土进行小回填，最大回填粒径不超过10mm，然后采用原土进行大回填，管顶距自然地坪不小于1.5m且管沟回填土高出自然地面300mm，沿管线铺设方向形成垄，作为自管道上方土层沉降富余量，且可以作为巡视管线的地表标志，剩余土方用于场地平整和临时施工场地土地恢复。第一次回填采用人工回填，第二次回填可采用机械回填，机械回填时，严禁施工机械碾压管道。管沟回填后，在管线沿线设置管道标识、里程桩、转角桩、标志桩、警示牌和警示带等标识。</w:t>
      </w:r>
    </w:p>
    <w:p w14:paraId="547D9CA0">
      <w:pPr>
        <w:pStyle w:val="86"/>
        <w:adjustRightInd w:val="0"/>
        <w:snapToGrid w:val="0"/>
        <w:spacing w:line="240" w:lineRule="auto"/>
        <w:ind w:firstLine="480"/>
        <w:jc w:val="center"/>
        <w:rPr>
          <w:rFonts w:hint="eastAsia"/>
          <w:color w:val="auto"/>
        </w:rPr>
      </w:pPr>
      <w:r>
        <w:rPr>
          <w:color w:val="auto"/>
          <w14:ligatures w14:val="none"/>
        </w:rPr>
        <w:drawing>
          <wp:inline distT="0" distB="0" distL="0" distR="0">
            <wp:extent cx="4178935" cy="5424805"/>
            <wp:effectExtent l="0" t="0" r="0" b="4445"/>
            <wp:docPr id="12025965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596556" name="图片 1"/>
                    <pic:cNvPicPr>
                      <a:picLocks noChangeAspect="1"/>
                    </pic:cNvPicPr>
                  </pic:nvPicPr>
                  <pic:blipFill>
                    <a:blip r:embed="rId60"/>
                    <a:stretch>
                      <a:fillRect/>
                    </a:stretch>
                  </pic:blipFill>
                  <pic:spPr>
                    <a:xfrm>
                      <a:off x="0" y="0"/>
                      <a:ext cx="4184864" cy="5432682"/>
                    </a:xfrm>
                    <a:prstGeom prst="rect">
                      <a:avLst/>
                    </a:prstGeom>
                  </pic:spPr>
                </pic:pic>
              </a:graphicData>
            </a:graphic>
          </wp:inline>
        </w:drawing>
      </w:r>
    </w:p>
    <w:p w14:paraId="71EE8AAD">
      <w:pPr>
        <w:spacing w:line="500" w:lineRule="exact"/>
        <w:ind w:firstLine="420" w:firstLineChars="200"/>
        <w:jc w:val="center"/>
        <w:rPr>
          <w:rFonts w:hint="eastAsia" w:ascii="黑体" w:hAnsi="黑体" w:eastAsia="黑体"/>
          <w:color w:val="auto"/>
          <w:kern w:val="0"/>
          <w:szCs w:val="21"/>
          <w:lang w:val="zh-CN"/>
        </w:rPr>
      </w:pPr>
      <w:r>
        <w:rPr>
          <w:rFonts w:hint="eastAsia" w:ascii="黑体" w:hAnsi="黑体" w:eastAsia="黑体"/>
          <w:color w:val="auto"/>
          <w:kern w:val="0"/>
          <w:szCs w:val="21"/>
          <w:lang w:val="zh-CN"/>
        </w:rPr>
        <w:t>图3.2-9    管线施工工艺流程及产污环节示意图</w:t>
      </w:r>
    </w:p>
    <w:bookmarkEnd w:id="256"/>
    <w:p w14:paraId="674B05E8">
      <w:pPr>
        <w:pStyle w:val="86"/>
        <w:adjustRightInd w:val="0"/>
        <w:snapToGrid w:val="0"/>
        <w:ind w:firstLine="480"/>
        <w:rPr>
          <w:rFonts w:hint="eastAsia"/>
          <w:color w:val="auto"/>
        </w:rPr>
      </w:pPr>
      <w:r>
        <w:rPr>
          <w:rFonts w:hint="eastAsia"/>
          <w:color w:val="auto"/>
        </w:rPr>
        <w:t>废气主要为施工扬尘、施工机械及车辆尾气和焊接废气，废水主要为管道试压废水和混凝土养护废水，固体废物主要为建筑垃圾，噪声源主要为施工机械及车辆，施工过程中对生态环境产生的影响。</w:t>
      </w:r>
    </w:p>
    <w:p w14:paraId="442E873F">
      <w:pPr>
        <w:pStyle w:val="86"/>
        <w:adjustRightInd w:val="0"/>
        <w:snapToGrid w:val="0"/>
        <w:ind w:firstLine="480"/>
        <w:rPr>
          <w:rFonts w:hint="eastAsia"/>
          <w:color w:val="auto"/>
        </w:rPr>
      </w:pPr>
      <w:bookmarkStart w:id="257" w:name="_Hlk147581788"/>
      <w:r>
        <w:rPr>
          <w:rFonts w:hint="eastAsia"/>
          <w:color w:val="auto"/>
        </w:rPr>
        <w:t>（</w:t>
      </w:r>
      <w:r>
        <w:rPr>
          <w:color w:val="auto"/>
        </w:rPr>
        <w:t>2</w:t>
      </w:r>
      <w:r>
        <w:rPr>
          <w:rFonts w:hint="eastAsia"/>
          <w:color w:val="auto"/>
        </w:rPr>
        <w:t>）运营期工艺流程及环境影响因素分析</w:t>
      </w:r>
    </w:p>
    <w:p w14:paraId="4807604A">
      <w:pPr>
        <w:pStyle w:val="86"/>
        <w:adjustRightInd w:val="0"/>
        <w:snapToGrid w:val="0"/>
        <w:ind w:firstLine="480"/>
        <w:rPr>
          <w:rFonts w:hint="eastAsia"/>
          <w:color w:val="auto"/>
        </w:rPr>
      </w:pPr>
      <w:r>
        <w:rPr>
          <w:rFonts w:hint="eastAsia"/>
          <w:color w:val="auto"/>
        </w:rPr>
        <w:t>①油气集输工艺流程</w:t>
      </w:r>
    </w:p>
    <w:p w14:paraId="5E05E001">
      <w:pPr>
        <w:pStyle w:val="86"/>
        <w:adjustRightInd w:val="0"/>
        <w:snapToGrid w:val="0"/>
        <w:ind w:firstLine="480"/>
        <w:rPr>
          <w:rFonts w:hint="eastAsia"/>
          <w:color w:val="auto"/>
        </w:rPr>
      </w:pPr>
      <w:bookmarkStart w:id="258" w:name="OLE_LINK80"/>
      <w:r>
        <w:rPr>
          <w:rFonts w:hint="eastAsia"/>
          <w:color w:val="auto"/>
        </w:rPr>
        <w:t>莫172H井采用井口加热工艺，油气集输采用管线密闭集输工艺，工艺流程为：</w:t>
      </w:r>
      <w:r>
        <w:rPr>
          <w:color w:val="auto"/>
        </w:rPr>
        <w:t>莫172H井</w:t>
      </w:r>
      <w:r>
        <w:rPr>
          <w:rFonts w:hint="eastAsia"/>
          <w:color w:val="auto"/>
        </w:rPr>
        <w:t>采出物</w:t>
      </w:r>
      <w:r>
        <w:rPr>
          <w:color w:val="auto"/>
        </w:rPr>
        <w:t>先进入</w:t>
      </w:r>
      <w:r>
        <w:rPr>
          <w:rFonts w:hint="eastAsia"/>
          <w:color w:val="auto"/>
        </w:rPr>
        <w:t>电加热炉</w:t>
      </w:r>
      <w:r>
        <w:rPr>
          <w:color w:val="auto"/>
        </w:rPr>
        <w:t>加热节流至5MPa，</w:t>
      </w:r>
      <w:r>
        <w:rPr>
          <w:rFonts w:hint="eastAsia"/>
          <w:color w:val="auto"/>
        </w:rPr>
        <w:t>2</w:t>
      </w:r>
      <w:r>
        <w:rPr>
          <w:color w:val="auto"/>
        </w:rPr>
        <w:t>5℃，后经三相分离器分离，气相进入莫172H井场天然气处理装置处理，油相进入2座已建60m</w:t>
      </w:r>
      <w:r>
        <w:rPr>
          <w:color w:val="auto"/>
          <w:vertAlign w:val="superscript"/>
        </w:rPr>
        <w:t>3</w:t>
      </w:r>
      <w:r>
        <w:rPr>
          <w:color w:val="auto"/>
        </w:rPr>
        <w:t>原油高架罐，分离出的污油水去高压排污缓冲罐。分离出的气相进分子筛脱水橇进行深度脱水</w:t>
      </w:r>
      <w:r>
        <w:rPr>
          <w:rFonts w:hint="eastAsia"/>
          <w:color w:val="auto"/>
        </w:rPr>
        <w:t>，</w:t>
      </w:r>
      <w:r>
        <w:rPr>
          <w:color w:val="auto"/>
        </w:rPr>
        <w:t>脱水后的天然气进入外冷脱烃橇进行脱烃，脱烃后的干气进入CNG压缩机橇增压至20MPa，通过加气柱装车拉运；低温分离及混烃回收橇分离出的混烃进入2座19m</w:t>
      </w:r>
      <w:r>
        <w:rPr>
          <w:color w:val="auto"/>
          <w:vertAlign w:val="superscript"/>
        </w:rPr>
        <w:t>3</w:t>
      </w:r>
      <w:r>
        <w:rPr>
          <w:color w:val="auto"/>
        </w:rPr>
        <w:t>混烃储罐储存</w:t>
      </w:r>
      <w:r>
        <w:rPr>
          <w:rFonts w:hint="eastAsia"/>
          <w:color w:val="auto"/>
        </w:rPr>
        <w:t>，装车</w:t>
      </w:r>
      <w:r>
        <w:rPr>
          <w:color w:val="auto"/>
        </w:rPr>
        <w:t>拉运</w:t>
      </w:r>
      <w:r>
        <w:rPr>
          <w:rFonts w:hint="eastAsia"/>
          <w:color w:val="auto"/>
        </w:rPr>
        <w:t>销售</w:t>
      </w:r>
      <w:r>
        <w:rPr>
          <w:color w:val="auto"/>
        </w:rPr>
        <w:t>。</w:t>
      </w:r>
    </w:p>
    <w:bookmarkEnd w:id="258"/>
    <w:p w14:paraId="226F8080">
      <w:pPr>
        <w:pStyle w:val="86"/>
        <w:adjustRightInd w:val="0"/>
        <w:snapToGrid w:val="0"/>
        <w:ind w:firstLine="480"/>
        <w:rPr>
          <w:rFonts w:hint="eastAsia"/>
          <w:color w:val="auto"/>
        </w:rPr>
      </w:pPr>
      <w:r>
        <w:rPr>
          <w:rFonts w:hint="eastAsia"/>
          <w:color w:val="auto"/>
        </w:rPr>
        <w:t>莫27井油气集输采用管线密闭集输工艺，采出物管输至莫172H井井场内进入</w:t>
      </w:r>
      <w:r>
        <w:rPr>
          <w:rFonts w:hint="eastAsia"/>
          <w:color w:val="auto"/>
        </w:rPr>
        <w:t>电加热炉</w:t>
      </w:r>
      <w:r>
        <w:rPr>
          <w:color w:val="auto"/>
        </w:rPr>
        <w:t>加热节流至5.0</w:t>
      </w:r>
      <w:r>
        <w:rPr>
          <w:rFonts w:hint="eastAsia"/>
          <w:color w:val="auto"/>
        </w:rPr>
        <w:t>-5.5</w:t>
      </w:r>
      <w:r>
        <w:rPr>
          <w:color w:val="auto"/>
        </w:rPr>
        <w:t>MPa</w:t>
      </w:r>
      <w:r>
        <w:rPr>
          <w:rFonts w:hint="eastAsia"/>
          <w:color w:val="auto"/>
        </w:rPr>
        <w:t>、40-60</w:t>
      </w:r>
      <w:r>
        <w:rPr>
          <w:color w:val="auto"/>
        </w:rPr>
        <w:t>℃后</w:t>
      </w:r>
      <w:r>
        <w:rPr>
          <w:rFonts w:hint="eastAsia"/>
          <w:color w:val="auto"/>
        </w:rPr>
        <w:t>，</w:t>
      </w:r>
      <w:r>
        <w:rPr>
          <w:color w:val="auto"/>
        </w:rPr>
        <w:t>经三相分离器分离，分离出的油去2座19m</w:t>
      </w:r>
      <w:r>
        <w:rPr>
          <w:color w:val="auto"/>
          <w:vertAlign w:val="superscript"/>
        </w:rPr>
        <w:t>3</w:t>
      </w:r>
      <w:r>
        <w:rPr>
          <w:rFonts w:hint="eastAsia"/>
          <w:color w:val="auto"/>
        </w:rPr>
        <w:t>原油</w:t>
      </w:r>
      <w:r>
        <w:rPr>
          <w:color w:val="auto"/>
        </w:rPr>
        <w:t>储罐储存，再泵送至充装区</w:t>
      </w:r>
      <w:r>
        <w:rPr>
          <w:rFonts w:hint="eastAsia"/>
          <w:color w:val="auto"/>
        </w:rPr>
        <w:t>原油</w:t>
      </w:r>
      <w:r>
        <w:rPr>
          <w:color w:val="auto"/>
        </w:rPr>
        <w:t>装车橇装车拉运。分离出的污油水去高压排污缓冲罐，再去40m</w:t>
      </w:r>
      <w:r>
        <w:rPr>
          <w:rFonts w:hint="eastAsia"/>
          <w:color w:val="auto"/>
          <w:vertAlign w:val="superscript"/>
        </w:rPr>
        <w:t>3</w:t>
      </w:r>
      <w:r>
        <w:rPr>
          <w:color w:val="auto"/>
        </w:rPr>
        <w:t>污水罐储存，污水罐中的水泵送至充装区污水装车橇装车拉运</w:t>
      </w:r>
      <w:r>
        <w:rPr>
          <w:rFonts w:hint="eastAsia"/>
          <w:color w:val="auto"/>
        </w:rPr>
        <w:t>。</w:t>
      </w:r>
    </w:p>
    <w:p w14:paraId="2AA164D3">
      <w:pPr>
        <w:pStyle w:val="86"/>
        <w:adjustRightInd w:val="0"/>
        <w:snapToGrid w:val="0"/>
        <w:ind w:firstLine="480"/>
        <w:rPr>
          <w:rFonts w:hint="eastAsia"/>
          <w:color w:val="auto"/>
        </w:rPr>
      </w:pPr>
      <w:r>
        <w:rPr>
          <w:rFonts w:hint="eastAsia"/>
          <w:color w:val="auto"/>
        </w:rPr>
        <w:t>莫174H井采用井口加热工艺，油气集输采用管线密闭集输工艺，工艺流程为：</w:t>
      </w:r>
      <w:r>
        <w:rPr>
          <w:color w:val="auto"/>
        </w:rPr>
        <w:t>莫17</w:t>
      </w:r>
      <w:r>
        <w:rPr>
          <w:rFonts w:hint="eastAsia"/>
          <w:color w:val="auto"/>
        </w:rPr>
        <w:t>4</w:t>
      </w:r>
      <w:r>
        <w:rPr>
          <w:color w:val="auto"/>
        </w:rPr>
        <w:t>H井</w:t>
      </w:r>
      <w:r>
        <w:rPr>
          <w:rFonts w:hint="eastAsia"/>
          <w:color w:val="auto"/>
        </w:rPr>
        <w:t>采出物</w:t>
      </w:r>
      <w:r>
        <w:rPr>
          <w:color w:val="auto"/>
        </w:rPr>
        <w:t>先进入</w:t>
      </w:r>
      <w:r>
        <w:rPr>
          <w:rFonts w:hint="eastAsia"/>
          <w:color w:val="auto"/>
        </w:rPr>
        <w:t>电加热炉</w:t>
      </w:r>
      <w:r>
        <w:rPr>
          <w:color w:val="auto"/>
        </w:rPr>
        <w:t>加热节流至5MPa，45℃，后经三相分离器分离，气相进入莫17</w:t>
      </w:r>
      <w:r>
        <w:rPr>
          <w:rFonts w:hint="eastAsia"/>
          <w:color w:val="auto"/>
        </w:rPr>
        <w:t>4</w:t>
      </w:r>
      <w:r>
        <w:rPr>
          <w:color w:val="auto"/>
        </w:rPr>
        <w:t>H井场天然气处理装置处理，油相进入2座60m</w:t>
      </w:r>
      <w:r>
        <w:rPr>
          <w:color w:val="auto"/>
          <w:vertAlign w:val="superscript"/>
        </w:rPr>
        <w:t>3</w:t>
      </w:r>
      <w:r>
        <w:rPr>
          <w:color w:val="auto"/>
        </w:rPr>
        <w:t>原油高架罐，分离出的污油水去高压排污缓冲罐。分离出的气相进分子筛脱水橇进行深度脱水，脱水后的干气进低温分离及混烃回收橇A/B，与外冷机组橇A/B冷却至-15℃脱烃，产品气经CNG压缩机增压至20MPa，输送至充装区CNG充装柱，由槽车充装拉运。低温分离及混烃回收橇分离出的液烃去2座19m</w:t>
      </w:r>
      <w:r>
        <w:rPr>
          <w:color w:val="auto"/>
          <w:vertAlign w:val="superscript"/>
        </w:rPr>
        <w:t>3</w:t>
      </w:r>
      <w:r>
        <w:rPr>
          <w:color w:val="auto"/>
        </w:rPr>
        <w:t>混烃罐，再泵送至充装区装混烃车橇装车拉运。</w:t>
      </w:r>
    </w:p>
    <w:p w14:paraId="0CA5C095">
      <w:pPr>
        <w:pStyle w:val="86"/>
        <w:adjustRightInd w:val="0"/>
        <w:snapToGrid w:val="0"/>
        <w:ind w:firstLine="480"/>
        <w:rPr>
          <w:rFonts w:hint="eastAsia"/>
          <w:color w:val="auto"/>
        </w:rPr>
      </w:pPr>
      <w:r>
        <w:rPr>
          <w:rFonts w:hint="eastAsia"/>
          <w:color w:val="auto"/>
        </w:rPr>
        <w:t>废气主要为油气集输过程中产生的无组织挥发性有机物，</w:t>
      </w:r>
      <w:bookmarkStart w:id="259" w:name="OLE_LINK20"/>
      <w:r>
        <w:rPr>
          <w:rFonts w:hint="eastAsia"/>
          <w:color w:val="auto"/>
        </w:rPr>
        <w:t>废水主要为井下作业废液</w:t>
      </w:r>
      <w:bookmarkEnd w:id="259"/>
      <w:r>
        <w:rPr>
          <w:rFonts w:hint="eastAsia"/>
          <w:color w:val="auto"/>
        </w:rPr>
        <w:t>，噪声源主要为井下作业时各类机泵等，固体废物主要为废润滑油、废润滑油桶、沾油废防渗材料和废含油抹布及劳保用品。</w:t>
      </w:r>
    </w:p>
    <w:p w14:paraId="4DD9C402">
      <w:pPr>
        <w:pStyle w:val="86"/>
        <w:adjustRightInd w:val="0"/>
        <w:snapToGrid w:val="0"/>
        <w:ind w:firstLine="480"/>
        <w:rPr>
          <w:rFonts w:hint="eastAsia"/>
          <w:color w:val="auto"/>
        </w:rPr>
      </w:pPr>
      <w:r>
        <w:rPr>
          <w:rFonts w:hint="eastAsia"/>
          <w:color w:val="auto"/>
        </w:rPr>
        <w:t>※井下作业</w:t>
      </w:r>
    </w:p>
    <w:p w14:paraId="36415D30">
      <w:pPr>
        <w:pStyle w:val="86"/>
        <w:adjustRightInd w:val="0"/>
        <w:snapToGrid w:val="0"/>
        <w:ind w:firstLine="480"/>
        <w:rPr>
          <w:rFonts w:hint="eastAsia"/>
          <w:color w:val="auto"/>
        </w:rPr>
      </w:pPr>
      <w:r>
        <w:rPr>
          <w:rFonts w:hint="eastAsia"/>
          <w:color w:val="auto"/>
        </w:rPr>
        <w:t>井下作业主要为修井、压裂等作业，压裂采用套管桥塞分层压裂，压裂采用压裂液，主要设备见表3.2-14。</w:t>
      </w:r>
    </w:p>
    <w:p w14:paraId="04A0D9D3">
      <w:pPr>
        <w:spacing w:line="500" w:lineRule="exact"/>
        <w:ind w:firstLine="420" w:firstLineChars="200"/>
        <w:jc w:val="center"/>
        <w:rPr>
          <w:rFonts w:hint="eastAsia" w:ascii="黑体" w:hAnsi="黑体" w:eastAsia="黑体"/>
          <w:color w:val="auto"/>
          <w:kern w:val="0"/>
          <w:szCs w:val="21"/>
          <w:lang w:val="zh-CN"/>
        </w:rPr>
      </w:pPr>
      <w:r>
        <w:rPr>
          <w:rFonts w:hint="eastAsia" w:ascii="黑体" w:hAnsi="黑体" w:eastAsia="黑体"/>
          <w:color w:val="auto"/>
          <w:kern w:val="0"/>
          <w:szCs w:val="21"/>
          <w:lang w:val="zh-CN"/>
        </w:rPr>
        <w:t>表3.2-14  射孔、压裂工艺主要设备一览表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69"/>
        <w:gridCol w:w="2399"/>
        <w:gridCol w:w="2040"/>
        <w:gridCol w:w="2038"/>
      </w:tblGrid>
      <w:tr w14:paraId="7EF5F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0" w:type="pct"/>
            <w:tcBorders>
              <w:top w:val="single" w:color="auto" w:sz="12" w:space="0"/>
              <w:left w:val="nil"/>
              <w:bottom w:val="single" w:color="auto" w:sz="4" w:space="0"/>
              <w:right w:val="single" w:color="auto" w:sz="4" w:space="0"/>
            </w:tcBorders>
            <w:vAlign w:val="center"/>
          </w:tcPr>
          <w:p w14:paraId="29D12FE5">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设备名称</w:t>
            </w:r>
          </w:p>
        </w:tc>
        <w:tc>
          <w:tcPr>
            <w:tcW w:w="1341" w:type="pct"/>
            <w:tcBorders>
              <w:top w:val="single" w:color="auto" w:sz="12" w:space="0"/>
              <w:left w:val="single" w:color="auto" w:sz="4" w:space="0"/>
              <w:bottom w:val="single" w:color="auto" w:sz="4" w:space="0"/>
              <w:right w:val="single" w:color="auto" w:sz="4" w:space="0"/>
            </w:tcBorders>
            <w:vAlign w:val="center"/>
          </w:tcPr>
          <w:p w14:paraId="59273F87">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数量（台/座）</w:t>
            </w:r>
          </w:p>
        </w:tc>
        <w:tc>
          <w:tcPr>
            <w:tcW w:w="1140" w:type="pct"/>
            <w:tcBorders>
              <w:top w:val="single" w:color="auto" w:sz="12" w:space="0"/>
              <w:left w:val="single" w:color="auto" w:sz="4" w:space="0"/>
              <w:bottom w:val="single" w:color="auto" w:sz="4" w:space="0"/>
              <w:right w:val="single" w:color="auto" w:sz="4" w:space="0"/>
            </w:tcBorders>
            <w:vAlign w:val="center"/>
          </w:tcPr>
          <w:p w14:paraId="51BD07FE">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设备名称</w:t>
            </w:r>
          </w:p>
        </w:tc>
        <w:tc>
          <w:tcPr>
            <w:tcW w:w="1139" w:type="pct"/>
            <w:tcBorders>
              <w:top w:val="single" w:color="auto" w:sz="12" w:space="0"/>
              <w:left w:val="single" w:color="auto" w:sz="4" w:space="0"/>
              <w:bottom w:val="single" w:color="auto" w:sz="4" w:space="0"/>
              <w:right w:val="nil"/>
            </w:tcBorders>
            <w:vAlign w:val="center"/>
          </w:tcPr>
          <w:p w14:paraId="5BE86EF8">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数量（台/座）</w:t>
            </w:r>
          </w:p>
        </w:tc>
      </w:tr>
      <w:tr w14:paraId="0F65CB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0" w:type="pct"/>
            <w:tcBorders>
              <w:top w:val="single" w:color="auto" w:sz="4" w:space="0"/>
              <w:left w:val="nil"/>
              <w:bottom w:val="single" w:color="auto" w:sz="4" w:space="0"/>
              <w:right w:val="single" w:color="auto" w:sz="4" w:space="0"/>
            </w:tcBorders>
            <w:vAlign w:val="center"/>
          </w:tcPr>
          <w:p w14:paraId="3CE3FE9C">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压裂车</w:t>
            </w:r>
          </w:p>
        </w:tc>
        <w:tc>
          <w:tcPr>
            <w:tcW w:w="1341" w:type="pct"/>
            <w:tcBorders>
              <w:top w:val="single" w:color="auto" w:sz="4" w:space="0"/>
              <w:left w:val="single" w:color="auto" w:sz="4" w:space="0"/>
              <w:bottom w:val="single" w:color="auto" w:sz="4" w:space="0"/>
              <w:right w:val="single" w:color="auto" w:sz="4" w:space="0"/>
            </w:tcBorders>
            <w:vAlign w:val="center"/>
          </w:tcPr>
          <w:p w14:paraId="11AB7C9E">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1</w:t>
            </w:r>
          </w:p>
        </w:tc>
        <w:tc>
          <w:tcPr>
            <w:tcW w:w="1140" w:type="pct"/>
            <w:tcBorders>
              <w:top w:val="single" w:color="auto" w:sz="4" w:space="0"/>
              <w:left w:val="single" w:color="auto" w:sz="4" w:space="0"/>
              <w:bottom w:val="single" w:color="auto" w:sz="4" w:space="0"/>
              <w:right w:val="single" w:color="auto" w:sz="4" w:space="0"/>
            </w:tcBorders>
            <w:vAlign w:val="center"/>
          </w:tcPr>
          <w:p w14:paraId="7AD879FC">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连续输砂橇</w:t>
            </w:r>
          </w:p>
        </w:tc>
        <w:tc>
          <w:tcPr>
            <w:tcW w:w="1139" w:type="pct"/>
            <w:tcBorders>
              <w:top w:val="single" w:color="auto" w:sz="4" w:space="0"/>
              <w:left w:val="single" w:color="auto" w:sz="4" w:space="0"/>
              <w:bottom w:val="single" w:color="auto" w:sz="4" w:space="0"/>
              <w:right w:val="nil"/>
            </w:tcBorders>
            <w:vAlign w:val="center"/>
          </w:tcPr>
          <w:p w14:paraId="5DCCA86A">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1</w:t>
            </w:r>
          </w:p>
        </w:tc>
      </w:tr>
      <w:tr w14:paraId="1F67BF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0" w:type="pct"/>
            <w:tcBorders>
              <w:top w:val="single" w:color="auto" w:sz="4" w:space="0"/>
              <w:left w:val="nil"/>
              <w:bottom w:val="single" w:color="auto" w:sz="4" w:space="0"/>
              <w:right w:val="single" w:color="auto" w:sz="4" w:space="0"/>
            </w:tcBorders>
            <w:vAlign w:val="center"/>
          </w:tcPr>
          <w:p w14:paraId="4F440F54">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混砂车</w:t>
            </w:r>
          </w:p>
        </w:tc>
        <w:tc>
          <w:tcPr>
            <w:tcW w:w="1341" w:type="pct"/>
            <w:tcBorders>
              <w:top w:val="single" w:color="auto" w:sz="4" w:space="0"/>
              <w:left w:val="single" w:color="auto" w:sz="4" w:space="0"/>
              <w:bottom w:val="single" w:color="auto" w:sz="4" w:space="0"/>
              <w:right w:val="single" w:color="auto" w:sz="4" w:space="0"/>
            </w:tcBorders>
            <w:vAlign w:val="center"/>
          </w:tcPr>
          <w:p w14:paraId="010CF50B">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2</w:t>
            </w:r>
          </w:p>
        </w:tc>
        <w:tc>
          <w:tcPr>
            <w:tcW w:w="1140" w:type="pct"/>
            <w:tcBorders>
              <w:top w:val="single" w:color="auto" w:sz="4" w:space="0"/>
              <w:left w:val="single" w:color="auto" w:sz="4" w:space="0"/>
              <w:bottom w:val="single" w:color="auto" w:sz="4" w:space="0"/>
              <w:right w:val="single" w:color="auto" w:sz="4" w:space="0"/>
            </w:tcBorders>
            <w:vAlign w:val="center"/>
          </w:tcPr>
          <w:p w14:paraId="69214D35">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柔性储水罐</w:t>
            </w:r>
          </w:p>
        </w:tc>
        <w:tc>
          <w:tcPr>
            <w:tcW w:w="1139" w:type="pct"/>
            <w:tcBorders>
              <w:top w:val="single" w:color="auto" w:sz="4" w:space="0"/>
              <w:left w:val="single" w:color="auto" w:sz="4" w:space="0"/>
              <w:bottom w:val="single" w:color="auto" w:sz="4" w:space="0"/>
              <w:right w:val="nil"/>
            </w:tcBorders>
            <w:vAlign w:val="center"/>
          </w:tcPr>
          <w:p w14:paraId="3D9BDC85">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8</w:t>
            </w:r>
          </w:p>
        </w:tc>
      </w:tr>
      <w:tr w14:paraId="415F5D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0" w:type="pct"/>
            <w:tcBorders>
              <w:top w:val="single" w:color="auto" w:sz="4" w:space="0"/>
              <w:left w:val="nil"/>
              <w:bottom w:val="single" w:color="auto" w:sz="4" w:space="0"/>
              <w:right w:val="single" w:color="auto" w:sz="4" w:space="0"/>
            </w:tcBorders>
            <w:vAlign w:val="center"/>
          </w:tcPr>
          <w:p w14:paraId="6A31E049">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仪表车</w:t>
            </w:r>
          </w:p>
        </w:tc>
        <w:tc>
          <w:tcPr>
            <w:tcW w:w="1341" w:type="pct"/>
            <w:tcBorders>
              <w:top w:val="single" w:color="auto" w:sz="4" w:space="0"/>
              <w:left w:val="single" w:color="auto" w:sz="4" w:space="0"/>
              <w:bottom w:val="single" w:color="auto" w:sz="4" w:space="0"/>
              <w:right w:val="single" w:color="auto" w:sz="4" w:space="0"/>
            </w:tcBorders>
            <w:vAlign w:val="center"/>
          </w:tcPr>
          <w:p w14:paraId="16763B72">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1</w:t>
            </w:r>
          </w:p>
        </w:tc>
        <w:tc>
          <w:tcPr>
            <w:tcW w:w="1140" w:type="pct"/>
            <w:tcBorders>
              <w:top w:val="single" w:color="auto" w:sz="4" w:space="0"/>
              <w:left w:val="single" w:color="auto" w:sz="4" w:space="0"/>
              <w:bottom w:val="single" w:color="auto" w:sz="4" w:space="0"/>
              <w:right w:val="single" w:color="auto" w:sz="4" w:space="0"/>
            </w:tcBorders>
            <w:vAlign w:val="center"/>
          </w:tcPr>
          <w:p w14:paraId="50D33F9B">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地面储罐</w:t>
            </w:r>
          </w:p>
        </w:tc>
        <w:tc>
          <w:tcPr>
            <w:tcW w:w="1139" w:type="pct"/>
            <w:tcBorders>
              <w:top w:val="single" w:color="auto" w:sz="4" w:space="0"/>
              <w:left w:val="single" w:color="auto" w:sz="4" w:space="0"/>
              <w:bottom w:val="single" w:color="auto" w:sz="4" w:space="0"/>
              <w:right w:val="nil"/>
            </w:tcBorders>
            <w:vAlign w:val="center"/>
          </w:tcPr>
          <w:p w14:paraId="533C0A2E">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1</w:t>
            </w:r>
          </w:p>
        </w:tc>
      </w:tr>
      <w:tr w14:paraId="56442A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0" w:type="pct"/>
            <w:tcBorders>
              <w:top w:val="single" w:color="auto" w:sz="4" w:space="0"/>
              <w:left w:val="nil"/>
              <w:bottom w:val="single" w:color="auto" w:sz="12" w:space="0"/>
              <w:right w:val="single" w:color="auto" w:sz="4" w:space="0"/>
            </w:tcBorders>
            <w:vAlign w:val="center"/>
          </w:tcPr>
          <w:p w14:paraId="0297B7F1">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砂罐车</w:t>
            </w:r>
          </w:p>
        </w:tc>
        <w:tc>
          <w:tcPr>
            <w:tcW w:w="1341" w:type="pct"/>
            <w:tcBorders>
              <w:top w:val="single" w:color="auto" w:sz="4" w:space="0"/>
              <w:left w:val="single" w:color="auto" w:sz="4" w:space="0"/>
              <w:bottom w:val="single" w:color="auto" w:sz="12" w:space="0"/>
              <w:right w:val="single" w:color="auto" w:sz="4" w:space="0"/>
            </w:tcBorders>
            <w:vAlign w:val="center"/>
          </w:tcPr>
          <w:p w14:paraId="117852D9">
            <w:pPr>
              <w:widowControl/>
              <w:overflowPunct w:val="0"/>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4</w:t>
            </w:r>
          </w:p>
        </w:tc>
        <w:tc>
          <w:tcPr>
            <w:tcW w:w="1140" w:type="pct"/>
            <w:tcBorders>
              <w:top w:val="single" w:color="auto" w:sz="4" w:space="0"/>
              <w:left w:val="single" w:color="auto" w:sz="4" w:space="0"/>
              <w:bottom w:val="single" w:color="auto" w:sz="12" w:space="0"/>
              <w:right w:val="single" w:color="auto" w:sz="4" w:space="0"/>
            </w:tcBorders>
            <w:vAlign w:val="center"/>
          </w:tcPr>
          <w:p w14:paraId="500F0E73">
            <w:pPr>
              <w:widowControl/>
              <w:overflowPunct w:val="0"/>
              <w:adjustRightInd w:val="0"/>
              <w:snapToGrid w:val="0"/>
              <w:spacing w:line="300" w:lineRule="exact"/>
              <w:jc w:val="center"/>
              <w:rPr>
                <w:rFonts w:hint="eastAsia" w:ascii="宋体" w:hAnsi="宋体" w:cs="宋体"/>
                <w:color w:val="auto"/>
                <w:kern w:val="0"/>
                <w:szCs w:val="21"/>
                <w:lang w:bidi="ar"/>
              </w:rPr>
            </w:pPr>
          </w:p>
        </w:tc>
        <w:tc>
          <w:tcPr>
            <w:tcW w:w="1139" w:type="pct"/>
            <w:tcBorders>
              <w:top w:val="single" w:color="auto" w:sz="4" w:space="0"/>
              <w:left w:val="single" w:color="auto" w:sz="4" w:space="0"/>
              <w:bottom w:val="single" w:color="auto" w:sz="12" w:space="0"/>
              <w:right w:val="nil"/>
            </w:tcBorders>
            <w:vAlign w:val="center"/>
          </w:tcPr>
          <w:p w14:paraId="6CAA246C">
            <w:pPr>
              <w:widowControl/>
              <w:overflowPunct w:val="0"/>
              <w:adjustRightInd w:val="0"/>
              <w:snapToGrid w:val="0"/>
              <w:spacing w:line="300" w:lineRule="exact"/>
              <w:jc w:val="center"/>
              <w:rPr>
                <w:rFonts w:hint="eastAsia" w:ascii="宋体" w:hAnsi="宋体" w:cs="宋体"/>
                <w:color w:val="auto"/>
                <w:kern w:val="0"/>
                <w:szCs w:val="21"/>
                <w:lang w:bidi="ar"/>
              </w:rPr>
            </w:pPr>
          </w:p>
        </w:tc>
      </w:tr>
    </w:tbl>
    <w:p w14:paraId="101EBC94">
      <w:pPr>
        <w:pStyle w:val="86"/>
        <w:adjustRightInd w:val="0"/>
        <w:snapToGrid w:val="0"/>
        <w:ind w:firstLine="480"/>
        <w:rPr>
          <w:rFonts w:hint="eastAsia"/>
          <w:color w:val="auto"/>
        </w:rPr>
      </w:pPr>
      <w:r>
        <w:rPr>
          <w:rFonts w:hint="eastAsia"/>
          <w:color w:val="auto"/>
        </w:rPr>
        <w:t>②天然气处理工艺</w:t>
      </w:r>
    </w:p>
    <w:p w14:paraId="063531F7">
      <w:pPr>
        <w:pStyle w:val="86"/>
        <w:adjustRightInd w:val="0"/>
        <w:snapToGrid w:val="0"/>
        <w:ind w:firstLine="480"/>
        <w:rPr>
          <w:rFonts w:hint="eastAsia"/>
          <w:color w:val="auto"/>
        </w:rPr>
      </w:pPr>
      <w:r>
        <w:rPr>
          <w:color w:val="auto"/>
        </w:rPr>
        <w:t>三相分离器的天然气进入前置聚结过滤器除去天然气中携带的液相后进入分子筛脱水器进行脱水</w:t>
      </w:r>
      <w:r>
        <w:rPr>
          <w:rFonts w:hint="eastAsia"/>
          <w:color w:val="auto"/>
        </w:rPr>
        <w:t>，</w:t>
      </w:r>
      <w:r>
        <w:rPr>
          <w:color w:val="auto"/>
        </w:rPr>
        <w:t>经分子筛脱水后进入后置过滤分离器，除去天然气中携带的粉尘，过滤分离器中的杂质由排污管线进入闭排系统。除去粉尘后的天然气经过露点仪监测其露点合格后</w:t>
      </w:r>
      <w:r>
        <w:rPr>
          <w:rFonts w:hint="eastAsia"/>
          <w:color w:val="auto"/>
        </w:rPr>
        <w:t>，</w:t>
      </w:r>
      <w:r>
        <w:rPr>
          <w:color w:val="auto"/>
        </w:rPr>
        <w:t>经过循环压缩机增压后经加热器加热到分子筛再生温度（250~270℃）后，从分子筛脱水器的下端进入，对床层中饱和分子筛进行加热再生，再生后的再生湿气经过空冷器冷却至45℃后进入模块入口的预冷换热入口，并入原料气中一同进入换热器内预冷至15℃，再一同进入分离器中进行气、水、烃的分离，再进入分子筛吸附塔中脱水。</w:t>
      </w:r>
    </w:p>
    <w:p w14:paraId="41CA8D0C">
      <w:pPr>
        <w:pStyle w:val="86"/>
        <w:adjustRightInd w:val="0"/>
        <w:snapToGrid w:val="0"/>
        <w:ind w:firstLine="480"/>
        <w:rPr>
          <w:rFonts w:hint="eastAsia"/>
          <w:color w:val="auto"/>
        </w:rPr>
      </w:pPr>
      <w:r>
        <w:rPr>
          <w:color w:val="auto"/>
        </w:rPr>
        <w:t>再生结束后由于分子筛温度高对水吸附能力下降，需要对分子筛脱水器床层进行冷吹降温，冷吹天然气也取自后置过滤分离器后的天然气，冷吹干气从分子筛脱水器的下端进入，对床层中高温分子筛进行逐级降温冷吹，直至分子筛脱水器床层分子筛达到正常工作温度。出分子筛脱水器的冷吹气经过空冷器冷却至45℃后进入模块入口的预冷换热入口，并入原料气中一同进入换热器内预冷至15℃，再一同进入分离器中进行气、水、烃的分离，再进入分子筛吸附塔中脱水。</w:t>
      </w:r>
    </w:p>
    <w:p w14:paraId="1291E7AB">
      <w:pPr>
        <w:pStyle w:val="86"/>
        <w:adjustRightInd w:val="0"/>
        <w:snapToGrid w:val="0"/>
        <w:ind w:firstLine="480"/>
        <w:rPr>
          <w:rFonts w:hint="eastAsia"/>
          <w:color w:val="auto"/>
        </w:rPr>
      </w:pPr>
      <w:r>
        <w:rPr>
          <w:color w:val="auto"/>
        </w:rPr>
        <w:t>分子筛脱水后的天然气（5MPa，20~40℃）经空冷器冷却后经过换热器预冷，将气体温度降至（-10~5℃）后进入外冷装置进一步冷却至-15℃，冷却的低温气体进入低温分离器进行气液分离。分离出的气体返回到换热器升温后，通过调压后</w:t>
      </w:r>
      <w:r>
        <w:rPr>
          <w:rFonts w:hint="eastAsia"/>
          <w:color w:val="auto"/>
        </w:rPr>
        <w:t>进入</w:t>
      </w:r>
      <w:r>
        <w:rPr>
          <w:color w:val="auto"/>
        </w:rPr>
        <w:t>外输管网。</w:t>
      </w:r>
    </w:p>
    <w:p w14:paraId="02714A97">
      <w:pPr>
        <w:pStyle w:val="86"/>
        <w:adjustRightInd w:val="0"/>
        <w:snapToGrid w:val="0"/>
        <w:ind w:firstLine="480"/>
        <w:rPr>
          <w:rFonts w:hint="eastAsia"/>
          <w:color w:val="auto"/>
        </w:rPr>
      </w:pPr>
      <w:r>
        <w:rPr>
          <w:color w:val="auto"/>
        </w:rPr>
        <w:t>从低温分离器分离出来的混烃通过节流阀节流至1.1~1.5MPa后进入脱乙烷塔顶部进行混烃回收。回收后的混烃经过换热器与脱乙烷塔塔顶气体进行换热，再进入空冷器进一步降温，降温后的混烃输送至带压稳定混烃储罐进行储存，再经液烃泵进入用户罐车外运。</w:t>
      </w:r>
    </w:p>
    <w:p w14:paraId="4F473090">
      <w:pPr>
        <w:pStyle w:val="86"/>
        <w:adjustRightInd w:val="0"/>
        <w:snapToGrid w:val="0"/>
        <w:ind w:firstLine="480"/>
        <w:rPr>
          <w:rFonts w:hint="eastAsia"/>
          <w:color w:val="auto"/>
        </w:rPr>
      </w:pPr>
      <w:r>
        <w:rPr>
          <w:color w:val="auto"/>
        </w:rPr>
        <w:t>天然气进入往复压缩机增压至20MPa，去往充装区装车。</w:t>
      </w:r>
      <w:r>
        <w:rPr>
          <w:rFonts w:hint="eastAsia"/>
          <w:color w:val="auto"/>
        </w:rPr>
        <w:t>处理后的天然气85100m</w:t>
      </w:r>
      <w:r>
        <w:rPr>
          <w:rFonts w:hint="eastAsia"/>
          <w:color w:val="auto"/>
          <w:vertAlign w:val="superscript"/>
        </w:rPr>
        <w:t>3</w:t>
      </w:r>
      <w:r>
        <w:rPr>
          <w:rFonts w:hint="eastAsia"/>
          <w:color w:val="auto"/>
        </w:rPr>
        <w:t>/d通过CNG槽车装运外售，4900m</w:t>
      </w:r>
      <w:r>
        <w:rPr>
          <w:rFonts w:hint="eastAsia"/>
          <w:color w:val="auto"/>
          <w:vertAlign w:val="superscript"/>
        </w:rPr>
        <w:t>3</w:t>
      </w:r>
      <w:r>
        <w:rPr>
          <w:rFonts w:hint="eastAsia"/>
          <w:color w:val="auto"/>
        </w:rPr>
        <w:t>/d送至燃气发电机发电</w:t>
      </w:r>
      <w:r>
        <w:rPr>
          <w:rFonts w:hint="eastAsia"/>
          <w:color w:val="auto"/>
        </w:rPr>
        <w:t>。</w:t>
      </w:r>
    </w:p>
    <w:p w14:paraId="791ED682">
      <w:pPr>
        <w:pStyle w:val="86"/>
        <w:adjustRightInd w:val="0"/>
        <w:snapToGrid w:val="0"/>
        <w:ind w:firstLine="480"/>
        <w:rPr>
          <w:rFonts w:hint="eastAsia"/>
          <w:color w:val="auto"/>
        </w:rPr>
      </w:pPr>
      <w:bookmarkStart w:id="260" w:name="OLE_LINK15"/>
      <w:r>
        <w:rPr>
          <w:rFonts w:hint="eastAsia"/>
          <w:color w:val="auto"/>
        </w:rPr>
        <w:t>废气主要是天然气处理橇装装置中的阀门、法兰等处产生的无组织废气（以非甲烷总烃计）、原油储罐无组织废气、原油装车时产生的无组织废气</w:t>
      </w:r>
      <w:r>
        <w:rPr>
          <w:rFonts w:hint="eastAsia"/>
          <w:color w:val="auto"/>
        </w:rPr>
        <w:t>和燃气发电机燃烧烟气，</w:t>
      </w:r>
      <w:r>
        <w:rPr>
          <w:rFonts w:hint="eastAsia"/>
          <w:color w:val="auto"/>
        </w:rPr>
        <w:t>无废水产生，固体废物主要为清罐底泥、废分子筛、废滤料。</w:t>
      </w:r>
    </w:p>
    <w:bookmarkEnd w:id="260"/>
    <w:p w14:paraId="2F183409">
      <w:pPr>
        <w:pStyle w:val="86"/>
        <w:adjustRightInd w:val="0"/>
        <w:snapToGrid w:val="0"/>
        <w:ind w:firstLine="480"/>
        <w:rPr>
          <w:rFonts w:hint="eastAsia"/>
          <w:color w:val="auto"/>
        </w:rPr>
      </w:pPr>
      <w:r>
        <w:rPr>
          <w:rFonts w:hint="eastAsia"/>
          <w:color w:val="auto"/>
        </w:rPr>
        <w:t>油气集输工艺流程及产污环节见图3.2-9。</w:t>
      </w:r>
    </w:p>
    <w:p w14:paraId="4E910C05">
      <w:pPr>
        <w:pStyle w:val="86"/>
        <w:adjustRightInd w:val="0"/>
        <w:snapToGrid w:val="0"/>
        <w:spacing w:line="360" w:lineRule="auto"/>
        <w:ind w:firstLine="0" w:firstLineChars="0"/>
        <w:jc w:val="center"/>
        <w:rPr>
          <w:rFonts w:hint="eastAsia"/>
          <w:color w:val="auto"/>
        </w:rPr>
      </w:pPr>
      <w:r>
        <w:rPr>
          <w:color w:val="auto"/>
        </w:rPr>
        <w:object>
          <v:shape id="_x0000_i1026" o:spt="75" type="#_x0000_t75" style="height:244.25pt;width:432pt;" o:ole="t" filled="f" o:preferrelative="t" stroked="f" coordsize="21600,21600">
            <v:path/>
            <v:fill on="f" focussize="0,0"/>
            <v:stroke on="f" joinstyle="miter"/>
            <v:imagedata r:id="rId62" o:title=""/>
            <o:lock v:ext="edit" aspectratio="t"/>
            <w10:wrap type="none"/>
            <w10:anchorlock/>
          </v:shape>
          <o:OLEObject Type="Embed" ProgID="Visio.Drawing.11" ShapeID="_x0000_i1026" DrawAspect="Content" ObjectID="_1468075726" r:id="rId61">
            <o:LockedField>false</o:LockedField>
          </o:OLEObject>
        </w:object>
      </w:r>
      <w:r>
        <w:rPr>
          <w:rFonts w:hint="eastAsia"/>
          <w:color w:val="auto"/>
        </w:rPr>
        <w:object>
          <v:shape id="_x0000_i1027" o:spt="75" type="#_x0000_t75" style="height:170.8pt;width:427.05pt;" o:ole="t" filled="f" o:preferrelative="t" stroked="f" coordsize="21600,21600">
            <v:path/>
            <v:fill on="f" focussize="0,0"/>
            <v:stroke on="f" joinstyle="miter"/>
            <v:imagedata r:id="rId64" o:title=""/>
            <o:lock v:ext="edit" aspectratio="t"/>
            <w10:wrap type="none"/>
            <w10:anchorlock/>
          </v:shape>
          <o:OLEObject Type="Embed" ProgID="Visio.Drawing.15" ShapeID="_x0000_i1027" DrawAspect="Content" ObjectID="_1468075727" r:id="rId63">
            <o:LockedField>false</o:LockedField>
          </o:OLEObject>
        </w:object>
      </w:r>
    </w:p>
    <w:p w14:paraId="2D86F1FC">
      <w:pPr>
        <w:spacing w:line="500" w:lineRule="exact"/>
        <w:ind w:firstLine="420" w:firstLineChars="200"/>
        <w:jc w:val="center"/>
        <w:rPr>
          <w:rFonts w:hint="eastAsia" w:ascii="黑体" w:hAnsi="黑体" w:eastAsia="黑体"/>
          <w:color w:val="auto"/>
          <w:kern w:val="0"/>
          <w:szCs w:val="21"/>
          <w:lang w:val="zh-CN"/>
        </w:rPr>
      </w:pPr>
      <w:r>
        <w:rPr>
          <w:rFonts w:hint="eastAsia" w:ascii="黑体" w:hAnsi="黑体" w:eastAsia="黑体"/>
          <w:color w:val="auto"/>
          <w:kern w:val="0"/>
          <w:szCs w:val="21"/>
          <w:lang w:val="zh-CN"/>
        </w:rPr>
        <w:t>图3.2-9  油气集输工艺流程及产污环节示意图</w:t>
      </w:r>
    </w:p>
    <w:p w14:paraId="2CFE260B">
      <w:pPr>
        <w:pStyle w:val="86"/>
        <w:adjustRightInd w:val="0"/>
        <w:snapToGrid w:val="0"/>
        <w:ind w:firstLine="480"/>
        <w:rPr>
          <w:rFonts w:hint="eastAsia"/>
          <w:color w:val="auto"/>
        </w:rPr>
      </w:pPr>
      <w:r>
        <w:rPr>
          <w:rFonts w:hint="eastAsia"/>
          <w:color w:val="auto"/>
        </w:rPr>
        <w:t>（3）退役期工艺流程及环境影响分析</w:t>
      </w:r>
    </w:p>
    <w:p w14:paraId="2D063124">
      <w:pPr>
        <w:pStyle w:val="86"/>
        <w:adjustRightInd w:val="0"/>
        <w:snapToGrid w:val="0"/>
        <w:ind w:firstLine="480"/>
        <w:rPr>
          <w:rFonts w:hint="eastAsia"/>
          <w:color w:val="auto"/>
        </w:rPr>
      </w:pPr>
      <w:r>
        <w:rPr>
          <w:color w:val="auto"/>
        </w:rPr>
        <w:t>运营期结束后</w:t>
      </w:r>
      <w:r>
        <w:rPr>
          <w:rFonts w:hint="eastAsia"/>
          <w:color w:val="auto"/>
        </w:rPr>
        <w:t>进入退役期，退役期主要包括采油井封井、井场、计量站设施及其他公用工程等设施的拆除、清理等施工活动，工艺及产污节点分析见图3.2-10。</w:t>
      </w:r>
    </w:p>
    <w:p w14:paraId="6197EDF2">
      <w:pPr>
        <w:pStyle w:val="86"/>
        <w:adjustRightInd w:val="0"/>
        <w:snapToGrid w:val="0"/>
        <w:spacing w:line="360" w:lineRule="auto"/>
        <w:ind w:firstLine="0" w:firstLineChars="0"/>
        <w:jc w:val="center"/>
        <w:rPr>
          <w:rFonts w:hint="eastAsia"/>
          <w:color w:val="auto"/>
        </w:rPr>
      </w:pPr>
      <w:r>
        <w:rPr>
          <w:color w:val="auto"/>
        </w:rPr>
        <w:object>
          <v:shape id="_x0000_i1028" o:spt="75" type="#_x0000_t75" style="height:190.6pt;width:391.75pt;" o:ole="t" filled="f" o:preferrelative="t" stroked="f" coordsize="21600,21600">
            <v:path/>
            <v:fill on="f" focussize="0,0"/>
            <v:stroke on="f" joinstyle="miter"/>
            <v:imagedata r:id="rId66" o:title=""/>
            <o:lock v:ext="edit" aspectratio="t"/>
            <w10:wrap type="none"/>
            <w10:anchorlock/>
          </v:shape>
          <o:OLEObject Type="Embed" ProgID="Visio.Drawing.15" ShapeID="_x0000_i1028" DrawAspect="Content" ObjectID="_1468075728" r:id="rId65">
            <o:LockedField>false</o:LockedField>
          </o:OLEObject>
        </w:object>
      </w:r>
    </w:p>
    <w:p w14:paraId="1C903BC7">
      <w:pPr>
        <w:spacing w:line="500" w:lineRule="exact"/>
        <w:ind w:firstLine="420" w:firstLineChars="200"/>
        <w:jc w:val="center"/>
        <w:rPr>
          <w:rFonts w:hint="eastAsia" w:ascii="黑体" w:hAnsi="黑体" w:eastAsia="黑体"/>
          <w:color w:val="auto"/>
          <w:kern w:val="0"/>
          <w:szCs w:val="21"/>
          <w:lang w:val="zh-CN"/>
        </w:rPr>
      </w:pPr>
      <w:r>
        <w:rPr>
          <w:rFonts w:hint="eastAsia" w:ascii="黑体" w:hAnsi="黑体" w:eastAsia="黑体"/>
          <w:color w:val="auto"/>
          <w:kern w:val="0"/>
          <w:szCs w:val="21"/>
          <w:lang w:val="zh-CN"/>
        </w:rPr>
        <w:t>图3.2-10  退役期工艺流程及产污环节示意图</w:t>
      </w:r>
    </w:p>
    <w:p w14:paraId="6451F31E">
      <w:pPr>
        <w:pStyle w:val="86"/>
        <w:adjustRightInd w:val="0"/>
        <w:snapToGrid w:val="0"/>
        <w:ind w:firstLine="480"/>
        <w:rPr>
          <w:rFonts w:hint="eastAsia"/>
          <w:color w:val="auto"/>
        </w:rPr>
      </w:pPr>
      <w:r>
        <w:rPr>
          <w:rFonts w:hint="eastAsia"/>
          <w:color w:val="auto"/>
        </w:rPr>
        <w:t>退役期污染物主要为施工扬尘、施工机械及车辆尾气、管线吹扫废水、噪声和建筑垃圾，以及施工过程中对生态环境产生的影响。</w:t>
      </w:r>
    </w:p>
    <w:bookmarkEnd w:id="257"/>
    <w:p w14:paraId="36E8BE16">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261" w:name="_Toc224405927"/>
      <w:bookmarkStart w:id="262" w:name="_Hlk80182474"/>
      <w:r>
        <w:rPr>
          <w:rFonts w:hint="eastAsia" w:ascii="黑体" w:hAnsi="黑体" w:eastAsia="黑体" w:cs="Times New Roman"/>
          <w:bCs/>
          <w:color w:val="auto"/>
          <w:sz w:val="28"/>
          <w:szCs w:val="32"/>
          <w14:ligatures w14:val="none"/>
        </w:rPr>
        <w:t>污染源源强核算</w:t>
      </w:r>
      <w:bookmarkEnd w:id="261"/>
    </w:p>
    <w:bookmarkEnd w:id="262"/>
    <w:p w14:paraId="19D112F5">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施工期污染源源强核算</w:t>
      </w:r>
    </w:p>
    <w:p w14:paraId="04D106FE">
      <w:pPr>
        <w:pStyle w:val="86"/>
        <w:spacing w:line="480" w:lineRule="exact"/>
        <w:ind w:firstLine="480"/>
        <w:rPr>
          <w:rFonts w:hint="eastAsia"/>
          <w:color w:val="auto"/>
        </w:rPr>
      </w:pPr>
      <w:r>
        <w:rPr>
          <w:rFonts w:hint="eastAsia"/>
          <w:color w:val="auto"/>
        </w:rPr>
        <w:t>（1）废气</w:t>
      </w:r>
    </w:p>
    <w:p w14:paraId="6205E469">
      <w:pPr>
        <w:pStyle w:val="86"/>
        <w:spacing w:line="480" w:lineRule="exact"/>
        <w:ind w:firstLine="480"/>
        <w:rPr>
          <w:rFonts w:hint="eastAsia" w:cs="Arial"/>
          <w:color w:val="auto"/>
        </w:rPr>
      </w:pPr>
      <w:r>
        <w:rPr>
          <w:rFonts w:hint="eastAsia" w:cs="Arial"/>
          <w:color w:val="auto"/>
        </w:rPr>
        <w:t>废气主要为施工扬尘、施工机械及车辆尾气和管线焊接废气。</w:t>
      </w:r>
      <w:bookmarkStart w:id="263" w:name="_Hlk121595512"/>
    </w:p>
    <w:p w14:paraId="17187B72">
      <w:pPr>
        <w:pStyle w:val="86"/>
        <w:ind w:firstLine="480" w:firstLineChars="0"/>
        <w:rPr>
          <w:rFonts w:hint="eastAsia"/>
          <w:snapToGrid w:val="0"/>
          <w:color w:val="auto"/>
        </w:rPr>
      </w:pPr>
      <w:r>
        <w:rPr>
          <w:rFonts w:hint="eastAsia" w:cs="Arial"/>
          <w:color w:val="auto"/>
        </w:rPr>
        <w:t>①</w:t>
      </w:r>
      <w:bookmarkEnd w:id="263"/>
      <w:r>
        <w:rPr>
          <w:rFonts w:hint="eastAsia"/>
          <w:snapToGrid w:val="0"/>
          <w:color w:val="auto"/>
        </w:rPr>
        <w:t>施工扬尘</w:t>
      </w:r>
    </w:p>
    <w:p w14:paraId="21447C17">
      <w:pPr>
        <w:pStyle w:val="86"/>
        <w:ind w:firstLine="480"/>
        <w:rPr>
          <w:rFonts w:hint="eastAsia" w:cs="宋体"/>
          <w:color w:val="auto"/>
        </w:rPr>
      </w:pPr>
      <w:r>
        <w:rPr>
          <w:rFonts w:hint="eastAsia"/>
          <w:color w:val="auto"/>
        </w:rPr>
        <w:t>扬尘主要来自施工场地的清理、平整，施工建筑材料、设备及管线的装卸、运输、堆放以及施工车辆运输，</w:t>
      </w:r>
      <w:r>
        <w:rPr>
          <w:rFonts w:hint="eastAsia" w:cs="宋体"/>
          <w:color w:val="auto"/>
        </w:rPr>
        <w:t>污染物主要为TSP。</w:t>
      </w:r>
    </w:p>
    <w:p w14:paraId="5B593042">
      <w:pPr>
        <w:pStyle w:val="86"/>
        <w:ind w:firstLine="480"/>
        <w:rPr>
          <w:rFonts w:hint="eastAsia"/>
          <w:snapToGrid w:val="0"/>
          <w:color w:val="auto"/>
        </w:rPr>
      </w:pPr>
      <w:r>
        <w:rPr>
          <w:rFonts w:hint="eastAsia"/>
          <w:color w:val="auto"/>
        </w:rPr>
        <w:t>②</w:t>
      </w:r>
      <w:r>
        <w:rPr>
          <w:rFonts w:hint="eastAsia"/>
          <w:snapToGrid w:val="0"/>
          <w:color w:val="auto"/>
        </w:rPr>
        <w:t>施工机械及施工车辆尾气</w:t>
      </w:r>
    </w:p>
    <w:p w14:paraId="079D2CC5">
      <w:pPr>
        <w:pStyle w:val="86"/>
        <w:ind w:firstLine="480"/>
        <w:rPr>
          <w:rFonts w:hint="eastAsia"/>
          <w:color w:val="auto"/>
        </w:rPr>
      </w:pPr>
      <w:r>
        <w:rPr>
          <w:color w:val="auto"/>
        </w:rPr>
        <w:t>施工期各类</w:t>
      </w:r>
      <w:r>
        <w:rPr>
          <w:rFonts w:hint="eastAsia"/>
          <w:color w:val="auto"/>
        </w:rPr>
        <w:t>机械</w:t>
      </w:r>
      <w:r>
        <w:rPr>
          <w:color w:val="auto"/>
        </w:rPr>
        <w:t>及运输车辆较多，</w:t>
      </w:r>
      <w:r>
        <w:rPr>
          <w:rFonts w:hint="eastAsia"/>
          <w:color w:val="auto"/>
        </w:rPr>
        <w:t>车辆</w:t>
      </w:r>
      <w:r>
        <w:rPr>
          <w:color w:val="auto"/>
        </w:rPr>
        <w:t>排放的尾气会对大气环境造成一定污染</w:t>
      </w:r>
      <w:r>
        <w:rPr>
          <w:rFonts w:hint="eastAsia"/>
          <w:color w:val="auto"/>
        </w:rPr>
        <w:t>。</w:t>
      </w:r>
    </w:p>
    <w:p w14:paraId="33CB3E69">
      <w:pPr>
        <w:pStyle w:val="86"/>
        <w:ind w:firstLine="480"/>
        <w:rPr>
          <w:rFonts w:hint="eastAsia"/>
          <w:color w:val="auto"/>
        </w:rPr>
      </w:pPr>
      <w:r>
        <w:rPr>
          <w:rFonts w:hint="eastAsia"/>
          <w:color w:val="auto"/>
        </w:rPr>
        <w:t>③管线焊接废气</w:t>
      </w:r>
    </w:p>
    <w:p w14:paraId="17260881">
      <w:pPr>
        <w:pStyle w:val="86"/>
        <w:ind w:firstLine="480"/>
        <w:rPr>
          <w:rFonts w:hint="eastAsia"/>
          <w:color w:val="auto"/>
        </w:rPr>
      </w:pPr>
      <w:r>
        <w:rPr>
          <w:rFonts w:hint="eastAsia"/>
          <w:color w:val="auto"/>
        </w:rPr>
        <w:t>无缝钢管管道组对连接过程中将产生一定量的焊接烟尘，对周围大气环境产生一定的影响。但由于施工期短暂，区域大气环境扩散条件好，管线焊接废气对环境空气质量影响不大。</w:t>
      </w:r>
    </w:p>
    <w:p w14:paraId="292105D8">
      <w:pPr>
        <w:pStyle w:val="86"/>
        <w:ind w:firstLine="480"/>
        <w:rPr>
          <w:rFonts w:hint="eastAsia"/>
          <w:color w:val="auto"/>
        </w:rPr>
      </w:pPr>
      <w:r>
        <w:rPr>
          <w:rFonts w:hint="eastAsia"/>
          <w:color w:val="auto"/>
        </w:rPr>
        <w:t>（2）废水</w:t>
      </w:r>
    </w:p>
    <w:p w14:paraId="72EA0628">
      <w:pPr>
        <w:pStyle w:val="86"/>
        <w:spacing w:line="480" w:lineRule="exact"/>
        <w:ind w:firstLine="480"/>
        <w:rPr>
          <w:rFonts w:hint="eastAsia"/>
          <w:color w:val="auto"/>
        </w:rPr>
      </w:pPr>
      <w:r>
        <w:rPr>
          <w:rFonts w:hint="eastAsia"/>
          <w:color w:val="auto"/>
        </w:rPr>
        <w:t>废水主要为管道试压废水和混凝土养护废水。管道试压采用清水试压，试压完毕后产生少量的试压废水，主要污染物为悬浮物，浓度在</w:t>
      </w:r>
      <w:r>
        <w:rPr>
          <w:color w:val="auto"/>
        </w:rPr>
        <w:t>40～60mg/L，产生的废水用于施工区域内的洒水降尘</w:t>
      </w:r>
      <w:r>
        <w:rPr>
          <w:rFonts w:hint="eastAsia"/>
          <w:color w:val="auto"/>
        </w:rPr>
        <w:t>；混凝土养护废水，污染物主要为悬浮物，主要靠自然蒸发处理。</w:t>
      </w:r>
    </w:p>
    <w:p w14:paraId="16FB32CE">
      <w:pPr>
        <w:pStyle w:val="86"/>
        <w:spacing w:line="480" w:lineRule="exact"/>
        <w:ind w:firstLine="480"/>
        <w:rPr>
          <w:rFonts w:hint="eastAsia"/>
          <w:color w:val="auto"/>
        </w:rPr>
      </w:pPr>
      <w:r>
        <w:rPr>
          <w:rFonts w:hint="eastAsia"/>
          <w:color w:val="auto"/>
        </w:rPr>
        <w:t>（3）噪声</w:t>
      </w:r>
    </w:p>
    <w:p w14:paraId="3DD8CF7E">
      <w:pPr>
        <w:pStyle w:val="86"/>
        <w:spacing w:line="480" w:lineRule="exact"/>
        <w:ind w:firstLine="480"/>
        <w:rPr>
          <w:rFonts w:hint="eastAsia"/>
          <w:color w:val="auto"/>
        </w:rPr>
      </w:pPr>
      <w:r>
        <w:rPr>
          <w:rFonts w:hint="eastAsia"/>
          <w:color w:val="auto"/>
        </w:rPr>
        <w:t>噪声源主要为施工机械及施工车辆噪声，噪声级在</w:t>
      </w:r>
      <w:r>
        <w:rPr>
          <w:color w:val="auto"/>
        </w:rPr>
        <w:t>60</w:t>
      </w:r>
      <w:r>
        <w:rPr>
          <w:rFonts w:hint="eastAsia"/>
          <w:color w:val="auto"/>
        </w:rPr>
        <w:t>dB（A）～1</w:t>
      </w:r>
      <w:r>
        <w:rPr>
          <w:color w:val="auto"/>
        </w:rPr>
        <w:t>05</w:t>
      </w:r>
      <w:r>
        <w:rPr>
          <w:rFonts w:hint="eastAsia"/>
          <w:color w:val="auto"/>
        </w:rPr>
        <w:t>dB（A）之间。</w:t>
      </w:r>
    </w:p>
    <w:p w14:paraId="419CF9A1">
      <w:pPr>
        <w:pStyle w:val="86"/>
        <w:spacing w:line="480" w:lineRule="exact"/>
        <w:ind w:firstLine="480"/>
        <w:rPr>
          <w:rFonts w:hint="eastAsia"/>
          <w:color w:val="auto"/>
        </w:rPr>
      </w:pPr>
      <w:r>
        <w:rPr>
          <w:rFonts w:hint="eastAsia"/>
          <w:color w:val="auto"/>
        </w:rPr>
        <w:t>（4）固体废物</w:t>
      </w:r>
    </w:p>
    <w:p w14:paraId="3E215BB2">
      <w:pPr>
        <w:pStyle w:val="86"/>
        <w:ind w:firstLine="480"/>
        <w:rPr>
          <w:rFonts w:hint="eastAsia"/>
          <w:color w:val="auto"/>
        </w:rPr>
      </w:pPr>
      <w:bookmarkStart w:id="264" w:name="_Hlk40734687"/>
      <w:r>
        <w:rPr>
          <w:rFonts w:hint="eastAsia"/>
          <w:color w:val="auto"/>
        </w:rPr>
        <w:t>管线施工过程中产生的土石方全部回填，无弃方产生，固体废物主要为建筑垃圾，建筑垃圾主要为施工过程中产生的废边角料、废弃包装物（包括设备包装物及聚氨酯泡沫等），可作为废品回收的作为废品回收，不能回收利用的送至当地建筑垃圾填埋场。</w:t>
      </w:r>
    </w:p>
    <w:bookmarkEnd w:id="264"/>
    <w:p w14:paraId="20C79D13">
      <w:pPr>
        <w:pStyle w:val="86"/>
        <w:spacing w:line="520" w:lineRule="exact"/>
        <w:ind w:firstLine="480"/>
        <w:rPr>
          <w:rFonts w:hint="eastAsia"/>
          <w:color w:val="auto"/>
        </w:rPr>
      </w:pPr>
      <w:bookmarkStart w:id="265" w:name="_Hlk160379837"/>
      <w:r>
        <w:rPr>
          <w:rFonts w:hint="eastAsia"/>
          <w:color w:val="auto"/>
        </w:rPr>
        <w:t>（5）生态影响分析</w:t>
      </w:r>
    </w:p>
    <w:p w14:paraId="24E19A7A">
      <w:pPr>
        <w:pStyle w:val="86"/>
        <w:spacing w:line="520" w:lineRule="exact"/>
        <w:ind w:firstLine="480"/>
        <w:rPr>
          <w:rFonts w:hint="eastAsia"/>
          <w:bCs/>
          <w:color w:val="auto"/>
        </w:rPr>
      </w:pPr>
      <w:bookmarkStart w:id="266" w:name="_Hlk35693953"/>
      <w:bookmarkStart w:id="267" w:name="_Hlk147581732"/>
      <w:r>
        <w:rPr>
          <w:rFonts w:hint="eastAsia"/>
          <w:color w:val="auto"/>
        </w:rPr>
        <w:t>①</w:t>
      </w:r>
      <w:r>
        <w:rPr>
          <w:rFonts w:hint="eastAsia"/>
          <w:bCs/>
          <w:color w:val="auto"/>
        </w:rPr>
        <w:t>工程占地</w:t>
      </w:r>
    </w:p>
    <w:bookmarkEnd w:id="266"/>
    <w:p w14:paraId="7DEFF31D">
      <w:pPr>
        <w:pStyle w:val="86"/>
        <w:spacing w:line="520" w:lineRule="exact"/>
        <w:ind w:firstLine="480"/>
        <w:rPr>
          <w:rFonts w:hint="eastAsia"/>
          <w:color w:val="auto"/>
        </w:rPr>
      </w:pPr>
      <w:bookmarkStart w:id="268" w:name="OLE_LINK71"/>
      <w:r>
        <w:rPr>
          <w:rFonts w:hint="eastAsia"/>
          <w:bCs/>
          <w:color w:val="auto"/>
        </w:rPr>
        <w:t>项目</w:t>
      </w:r>
      <w:bookmarkStart w:id="269" w:name="OLE_LINK9"/>
      <w:r>
        <w:rPr>
          <w:rFonts w:hint="eastAsia"/>
          <w:bCs/>
          <w:color w:val="auto"/>
        </w:rPr>
        <w:t>总</w:t>
      </w:r>
      <w:bookmarkStart w:id="270" w:name="_Hlk165761800"/>
      <w:r>
        <w:rPr>
          <w:rFonts w:hint="eastAsia"/>
          <w:bCs/>
          <w:color w:val="auto"/>
        </w:rPr>
        <w:t>占地面积30570</w:t>
      </w:r>
      <w:r>
        <w:rPr>
          <w:bCs/>
          <w:color w:val="auto"/>
        </w:rPr>
        <w:t>m</w:t>
      </w:r>
      <w:r>
        <w:rPr>
          <w:bCs/>
          <w:color w:val="auto"/>
          <w:vertAlign w:val="superscript"/>
        </w:rPr>
        <w:t>2</w:t>
      </w:r>
      <w:r>
        <w:rPr>
          <w:rFonts w:hint="eastAsia"/>
          <w:bCs/>
          <w:color w:val="auto"/>
        </w:rPr>
        <w:t>，其中永久占地21850m</w:t>
      </w:r>
      <w:r>
        <w:rPr>
          <w:rFonts w:hint="eastAsia"/>
          <w:bCs/>
          <w:color w:val="auto"/>
          <w:vertAlign w:val="superscript"/>
        </w:rPr>
        <w:t>2</w:t>
      </w:r>
      <w:r>
        <w:rPr>
          <w:rFonts w:hint="eastAsia"/>
          <w:bCs/>
          <w:color w:val="auto"/>
        </w:rPr>
        <w:t>，临时占地8720m</w:t>
      </w:r>
      <w:r>
        <w:rPr>
          <w:rFonts w:hint="eastAsia"/>
          <w:bCs/>
          <w:color w:val="auto"/>
          <w:vertAlign w:val="superscript"/>
        </w:rPr>
        <w:t>2</w:t>
      </w:r>
      <w:bookmarkEnd w:id="269"/>
      <w:r>
        <w:rPr>
          <w:rFonts w:hint="eastAsia"/>
          <w:bCs/>
          <w:color w:val="auto"/>
        </w:rPr>
        <w:t>，</w:t>
      </w:r>
      <w:bookmarkEnd w:id="268"/>
      <w:bookmarkEnd w:id="270"/>
      <w:r>
        <w:rPr>
          <w:color w:val="auto"/>
        </w:rPr>
        <w:t>详见</w:t>
      </w:r>
      <w:r>
        <w:rPr>
          <w:rFonts w:hint="eastAsia"/>
          <w:color w:val="auto"/>
        </w:rPr>
        <w:t>表</w:t>
      </w:r>
      <w:r>
        <w:rPr>
          <w:color w:val="auto"/>
        </w:rPr>
        <w:t>3.3</w:t>
      </w:r>
      <w:r>
        <w:rPr>
          <w:rFonts w:hint="eastAsia"/>
          <w:color w:val="auto"/>
        </w:rPr>
        <w:t>-1。</w:t>
      </w:r>
    </w:p>
    <w:p w14:paraId="794E9399">
      <w:pPr>
        <w:pStyle w:val="15"/>
        <w:rPr>
          <w:rFonts w:hint="eastAsia"/>
          <w:color w:val="auto"/>
        </w:rPr>
      </w:pPr>
      <w:r>
        <w:rPr>
          <w:rFonts w:hint="eastAsia"/>
          <w:color w:val="auto"/>
        </w:rPr>
        <w:t>表</w:t>
      </w:r>
      <w:r>
        <w:rPr>
          <w:color w:val="auto"/>
        </w:rPr>
        <w:t>3.3</w:t>
      </w:r>
      <w:r>
        <w:rPr>
          <w:rFonts w:hint="eastAsia"/>
          <w:color w:val="auto"/>
        </w:rPr>
        <w:t>-1</w:t>
      </w:r>
      <w:r>
        <w:rPr>
          <w:color w:val="auto"/>
        </w:rPr>
        <w:t xml:space="preserve">  </w:t>
      </w:r>
      <w:r>
        <w:rPr>
          <w:rFonts w:hint="eastAsia"/>
          <w:color w:val="auto"/>
        </w:rPr>
        <w:t>占地概况一览表</w:t>
      </w:r>
    </w:p>
    <w:tbl>
      <w:tblPr>
        <w:tblStyle w:val="4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81"/>
        <w:gridCol w:w="1889"/>
        <w:gridCol w:w="1118"/>
        <w:gridCol w:w="1147"/>
        <w:gridCol w:w="1220"/>
        <w:gridCol w:w="798"/>
        <w:gridCol w:w="2193"/>
      </w:tblGrid>
      <w:tr w14:paraId="59A104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25" w:type="pct"/>
            <w:vAlign w:val="center"/>
          </w:tcPr>
          <w:p w14:paraId="56813C5B">
            <w:pPr>
              <w:pStyle w:val="364"/>
              <w:overflowPunct w:val="0"/>
              <w:snapToGrid w:val="0"/>
              <w:spacing w:line="300" w:lineRule="exact"/>
              <w:rPr>
                <w:rFonts w:hint="eastAsia" w:hAnsi="宋体"/>
                <w:color w:val="auto"/>
                <w:sz w:val="21"/>
                <w:szCs w:val="21"/>
              </w:rPr>
            </w:pPr>
            <w:bookmarkStart w:id="271" w:name="OLE_LINK72"/>
            <w:r>
              <w:rPr>
                <w:rFonts w:hint="eastAsia" w:hAnsi="宋体"/>
                <w:color w:val="auto"/>
                <w:sz w:val="21"/>
                <w:szCs w:val="21"/>
              </w:rPr>
              <w:t>序号</w:t>
            </w:r>
          </w:p>
        </w:tc>
        <w:tc>
          <w:tcPr>
            <w:tcW w:w="1056" w:type="pct"/>
            <w:vAlign w:val="center"/>
          </w:tcPr>
          <w:p w14:paraId="36F55EED">
            <w:pPr>
              <w:pStyle w:val="364"/>
              <w:overflowPunct w:val="0"/>
              <w:snapToGrid w:val="0"/>
              <w:spacing w:line="300" w:lineRule="exact"/>
              <w:rPr>
                <w:rFonts w:hint="eastAsia" w:hAnsi="宋体"/>
                <w:color w:val="auto"/>
                <w:sz w:val="21"/>
                <w:szCs w:val="21"/>
              </w:rPr>
            </w:pPr>
            <w:r>
              <w:rPr>
                <w:rFonts w:hint="eastAsia" w:hAnsi="宋体"/>
                <w:color w:val="auto"/>
                <w:sz w:val="21"/>
                <w:szCs w:val="21"/>
              </w:rPr>
              <w:t>建设内容</w:t>
            </w:r>
          </w:p>
        </w:tc>
        <w:tc>
          <w:tcPr>
            <w:tcW w:w="625" w:type="pct"/>
            <w:vAlign w:val="center"/>
          </w:tcPr>
          <w:p w14:paraId="7E478B34">
            <w:pPr>
              <w:pStyle w:val="364"/>
              <w:overflowPunct w:val="0"/>
              <w:snapToGrid w:val="0"/>
              <w:spacing w:line="300" w:lineRule="exact"/>
              <w:rPr>
                <w:rFonts w:hint="eastAsia" w:hAnsi="宋体"/>
                <w:color w:val="auto"/>
                <w:sz w:val="21"/>
                <w:szCs w:val="21"/>
              </w:rPr>
            </w:pPr>
            <w:r>
              <w:rPr>
                <w:rFonts w:hint="eastAsia" w:hAnsi="宋体"/>
                <w:color w:val="auto"/>
                <w:sz w:val="21"/>
                <w:szCs w:val="21"/>
              </w:rPr>
              <w:t>永久征地（m</w:t>
            </w:r>
            <w:r>
              <w:rPr>
                <w:rFonts w:hint="eastAsia" w:hAnsi="宋体"/>
                <w:color w:val="auto"/>
                <w:sz w:val="21"/>
                <w:szCs w:val="21"/>
                <w:vertAlign w:val="superscript"/>
              </w:rPr>
              <w:t>2</w:t>
            </w:r>
            <w:r>
              <w:rPr>
                <w:rFonts w:hint="eastAsia" w:hAnsi="宋体"/>
                <w:color w:val="auto"/>
                <w:sz w:val="21"/>
                <w:szCs w:val="21"/>
              </w:rPr>
              <w:t>）</w:t>
            </w:r>
          </w:p>
        </w:tc>
        <w:tc>
          <w:tcPr>
            <w:tcW w:w="641" w:type="pct"/>
            <w:vAlign w:val="center"/>
          </w:tcPr>
          <w:p w14:paraId="19B43351">
            <w:pPr>
              <w:pStyle w:val="364"/>
              <w:overflowPunct w:val="0"/>
              <w:snapToGrid w:val="0"/>
              <w:spacing w:line="300" w:lineRule="exact"/>
              <w:rPr>
                <w:rFonts w:hint="eastAsia" w:hAnsi="宋体"/>
                <w:color w:val="auto"/>
                <w:sz w:val="21"/>
                <w:szCs w:val="21"/>
              </w:rPr>
            </w:pPr>
            <w:r>
              <w:rPr>
                <w:rFonts w:hint="eastAsia" w:hAnsi="宋体"/>
                <w:color w:val="auto"/>
                <w:sz w:val="21"/>
                <w:szCs w:val="21"/>
              </w:rPr>
              <w:t>临时占地（m</w:t>
            </w:r>
            <w:r>
              <w:rPr>
                <w:rFonts w:hint="eastAsia" w:hAnsi="宋体"/>
                <w:color w:val="auto"/>
                <w:sz w:val="21"/>
                <w:szCs w:val="21"/>
                <w:vertAlign w:val="superscript"/>
              </w:rPr>
              <w:t>2</w:t>
            </w:r>
            <w:r>
              <w:rPr>
                <w:rFonts w:hint="eastAsia" w:hAnsi="宋体"/>
                <w:color w:val="auto"/>
                <w:sz w:val="21"/>
                <w:szCs w:val="21"/>
              </w:rPr>
              <w:t>）</w:t>
            </w:r>
          </w:p>
        </w:tc>
        <w:tc>
          <w:tcPr>
            <w:tcW w:w="682" w:type="pct"/>
            <w:vAlign w:val="center"/>
          </w:tcPr>
          <w:p w14:paraId="312173C8">
            <w:pPr>
              <w:pStyle w:val="364"/>
              <w:overflowPunct w:val="0"/>
              <w:snapToGrid w:val="0"/>
              <w:spacing w:line="300" w:lineRule="exact"/>
              <w:rPr>
                <w:rFonts w:hint="eastAsia" w:hAnsi="宋体"/>
                <w:color w:val="auto"/>
                <w:sz w:val="21"/>
                <w:szCs w:val="21"/>
              </w:rPr>
            </w:pPr>
            <w:r>
              <w:rPr>
                <w:rFonts w:hint="eastAsia" w:hAnsi="宋体"/>
                <w:color w:val="auto"/>
                <w:sz w:val="21"/>
                <w:szCs w:val="21"/>
              </w:rPr>
              <w:t>合计（m</w:t>
            </w:r>
            <w:r>
              <w:rPr>
                <w:rFonts w:hint="eastAsia" w:hAnsi="宋体"/>
                <w:color w:val="auto"/>
                <w:sz w:val="21"/>
                <w:szCs w:val="21"/>
                <w:vertAlign w:val="superscript"/>
              </w:rPr>
              <w:t>2</w:t>
            </w:r>
            <w:r>
              <w:rPr>
                <w:rFonts w:hint="eastAsia" w:hAnsi="宋体"/>
                <w:color w:val="auto"/>
                <w:sz w:val="21"/>
                <w:szCs w:val="21"/>
              </w:rPr>
              <w:t>）</w:t>
            </w:r>
          </w:p>
        </w:tc>
        <w:tc>
          <w:tcPr>
            <w:tcW w:w="446" w:type="pct"/>
            <w:vAlign w:val="center"/>
          </w:tcPr>
          <w:p w14:paraId="6B6392D3">
            <w:pPr>
              <w:pStyle w:val="364"/>
              <w:overflowPunct w:val="0"/>
              <w:snapToGrid w:val="0"/>
              <w:spacing w:line="300" w:lineRule="exact"/>
              <w:rPr>
                <w:rFonts w:hint="eastAsia" w:hAnsi="宋体"/>
                <w:color w:val="auto"/>
                <w:sz w:val="21"/>
                <w:szCs w:val="21"/>
              </w:rPr>
            </w:pPr>
            <w:r>
              <w:rPr>
                <w:rFonts w:hint="eastAsia" w:hAnsi="宋体"/>
                <w:color w:val="auto"/>
                <w:sz w:val="21"/>
                <w:szCs w:val="21"/>
              </w:rPr>
              <w:t>占地类型</w:t>
            </w:r>
          </w:p>
        </w:tc>
        <w:tc>
          <w:tcPr>
            <w:tcW w:w="1225" w:type="pct"/>
            <w:vAlign w:val="center"/>
          </w:tcPr>
          <w:p w14:paraId="66049A51">
            <w:pPr>
              <w:pStyle w:val="364"/>
              <w:overflowPunct w:val="0"/>
              <w:snapToGrid w:val="0"/>
              <w:spacing w:line="300" w:lineRule="exact"/>
              <w:rPr>
                <w:rFonts w:hint="eastAsia" w:hAnsi="宋体"/>
                <w:color w:val="auto"/>
                <w:sz w:val="21"/>
                <w:szCs w:val="21"/>
              </w:rPr>
            </w:pPr>
            <w:r>
              <w:rPr>
                <w:rFonts w:hint="eastAsia" w:hAnsi="宋体"/>
                <w:color w:val="auto"/>
                <w:sz w:val="21"/>
                <w:szCs w:val="21"/>
              </w:rPr>
              <w:t>备注</w:t>
            </w:r>
          </w:p>
        </w:tc>
      </w:tr>
      <w:tr w14:paraId="571BC1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25" w:type="pct"/>
            <w:vAlign w:val="center"/>
          </w:tcPr>
          <w:p w14:paraId="113270E9">
            <w:pPr>
              <w:pStyle w:val="364"/>
              <w:overflowPunct w:val="0"/>
              <w:snapToGrid w:val="0"/>
              <w:spacing w:line="300" w:lineRule="exact"/>
              <w:rPr>
                <w:rFonts w:hint="eastAsia" w:hAnsi="宋体"/>
                <w:color w:val="auto"/>
                <w:sz w:val="21"/>
                <w:szCs w:val="21"/>
              </w:rPr>
            </w:pPr>
            <w:r>
              <w:rPr>
                <w:rFonts w:hint="eastAsia" w:hAnsi="宋体"/>
                <w:color w:val="auto"/>
                <w:sz w:val="21"/>
                <w:szCs w:val="21"/>
              </w:rPr>
              <w:t>1</w:t>
            </w:r>
          </w:p>
        </w:tc>
        <w:tc>
          <w:tcPr>
            <w:tcW w:w="1056" w:type="pct"/>
            <w:vAlign w:val="center"/>
          </w:tcPr>
          <w:p w14:paraId="5722426E">
            <w:pPr>
              <w:pStyle w:val="364"/>
              <w:overflowPunct w:val="0"/>
              <w:snapToGrid w:val="0"/>
              <w:spacing w:line="300" w:lineRule="exact"/>
              <w:rPr>
                <w:rFonts w:hint="eastAsia" w:hAnsi="宋体"/>
                <w:color w:val="auto"/>
                <w:sz w:val="21"/>
                <w:szCs w:val="21"/>
              </w:rPr>
            </w:pPr>
            <w:r>
              <w:rPr>
                <w:rFonts w:hint="eastAsia" w:hAnsi="宋体"/>
                <w:color w:val="auto"/>
                <w:sz w:val="21"/>
                <w:szCs w:val="21"/>
              </w:rPr>
              <w:t>莫172H井场（包括CNG橇装天然气处理装置）</w:t>
            </w:r>
          </w:p>
        </w:tc>
        <w:tc>
          <w:tcPr>
            <w:tcW w:w="625" w:type="pct"/>
            <w:vAlign w:val="center"/>
          </w:tcPr>
          <w:p w14:paraId="585B611B">
            <w:pPr>
              <w:pStyle w:val="364"/>
              <w:overflowPunct w:val="0"/>
              <w:snapToGrid w:val="0"/>
              <w:spacing w:line="300" w:lineRule="exact"/>
              <w:rPr>
                <w:rFonts w:hint="eastAsia" w:hAnsi="宋体"/>
                <w:color w:val="auto"/>
                <w:sz w:val="21"/>
                <w:szCs w:val="21"/>
              </w:rPr>
            </w:pPr>
            <w:r>
              <w:rPr>
                <w:rFonts w:hint="eastAsia" w:hAnsi="宋体"/>
                <w:color w:val="auto"/>
                <w:sz w:val="21"/>
                <w:szCs w:val="21"/>
              </w:rPr>
              <w:t>8800</w:t>
            </w:r>
          </w:p>
        </w:tc>
        <w:tc>
          <w:tcPr>
            <w:tcW w:w="641" w:type="pct"/>
            <w:vAlign w:val="center"/>
          </w:tcPr>
          <w:p w14:paraId="44A93F45">
            <w:pPr>
              <w:pStyle w:val="364"/>
              <w:overflowPunct w:val="0"/>
              <w:snapToGrid w:val="0"/>
              <w:spacing w:line="300" w:lineRule="exact"/>
              <w:rPr>
                <w:rFonts w:hint="eastAsia" w:hAnsi="宋体"/>
                <w:color w:val="auto"/>
                <w:sz w:val="21"/>
                <w:szCs w:val="21"/>
              </w:rPr>
            </w:pPr>
            <w:r>
              <w:rPr>
                <w:rFonts w:hint="eastAsia" w:hAnsi="宋体"/>
                <w:color w:val="auto"/>
                <w:sz w:val="21"/>
                <w:szCs w:val="21"/>
              </w:rPr>
              <w:t>0</w:t>
            </w:r>
          </w:p>
        </w:tc>
        <w:tc>
          <w:tcPr>
            <w:tcW w:w="682" w:type="pct"/>
            <w:vAlign w:val="center"/>
          </w:tcPr>
          <w:p w14:paraId="2BED1A93">
            <w:pPr>
              <w:pStyle w:val="364"/>
              <w:overflowPunct w:val="0"/>
              <w:snapToGrid w:val="0"/>
              <w:spacing w:line="300" w:lineRule="exact"/>
              <w:rPr>
                <w:rFonts w:hint="eastAsia" w:hAnsi="宋体"/>
                <w:color w:val="auto"/>
                <w:sz w:val="21"/>
                <w:szCs w:val="21"/>
              </w:rPr>
            </w:pPr>
            <w:r>
              <w:rPr>
                <w:rFonts w:hint="eastAsia" w:hAnsi="宋体"/>
                <w:color w:val="auto"/>
                <w:sz w:val="21"/>
                <w:szCs w:val="21"/>
              </w:rPr>
              <w:t>8800</w:t>
            </w:r>
          </w:p>
        </w:tc>
        <w:tc>
          <w:tcPr>
            <w:tcW w:w="446" w:type="pct"/>
            <w:vAlign w:val="center"/>
          </w:tcPr>
          <w:p w14:paraId="42215171">
            <w:pPr>
              <w:pStyle w:val="364"/>
              <w:overflowPunct w:val="0"/>
              <w:snapToGrid w:val="0"/>
              <w:spacing w:line="300" w:lineRule="exact"/>
              <w:rPr>
                <w:rFonts w:hint="eastAsia" w:hAnsi="宋体"/>
                <w:color w:val="auto"/>
                <w:sz w:val="21"/>
                <w:szCs w:val="21"/>
              </w:rPr>
            </w:pPr>
            <w:r>
              <w:rPr>
                <w:rFonts w:hint="eastAsia" w:hAnsi="宋体"/>
                <w:color w:val="auto"/>
                <w:sz w:val="21"/>
                <w:szCs w:val="21"/>
              </w:rPr>
              <w:t>沙地</w:t>
            </w:r>
          </w:p>
        </w:tc>
        <w:tc>
          <w:tcPr>
            <w:tcW w:w="1225" w:type="pct"/>
            <w:vAlign w:val="center"/>
          </w:tcPr>
          <w:p w14:paraId="133E464D">
            <w:pPr>
              <w:pStyle w:val="364"/>
              <w:overflowPunct w:val="0"/>
              <w:snapToGrid w:val="0"/>
              <w:spacing w:line="300" w:lineRule="exact"/>
              <w:rPr>
                <w:rFonts w:hint="eastAsia" w:hAnsi="宋体"/>
                <w:color w:val="auto"/>
                <w:sz w:val="21"/>
                <w:szCs w:val="21"/>
              </w:rPr>
            </w:pPr>
            <w:r>
              <w:rPr>
                <w:rFonts w:hint="eastAsia" w:hAnsi="宋体"/>
                <w:color w:val="auto"/>
                <w:sz w:val="21"/>
                <w:szCs w:val="21"/>
              </w:rPr>
              <w:t>永久占地110</w:t>
            </w:r>
            <w:r>
              <w:rPr>
                <w:rFonts w:hAnsi="宋体"/>
                <w:color w:val="auto"/>
                <w:sz w:val="21"/>
                <w:szCs w:val="21"/>
              </w:rPr>
              <w:t>m</w:t>
            </w:r>
            <w:r>
              <w:rPr>
                <w:rFonts w:hint="eastAsia" w:hAnsi="宋体"/>
                <w:color w:val="auto"/>
                <w:sz w:val="21"/>
                <w:szCs w:val="21"/>
              </w:rPr>
              <w:t>×80m</w:t>
            </w:r>
          </w:p>
        </w:tc>
      </w:tr>
      <w:tr w14:paraId="3051F1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25" w:type="pct"/>
            <w:vAlign w:val="center"/>
          </w:tcPr>
          <w:p w14:paraId="5ECEC6F1">
            <w:pPr>
              <w:pStyle w:val="364"/>
              <w:overflowPunct w:val="0"/>
              <w:snapToGrid w:val="0"/>
              <w:spacing w:line="300" w:lineRule="exact"/>
              <w:rPr>
                <w:rFonts w:hint="eastAsia" w:hAnsi="宋体"/>
                <w:color w:val="auto"/>
                <w:sz w:val="21"/>
                <w:szCs w:val="21"/>
              </w:rPr>
            </w:pPr>
            <w:r>
              <w:rPr>
                <w:rFonts w:hint="eastAsia" w:hAnsi="宋体"/>
                <w:color w:val="auto"/>
                <w:sz w:val="21"/>
                <w:szCs w:val="21"/>
              </w:rPr>
              <w:t>2</w:t>
            </w:r>
          </w:p>
        </w:tc>
        <w:tc>
          <w:tcPr>
            <w:tcW w:w="1056" w:type="pct"/>
            <w:vAlign w:val="center"/>
          </w:tcPr>
          <w:p w14:paraId="3DB30576">
            <w:pPr>
              <w:pStyle w:val="364"/>
              <w:overflowPunct w:val="0"/>
              <w:snapToGrid w:val="0"/>
              <w:spacing w:line="300" w:lineRule="exact"/>
              <w:rPr>
                <w:rFonts w:hint="eastAsia" w:hAnsi="宋体"/>
                <w:color w:val="auto"/>
                <w:sz w:val="21"/>
                <w:szCs w:val="21"/>
              </w:rPr>
            </w:pPr>
            <w:r>
              <w:rPr>
                <w:rFonts w:hint="eastAsia" w:hAnsi="宋体"/>
                <w:color w:val="auto"/>
                <w:sz w:val="21"/>
                <w:szCs w:val="21"/>
              </w:rPr>
              <w:t>莫174H井场</w:t>
            </w:r>
          </w:p>
        </w:tc>
        <w:tc>
          <w:tcPr>
            <w:tcW w:w="625" w:type="pct"/>
            <w:vAlign w:val="center"/>
          </w:tcPr>
          <w:p w14:paraId="17E547A7">
            <w:pPr>
              <w:pStyle w:val="364"/>
              <w:overflowPunct w:val="0"/>
              <w:snapToGrid w:val="0"/>
              <w:spacing w:line="300" w:lineRule="exact"/>
              <w:rPr>
                <w:rFonts w:hint="eastAsia" w:hAnsi="宋体"/>
                <w:color w:val="auto"/>
                <w:sz w:val="21"/>
                <w:szCs w:val="21"/>
              </w:rPr>
            </w:pPr>
            <w:r>
              <w:rPr>
                <w:rFonts w:hint="eastAsia" w:hAnsi="宋体"/>
                <w:color w:val="auto"/>
                <w:sz w:val="21"/>
                <w:szCs w:val="21"/>
              </w:rPr>
              <w:t>750</w:t>
            </w:r>
          </w:p>
        </w:tc>
        <w:tc>
          <w:tcPr>
            <w:tcW w:w="641" w:type="pct"/>
            <w:vAlign w:val="center"/>
          </w:tcPr>
          <w:p w14:paraId="51FA8598">
            <w:pPr>
              <w:pStyle w:val="364"/>
              <w:overflowPunct w:val="0"/>
              <w:snapToGrid w:val="0"/>
              <w:spacing w:line="300" w:lineRule="exact"/>
              <w:rPr>
                <w:rFonts w:hint="eastAsia" w:hAnsi="宋体"/>
                <w:color w:val="auto"/>
                <w:sz w:val="21"/>
                <w:szCs w:val="21"/>
              </w:rPr>
            </w:pPr>
            <w:r>
              <w:rPr>
                <w:rFonts w:hint="eastAsia" w:hAnsi="宋体"/>
                <w:color w:val="auto"/>
                <w:sz w:val="21"/>
                <w:szCs w:val="21"/>
              </w:rPr>
              <w:t>0</w:t>
            </w:r>
          </w:p>
        </w:tc>
        <w:tc>
          <w:tcPr>
            <w:tcW w:w="682" w:type="pct"/>
            <w:vAlign w:val="center"/>
          </w:tcPr>
          <w:p w14:paraId="12E3ED57">
            <w:pPr>
              <w:pStyle w:val="364"/>
              <w:overflowPunct w:val="0"/>
              <w:snapToGrid w:val="0"/>
              <w:spacing w:line="300" w:lineRule="exact"/>
              <w:rPr>
                <w:rFonts w:hint="eastAsia" w:hAnsi="宋体"/>
                <w:color w:val="auto"/>
                <w:sz w:val="21"/>
                <w:szCs w:val="21"/>
              </w:rPr>
            </w:pPr>
            <w:r>
              <w:rPr>
                <w:rFonts w:hint="eastAsia" w:hAnsi="宋体"/>
                <w:color w:val="auto"/>
                <w:sz w:val="21"/>
                <w:szCs w:val="21"/>
              </w:rPr>
              <w:t>750</w:t>
            </w:r>
          </w:p>
        </w:tc>
        <w:tc>
          <w:tcPr>
            <w:tcW w:w="446" w:type="pct"/>
            <w:vAlign w:val="center"/>
          </w:tcPr>
          <w:p w14:paraId="4D14E345">
            <w:pPr>
              <w:pStyle w:val="364"/>
              <w:overflowPunct w:val="0"/>
              <w:snapToGrid w:val="0"/>
              <w:spacing w:line="300" w:lineRule="exact"/>
              <w:rPr>
                <w:rFonts w:hint="eastAsia" w:hAnsi="宋体"/>
                <w:color w:val="auto"/>
                <w:sz w:val="21"/>
                <w:szCs w:val="21"/>
              </w:rPr>
            </w:pPr>
            <w:r>
              <w:rPr>
                <w:rFonts w:hint="eastAsia" w:hAnsi="宋体"/>
                <w:color w:val="auto"/>
                <w:sz w:val="21"/>
                <w:szCs w:val="21"/>
              </w:rPr>
              <w:t>沙地</w:t>
            </w:r>
          </w:p>
        </w:tc>
        <w:tc>
          <w:tcPr>
            <w:tcW w:w="1225" w:type="pct"/>
            <w:vAlign w:val="center"/>
          </w:tcPr>
          <w:p w14:paraId="355F9E8A">
            <w:pPr>
              <w:pStyle w:val="364"/>
              <w:overflowPunct w:val="0"/>
              <w:snapToGrid w:val="0"/>
              <w:spacing w:line="300" w:lineRule="exact"/>
              <w:rPr>
                <w:rFonts w:hint="eastAsia" w:hAnsi="宋体"/>
                <w:color w:val="auto"/>
                <w:sz w:val="21"/>
                <w:szCs w:val="21"/>
              </w:rPr>
            </w:pPr>
            <w:r>
              <w:rPr>
                <w:rFonts w:hint="eastAsia" w:hAnsi="宋体"/>
                <w:color w:val="auto"/>
                <w:sz w:val="21"/>
                <w:szCs w:val="21"/>
              </w:rPr>
              <w:t>永久占地</w:t>
            </w:r>
            <w:r>
              <w:rPr>
                <w:rFonts w:hAnsi="宋体"/>
                <w:color w:val="auto"/>
                <w:sz w:val="21"/>
                <w:szCs w:val="21"/>
              </w:rPr>
              <w:t>30m</w:t>
            </w:r>
            <w:r>
              <w:rPr>
                <w:rFonts w:hint="eastAsia" w:hAnsi="宋体"/>
                <w:color w:val="auto"/>
                <w:sz w:val="21"/>
                <w:szCs w:val="21"/>
              </w:rPr>
              <w:t>×</w:t>
            </w:r>
            <w:r>
              <w:rPr>
                <w:rFonts w:hAnsi="宋体"/>
                <w:color w:val="auto"/>
                <w:sz w:val="21"/>
                <w:szCs w:val="21"/>
              </w:rPr>
              <w:t>25</w:t>
            </w:r>
            <w:r>
              <w:rPr>
                <w:rFonts w:hint="eastAsia" w:hAnsi="宋体"/>
                <w:color w:val="auto"/>
                <w:sz w:val="21"/>
                <w:szCs w:val="21"/>
              </w:rPr>
              <w:t>m</w:t>
            </w:r>
          </w:p>
        </w:tc>
      </w:tr>
      <w:tr w14:paraId="542A39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25" w:type="pct"/>
            <w:vAlign w:val="center"/>
          </w:tcPr>
          <w:p w14:paraId="529BF5B2">
            <w:pPr>
              <w:pStyle w:val="364"/>
              <w:overflowPunct w:val="0"/>
              <w:snapToGrid w:val="0"/>
              <w:spacing w:line="300" w:lineRule="exact"/>
              <w:rPr>
                <w:rFonts w:hint="eastAsia" w:hAnsi="宋体"/>
                <w:color w:val="auto"/>
                <w:sz w:val="21"/>
                <w:szCs w:val="21"/>
              </w:rPr>
            </w:pPr>
            <w:r>
              <w:rPr>
                <w:rFonts w:hint="eastAsia" w:hAnsi="宋体"/>
                <w:color w:val="auto"/>
                <w:sz w:val="21"/>
                <w:szCs w:val="21"/>
              </w:rPr>
              <w:t>3</w:t>
            </w:r>
          </w:p>
        </w:tc>
        <w:tc>
          <w:tcPr>
            <w:tcW w:w="1056" w:type="pct"/>
            <w:vAlign w:val="center"/>
          </w:tcPr>
          <w:p w14:paraId="442D99C9">
            <w:pPr>
              <w:pStyle w:val="364"/>
              <w:overflowPunct w:val="0"/>
              <w:snapToGrid w:val="0"/>
              <w:spacing w:line="300" w:lineRule="exact"/>
              <w:rPr>
                <w:rFonts w:hint="eastAsia" w:hAnsi="宋体"/>
                <w:color w:val="auto"/>
                <w:sz w:val="21"/>
                <w:szCs w:val="21"/>
              </w:rPr>
            </w:pPr>
            <w:r>
              <w:rPr>
                <w:rFonts w:hint="eastAsia" w:hAnsi="宋体"/>
                <w:color w:val="auto"/>
                <w:sz w:val="21"/>
                <w:szCs w:val="21"/>
              </w:rPr>
              <w:t>莫174H井场（包括CNG橇装天然气处理装置）</w:t>
            </w:r>
          </w:p>
        </w:tc>
        <w:tc>
          <w:tcPr>
            <w:tcW w:w="625" w:type="pct"/>
            <w:vAlign w:val="center"/>
          </w:tcPr>
          <w:p w14:paraId="247191FB">
            <w:pPr>
              <w:pStyle w:val="364"/>
              <w:overflowPunct w:val="0"/>
              <w:snapToGrid w:val="0"/>
              <w:spacing w:line="300" w:lineRule="exact"/>
              <w:rPr>
                <w:rFonts w:hint="eastAsia" w:hAnsi="宋体"/>
                <w:color w:val="auto"/>
                <w:sz w:val="21"/>
                <w:szCs w:val="21"/>
              </w:rPr>
            </w:pPr>
            <w:r>
              <w:rPr>
                <w:rFonts w:hint="eastAsia" w:hAnsi="宋体"/>
                <w:color w:val="auto"/>
                <w:sz w:val="21"/>
                <w:szCs w:val="21"/>
              </w:rPr>
              <w:t>8800</w:t>
            </w:r>
          </w:p>
        </w:tc>
        <w:tc>
          <w:tcPr>
            <w:tcW w:w="641" w:type="pct"/>
            <w:vAlign w:val="center"/>
          </w:tcPr>
          <w:p w14:paraId="33FA1B7B">
            <w:pPr>
              <w:pStyle w:val="364"/>
              <w:overflowPunct w:val="0"/>
              <w:snapToGrid w:val="0"/>
              <w:spacing w:line="300" w:lineRule="exact"/>
              <w:rPr>
                <w:rFonts w:hint="eastAsia" w:hAnsi="宋体"/>
                <w:color w:val="auto"/>
                <w:sz w:val="21"/>
                <w:szCs w:val="21"/>
              </w:rPr>
            </w:pPr>
            <w:r>
              <w:rPr>
                <w:rFonts w:hint="eastAsia" w:hAnsi="宋体"/>
                <w:color w:val="auto"/>
                <w:sz w:val="21"/>
                <w:szCs w:val="21"/>
              </w:rPr>
              <w:t>0</w:t>
            </w:r>
          </w:p>
        </w:tc>
        <w:tc>
          <w:tcPr>
            <w:tcW w:w="682" w:type="pct"/>
            <w:vAlign w:val="center"/>
          </w:tcPr>
          <w:p w14:paraId="1CFD1A99">
            <w:pPr>
              <w:pStyle w:val="364"/>
              <w:overflowPunct w:val="0"/>
              <w:snapToGrid w:val="0"/>
              <w:spacing w:line="300" w:lineRule="exact"/>
              <w:rPr>
                <w:rFonts w:hint="eastAsia" w:hAnsi="宋体"/>
                <w:color w:val="auto"/>
                <w:sz w:val="21"/>
                <w:szCs w:val="21"/>
              </w:rPr>
            </w:pPr>
            <w:r>
              <w:rPr>
                <w:rFonts w:hint="eastAsia" w:hAnsi="宋体"/>
                <w:color w:val="auto"/>
                <w:sz w:val="21"/>
                <w:szCs w:val="21"/>
              </w:rPr>
              <w:t>8800</w:t>
            </w:r>
          </w:p>
        </w:tc>
        <w:tc>
          <w:tcPr>
            <w:tcW w:w="446" w:type="pct"/>
            <w:vAlign w:val="center"/>
          </w:tcPr>
          <w:p w14:paraId="34F21C0D">
            <w:pPr>
              <w:pStyle w:val="364"/>
              <w:overflowPunct w:val="0"/>
              <w:snapToGrid w:val="0"/>
              <w:spacing w:line="300" w:lineRule="exact"/>
              <w:rPr>
                <w:rFonts w:hint="eastAsia" w:hAnsi="宋体"/>
                <w:color w:val="auto"/>
                <w:sz w:val="21"/>
                <w:szCs w:val="21"/>
              </w:rPr>
            </w:pPr>
            <w:r>
              <w:rPr>
                <w:rFonts w:hint="eastAsia" w:hAnsi="宋体"/>
                <w:color w:val="auto"/>
                <w:sz w:val="21"/>
                <w:szCs w:val="21"/>
              </w:rPr>
              <w:t>沙地</w:t>
            </w:r>
          </w:p>
        </w:tc>
        <w:tc>
          <w:tcPr>
            <w:tcW w:w="1225" w:type="pct"/>
            <w:vAlign w:val="center"/>
          </w:tcPr>
          <w:p w14:paraId="472AE89A">
            <w:pPr>
              <w:pStyle w:val="364"/>
              <w:overflowPunct w:val="0"/>
              <w:snapToGrid w:val="0"/>
              <w:spacing w:line="300" w:lineRule="exact"/>
              <w:rPr>
                <w:rFonts w:hint="eastAsia" w:hAnsi="宋体"/>
                <w:color w:val="auto"/>
                <w:sz w:val="21"/>
                <w:szCs w:val="21"/>
              </w:rPr>
            </w:pPr>
            <w:r>
              <w:rPr>
                <w:rFonts w:hint="eastAsia" w:hAnsi="宋体"/>
                <w:color w:val="auto"/>
                <w:sz w:val="21"/>
                <w:szCs w:val="21"/>
              </w:rPr>
              <w:t>永久占地110</w:t>
            </w:r>
            <w:r>
              <w:rPr>
                <w:rFonts w:hAnsi="宋体"/>
                <w:color w:val="auto"/>
                <w:sz w:val="21"/>
                <w:szCs w:val="21"/>
              </w:rPr>
              <w:t>m</w:t>
            </w:r>
            <w:r>
              <w:rPr>
                <w:rFonts w:hint="eastAsia" w:hAnsi="宋体"/>
                <w:color w:val="auto"/>
                <w:sz w:val="21"/>
                <w:szCs w:val="21"/>
              </w:rPr>
              <w:t>×80m</w:t>
            </w:r>
          </w:p>
        </w:tc>
      </w:tr>
      <w:tr w14:paraId="0E6454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25" w:type="pct"/>
            <w:vAlign w:val="center"/>
          </w:tcPr>
          <w:p w14:paraId="72EDEB39">
            <w:pPr>
              <w:pStyle w:val="364"/>
              <w:overflowPunct w:val="0"/>
              <w:snapToGrid w:val="0"/>
              <w:spacing w:line="300" w:lineRule="exact"/>
              <w:rPr>
                <w:rFonts w:hint="eastAsia" w:hAnsi="宋体"/>
                <w:color w:val="auto"/>
                <w:sz w:val="21"/>
                <w:szCs w:val="21"/>
              </w:rPr>
            </w:pPr>
            <w:r>
              <w:rPr>
                <w:rFonts w:hint="eastAsia" w:hAnsi="宋体"/>
                <w:color w:val="auto"/>
                <w:sz w:val="21"/>
                <w:szCs w:val="21"/>
              </w:rPr>
              <w:t>4</w:t>
            </w:r>
          </w:p>
        </w:tc>
        <w:tc>
          <w:tcPr>
            <w:tcW w:w="1056" w:type="pct"/>
            <w:vAlign w:val="center"/>
          </w:tcPr>
          <w:p w14:paraId="2C65DB3A">
            <w:pPr>
              <w:pStyle w:val="364"/>
              <w:overflowPunct w:val="0"/>
              <w:snapToGrid w:val="0"/>
              <w:spacing w:line="300" w:lineRule="exact"/>
              <w:rPr>
                <w:rFonts w:hint="eastAsia" w:hAnsi="宋体"/>
                <w:color w:val="auto"/>
                <w:sz w:val="21"/>
                <w:szCs w:val="21"/>
              </w:rPr>
            </w:pPr>
            <w:r>
              <w:rPr>
                <w:rFonts w:hint="eastAsia" w:hAnsi="宋体"/>
                <w:color w:val="auto"/>
                <w:sz w:val="21"/>
                <w:szCs w:val="21"/>
              </w:rPr>
              <w:t>单井采油管线</w:t>
            </w:r>
          </w:p>
        </w:tc>
        <w:tc>
          <w:tcPr>
            <w:tcW w:w="625" w:type="pct"/>
            <w:vAlign w:val="center"/>
          </w:tcPr>
          <w:p w14:paraId="5A97FABD">
            <w:pPr>
              <w:pStyle w:val="364"/>
              <w:overflowPunct w:val="0"/>
              <w:snapToGrid w:val="0"/>
              <w:spacing w:line="300" w:lineRule="exact"/>
              <w:rPr>
                <w:rFonts w:hint="eastAsia" w:hAnsi="宋体"/>
                <w:color w:val="auto"/>
                <w:sz w:val="21"/>
                <w:szCs w:val="21"/>
              </w:rPr>
            </w:pPr>
            <w:r>
              <w:rPr>
                <w:rFonts w:hint="eastAsia" w:hAnsi="宋体"/>
                <w:color w:val="auto"/>
                <w:sz w:val="21"/>
                <w:szCs w:val="21"/>
              </w:rPr>
              <w:t>0</w:t>
            </w:r>
          </w:p>
        </w:tc>
        <w:tc>
          <w:tcPr>
            <w:tcW w:w="641" w:type="pct"/>
            <w:vAlign w:val="center"/>
          </w:tcPr>
          <w:p w14:paraId="137B071E">
            <w:pPr>
              <w:pStyle w:val="364"/>
              <w:overflowPunct w:val="0"/>
              <w:snapToGrid w:val="0"/>
              <w:spacing w:line="300" w:lineRule="exact"/>
              <w:rPr>
                <w:rFonts w:hint="eastAsia" w:hAnsi="宋体"/>
                <w:color w:val="auto"/>
                <w:sz w:val="21"/>
                <w:szCs w:val="21"/>
              </w:rPr>
            </w:pPr>
            <w:r>
              <w:rPr>
                <w:rFonts w:hint="eastAsia" w:hAnsi="宋体"/>
                <w:color w:val="auto"/>
                <w:sz w:val="21"/>
                <w:szCs w:val="21"/>
              </w:rPr>
              <w:t>8720</w:t>
            </w:r>
          </w:p>
        </w:tc>
        <w:tc>
          <w:tcPr>
            <w:tcW w:w="682" w:type="pct"/>
            <w:vAlign w:val="center"/>
          </w:tcPr>
          <w:p w14:paraId="71CCD74C">
            <w:pPr>
              <w:pStyle w:val="364"/>
              <w:overflowPunct w:val="0"/>
              <w:snapToGrid w:val="0"/>
              <w:spacing w:line="300" w:lineRule="exact"/>
              <w:rPr>
                <w:rFonts w:hint="eastAsia" w:hAnsi="宋体"/>
                <w:color w:val="auto"/>
                <w:sz w:val="21"/>
                <w:szCs w:val="21"/>
              </w:rPr>
            </w:pPr>
            <w:r>
              <w:rPr>
                <w:rFonts w:hint="eastAsia" w:hAnsi="宋体"/>
                <w:color w:val="auto"/>
                <w:sz w:val="21"/>
                <w:szCs w:val="21"/>
              </w:rPr>
              <w:t>8720</w:t>
            </w:r>
          </w:p>
        </w:tc>
        <w:tc>
          <w:tcPr>
            <w:tcW w:w="446" w:type="pct"/>
            <w:vAlign w:val="center"/>
          </w:tcPr>
          <w:p w14:paraId="5A6C70CC">
            <w:pPr>
              <w:pStyle w:val="364"/>
              <w:overflowPunct w:val="0"/>
              <w:snapToGrid w:val="0"/>
              <w:spacing w:line="300" w:lineRule="exact"/>
              <w:rPr>
                <w:rFonts w:hint="eastAsia" w:hAnsi="宋体"/>
                <w:color w:val="auto"/>
                <w:sz w:val="21"/>
                <w:szCs w:val="21"/>
              </w:rPr>
            </w:pPr>
            <w:r>
              <w:rPr>
                <w:rFonts w:hint="eastAsia" w:hAnsi="宋体"/>
                <w:color w:val="auto"/>
                <w:sz w:val="21"/>
                <w:szCs w:val="21"/>
              </w:rPr>
              <w:t>沙地</w:t>
            </w:r>
          </w:p>
        </w:tc>
        <w:tc>
          <w:tcPr>
            <w:tcW w:w="1225" w:type="pct"/>
            <w:vAlign w:val="center"/>
          </w:tcPr>
          <w:p w14:paraId="0D303B6C">
            <w:pPr>
              <w:pStyle w:val="364"/>
              <w:overflowPunct w:val="0"/>
              <w:snapToGrid w:val="0"/>
              <w:spacing w:line="300" w:lineRule="exact"/>
              <w:rPr>
                <w:rFonts w:hint="eastAsia" w:hAnsi="宋体"/>
                <w:color w:val="auto"/>
                <w:sz w:val="21"/>
                <w:szCs w:val="21"/>
              </w:rPr>
            </w:pPr>
            <w:r>
              <w:rPr>
                <w:rFonts w:hint="eastAsia" w:hAnsi="宋体"/>
                <w:color w:val="auto"/>
                <w:sz w:val="21"/>
                <w:szCs w:val="21"/>
              </w:rPr>
              <w:t>长度1.09km、施工作业带宽度8</w:t>
            </w:r>
            <w:r>
              <w:rPr>
                <w:rFonts w:hAnsi="宋体"/>
                <w:color w:val="auto"/>
                <w:sz w:val="21"/>
                <w:szCs w:val="21"/>
              </w:rPr>
              <w:t>m</w:t>
            </w:r>
          </w:p>
        </w:tc>
      </w:tr>
      <w:tr w14:paraId="4880BA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25" w:type="pct"/>
            <w:vAlign w:val="center"/>
          </w:tcPr>
          <w:p w14:paraId="3A0F9FBF">
            <w:pPr>
              <w:pStyle w:val="364"/>
              <w:overflowPunct w:val="0"/>
              <w:snapToGrid w:val="0"/>
              <w:spacing w:line="300" w:lineRule="exact"/>
              <w:rPr>
                <w:rFonts w:hint="eastAsia" w:hAnsi="宋体"/>
                <w:color w:val="auto"/>
                <w:sz w:val="21"/>
                <w:szCs w:val="21"/>
              </w:rPr>
            </w:pPr>
            <w:r>
              <w:rPr>
                <w:rFonts w:hint="eastAsia" w:hAnsi="宋体"/>
                <w:color w:val="auto"/>
                <w:sz w:val="21"/>
                <w:szCs w:val="21"/>
              </w:rPr>
              <w:t>5</w:t>
            </w:r>
          </w:p>
        </w:tc>
        <w:tc>
          <w:tcPr>
            <w:tcW w:w="1056" w:type="pct"/>
            <w:vAlign w:val="center"/>
          </w:tcPr>
          <w:p w14:paraId="04703483">
            <w:pPr>
              <w:pStyle w:val="364"/>
              <w:overflowPunct w:val="0"/>
              <w:snapToGrid w:val="0"/>
              <w:spacing w:line="300" w:lineRule="exact"/>
              <w:rPr>
                <w:rFonts w:hint="eastAsia" w:hAnsi="宋体"/>
                <w:color w:val="auto"/>
                <w:sz w:val="21"/>
                <w:szCs w:val="21"/>
              </w:rPr>
            </w:pPr>
            <w:r>
              <w:rPr>
                <w:rFonts w:hint="eastAsia" w:hAnsi="宋体"/>
                <w:color w:val="auto"/>
                <w:sz w:val="21"/>
                <w:szCs w:val="21"/>
              </w:rPr>
              <w:t>充装区</w:t>
            </w:r>
          </w:p>
        </w:tc>
        <w:tc>
          <w:tcPr>
            <w:tcW w:w="625" w:type="pct"/>
            <w:vAlign w:val="center"/>
          </w:tcPr>
          <w:p w14:paraId="5F9B3C10">
            <w:pPr>
              <w:pStyle w:val="364"/>
              <w:overflowPunct w:val="0"/>
              <w:snapToGrid w:val="0"/>
              <w:spacing w:line="300" w:lineRule="exact"/>
              <w:rPr>
                <w:rFonts w:hint="eastAsia" w:hAnsi="宋体"/>
                <w:color w:val="auto"/>
                <w:sz w:val="21"/>
                <w:szCs w:val="21"/>
              </w:rPr>
            </w:pPr>
            <w:r>
              <w:rPr>
                <w:rFonts w:hint="eastAsia" w:hAnsi="宋体"/>
                <w:color w:val="auto"/>
                <w:sz w:val="21"/>
                <w:szCs w:val="21"/>
              </w:rPr>
              <w:t>3500</w:t>
            </w:r>
          </w:p>
        </w:tc>
        <w:tc>
          <w:tcPr>
            <w:tcW w:w="641" w:type="pct"/>
            <w:vAlign w:val="center"/>
          </w:tcPr>
          <w:p w14:paraId="615C0DAC">
            <w:pPr>
              <w:pStyle w:val="364"/>
              <w:overflowPunct w:val="0"/>
              <w:snapToGrid w:val="0"/>
              <w:spacing w:line="300" w:lineRule="exact"/>
              <w:rPr>
                <w:rFonts w:hint="eastAsia" w:hAnsi="宋体"/>
                <w:color w:val="auto"/>
                <w:sz w:val="21"/>
                <w:szCs w:val="21"/>
              </w:rPr>
            </w:pPr>
            <w:r>
              <w:rPr>
                <w:rFonts w:hint="eastAsia" w:hAnsi="宋体"/>
                <w:color w:val="auto"/>
                <w:sz w:val="21"/>
                <w:szCs w:val="21"/>
              </w:rPr>
              <w:t>0</w:t>
            </w:r>
          </w:p>
        </w:tc>
        <w:tc>
          <w:tcPr>
            <w:tcW w:w="682" w:type="pct"/>
            <w:vAlign w:val="center"/>
          </w:tcPr>
          <w:p w14:paraId="238573DA">
            <w:pPr>
              <w:pStyle w:val="364"/>
              <w:overflowPunct w:val="0"/>
              <w:snapToGrid w:val="0"/>
              <w:spacing w:line="300" w:lineRule="exact"/>
              <w:rPr>
                <w:rFonts w:hint="eastAsia" w:hAnsi="宋体"/>
                <w:color w:val="auto"/>
                <w:sz w:val="21"/>
                <w:szCs w:val="21"/>
              </w:rPr>
            </w:pPr>
            <w:r>
              <w:rPr>
                <w:rFonts w:hint="eastAsia" w:hAnsi="宋体"/>
                <w:color w:val="auto"/>
                <w:sz w:val="21"/>
                <w:szCs w:val="21"/>
              </w:rPr>
              <w:t>3500</w:t>
            </w:r>
          </w:p>
        </w:tc>
        <w:tc>
          <w:tcPr>
            <w:tcW w:w="446" w:type="pct"/>
            <w:vAlign w:val="center"/>
          </w:tcPr>
          <w:p w14:paraId="51BA290B">
            <w:pPr>
              <w:pStyle w:val="364"/>
              <w:overflowPunct w:val="0"/>
              <w:snapToGrid w:val="0"/>
              <w:spacing w:line="300" w:lineRule="exact"/>
              <w:rPr>
                <w:rFonts w:hint="eastAsia" w:hAnsi="宋体"/>
                <w:color w:val="auto"/>
                <w:sz w:val="21"/>
                <w:szCs w:val="21"/>
              </w:rPr>
            </w:pPr>
            <w:r>
              <w:rPr>
                <w:rFonts w:hint="eastAsia" w:hAnsi="宋体"/>
                <w:color w:val="auto"/>
                <w:sz w:val="21"/>
                <w:szCs w:val="21"/>
              </w:rPr>
              <w:t>沙地</w:t>
            </w:r>
          </w:p>
        </w:tc>
        <w:tc>
          <w:tcPr>
            <w:tcW w:w="1225" w:type="pct"/>
            <w:vAlign w:val="center"/>
          </w:tcPr>
          <w:p w14:paraId="6DC56356">
            <w:pPr>
              <w:pStyle w:val="288"/>
              <w:adjustRightInd w:val="0"/>
              <w:snapToGrid w:val="0"/>
              <w:spacing w:line="300" w:lineRule="exact"/>
              <w:rPr>
                <w:rFonts w:hint="eastAsia" w:eastAsia="宋体" w:cs="宋体"/>
                <w:color w:val="auto"/>
                <w:kern w:val="0"/>
              </w:rPr>
            </w:pPr>
            <w:r>
              <w:rPr>
                <w:rFonts w:hint="eastAsia" w:eastAsia="宋体" w:cs="宋体"/>
                <w:color w:val="auto"/>
                <w:kern w:val="0"/>
              </w:rPr>
              <w:t>永久占地50</w:t>
            </w:r>
            <w:r>
              <w:rPr>
                <w:rFonts w:eastAsia="宋体" w:cs="宋体"/>
                <w:color w:val="auto"/>
                <w:kern w:val="0"/>
              </w:rPr>
              <w:t>m</w:t>
            </w:r>
            <w:r>
              <w:rPr>
                <w:rFonts w:hint="eastAsia" w:eastAsia="宋体" w:cs="宋体"/>
                <w:color w:val="auto"/>
                <w:kern w:val="0"/>
              </w:rPr>
              <w:t>×70m</w:t>
            </w:r>
          </w:p>
        </w:tc>
      </w:tr>
      <w:tr w14:paraId="600501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25" w:type="pct"/>
            <w:vAlign w:val="center"/>
          </w:tcPr>
          <w:p w14:paraId="0D6C713D">
            <w:pPr>
              <w:pStyle w:val="364"/>
              <w:overflowPunct w:val="0"/>
              <w:snapToGrid w:val="0"/>
              <w:spacing w:line="300" w:lineRule="exact"/>
              <w:rPr>
                <w:rFonts w:hint="eastAsia" w:hAnsi="宋体"/>
                <w:color w:val="auto"/>
                <w:sz w:val="21"/>
                <w:szCs w:val="21"/>
              </w:rPr>
            </w:pPr>
            <w:r>
              <w:rPr>
                <w:rFonts w:hint="eastAsia" w:hAnsi="宋体"/>
                <w:color w:val="auto"/>
                <w:sz w:val="21"/>
                <w:szCs w:val="21"/>
              </w:rPr>
              <w:t>6</w:t>
            </w:r>
          </w:p>
        </w:tc>
        <w:tc>
          <w:tcPr>
            <w:tcW w:w="1056" w:type="pct"/>
            <w:vAlign w:val="center"/>
          </w:tcPr>
          <w:p w14:paraId="1440DF78">
            <w:pPr>
              <w:pStyle w:val="364"/>
              <w:overflowPunct w:val="0"/>
              <w:snapToGrid w:val="0"/>
              <w:spacing w:line="300" w:lineRule="exact"/>
              <w:rPr>
                <w:rFonts w:hint="eastAsia" w:hAnsi="宋体"/>
                <w:color w:val="auto"/>
                <w:sz w:val="21"/>
                <w:szCs w:val="21"/>
              </w:rPr>
            </w:pPr>
            <w:r>
              <w:rPr>
                <w:rFonts w:hint="eastAsia" w:hAnsi="宋体"/>
                <w:color w:val="auto"/>
                <w:sz w:val="21"/>
                <w:szCs w:val="21"/>
              </w:rPr>
              <w:t>合计</w:t>
            </w:r>
          </w:p>
        </w:tc>
        <w:tc>
          <w:tcPr>
            <w:tcW w:w="625" w:type="pct"/>
            <w:vAlign w:val="center"/>
          </w:tcPr>
          <w:p w14:paraId="17C9BBD0">
            <w:pPr>
              <w:pStyle w:val="364"/>
              <w:overflowPunct w:val="0"/>
              <w:snapToGrid w:val="0"/>
              <w:spacing w:line="300" w:lineRule="exact"/>
              <w:rPr>
                <w:rFonts w:hint="eastAsia" w:hAnsi="宋体"/>
                <w:color w:val="auto"/>
                <w:sz w:val="21"/>
                <w:szCs w:val="21"/>
              </w:rPr>
            </w:pPr>
            <w:r>
              <w:rPr>
                <w:rFonts w:hint="eastAsia" w:hAnsi="宋体"/>
                <w:color w:val="auto"/>
                <w:sz w:val="21"/>
                <w:szCs w:val="21"/>
              </w:rPr>
              <w:t>21850</w:t>
            </w:r>
          </w:p>
        </w:tc>
        <w:tc>
          <w:tcPr>
            <w:tcW w:w="641" w:type="pct"/>
            <w:vAlign w:val="center"/>
          </w:tcPr>
          <w:p w14:paraId="3136DD66">
            <w:pPr>
              <w:pStyle w:val="364"/>
              <w:overflowPunct w:val="0"/>
              <w:snapToGrid w:val="0"/>
              <w:spacing w:line="300" w:lineRule="exact"/>
              <w:rPr>
                <w:rFonts w:hint="eastAsia" w:hAnsi="宋体"/>
                <w:color w:val="auto"/>
                <w:sz w:val="21"/>
                <w:szCs w:val="21"/>
              </w:rPr>
            </w:pPr>
            <w:r>
              <w:rPr>
                <w:rFonts w:hint="eastAsia" w:hAnsi="宋体"/>
                <w:color w:val="auto"/>
                <w:sz w:val="21"/>
                <w:szCs w:val="21"/>
              </w:rPr>
              <w:t>8720</w:t>
            </w:r>
          </w:p>
        </w:tc>
        <w:tc>
          <w:tcPr>
            <w:tcW w:w="682" w:type="pct"/>
            <w:vAlign w:val="center"/>
          </w:tcPr>
          <w:p w14:paraId="20D86CCC">
            <w:pPr>
              <w:pStyle w:val="364"/>
              <w:overflowPunct w:val="0"/>
              <w:snapToGrid w:val="0"/>
              <w:spacing w:line="300" w:lineRule="exact"/>
              <w:rPr>
                <w:rFonts w:hint="eastAsia" w:hAnsi="宋体"/>
                <w:color w:val="auto"/>
                <w:sz w:val="21"/>
                <w:szCs w:val="21"/>
              </w:rPr>
            </w:pPr>
            <w:r>
              <w:rPr>
                <w:rFonts w:hint="eastAsia" w:hAnsi="宋体"/>
                <w:color w:val="auto"/>
                <w:sz w:val="21"/>
                <w:szCs w:val="21"/>
              </w:rPr>
              <w:t>30570</w:t>
            </w:r>
          </w:p>
        </w:tc>
        <w:tc>
          <w:tcPr>
            <w:tcW w:w="446" w:type="pct"/>
            <w:vAlign w:val="center"/>
          </w:tcPr>
          <w:p w14:paraId="29D28050">
            <w:pPr>
              <w:pStyle w:val="288"/>
              <w:adjustRightInd w:val="0"/>
              <w:snapToGrid w:val="0"/>
              <w:spacing w:line="300" w:lineRule="exact"/>
              <w:rPr>
                <w:rFonts w:hint="eastAsia" w:eastAsia="宋体" w:cs="宋体"/>
                <w:color w:val="auto"/>
                <w:kern w:val="0"/>
              </w:rPr>
            </w:pPr>
            <w:r>
              <w:rPr>
                <w:rFonts w:hint="eastAsia" w:eastAsia="宋体" w:cs="宋体"/>
                <w:color w:val="auto"/>
                <w:kern w:val="0"/>
              </w:rPr>
              <w:t>/</w:t>
            </w:r>
          </w:p>
        </w:tc>
        <w:tc>
          <w:tcPr>
            <w:tcW w:w="1225" w:type="pct"/>
            <w:vAlign w:val="center"/>
          </w:tcPr>
          <w:p w14:paraId="0B914B5E">
            <w:pPr>
              <w:pStyle w:val="288"/>
              <w:adjustRightInd w:val="0"/>
              <w:snapToGrid w:val="0"/>
              <w:spacing w:line="300" w:lineRule="exact"/>
              <w:rPr>
                <w:rFonts w:hint="eastAsia" w:eastAsia="宋体" w:cs="宋体"/>
                <w:color w:val="auto"/>
                <w:kern w:val="0"/>
              </w:rPr>
            </w:pPr>
            <w:r>
              <w:rPr>
                <w:rFonts w:hint="eastAsia" w:eastAsia="宋体" w:cs="宋体"/>
                <w:color w:val="auto"/>
                <w:kern w:val="0"/>
              </w:rPr>
              <w:t>/</w:t>
            </w:r>
          </w:p>
        </w:tc>
      </w:tr>
      <w:bookmarkEnd w:id="265"/>
      <w:bookmarkEnd w:id="267"/>
      <w:bookmarkEnd w:id="271"/>
    </w:tbl>
    <w:p w14:paraId="3B17A015">
      <w:pPr>
        <w:pStyle w:val="86"/>
        <w:ind w:firstLine="480"/>
        <w:rPr>
          <w:rFonts w:hint="eastAsia"/>
          <w:color w:val="auto"/>
        </w:rPr>
      </w:pPr>
      <w:bookmarkStart w:id="272" w:name="_Hlk165553650"/>
      <w:r>
        <w:rPr>
          <w:rFonts w:hint="eastAsia"/>
          <w:color w:val="auto"/>
        </w:rPr>
        <w:t>※土石方平衡</w:t>
      </w:r>
    </w:p>
    <w:bookmarkEnd w:id="272"/>
    <w:p w14:paraId="146526E4">
      <w:pPr>
        <w:adjustRightInd w:val="0"/>
        <w:snapToGrid w:val="0"/>
        <w:spacing w:line="500" w:lineRule="exact"/>
        <w:ind w:firstLine="480" w:firstLineChars="200"/>
        <w:textAlignment w:val="baseline"/>
        <w:rPr>
          <w:rFonts w:hint="eastAsia" w:ascii="宋体" w:hAnsi="宋体"/>
          <w:color w:val="auto"/>
          <w:sz w:val="24"/>
        </w:rPr>
      </w:pPr>
      <w:bookmarkStart w:id="273" w:name="_Hlk162366699"/>
      <w:r>
        <w:rPr>
          <w:rFonts w:hint="eastAsia" w:ascii="宋体" w:hAnsi="宋体"/>
          <w:color w:val="auto"/>
          <w:sz w:val="24"/>
        </w:rPr>
        <w:t>本项目土石方开挖主要为单井采油管线敷设过程，单井采油管线作业带宽8m，</w:t>
      </w:r>
      <w:bookmarkStart w:id="274" w:name="_Hlk111760392"/>
      <w:r>
        <w:rPr>
          <w:rFonts w:hint="eastAsia" w:ascii="宋体" w:hAnsi="宋体"/>
          <w:color w:val="auto"/>
          <w:sz w:val="24"/>
        </w:rPr>
        <w:t>采用埋地敷设方式，</w:t>
      </w:r>
      <w:r>
        <w:rPr>
          <w:rFonts w:ascii="宋体" w:hAnsi="宋体"/>
          <w:color w:val="auto"/>
          <w:sz w:val="24"/>
        </w:rPr>
        <w:t>管</w:t>
      </w:r>
      <w:r>
        <w:rPr>
          <w:rFonts w:hint="eastAsia" w:ascii="宋体" w:hAnsi="宋体"/>
          <w:color w:val="auto"/>
          <w:sz w:val="24"/>
        </w:rPr>
        <w:t>底</w:t>
      </w:r>
      <w:r>
        <w:rPr>
          <w:rFonts w:ascii="宋体" w:hAnsi="宋体"/>
          <w:color w:val="auto"/>
          <w:sz w:val="24"/>
        </w:rPr>
        <w:t>埋深-1.7m，管沟沟底宽度一般为管外径加0.5m，管沟边坡比为1</w:t>
      </w:r>
      <w:r>
        <w:rPr>
          <w:rFonts w:hint="eastAsia" w:ascii="宋体" w:hAnsi="宋体"/>
          <w:color w:val="auto"/>
          <w:sz w:val="24"/>
        </w:rPr>
        <w:t>:</w:t>
      </w:r>
      <w:r>
        <w:rPr>
          <w:rFonts w:ascii="宋体" w:hAnsi="宋体"/>
          <w:color w:val="auto"/>
          <w:sz w:val="24"/>
        </w:rPr>
        <w:t>0.75。</w:t>
      </w:r>
      <w:bookmarkEnd w:id="274"/>
      <w:r>
        <w:rPr>
          <w:rFonts w:hint="eastAsia" w:ascii="宋体" w:hAnsi="宋体"/>
          <w:color w:val="auto"/>
          <w:sz w:val="24"/>
        </w:rPr>
        <w:t>管线作业时无弃方产生，全部回填或就地平整，多余土方敷设于管线上方作为管廊，无弃方产生。</w:t>
      </w:r>
    </w:p>
    <w:p w14:paraId="0791A377">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运营期污染源源强核算</w:t>
      </w:r>
    </w:p>
    <w:p w14:paraId="7938CD44">
      <w:pPr>
        <w:pStyle w:val="86"/>
        <w:ind w:firstLine="480"/>
        <w:rPr>
          <w:rFonts w:hint="eastAsia"/>
          <w:color w:val="auto"/>
        </w:rPr>
      </w:pPr>
      <w:bookmarkStart w:id="275" w:name="_Hlk128559881"/>
      <w:bookmarkStart w:id="276" w:name="_Hlk129592962"/>
      <w:bookmarkStart w:id="277" w:name="_Hlk129686223"/>
      <w:bookmarkStart w:id="278" w:name="_Hlk129356350"/>
      <w:r>
        <w:rPr>
          <w:rFonts w:hint="eastAsia"/>
          <w:color w:val="auto"/>
        </w:rPr>
        <w:t>（1）废气</w:t>
      </w:r>
    </w:p>
    <w:p w14:paraId="13279D05">
      <w:pPr>
        <w:adjustRightInd w:val="0"/>
        <w:snapToGrid w:val="0"/>
        <w:spacing w:line="500" w:lineRule="exact"/>
        <w:ind w:firstLine="480" w:firstLineChars="200"/>
        <w:textAlignment w:val="baseline"/>
        <w:rPr>
          <w:rFonts w:hint="eastAsia" w:ascii="宋体" w:hAnsi="宋体"/>
          <w:color w:val="auto"/>
          <w:sz w:val="24"/>
        </w:rPr>
      </w:pPr>
      <w:bookmarkStart w:id="279" w:name="_Hlk482206006"/>
      <w:bookmarkStart w:id="280" w:name="_Hlk129276672"/>
      <w:r>
        <w:rPr>
          <w:rFonts w:hint="eastAsia" w:ascii="宋体" w:hAnsi="宋体"/>
          <w:color w:val="auto"/>
          <w:sz w:val="24"/>
        </w:rPr>
        <w:t>根据伴生气组分分析可知伴生气中硫化氢未检出，废气主要为天然气集输、处理过程中的阀门、法兰等部位产生的</w:t>
      </w:r>
      <w:bookmarkStart w:id="281" w:name="_Hlk165763634"/>
      <w:r>
        <w:rPr>
          <w:rFonts w:hint="eastAsia" w:ascii="宋体" w:hAnsi="宋体"/>
          <w:color w:val="auto"/>
          <w:sz w:val="24"/>
        </w:rPr>
        <w:t>无组织挥发性有机物（以非甲烷总烃计）</w:t>
      </w:r>
      <w:bookmarkEnd w:id="281"/>
      <w:bookmarkStart w:id="282" w:name="_Hlk165763650"/>
      <w:r>
        <w:rPr>
          <w:rFonts w:hint="eastAsia" w:ascii="宋体" w:hAnsi="宋体"/>
          <w:color w:val="auto"/>
          <w:sz w:val="24"/>
        </w:rPr>
        <w:t>、储油罐大小呼吸产生的无组织废气、原油装卸产生的无组织废气和燃气发电机燃烧烟气。</w:t>
      </w:r>
      <w:bookmarkEnd w:id="282"/>
    </w:p>
    <w:p w14:paraId="71BF9145">
      <w:pPr>
        <w:adjustRightInd w:val="0"/>
        <w:snapToGrid w:val="0"/>
        <w:spacing w:line="500" w:lineRule="exact"/>
        <w:ind w:firstLine="480" w:firstLineChars="200"/>
        <w:textAlignment w:val="baseline"/>
        <w:rPr>
          <w:rFonts w:hint="eastAsia" w:ascii="宋体" w:hAnsi="宋体"/>
          <w:color w:val="auto"/>
          <w:kern w:val="0"/>
          <w:sz w:val="24"/>
        </w:rPr>
      </w:pPr>
      <w:r>
        <w:rPr>
          <w:rFonts w:hint="eastAsia" w:ascii="宋体" w:hAnsi="宋体"/>
          <w:color w:val="auto"/>
          <w:kern w:val="0"/>
          <w:sz w:val="24"/>
        </w:rPr>
        <w:t>①燃气发电机燃烧烟气</w:t>
      </w:r>
    </w:p>
    <w:p w14:paraId="5D34F6B5">
      <w:pPr>
        <w:adjustRightInd w:val="0"/>
        <w:snapToGrid w:val="0"/>
        <w:spacing w:line="500" w:lineRule="exact"/>
        <w:ind w:firstLine="480" w:firstLineChars="200"/>
        <w:textAlignment w:val="baseline"/>
        <w:rPr>
          <w:rFonts w:hint="eastAsia" w:ascii="宋体" w:hAnsi="宋体"/>
          <w:color w:val="auto"/>
          <w:kern w:val="0"/>
          <w:sz w:val="24"/>
        </w:rPr>
      </w:pPr>
      <w:r>
        <w:rPr>
          <w:rFonts w:hint="eastAsia" w:ascii="宋体" w:hAnsi="宋体"/>
          <w:color w:val="auto"/>
          <w:kern w:val="0"/>
          <w:sz w:val="24"/>
        </w:rPr>
        <w:t>莫172H井、莫174H井和撬装天然气浅冷处理装置用电由燃气发电机提供，燃气发电机功率为250kW（莫172H井建设发电机6台、莫174H井建设发电机3台），年运行时间7920h，燃气发电机最大耗气量为2700m</w:t>
      </w:r>
      <w:r>
        <w:rPr>
          <w:rFonts w:hint="eastAsia" w:ascii="宋体" w:hAnsi="宋体"/>
          <w:color w:val="auto"/>
          <w:kern w:val="0"/>
          <w:sz w:val="24"/>
          <w:vertAlign w:val="superscript"/>
        </w:rPr>
        <w:t>3</w:t>
      </w:r>
      <w:r>
        <w:rPr>
          <w:rFonts w:hint="eastAsia" w:ascii="宋体" w:hAnsi="宋体"/>
          <w:color w:val="auto"/>
          <w:kern w:val="0"/>
          <w:sz w:val="24"/>
        </w:rPr>
        <w:t>/d。燃气发电机燃料为处理后的天然气，燃气发电机燃烧烟气中污染物主要为SO</w:t>
      </w:r>
      <w:r>
        <w:rPr>
          <w:rFonts w:hint="eastAsia" w:ascii="宋体" w:hAnsi="宋体"/>
          <w:color w:val="auto"/>
          <w:kern w:val="0"/>
          <w:sz w:val="24"/>
          <w:vertAlign w:val="subscript"/>
        </w:rPr>
        <w:t>2</w:t>
      </w:r>
      <w:r>
        <w:rPr>
          <w:rFonts w:hint="eastAsia" w:ascii="宋体" w:hAnsi="宋体"/>
          <w:color w:val="auto"/>
          <w:kern w:val="0"/>
          <w:sz w:val="24"/>
        </w:rPr>
        <w:t>、NO</w:t>
      </w:r>
      <w:r>
        <w:rPr>
          <w:rFonts w:ascii="宋体" w:hAnsi="宋体"/>
          <w:color w:val="auto"/>
          <w:kern w:val="0"/>
          <w:sz w:val="24"/>
        </w:rPr>
        <w:t>x</w:t>
      </w:r>
      <w:r>
        <w:rPr>
          <w:rFonts w:hint="eastAsia" w:ascii="宋体" w:hAnsi="宋体"/>
          <w:color w:val="auto"/>
          <w:kern w:val="0"/>
          <w:sz w:val="24"/>
        </w:rPr>
        <w:t>和颗粒物，燃气发电机废气以无组织形式排放；燃气发电机中各污染物的产生量目前无相应源强核算技术指南，各污染物产生量参照《社会区域类环境影响评价》一书中天然气燃料产污系数（SO</w:t>
      </w:r>
      <w:r>
        <w:rPr>
          <w:rFonts w:hint="eastAsia" w:ascii="宋体" w:hAnsi="宋体"/>
          <w:color w:val="auto"/>
          <w:kern w:val="0"/>
          <w:sz w:val="24"/>
          <w:vertAlign w:val="subscript"/>
        </w:rPr>
        <w:t>2:</w:t>
      </w:r>
      <w:r>
        <w:rPr>
          <w:rFonts w:hint="eastAsia" w:ascii="宋体" w:hAnsi="宋体"/>
          <w:color w:val="auto"/>
          <w:kern w:val="0"/>
          <w:sz w:val="24"/>
        </w:rPr>
        <w:t>0.18kg/km</w:t>
      </w:r>
      <w:r>
        <w:rPr>
          <w:rFonts w:hint="eastAsia" w:ascii="宋体" w:hAnsi="宋体"/>
          <w:color w:val="auto"/>
          <w:kern w:val="0"/>
          <w:sz w:val="24"/>
          <w:vertAlign w:val="superscript"/>
        </w:rPr>
        <w:t>3</w:t>
      </w:r>
      <w:r>
        <w:rPr>
          <w:rFonts w:hint="eastAsia" w:ascii="宋体" w:hAnsi="宋体"/>
          <w:color w:val="auto"/>
          <w:kern w:val="0"/>
          <w:sz w:val="24"/>
        </w:rPr>
        <w:t>天然气，NO</w:t>
      </w:r>
      <w:r>
        <w:rPr>
          <w:rFonts w:ascii="宋体" w:hAnsi="宋体"/>
          <w:color w:val="auto"/>
          <w:kern w:val="0"/>
          <w:sz w:val="24"/>
        </w:rPr>
        <w:t>x</w:t>
      </w:r>
      <w:r>
        <w:rPr>
          <w:rFonts w:hint="eastAsia" w:ascii="宋体" w:hAnsi="宋体"/>
          <w:color w:val="auto"/>
          <w:kern w:val="0"/>
          <w:sz w:val="24"/>
        </w:rPr>
        <w:t>：1.76kg/km</w:t>
      </w:r>
      <w:r>
        <w:rPr>
          <w:rFonts w:hint="eastAsia" w:ascii="宋体" w:hAnsi="宋体"/>
          <w:color w:val="auto"/>
          <w:kern w:val="0"/>
          <w:sz w:val="24"/>
          <w:vertAlign w:val="superscript"/>
        </w:rPr>
        <w:t>3</w:t>
      </w:r>
      <w:r>
        <w:rPr>
          <w:rFonts w:hint="eastAsia" w:ascii="宋体" w:hAnsi="宋体"/>
          <w:color w:val="auto"/>
          <w:kern w:val="0"/>
          <w:sz w:val="24"/>
        </w:rPr>
        <w:t>天然气，颗粒物：0.14kg/km</w:t>
      </w:r>
      <w:r>
        <w:rPr>
          <w:rFonts w:hint="eastAsia" w:ascii="宋体" w:hAnsi="宋体"/>
          <w:color w:val="auto"/>
          <w:kern w:val="0"/>
          <w:sz w:val="24"/>
          <w:vertAlign w:val="superscript"/>
        </w:rPr>
        <w:t>3</w:t>
      </w:r>
      <w:r>
        <w:rPr>
          <w:rFonts w:hint="eastAsia" w:ascii="宋体" w:hAnsi="宋体"/>
          <w:color w:val="auto"/>
          <w:kern w:val="0"/>
          <w:sz w:val="24"/>
        </w:rPr>
        <w:t>天然气）进行核算，根据上述系数计算燃气发电机燃烧烟气各污染物排放情况，见表</w:t>
      </w:r>
      <w:r>
        <w:rPr>
          <w:rFonts w:ascii="宋体" w:hAnsi="宋体"/>
          <w:color w:val="auto"/>
          <w:kern w:val="0"/>
          <w:sz w:val="24"/>
        </w:rPr>
        <w:t>3.</w:t>
      </w:r>
      <w:r>
        <w:rPr>
          <w:rFonts w:hint="eastAsia" w:ascii="宋体" w:hAnsi="宋体"/>
          <w:color w:val="auto"/>
          <w:kern w:val="0"/>
          <w:sz w:val="24"/>
        </w:rPr>
        <w:t>3-2。</w:t>
      </w:r>
    </w:p>
    <w:p w14:paraId="53E9544C">
      <w:pPr>
        <w:pStyle w:val="15"/>
        <w:rPr>
          <w:rFonts w:hint="eastAsia"/>
          <w:color w:val="auto"/>
        </w:rPr>
      </w:pPr>
      <w:r>
        <w:rPr>
          <w:rFonts w:hint="eastAsia"/>
          <w:color w:val="auto"/>
        </w:rPr>
        <w:t>表</w:t>
      </w:r>
      <w:r>
        <w:rPr>
          <w:color w:val="auto"/>
        </w:rPr>
        <w:t>3.3</w:t>
      </w:r>
      <w:r>
        <w:rPr>
          <w:rFonts w:hint="eastAsia"/>
          <w:color w:val="auto"/>
        </w:rPr>
        <w:t xml:space="preserve">-2 </w:t>
      </w:r>
      <w:r>
        <w:rPr>
          <w:color w:val="auto"/>
        </w:rPr>
        <w:t xml:space="preserve"> </w:t>
      </w:r>
      <w:r>
        <w:rPr>
          <w:rFonts w:hint="eastAsia"/>
          <w:color w:val="auto"/>
        </w:rPr>
        <w:t>燃气发电机</w:t>
      </w:r>
      <w:r>
        <w:rPr>
          <w:color w:val="auto"/>
        </w:rPr>
        <w:t>大气污染物排放统计表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253"/>
        <w:gridCol w:w="801"/>
        <w:gridCol w:w="1277"/>
        <w:gridCol w:w="954"/>
        <w:gridCol w:w="800"/>
        <w:gridCol w:w="954"/>
        <w:gridCol w:w="955"/>
        <w:gridCol w:w="954"/>
        <w:gridCol w:w="782"/>
      </w:tblGrid>
      <w:tr w14:paraId="6F2F0F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18" w:type="pct"/>
            <w:vMerge w:val="restart"/>
            <w:vAlign w:val="center"/>
          </w:tcPr>
          <w:p w14:paraId="3953B995">
            <w:pPr>
              <w:autoSpaceDE w:val="0"/>
              <w:autoSpaceDN w:val="0"/>
              <w:adjustRightInd w:val="0"/>
              <w:snapToGrid w:val="0"/>
              <w:jc w:val="center"/>
              <w:rPr>
                <w:rFonts w:hint="eastAsia" w:ascii="宋体" w:hAnsi="宋体"/>
                <w:color w:val="auto"/>
                <w:szCs w:val="21"/>
              </w:rPr>
            </w:pPr>
            <w:bookmarkStart w:id="283" w:name="OLE_LINK115"/>
            <w:r>
              <w:rPr>
                <w:rFonts w:hint="eastAsia" w:ascii="宋体" w:hAnsi="宋体"/>
                <w:color w:val="auto"/>
                <w:szCs w:val="21"/>
              </w:rPr>
              <w:t>井号</w:t>
            </w:r>
          </w:p>
        </w:tc>
        <w:tc>
          <w:tcPr>
            <w:tcW w:w="1190" w:type="pct"/>
            <w:gridSpan w:val="2"/>
            <w:vAlign w:val="center"/>
          </w:tcPr>
          <w:p w14:paraId="5C035807">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耗气量</w:t>
            </w:r>
          </w:p>
        </w:tc>
        <w:tc>
          <w:tcPr>
            <w:tcW w:w="1004" w:type="pct"/>
            <w:gridSpan w:val="2"/>
            <w:tcBorders>
              <w:right w:val="single" w:color="auto" w:sz="4" w:space="0"/>
            </w:tcBorders>
            <w:vAlign w:val="center"/>
          </w:tcPr>
          <w:p w14:paraId="0754E8A7">
            <w:pPr>
              <w:autoSpaceDE w:val="0"/>
              <w:autoSpaceDN w:val="0"/>
              <w:adjustRightInd w:val="0"/>
              <w:snapToGrid w:val="0"/>
              <w:jc w:val="center"/>
              <w:rPr>
                <w:rFonts w:hint="eastAsia" w:ascii="宋体" w:hAnsi="宋体"/>
                <w:color w:val="auto"/>
                <w:szCs w:val="21"/>
              </w:rPr>
            </w:pPr>
            <w:r>
              <w:rPr>
                <w:rFonts w:ascii="宋体" w:hAnsi="宋体"/>
                <w:color w:val="auto"/>
                <w:szCs w:val="21"/>
              </w:rPr>
              <w:t>SO</w:t>
            </w:r>
            <w:r>
              <w:rPr>
                <w:rFonts w:ascii="宋体" w:hAnsi="宋体"/>
                <w:color w:val="auto"/>
                <w:szCs w:val="21"/>
                <w:vertAlign w:val="subscript"/>
              </w:rPr>
              <w:t>2</w:t>
            </w:r>
          </w:p>
        </w:tc>
        <w:tc>
          <w:tcPr>
            <w:tcW w:w="1093" w:type="pct"/>
            <w:gridSpan w:val="2"/>
            <w:tcBorders>
              <w:left w:val="single" w:color="auto" w:sz="4" w:space="0"/>
              <w:right w:val="single" w:color="auto" w:sz="4" w:space="0"/>
            </w:tcBorders>
            <w:vAlign w:val="center"/>
          </w:tcPr>
          <w:p w14:paraId="5F6DF58E">
            <w:pPr>
              <w:autoSpaceDE w:val="0"/>
              <w:autoSpaceDN w:val="0"/>
              <w:adjustRightInd w:val="0"/>
              <w:snapToGrid w:val="0"/>
              <w:jc w:val="center"/>
              <w:rPr>
                <w:rFonts w:hint="eastAsia" w:ascii="宋体" w:hAnsi="宋体"/>
                <w:color w:val="auto"/>
                <w:szCs w:val="21"/>
              </w:rPr>
            </w:pPr>
            <w:r>
              <w:rPr>
                <w:rFonts w:ascii="宋体" w:hAnsi="宋体"/>
                <w:color w:val="auto"/>
                <w:szCs w:val="21"/>
              </w:rPr>
              <w:t>NO</w:t>
            </w:r>
            <w:r>
              <w:rPr>
                <w:rFonts w:ascii="宋体" w:hAnsi="宋体"/>
                <w:color w:val="auto"/>
                <w:szCs w:val="21"/>
                <w:vertAlign w:val="subscript"/>
              </w:rPr>
              <w:t>x</w:t>
            </w:r>
          </w:p>
        </w:tc>
        <w:tc>
          <w:tcPr>
            <w:tcW w:w="994" w:type="pct"/>
            <w:gridSpan w:val="2"/>
            <w:tcBorders>
              <w:left w:val="single" w:color="auto" w:sz="4" w:space="0"/>
            </w:tcBorders>
            <w:vAlign w:val="center"/>
          </w:tcPr>
          <w:p w14:paraId="18722CD8">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颗粒物</w:t>
            </w:r>
          </w:p>
        </w:tc>
      </w:tr>
      <w:tr w14:paraId="7388A8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18" w:type="pct"/>
            <w:vMerge w:val="continue"/>
            <w:vAlign w:val="center"/>
          </w:tcPr>
          <w:p w14:paraId="7B6A8C41">
            <w:pPr>
              <w:autoSpaceDE w:val="0"/>
              <w:autoSpaceDN w:val="0"/>
              <w:adjustRightInd w:val="0"/>
              <w:snapToGrid w:val="0"/>
              <w:jc w:val="center"/>
              <w:rPr>
                <w:rFonts w:hint="eastAsia" w:ascii="宋体" w:hAnsi="宋体"/>
                <w:color w:val="auto"/>
                <w:szCs w:val="21"/>
              </w:rPr>
            </w:pPr>
          </w:p>
        </w:tc>
        <w:tc>
          <w:tcPr>
            <w:tcW w:w="459" w:type="pct"/>
            <w:vAlign w:val="center"/>
          </w:tcPr>
          <w:p w14:paraId="41939BEA">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m</w:t>
            </w:r>
            <w:r>
              <w:rPr>
                <w:rFonts w:hint="eastAsia" w:ascii="宋体" w:hAnsi="宋体"/>
                <w:color w:val="auto"/>
                <w:szCs w:val="21"/>
                <w:vertAlign w:val="superscript"/>
              </w:rPr>
              <w:t>3</w:t>
            </w:r>
            <w:r>
              <w:rPr>
                <w:rFonts w:hint="eastAsia" w:ascii="宋体" w:hAnsi="宋体"/>
                <w:color w:val="auto"/>
                <w:szCs w:val="21"/>
              </w:rPr>
              <w:t>/d</w:t>
            </w:r>
          </w:p>
        </w:tc>
        <w:tc>
          <w:tcPr>
            <w:tcW w:w="731" w:type="pct"/>
            <w:vAlign w:val="center"/>
          </w:tcPr>
          <w:p w14:paraId="56D1350D">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×10</w:t>
            </w:r>
            <w:r>
              <w:rPr>
                <w:rFonts w:hint="eastAsia" w:ascii="宋体" w:hAnsi="宋体"/>
                <w:color w:val="auto"/>
                <w:szCs w:val="21"/>
                <w:vertAlign w:val="superscript"/>
              </w:rPr>
              <w:t>4</w:t>
            </w:r>
            <w:r>
              <w:rPr>
                <w:rFonts w:hint="eastAsia" w:ascii="宋体" w:hAnsi="宋体"/>
                <w:color w:val="auto"/>
                <w:szCs w:val="21"/>
              </w:rPr>
              <w:t>m</w:t>
            </w:r>
            <w:r>
              <w:rPr>
                <w:rFonts w:hint="eastAsia" w:ascii="宋体" w:hAnsi="宋体"/>
                <w:color w:val="auto"/>
                <w:szCs w:val="21"/>
                <w:vertAlign w:val="superscript"/>
              </w:rPr>
              <w:t>3</w:t>
            </w:r>
            <w:r>
              <w:rPr>
                <w:rFonts w:hint="eastAsia" w:ascii="宋体" w:hAnsi="宋体"/>
                <w:color w:val="auto"/>
                <w:szCs w:val="21"/>
              </w:rPr>
              <w:t>/a</w:t>
            </w:r>
          </w:p>
        </w:tc>
        <w:tc>
          <w:tcPr>
            <w:tcW w:w="546" w:type="pct"/>
            <w:tcBorders>
              <w:right w:val="single" w:color="auto" w:sz="4" w:space="0"/>
            </w:tcBorders>
            <w:vAlign w:val="center"/>
          </w:tcPr>
          <w:p w14:paraId="32ED13C8">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t/a</w:t>
            </w:r>
          </w:p>
        </w:tc>
        <w:tc>
          <w:tcPr>
            <w:tcW w:w="458" w:type="pct"/>
            <w:tcBorders>
              <w:left w:val="single" w:color="auto" w:sz="4" w:space="0"/>
            </w:tcBorders>
            <w:vAlign w:val="center"/>
          </w:tcPr>
          <w:p w14:paraId="4C1CB440">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mg/m</w:t>
            </w:r>
            <w:r>
              <w:rPr>
                <w:rFonts w:hint="eastAsia" w:ascii="宋体" w:hAnsi="宋体"/>
                <w:color w:val="auto"/>
                <w:szCs w:val="21"/>
                <w:vertAlign w:val="superscript"/>
              </w:rPr>
              <w:t>3</w:t>
            </w:r>
          </w:p>
        </w:tc>
        <w:tc>
          <w:tcPr>
            <w:tcW w:w="546" w:type="pct"/>
            <w:tcBorders>
              <w:right w:val="single" w:color="auto" w:sz="4" w:space="0"/>
            </w:tcBorders>
            <w:vAlign w:val="center"/>
          </w:tcPr>
          <w:p w14:paraId="043BD7DE">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t/a</w:t>
            </w:r>
          </w:p>
        </w:tc>
        <w:tc>
          <w:tcPr>
            <w:tcW w:w="547" w:type="pct"/>
            <w:tcBorders>
              <w:left w:val="single" w:color="auto" w:sz="4" w:space="0"/>
            </w:tcBorders>
            <w:vAlign w:val="center"/>
          </w:tcPr>
          <w:p w14:paraId="06D5003F">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mg/m</w:t>
            </w:r>
            <w:r>
              <w:rPr>
                <w:rFonts w:hint="eastAsia" w:ascii="宋体" w:hAnsi="宋体"/>
                <w:color w:val="auto"/>
                <w:szCs w:val="21"/>
                <w:vertAlign w:val="superscript"/>
              </w:rPr>
              <w:t>3</w:t>
            </w:r>
          </w:p>
        </w:tc>
        <w:tc>
          <w:tcPr>
            <w:tcW w:w="546" w:type="pct"/>
            <w:tcBorders>
              <w:right w:val="single" w:color="auto" w:sz="4" w:space="0"/>
            </w:tcBorders>
            <w:vAlign w:val="center"/>
          </w:tcPr>
          <w:p w14:paraId="347724E3">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t/a</w:t>
            </w:r>
          </w:p>
        </w:tc>
        <w:tc>
          <w:tcPr>
            <w:tcW w:w="448" w:type="pct"/>
            <w:tcBorders>
              <w:left w:val="single" w:color="auto" w:sz="4" w:space="0"/>
            </w:tcBorders>
            <w:vAlign w:val="center"/>
          </w:tcPr>
          <w:p w14:paraId="59CEF48D">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mg/m</w:t>
            </w:r>
            <w:r>
              <w:rPr>
                <w:rFonts w:hint="eastAsia" w:ascii="宋体" w:hAnsi="宋体"/>
                <w:color w:val="auto"/>
                <w:szCs w:val="21"/>
                <w:vertAlign w:val="superscript"/>
              </w:rPr>
              <w:t>3</w:t>
            </w:r>
          </w:p>
        </w:tc>
      </w:tr>
      <w:tr w14:paraId="6FCAAF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18" w:type="pct"/>
            <w:vAlign w:val="center"/>
          </w:tcPr>
          <w:p w14:paraId="5CA6CAD6">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单台燃气发电机</w:t>
            </w:r>
          </w:p>
        </w:tc>
        <w:tc>
          <w:tcPr>
            <w:tcW w:w="459" w:type="pct"/>
            <w:vAlign w:val="center"/>
          </w:tcPr>
          <w:p w14:paraId="05C04D49">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300</w:t>
            </w:r>
          </w:p>
        </w:tc>
        <w:tc>
          <w:tcPr>
            <w:tcW w:w="731" w:type="pct"/>
            <w:vAlign w:val="center"/>
          </w:tcPr>
          <w:p w14:paraId="3D619F52">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9.9</w:t>
            </w:r>
          </w:p>
        </w:tc>
        <w:tc>
          <w:tcPr>
            <w:tcW w:w="546" w:type="pct"/>
            <w:tcBorders>
              <w:right w:val="single" w:color="auto" w:sz="4" w:space="0"/>
            </w:tcBorders>
            <w:vAlign w:val="center"/>
          </w:tcPr>
          <w:p w14:paraId="6529D04C">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0.01782</w:t>
            </w:r>
          </w:p>
        </w:tc>
        <w:tc>
          <w:tcPr>
            <w:tcW w:w="458" w:type="pct"/>
            <w:tcBorders>
              <w:left w:val="single" w:color="auto" w:sz="4" w:space="0"/>
            </w:tcBorders>
            <w:vAlign w:val="center"/>
          </w:tcPr>
          <w:p w14:paraId="1028E6B4">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16.7</w:t>
            </w:r>
          </w:p>
        </w:tc>
        <w:tc>
          <w:tcPr>
            <w:tcW w:w="546" w:type="pct"/>
            <w:tcBorders>
              <w:right w:val="single" w:color="auto" w:sz="4" w:space="0"/>
            </w:tcBorders>
            <w:vAlign w:val="center"/>
          </w:tcPr>
          <w:p w14:paraId="0C273ADF">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0.17424</w:t>
            </w:r>
          </w:p>
        </w:tc>
        <w:tc>
          <w:tcPr>
            <w:tcW w:w="547" w:type="pct"/>
            <w:tcBorders>
              <w:left w:val="single" w:color="auto" w:sz="4" w:space="0"/>
            </w:tcBorders>
            <w:vAlign w:val="center"/>
          </w:tcPr>
          <w:p w14:paraId="580A2852">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163.34</w:t>
            </w:r>
          </w:p>
        </w:tc>
        <w:tc>
          <w:tcPr>
            <w:tcW w:w="546" w:type="pct"/>
            <w:tcBorders>
              <w:right w:val="single" w:color="auto" w:sz="4" w:space="0"/>
            </w:tcBorders>
            <w:vAlign w:val="center"/>
          </w:tcPr>
          <w:p w14:paraId="18B9AB2E">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0.01386</w:t>
            </w:r>
          </w:p>
        </w:tc>
        <w:tc>
          <w:tcPr>
            <w:tcW w:w="448" w:type="pct"/>
            <w:tcBorders>
              <w:left w:val="single" w:color="auto" w:sz="4" w:space="0"/>
            </w:tcBorders>
            <w:vAlign w:val="center"/>
          </w:tcPr>
          <w:p w14:paraId="25E8D1F0">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12.99</w:t>
            </w:r>
          </w:p>
        </w:tc>
      </w:tr>
      <w:tr w14:paraId="2DBE92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18" w:type="pct"/>
            <w:vAlign w:val="center"/>
          </w:tcPr>
          <w:p w14:paraId="4DCC7C87">
            <w:pPr>
              <w:autoSpaceDE w:val="0"/>
              <w:autoSpaceDN w:val="0"/>
              <w:adjustRightInd w:val="0"/>
              <w:snapToGrid w:val="0"/>
              <w:jc w:val="center"/>
              <w:rPr>
                <w:rFonts w:hint="eastAsia" w:ascii="宋体" w:hAnsi="宋体"/>
                <w:color w:val="auto"/>
                <w:szCs w:val="21"/>
              </w:rPr>
            </w:pPr>
            <w:bookmarkStart w:id="284" w:name="_Hlk221268311"/>
            <w:r>
              <w:rPr>
                <w:rFonts w:hint="eastAsia" w:ascii="宋体" w:hAnsi="宋体"/>
                <w:color w:val="auto"/>
                <w:szCs w:val="21"/>
              </w:rPr>
              <w:t>莫172H井（6台）</w:t>
            </w:r>
          </w:p>
        </w:tc>
        <w:tc>
          <w:tcPr>
            <w:tcW w:w="459" w:type="pct"/>
            <w:vAlign w:val="center"/>
          </w:tcPr>
          <w:p w14:paraId="38D22813">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1800</w:t>
            </w:r>
          </w:p>
        </w:tc>
        <w:tc>
          <w:tcPr>
            <w:tcW w:w="731" w:type="pct"/>
            <w:vAlign w:val="center"/>
          </w:tcPr>
          <w:p w14:paraId="7158435B">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59.4</w:t>
            </w:r>
          </w:p>
        </w:tc>
        <w:tc>
          <w:tcPr>
            <w:tcW w:w="546" w:type="pct"/>
            <w:tcBorders>
              <w:right w:val="single" w:color="auto" w:sz="4" w:space="0"/>
            </w:tcBorders>
            <w:vAlign w:val="center"/>
          </w:tcPr>
          <w:p w14:paraId="621CEDD2">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0.10692</w:t>
            </w:r>
          </w:p>
        </w:tc>
        <w:tc>
          <w:tcPr>
            <w:tcW w:w="458" w:type="pct"/>
            <w:tcBorders>
              <w:left w:val="single" w:color="auto" w:sz="4" w:space="0"/>
            </w:tcBorders>
            <w:vAlign w:val="center"/>
          </w:tcPr>
          <w:p w14:paraId="0ADC838F">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16.7</w:t>
            </w:r>
          </w:p>
        </w:tc>
        <w:tc>
          <w:tcPr>
            <w:tcW w:w="546" w:type="pct"/>
            <w:tcBorders>
              <w:right w:val="single" w:color="auto" w:sz="4" w:space="0"/>
            </w:tcBorders>
            <w:vAlign w:val="center"/>
          </w:tcPr>
          <w:p w14:paraId="48AFB880">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1.04544</w:t>
            </w:r>
          </w:p>
        </w:tc>
        <w:tc>
          <w:tcPr>
            <w:tcW w:w="547" w:type="pct"/>
            <w:tcBorders>
              <w:left w:val="single" w:color="auto" w:sz="4" w:space="0"/>
            </w:tcBorders>
            <w:vAlign w:val="center"/>
          </w:tcPr>
          <w:p w14:paraId="1845DF25">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163.34</w:t>
            </w:r>
          </w:p>
        </w:tc>
        <w:tc>
          <w:tcPr>
            <w:tcW w:w="546" w:type="pct"/>
            <w:tcBorders>
              <w:right w:val="single" w:color="auto" w:sz="4" w:space="0"/>
            </w:tcBorders>
            <w:vAlign w:val="center"/>
          </w:tcPr>
          <w:p w14:paraId="4B8E3D59">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0.08316</w:t>
            </w:r>
          </w:p>
        </w:tc>
        <w:tc>
          <w:tcPr>
            <w:tcW w:w="448" w:type="pct"/>
            <w:tcBorders>
              <w:left w:val="single" w:color="auto" w:sz="4" w:space="0"/>
            </w:tcBorders>
            <w:vAlign w:val="center"/>
          </w:tcPr>
          <w:p w14:paraId="2AD44DEF">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12.99</w:t>
            </w:r>
          </w:p>
        </w:tc>
      </w:tr>
      <w:tr w14:paraId="5BFF3BF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04" w:hRule="atLeast"/>
          <w:jc w:val="center"/>
        </w:trPr>
        <w:tc>
          <w:tcPr>
            <w:tcW w:w="718" w:type="pct"/>
            <w:vAlign w:val="center"/>
          </w:tcPr>
          <w:p w14:paraId="02F600D3">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莫174H井（3台）</w:t>
            </w:r>
          </w:p>
        </w:tc>
        <w:tc>
          <w:tcPr>
            <w:tcW w:w="459" w:type="pct"/>
            <w:vAlign w:val="center"/>
          </w:tcPr>
          <w:p w14:paraId="328A5B0C">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900</w:t>
            </w:r>
          </w:p>
        </w:tc>
        <w:tc>
          <w:tcPr>
            <w:tcW w:w="731" w:type="pct"/>
            <w:vAlign w:val="center"/>
          </w:tcPr>
          <w:p w14:paraId="00D39E47">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29.7</w:t>
            </w:r>
          </w:p>
        </w:tc>
        <w:tc>
          <w:tcPr>
            <w:tcW w:w="546" w:type="pct"/>
            <w:tcBorders>
              <w:right w:val="single" w:color="auto" w:sz="4" w:space="0"/>
            </w:tcBorders>
            <w:vAlign w:val="center"/>
          </w:tcPr>
          <w:p w14:paraId="516BB5C6">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0.05346</w:t>
            </w:r>
          </w:p>
        </w:tc>
        <w:tc>
          <w:tcPr>
            <w:tcW w:w="458" w:type="pct"/>
            <w:tcBorders>
              <w:left w:val="single" w:color="auto" w:sz="4" w:space="0"/>
            </w:tcBorders>
            <w:vAlign w:val="center"/>
          </w:tcPr>
          <w:p w14:paraId="2C295EAC">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16.7</w:t>
            </w:r>
          </w:p>
        </w:tc>
        <w:tc>
          <w:tcPr>
            <w:tcW w:w="546" w:type="pct"/>
            <w:tcBorders>
              <w:right w:val="single" w:color="auto" w:sz="4" w:space="0"/>
            </w:tcBorders>
            <w:vAlign w:val="center"/>
          </w:tcPr>
          <w:p w14:paraId="4A21C772">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0.52272</w:t>
            </w:r>
          </w:p>
        </w:tc>
        <w:tc>
          <w:tcPr>
            <w:tcW w:w="547" w:type="pct"/>
            <w:tcBorders>
              <w:left w:val="single" w:color="auto" w:sz="4" w:space="0"/>
            </w:tcBorders>
            <w:vAlign w:val="center"/>
          </w:tcPr>
          <w:p w14:paraId="0CED4DE3">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163.34</w:t>
            </w:r>
          </w:p>
        </w:tc>
        <w:tc>
          <w:tcPr>
            <w:tcW w:w="546" w:type="pct"/>
            <w:tcBorders>
              <w:right w:val="single" w:color="auto" w:sz="4" w:space="0"/>
            </w:tcBorders>
            <w:vAlign w:val="center"/>
          </w:tcPr>
          <w:p w14:paraId="06D1BF68">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0.04158</w:t>
            </w:r>
          </w:p>
        </w:tc>
        <w:tc>
          <w:tcPr>
            <w:tcW w:w="448" w:type="pct"/>
            <w:tcBorders>
              <w:left w:val="single" w:color="auto" w:sz="4" w:space="0"/>
            </w:tcBorders>
            <w:vAlign w:val="center"/>
          </w:tcPr>
          <w:p w14:paraId="37A8A643">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12.99</w:t>
            </w:r>
          </w:p>
        </w:tc>
      </w:tr>
      <w:bookmarkEnd w:id="284"/>
      <w:tr w14:paraId="1827EC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04" w:hRule="atLeast"/>
          <w:jc w:val="center"/>
        </w:trPr>
        <w:tc>
          <w:tcPr>
            <w:tcW w:w="718" w:type="pct"/>
            <w:vAlign w:val="center"/>
          </w:tcPr>
          <w:p w14:paraId="69AD6F70">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合计</w:t>
            </w:r>
          </w:p>
        </w:tc>
        <w:tc>
          <w:tcPr>
            <w:tcW w:w="459" w:type="pct"/>
            <w:vAlign w:val="center"/>
          </w:tcPr>
          <w:p w14:paraId="3D9918AB">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2700</w:t>
            </w:r>
          </w:p>
        </w:tc>
        <w:tc>
          <w:tcPr>
            <w:tcW w:w="731" w:type="pct"/>
            <w:vAlign w:val="center"/>
          </w:tcPr>
          <w:p w14:paraId="35543110">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89.1</w:t>
            </w:r>
          </w:p>
        </w:tc>
        <w:tc>
          <w:tcPr>
            <w:tcW w:w="546" w:type="pct"/>
            <w:tcBorders>
              <w:right w:val="single" w:color="auto" w:sz="4" w:space="0"/>
            </w:tcBorders>
            <w:vAlign w:val="center"/>
          </w:tcPr>
          <w:p w14:paraId="79EAFD96">
            <w:pPr>
              <w:widowControl/>
              <w:jc w:val="center"/>
              <w:rPr>
                <w:rFonts w:hint="eastAsia" w:ascii="宋体" w:hAnsi="宋体"/>
                <w:color w:val="auto"/>
                <w:szCs w:val="21"/>
              </w:rPr>
            </w:pPr>
            <w:r>
              <w:rPr>
                <w:rFonts w:hint="eastAsia" w:ascii="宋体" w:hAnsi="宋体"/>
                <w:color w:val="auto"/>
                <w:szCs w:val="21"/>
              </w:rPr>
              <w:t>0.16038</w:t>
            </w:r>
          </w:p>
        </w:tc>
        <w:tc>
          <w:tcPr>
            <w:tcW w:w="458" w:type="pct"/>
            <w:tcBorders>
              <w:left w:val="single" w:color="auto" w:sz="4" w:space="0"/>
            </w:tcBorders>
            <w:vAlign w:val="center"/>
          </w:tcPr>
          <w:p w14:paraId="470F6E56">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w:t>
            </w:r>
          </w:p>
        </w:tc>
        <w:tc>
          <w:tcPr>
            <w:tcW w:w="546" w:type="pct"/>
            <w:tcBorders>
              <w:right w:val="single" w:color="auto" w:sz="4" w:space="0"/>
            </w:tcBorders>
            <w:vAlign w:val="center"/>
          </w:tcPr>
          <w:p w14:paraId="3608A30C">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1.56816</w:t>
            </w:r>
          </w:p>
        </w:tc>
        <w:tc>
          <w:tcPr>
            <w:tcW w:w="547" w:type="pct"/>
            <w:tcBorders>
              <w:left w:val="single" w:color="auto" w:sz="4" w:space="0"/>
            </w:tcBorders>
            <w:vAlign w:val="center"/>
          </w:tcPr>
          <w:p w14:paraId="0463D9FB">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w:t>
            </w:r>
          </w:p>
        </w:tc>
        <w:tc>
          <w:tcPr>
            <w:tcW w:w="546" w:type="pct"/>
            <w:tcBorders>
              <w:right w:val="single" w:color="auto" w:sz="4" w:space="0"/>
            </w:tcBorders>
            <w:vAlign w:val="center"/>
          </w:tcPr>
          <w:p w14:paraId="05AE24C4">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0.12474</w:t>
            </w:r>
          </w:p>
        </w:tc>
        <w:tc>
          <w:tcPr>
            <w:tcW w:w="448" w:type="pct"/>
            <w:tcBorders>
              <w:left w:val="single" w:color="auto" w:sz="4" w:space="0"/>
            </w:tcBorders>
            <w:vAlign w:val="center"/>
          </w:tcPr>
          <w:p w14:paraId="04C5179F">
            <w:pPr>
              <w:autoSpaceDE w:val="0"/>
              <w:autoSpaceDN w:val="0"/>
              <w:adjustRightInd w:val="0"/>
              <w:snapToGrid w:val="0"/>
              <w:jc w:val="center"/>
              <w:rPr>
                <w:rFonts w:hint="eastAsia" w:ascii="宋体" w:hAnsi="宋体"/>
                <w:color w:val="auto"/>
                <w:szCs w:val="21"/>
              </w:rPr>
            </w:pPr>
            <w:r>
              <w:rPr>
                <w:rFonts w:hint="eastAsia" w:ascii="宋体" w:hAnsi="宋体"/>
                <w:color w:val="auto"/>
                <w:szCs w:val="21"/>
              </w:rPr>
              <w:t>/</w:t>
            </w:r>
          </w:p>
        </w:tc>
      </w:tr>
      <w:bookmarkEnd w:id="283"/>
    </w:tbl>
    <w:p w14:paraId="4EB73D78">
      <w:pPr>
        <w:adjustRightInd w:val="0"/>
        <w:snapToGrid w:val="0"/>
        <w:spacing w:line="500" w:lineRule="exact"/>
        <w:ind w:firstLine="480" w:firstLineChars="200"/>
        <w:jc w:val="left"/>
        <w:textAlignment w:val="baseline"/>
        <w:rPr>
          <w:rFonts w:hint="eastAsia" w:ascii="宋体" w:hAnsi="宋体"/>
          <w:color w:val="auto"/>
          <w:kern w:val="0"/>
          <w:sz w:val="24"/>
        </w:rPr>
      </w:pPr>
      <w:r>
        <w:rPr>
          <w:rFonts w:hint="eastAsia" w:ascii="宋体" w:hAnsi="宋体"/>
          <w:color w:val="auto"/>
          <w:kern w:val="0"/>
          <w:sz w:val="24"/>
        </w:rPr>
        <w:t>由表3.3-2可知，燃气发电机燃烧烟气中各污染物均满足</w:t>
      </w:r>
      <w:bookmarkStart w:id="285" w:name="OLE_LINK126"/>
      <w:r>
        <w:rPr>
          <w:rFonts w:hint="eastAsia" w:ascii="宋体" w:hAnsi="宋体" w:cs="楷体"/>
          <w:color w:val="auto"/>
          <w:kern w:val="0"/>
          <w:sz w:val="24"/>
          <w:szCs w:val="24"/>
        </w:rPr>
        <w:t>《大气污染物综合排放标准》（GB16297-1996）表2</w:t>
      </w:r>
      <w:bookmarkEnd w:id="285"/>
      <w:r>
        <w:rPr>
          <w:rFonts w:hint="eastAsia" w:ascii="宋体" w:hAnsi="宋体" w:cs="楷体"/>
          <w:color w:val="auto"/>
          <w:kern w:val="0"/>
          <w:sz w:val="24"/>
          <w:szCs w:val="24"/>
        </w:rPr>
        <w:t>限值要求</w:t>
      </w:r>
    </w:p>
    <w:p w14:paraId="66BDF43E">
      <w:pPr>
        <w:adjustRightInd w:val="0"/>
        <w:snapToGrid w:val="0"/>
        <w:spacing w:line="500" w:lineRule="exact"/>
        <w:ind w:firstLine="480"/>
        <w:textAlignment w:val="baseline"/>
        <w:rPr>
          <w:rFonts w:hint="eastAsia" w:ascii="宋体" w:hAnsi="宋体"/>
          <w:color w:val="auto"/>
          <w:sz w:val="24"/>
        </w:rPr>
      </w:pPr>
      <w:r>
        <w:rPr>
          <w:rFonts w:hint="eastAsia" w:ascii="宋体" w:hAnsi="宋体"/>
          <w:color w:val="auto"/>
          <w:kern w:val="0"/>
          <w:sz w:val="24"/>
        </w:rPr>
        <w:t>②</w:t>
      </w:r>
      <w:r>
        <w:rPr>
          <w:rFonts w:hint="eastAsia" w:ascii="宋体" w:hAnsi="宋体"/>
          <w:color w:val="auto"/>
          <w:sz w:val="24"/>
        </w:rPr>
        <w:t>无组织挥发性有机物</w:t>
      </w:r>
    </w:p>
    <w:p w14:paraId="204FCB96">
      <w:pPr>
        <w:adjustRightInd w:val="0"/>
        <w:snapToGrid w:val="0"/>
        <w:spacing w:line="500" w:lineRule="exact"/>
        <w:ind w:firstLine="480" w:firstLineChars="200"/>
        <w:textAlignment w:val="baseline"/>
        <w:rPr>
          <w:rFonts w:hint="eastAsia" w:ascii="宋体" w:hAnsi="宋体"/>
          <w:color w:val="auto"/>
          <w:sz w:val="24"/>
        </w:rPr>
      </w:pPr>
      <w:r>
        <w:rPr>
          <w:rFonts w:hint="eastAsia" w:ascii="宋体" w:hAnsi="宋体"/>
          <w:color w:val="auto"/>
          <w:sz w:val="24"/>
        </w:rPr>
        <w:t>无组织挥发性有机物目前无相应的源强核算技术指南，本次参考</w:t>
      </w:r>
      <w:bookmarkStart w:id="286" w:name="_Hlk85450421"/>
      <w:r>
        <w:rPr>
          <w:rFonts w:hint="eastAsia" w:ascii="宋体" w:hAnsi="宋体"/>
          <w:color w:val="auto"/>
          <w:sz w:val="24"/>
        </w:rPr>
        <w:t>《污染源源强核算技术指南</w:t>
      </w:r>
      <w:r>
        <w:rPr>
          <w:rFonts w:ascii="宋体" w:hAnsi="宋体"/>
          <w:color w:val="auto"/>
          <w:sz w:val="24"/>
        </w:rPr>
        <w:t xml:space="preserve"> 石油炼制工业</w:t>
      </w:r>
      <w:r>
        <w:rPr>
          <w:rFonts w:hint="eastAsia" w:ascii="宋体" w:hAnsi="宋体"/>
          <w:color w:val="auto"/>
          <w:sz w:val="24"/>
        </w:rPr>
        <w:t>》（</w:t>
      </w:r>
      <w:r>
        <w:rPr>
          <w:rFonts w:ascii="宋体" w:hAnsi="宋体"/>
          <w:color w:val="auto"/>
          <w:sz w:val="24"/>
        </w:rPr>
        <w:t>HJ982-2018</w:t>
      </w:r>
      <w:r>
        <w:rPr>
          <w:rFonts w:hint="eastAsia" w:ascii="宋体" w:hAnsi="宋体"/>
          <w:color w:val="auto"/>
          <w:sz w:val="24"/>
        </w:rPr>
        <w:t>）中设备动静密封点泄漏平均排放系数法进行核算，计算公式具体如下：</w:t>
      </w:r>
    </w:p>
    <w:p w14:paraId="304203E6">
      <w:pPr>
        <w:adjustRightInd w:val="0"/>
        <w:snapToGrid w:val="0"/>
        <w:spacing w:line="360" w:lineRule="auto"/>
        <w:jc w:val="center"/>
        <w:textAlignment w:val="baseline"/>
        <w:rPr>
          <w:rFonts w:hint="eastAsia" w:ascii="宋体" w:hAnsi="宋体"/>
          <w:color w:val="auto"/>
          <w:sz w:val="24"/>
        </w:rPr>
      </w:pPr>
      <w:r>
        <w:rPr>
          <w:rFonts w:ascii="宋体" w:hAnsi="宋体"/>
          <w:color w:val="auto"/>
          <w:sz w:val="24"/>
        </w:rPr>
        <w:drawing>
          <wp:inline distT="0" distB="0" distL="0" distR="0">
            <wp:extent cx="2339340" cy="465455"/>
            <wp:effectExtent l="0" t="0" r="0" b="0"/>
            <wp:docPr id="1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2339340" cy="465455"/>
                    </a:xfrm>
                    <a:prstGeom prst="rect">
                      <a:avLst/>
                    </a:prstGeom>
                    <a:noFill/>
                    <a:ln>
                      <a:noFill/>
                    </a:ln>
                  </pic:spPr>
                </pic:pic>
              </a:graphicData>
            </a:graphic>
          </wp:inline>
        </w:drawing>
      </w:r>
    </w:p>
    <w:p w14:paraId="6F9C5030">
      <w:pPr>
        <w:adjustRightInd w:val="0"/>
        <w:snapToGrid w:val="0"/>
        <w:spacing w:line="500" w:lineRule="exact"/>
        <w:ind w:firstLine="480" w:firstLineChars="200"/>
        <w:jc w:val="left"/>
        <w:textAlignment w:val="baseline"/>
        <w:rPr>
          <w:rFonts w:hint="eastAsia" w:ascii="宋体" w:hAnsi="宋体"/>
          <w:color w:val="auto"/>
          <w:kern w:val="0"/>
          <w:sz w:val="24"/>
        </w:rPr>
      </w:pPr>
      <w:r>
        <w:rPr>
          <w:rFonts w:hint="eastAsia" w:ascii="宋体" w:hAnsi="宋体"/>
          <w:color w:val="auto"/>
          <w:kern w:val="0"/>
          <w:sz w:val="24"/>
        </w:rPr>
        <w:t>式中：</w:t>
      </w:r>
      <w:r>
        <w:rPr>
          <w:rFonts w:ascii="宋体" w:hAnsi="宋体"/>
          <w:color w:val="auto"/>
          <w:kern w:val="0"/>
          <w:sz w:val="24"/>
        </w:rPr>
        <w:t>D</w:t>
      </w:r>
      <w:r>
        <w:rPr>
          <w:rFonts w:hint="eastAsia" w:ascii="宋体" w:hAnsi="宋体"/>
          <w:color w:val="auto"/>
          <w:kern w:val="0"/>
          <w:sz w:val="24"/>
          <w:vertAlign w:val="subscript"/>
        </w:rPr>
        <w:t>设备</w:t>
      </w:r>
      <w:r>
        <w:rPr>
          <w:rFonts w:hint="eastAsia" w:ascii="宋体" w:hAnsi="宋体"/>
          <w:color w:val="auto"/>
          <w:kern w:val="0"/>
          <w:sz w:val="24"/>
        </w:rPr>
        <w:t>：—核算时段内设备与管线组件密封点泄漏的挥发性有机物的量，kg；</w:t>
      </w:r>
    </w:p>
    <w:p w14:paraId="5ABD4622">
      <w:pPr>
        <w:adjustRightInd w:val="0"/>
        <w:snapToGrid w:val="0"/>
        <w:spacing w:line="500" w:lineRule="exact"/>
        <w:ind w:firstLine="480" w:firstLineChars="200"/>
        <w:jc w:val="left"/>
        <w:textAlignment w:val="baseline"/>
        <w:rPr>
          <w:rFonts w:hint="eastAsia" w:ascii="宋体" w:hAnsi="宋体"/>
          <w:color w:val="auto"/>
          <w:kern w:val="0"/>
          <w:sz w:val="24"/>
        </w:rPr>
      </w:pPr>
      <w:r>
        <w:rPr>
          <w:rFonts w:hint="eastAsia" w:ascii="宋体" w:hAnsi="宋体"/>
          <w:color w:val="auto"/>
          <w:kern w:val="0"/>
          <w:sz w:val="24"/>
        </w:rPr>
        <w:t>α—设备与管线组件密封点的泄漏比例，本次取0</w:t>
      </w:r>
      <w:r>
        <w:rPr>
          <w:rFonts w:ascii="宋体" w:hAnsi="宋体"/>
          <w:color w:val="auto"/>
          <w:kern w:val="0"/>
          <w:sz w:val="24"/>
        </w:rPr>
        <w:t>.003</w:t>
      </w:r>
      <w:r>
        <w:rPr>
          <w:rFonts w:hint="eastAsia" w:ascii="宋体" w:hAnsi="宋体"/>
          <w:color w:val="auto"/>
          <w:kern w:val="0"/>
          <w:sz w:val="24"/>
        </w:rPr>
        <w:t>；</w:t>
      </w:r>
    </w:p>
    <w:bookmarkEnd w:id="286"/>
    <w:p w14:paraId="2A387A91">
      <w:pPr>
        <w:adjustRightInd w:val="0"/>
        <w:snapToGrid w:val="0"/>
        <w:spacing w:line="500" w:lineRule="exact"/>
        <w:ind w:firstLine="480" w:firstLineChars="200"/>
        <w:textAlignment w:val="baseline"/>
        <w:rPr>
          <w:rFonts w:hint="eastAsia" w:ascii="宋体" w:hAnsi="宋体"/>
          <w:color w:val="auto"/>
          <w:kern w:val="0"/>
          <w:sz w:val="24"/>
        </w:rPr>
      </w:pPr>
      <w:r>
        <w:rPr>
          <w:rFonts w:ascii="宋体" w:hAnsi="宋体"/>
          <w:color w:val="auto"/>
          <w:kern w:val="0"/>
          <w:sz w:val="24"/>
        </w:rPr>
        <w:t>WF</w:t>
      </w:r>
      <w:r>
        <w:rPr>
          <w:rFonts w:hint="eastAsia" w:ascii="宋体" w:hAnsi="宋体"/>
          <w:color w:val="auto"/>
          <w:kern w:val="0"/>
          <w:sz w:val="24"/>
          <w:vertAlign w:val="subscript"/>
        </w:rPr>
        <w:t>VOCs,i</w:t>
      </w:r>
      <w:r>
        <w:rPr>
          <w:rFonts w:hint="eastAsia" w:ascii="宋体" w:hAnsi="宋体"/>
          <w:color w:val="auto"/>
          <w:kern w:val="0"/>
          <w:sz w:val="24"/>
        </w:rPr>
        <w:t>—流经密封点i的物料中挥发性有机物平均质量分数，本次主要为流经管线的物料中除去甲烷以外的油气各组分的百分比，根据产能预测，平均取值12.84%；</w:t>
      </w:r>
    </w:p>
    <w:p w14:paraId="53C2DBF3">
      <w:pPr>
        <w:adjustRightInd w:val="0"/>
        <w:snapToGrid w:val="0"/>
        <w:spacing w:line="500" w:lineRule="exact"/>
        <w:ind w:firstLine="480" w:firstLineChars="200"/>
        <w:textAlignment w:val="baseline"/>
        <w:rPr>
          <w:rFonts w:hint="eastAsia" w:ascii="宋体" w:hAnsi="宋体"/>
          <w:color w:val="auto"/>
          <w:kern w:val="0"/>
          <w:sz w:val="24"/>
        </w:rPr>
      </w:pPr>
      <w:r>
        <w:rPr>
          <w:rFonts w:ascii="宋体" w:hAnsi="宋体"/>
          <w:color w:val="auto"/>
          <w:kern w:val="0"/>
          <w:sz w:val="24"/>
        </w:rPr>
        <w:t>WF</w:t>
      </w:r>
      <w:r>
        <w:rPr>
          <w:rFonts w:ascii="宋体" w:hAnsi="宋体"/>
          <w:color w:val="auto"/>
          <w:kern w:val="0"/>
          <w:sz w:val="24"/>
          <w:vertAlign w:val="subscript"/>
        </w:rPr>
        <w:t>TOC</w:t>
      </w:r>
      <w:r>
        <w:rPr>
          <w:rFonts w:hint="eastAsia" w:ascii="宋体" w:hAnsi="宋体"/>
          <w:color w:val="auto"/>
          <w:kern w:val="0"/>
          <w:sz w:val="24"/>
          <w:vertAlign w:val="subscript"/>
        </w:rPr>
        <w:t>,i</w:t>
      </w:r>
      <w:r>
        <w:rPr>
          <w:rFonts w:hint="eastAsia" w:ascii="宋体" w:hAnsi="宋体"/>
          <w:color w:val="auto"/>
          <w:kern w:val="0"/>
          <w:sz w:val="24"/>
        </w:rPr>
        <w:t>—流经密封点i的物料中总有机碳（TOC）平均质量分数，本次主要为流经管线的物料中油气各组分的百分比，根据产能预测，平均取值97.14%；</w:t>
      </w:r>
    </w:p>
    <w:p w14:paraId="757CD9DB">
      <w:pPr>
        <w:pStyle w:val="86"/>
        <w:ind w:firstLine="480"/>
        <w:rPr>
          <w:rFonts w:hint="eastAsia"/>
          <w:color w:val="auto"/>
        </w:rPr>
      </w:pPr>
      <w:r>
        <w:rPr>
          <w:color w:val="auto"/>
        </w:rPr>
        <w:t>e</w:t>
      </w:r>
      <w:r>
        <w:rPr>
          <w:color w:val="auto"/>
          <w:vertAlign w:val="subscript"/>
        </w:rPr>
        <w:t>TOC,i</w:t>
      </w:r>
      <w:r>
        <w:rPr>
          <w:color w:val="auto"/>
        </w:rPr>
        <w:t>一密封点i的总有机碳（TOC</w:t>
      </w:r>
      <w:r>
        <w:rPr>
          <w:rFonts w:hint="eastAsia"/>
          <w:color w:val="auto"/>
        </w:rPr>
        <w:t>）</w:t>
      </w:r>
      <w:r>
        <w:rPr>
          <w:color w:val="auto"/>
        </w:rPr>
        <w:t>排放速率（泄漏浓度大于10000umol/mol</w:t>
      </w:r>
      <w:r>
        <w:rPr>
          <w:rFonts w:hint="eastAsia"/>
          <w:color w:val="auto"/>
        </w:rPr>
        <w:t>）</w:t>
      </w:r>
      <w:r>
        <w:rPr>
          <w:color w:val="auto"/>
        </w:rPr>
        <w:t>，kg/h</w:t>
      </w:r>
      <w:r>
        <w:rPr>
          <w:rFonts w:hint="eastAsia"/>
          <w:color w:val="auto"/>
        </w:rPr>
        <w:t>；</w:t>
      </w:r>
    </w:p>
    <w:p w14:paraId="51BEABEE">
      <w:pPr>
        <w:pStyle w:val="86"/>
        <w:ind w:firstLine="480"/>
        <w:rPr>
          <w:rFonts w:hint="eastAsia"/>
          <w:color w:val="auto"/>
        </w:rPr>
      </w:pPr>
      <w:r>
        <w:rPr>
          <w:rFonts w:hint="eastAsia"/>
          <w:color w:val="auto"/>
        </w:rPr>
        <w:t>n—挥发性有机物流经的设备与管线组件密封点数。</w:t>
      </w:r>
    </w:p>
    <w:p w14:paraId="1AD6AF97">
      <w:pPr>
        <w:pStyle w:val="86"/>
        <w:ind w:firstLine="480"/>
        <w:rPr>
          <w:rFonts w:hint="eastAsia"/>
          <w:color w:val="auto"/>
        </w:rPr>
      </w:pPr>
      <w:r>
        <w:rPr>
          <w:rFonts w:hint="eastAsia"/>
          <w:color w:val="auto"/>
        </w:rPr>
        <w:t>ti—核算时段内密封点i的运行时间，h，本次取</w:t>
      </w:r>
      <w:r>
        <w:rPr>
          <w:color w:val="auto"/>
        </w:rPr>
        <w:t>7920</w:t>
      </w:r>
      <w:r>
        <w:rPr>
          <w:rFonts w:hint="eastAsia"/>
          <w:color w:val="auto"/>
        </w:rPr>
        <w:t>h。</w:t>
      </w:r>
    </w:p>
    <w:p w14:paraId="391AFD70">
      <w:pPr>
        <w:adjustRightInd w:val="0"/>
        <w:snapToGrid w:val="0"/>
        <w:spacing w:line="500" w:lineRule="exact"/>
        <w:ind w:firstLine="480" w:firstLineChars="200"/>
        <w:jc w:val="left"/>
        <w:textAlignment w:val="baseline"/>
        <w:rPr>
          <w:rStyle w:val="208"/>
          <w:rFonts w:hint="eastAsia"/>
          <w:color w:val="auto"/>
        </w:rPr>
      </w:pPr>
      <w:r>
        <w:rPr>
          <w:rFonts w:hint="eastAsia" w:ascii="宋体" w:hAnsi="宋体"/>
          <w:color w:val="auto"/>
          <w:kern w:val="0"/>
          <w:sz w:val="24"/>
        </w:rPr>
        <w:t>根据上述公式计算油气集输过程中的无组织挥发性废气产生</w:t>
      </w:r>
      <w:r>
        <w:rPr>
          <w:rStyle w:val="208"/>
          <w:rFonts w:hint="eastAsia"/>
          <w:color w:val="auto"/>
        </w:rPr>
        <w:t>量见表</w:t>
      </w:r>
      <w:r>
        <w:rPr>
          <w:rStyle w:val="208"/>
          <w:color w:val="auto"/>
        </w:rPr>
        <w:t>3.3</w:t>
      </w:r>
      <w:r>
        <w:rPr>
          <w:rStyle w:val="208"/>
          <w:rFonts w:hint="eastAsia"/>
          <w:color w:val="auto"/>
        </w:rPr>
        <w:t>-3。</w:t>
      </w:r>
    </w:p>
    <w:p w14:paraId="5B797366">
      <w:pPr>
        <w:pStyle w:val="15"/>
        <w:rPr>
          <w:rFonts w:hint="eastAsia"/>
          <w:color w:val="auto"/>
        </w:rPr>
      </w:pPr>
      <w:bookmarkStart w:id="287" w:name="_Hlk141714413"/>
      <w:r>
        <w:rPr>
          <w:rFonts w:hint="eastAsia"/>
          <w:color w:val="auto"/>
        </w:rPr>
        <w:t>表</w:t>
      </w:r>
      <w:r>
        <w:rPr>
          <w:color w:val="auto"/>
        </w:rPr>
        <w:t>3.3</w:t>
      </w:r>
      <w:r>
        <w:rPr>
          <w:rFonts w:hint="eastAsia"/>
          <w:color w:val="auto"/>
        </w:rPr>
        <w:t>-3</w:t>
      </w:r>
      <w:r>
        <w:rPr>
          <w:color w:val="auto"/>
        </w:rPr>
        <w:t xml:space="preserve">  </w:t>
      </w:r>
      <w:r>
        <w:rPr>
          <w:rFonts w:hint="eastAsia"/>
          <w:color w:val="auto"/>
        </w:rPr>
        <w:t>排放系数、设备类型数量及污染物排放量</w:t>
      </w:r>
    </w:p>
    <w:bookmarkEnd w:id="279"/>
    <w:tbl>
      <w:tblPr>
        <w:tblStyle w:val="4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61"/>
        <w:gridCol w:w="1163"/>
        <w:gridCol w:w="1945"/>
        <w:gridCol w:w="2054"/>
        <w:gridCol w:w="2623"/>
      </w:tblGrid>
      <w:tr w14:paraId="5C5867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299" w:type="pct"/>
            <w:gridSpan w:val="2"/>
            <w:vAlign w:val="center"/>
          </w:tcPr>
          <w:p w14:paraId="5D4CF55B">
            <w:pPr>
              <w:pStyle w:val="339"/>
              <w:adjustRightInd w:val="0"/>
              <w:snapToGrid w:val="0"/>
              <w:spacing w:line="300" w:lineRule="exact"/>
              <w:rPr>
                <w:rFonts w:hint="eastAsia" w:cs="宋体"/>
                <w:bCs/>
                <w:snapToGrid w:val="0"/>
                <w:color w:val="auto"/>
                <w:w w:val="100"/>
                <w:kern w:val="0"/>
                <w:sz w:val="21"/>
                <w:szCs w:val="21"/>
              </w:rPr>
            </w:pPr>
            <w:bookmarkStart w:id="288" w:name="_Hlk93663413"/>
            <w:r>
              <w:rPr>
                <w:rFonts w:hint="eastAsia" w:cs="宋体"/>
                <w:bCs/>
                <w:snapToGrid w:val="0"/>
                <w:color w:val="auto"/>
                <w:w w:val="100"/>
                <w:kern w:val="0"/>
                <w:sz w:val="21"/>
                <w:szCs w:val="21"/>
              </w:rPr>
              <w:t>设备类型</w:t>
            </w:r>
          </w:p>
        </w:tc>
        <w:tc>
          <w:tcPr>
            <w:tcW w:w="1087" w:type="pct"/>
            <w:vAlign w:val="center"/>
          </w:tcPr>
          <w:p w14:paraId="6C6D9413">
            <w:pPr>
              <w:pStyle w:val="339"/>
              <w:adjustRightInd w:val="0"/>
              <w:snapToGrid w:val="0"/>
              <w:spacing w:line="300" w:lineRule="exact"/>
              <w:rPr>
                <w:rFonts w:hint="eastAsia" w:cs="宋体"/>
                <w:bCs/>
                <w:snapToGrid w:val="0"/>
                <w:color w:val="auto"/>
                <w:w w:val="100"/>
                <w:kern w:val="0"/>
                <w:sz w:val="21"/>
                <w:szCs w:val="21"/>
              </w:rPr>
            </w:pPr>
            <w:r>
              <w:rPr>
                <w:rFonts w:hint="eastAsia" w:cs="宋体"/>
                <w:bCs/>
                <w:snapToGrid w:val="0"/>
                <w:color w:val="auto"/>
                <w:w w:val="100"/>
                <w:kern w:val="0"/>
                <w:sz w:val="21"/>
                <w:szCs w:val="21"/>
              </w:rPr>
              <w:t>排放速率</w:t>
            </w:r>
          </w:p>
          <w:p w14:paraId="42D68BF2">
            <w:pPr>
              <w:pStyle w:val="339"/>
              <w:adjustRightInd w:val="0"/>
              <w:snapToGrid w:val="0"/>
              <w:spacing w:line="300" w:lineRule="exact"/>
              <w:rPr>
                <w:rFonts w:hint="eastAsia" w:cs="宋体"/>
                <w:bCs/>
                <w:snapToGrid w:val="0"/>
                <w:color w:val="auto"/>
                <w:w w:val="100"/>
                <w:kern w:val="0"/>
                <w:sz w:val="21"/>
                <w:szCs w:val="21"/>
              </w:rPr>
            </w:pPr>
            <w:r>
              <w:rPr>
                <w:rFonts w:hint="eastAsia" w:cs="宋体"/>
                <w:bCs/>
                <w:snapToGrid w:val="0"/>
                <w:color w:val="auto"/>
                <w:w w:val="100"/>
                <w:kern w:val="0"/>
                <w:sz w:val="21"/>
                <w:szCs w:val="21"/>
              </w:rPr>
              <w:t>（kg/h/排放源）</w:t>
            </w:r>
          </w:p>
        </w:tc>
        <w:tc>
          <w:tcPr>
            <w:tcW w:w="1148" w:type="pct"/>
            <w:vAlign w:val="center"/>
          </w:tcPr>
          <w:p w14:paraId="3BC3A43F">
            <w:pPr>
              <w:pStyle w:val="339"/>
              <w:adjustRightInd w:val="0"/>
              <w:snapToGrid w:val="0"/>
              <w:spacing w:line="300" w:lineRule="exact"/>
              <w:rPr>
                <w:rFonts w:hint="eastAsia" w:cs="宋体"/>
                <w:bCs/>
                <w:snapToGrid w:val="0"/>
                <w:color w:val="auto"/>
                <w:w w:val="100"/>
                <w:kern w:val="0"/>
                <w:sz w:val="21"/>
                <w:szCs w:val="21"/>
              </w:rPr>
            </w:pPr>
            <w:r>
              <w:rPr>
                <w:rFonts w:hint="eastAsia" w:cs="宋体"/>
                <w:bCs/>
                <w:snapToGrid w:val="0"/>
                <w:color w:val="auto"/>
                <w:w w:val="100"/>
                <w:kern w:val="0"/>
                <w:sz w:val="21"/>
                <w:szCs w:val="21"/>
              </w:rPr>
              <w:t>设备数量</w:t>
            </w:r>
          </w:p>
          <w:p w14:paraId="5B80DCDA">
            <w:pPr>
              <w:pStyle w:val="339"/>
              <w:adjustRightInd w:val="0"/>
              <w:snapToGrid w:val="0"/>
              <w:spacing w:line="300" w:lineRule="exact"/>
              <w:rPr>
                <w:rFonts w:hint="eastAsia" w:cs="宋体"/>
                <w:bCs/>
                <w:snapToGrid w:val="0"/>
                <w:color w:val="auto"/>
                <w:w w:val="100"/>
                <w:kern w:val="0"/>
                <w:sz w:val="21"/>
                <w:szCs w:val="21"/>
              </w:rPr>
            </w:pPr>
            <w:r>
              <w:rPr>
                <w:rFonts w:hint="eastAsia" w:cs="宋体"/>
                <w:bCs/>
                <w:snapToGrid w:val="0"/>
                <w:color w:val="auto"/>
                <w:w w:val="100"/>
                <w:kern w:val="0"/>
                <w:sz w:val="21"/>
                <w:szCs w:val="21"/>
              </w:rPr>
              <w:t>（个/台）</w:t>
            </w:r>
          </w:p>
        </w:tc>
        <w:tc>
          <w:tcPr>
            <w:tcW w:w="1466" w:type="pct"/>
            <w:vAlign w:val="center"/>
          </w:tcPr>
          <w:p w14:paraId="79A57A79">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污染物排放量（t/a）</w:t>
            </w:r>
          </w:p>
        </w:tc>
      </w:tr>
      <w:bookmarkEnd w:id="288"/>
      <w:tr w14:paraId="499B56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restart"/>
            <w:vAlign w:val="center"/>
          </w:tcPr>
          <w:p w14:paraId="468D102A">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莫27井</w:t>
            </w:r>
          </w:p>
        </w:tc>
        <w:tc>
          <w:tcPr>
            <w:tcW w:w="650" w:type="pct"/>
            <w:vAlign w:val="center"/>
          </w:tcPr>
          <w:p w14:paraId="2CB1F253">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阀门</w:t>
            </w:r>
          </w:p>
        </w:tc>
        <w:tc>
          <w:tcPr>
            <w:tcW w:w="1087" w:type="pct"/>
            <w:vAlign w:val="center"/>
          </w:tcPr>
          <w:p w14:paraId="41AA368A">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0.064</w:t>
            </w:r>
          </w:p>
        </w:tc>
        <w:tc>
          <w:tcPr>
            <w:tcW w:w="1148" w:type="pct"/>
            <w:vAlign w:val="center"/>
          </w:tcPr>
          <w:p w14:paraId="39FB248D">
            <w:pPr>
              <w:pStyle w:val="339"/>
              <w:adjustRightInd w:val="0"/>
              <w:snapToGrid w:val="0"/>
              <w:spacing w:line="300" w:lineRule="exact"/>
              <w:rPr>
                <w:rFonts w:hint="eastAsia" w:cs="宋体"/>
                <w:bCs/>
                <w:snapToGrid w:val="0"/>
                <w:color w:val="auto"/>
                <w:w w:val="100"/>
                <w:kern w:val="0"/>
                <w:sz w:val="21"/>
                <w:szCs w:val="21"/>
              </w:rPr>
            </w:pPr>
            <w:r>
              <w:rPr>
                <w:rFonts w:hint="eastAsia" w:cs="宋体"/>
                <w:bCs/>
                <w:snapToGrid w:val="0"/>
                <w:color w:val="auto"/>
                <w:w w:val="100"/>
                <w:kern w:val="0"/>
                <w:sz w:val="21"/>
                <w:szCs w:val="21"/>
              </w:rPr>
              <w:t>5</w:t>
            </w:r>
          </w:p>
        </w:tc>
        <w:tc>
          <w:tcPr>
            <w:tcW w:w="1466" w:type="pct"/>
            <w:vAlign w:val="center"/>
          </w:tcPr>
          <w:p w14:paraId="72B5F595">
            <w:pPr>
              <w:pStyle w:val="339"/>
              <w:adjustRightInd w:val="0"/>
              <w:snapToGrid w:val="0"/>
              <w:spacing w:line="300" w:lineRule="exact"/>
              <w:rPr>
                <w:rFonts w:hint="eastAsia" w:cs="宋体"/>
                <w:bCs/>
                <w:snapToGrid w:val="0"/>
                <w:color w:val="auto"/>
                <w:w w:val="100"/>
                <w:kern w:val="0"/>
                <w:sz w:val="21"/>
                <w:szCs w:val="21"/>
              </w:rPr>
            </w:pPr>
            <w:r>
              <w:rPr>
                <w:rFonts w:hint="eastAsia" w:cs="宋体"/>
                <w:bCs/>
                <w:snapToGrid w:val="0"/>
                <w:color w:val="auto"/>
                <w:w w:val="100"/>
                <w:kern w:val="0"/>
                <w:sz w:val="21"/>
                <w:szCs w:val="21"/>
              </w:rPr>
              <w:t>0.001</w:t>
            </w:r>
          </w:p>
        </w:tc>
      </w:tr>
      <w:tr w14:paraId="698035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continue"/>
            <w:vAlign w:val="center"/>
          </w:tcPr>
          <w:p w14:paraId="67508DC2">
            <w:pPr>
              <w:pStyle w:val="339"/>
              <w:adjustRightInd w:val="0"/>
              <w:snapToGrid w:val="0"/>
              <w:spacing w:line="300" w:lineRule="exact"/>
              <w:rPr>
                <w:rFonts w:hint="eastAsia" w:cs="宋体"/>
                <w:snapToGrid w:val="0"/>
                <w:color w:val="auto"/>
                <w:w w:val="100"/>
                <w:kern w:val="0"/>
                <w:sz w:val="21"/>
                <w:szCs w:val="21"/>
              </w:rPr>
            </w:pPr>
          </w:p>
        </w:tc>
        <w:tc>
          <w:tcPr>
            <w:tcW w:w="650" w:type="pct"/>
            <w:vAlign w:val="center"/>
          </w:tcPr>
          <w:p w14:paraId="185B41B7">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法兰</w:t>
            </w:r>
          </w:p>
        </w:tc>
        <w:tc>
          <w:tcPr>
            <w:tcW w:w="1087" w:type="pct"/>
            <w:vAlign w:val="center"/>
          </w:tcPr>
          <w:p w14:paraId="7FF4D514">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0.085</w:t>
            </w:r>
          </w:p>
        </w:tc>
        <w:tc>
          <w:tcPr>
            <w:tcW w:w="1148" w:type="pct"/>
            <w:vAlign w:val="center"/>
          </w:tcPr>
          <w:p w14:paraId="6E9F6B08">
            <w:pPr>
              <w:pStyle w:val="339"/>
              <w:adjustRightInd w:val="0"/>
              <w:snapToGrid w:val="0"/>
              <w:spacing w:line="300" w:lineRule="exact"/>
              <w:rPr>
                <w:rFonts w:hint="eastAsia" w:cs="宋体"/>
                <w:bCs/>
                <w:snapToGrid w:val="0"/>
                <w:color w:val="auto"/>
                <w:w w:val="100"/>
                <w:kern w:val="0"/>
                <w:sz w:val="21"/>
                <w:szCs w:val="21"/>
              </w:rPr>
            </w:pPr>
            <w:r>
              <w:rPr>
                <w:rFonts w:hint="eastAsia" w:cs="宋体"/>
                <w:bCs/>
                <w:snapToGrid w:val="0"/>
                <w:color w:val="auto"/>
                <w:w w:val="100"/>
                <w:kern w:val="0"/>
                <w:sz w:val="21"/>
                <w:szCs w:val="21"/>
              </w:rPr>
              <w:t>8</w:t>
            </w:r>
          </w:p>
        </w:tc>
        <w:tc>
          <w:tcPr>
            <w:tcW w:w="1466" w:type="pct"/>
            <w:vAlign w:val="center"/>
          </w:tcPr>
          <w:p w14:paraId="74D9FB07">
            <w:pPr>
              <w:pStyle w:val="339"/>
              <w:adjustRightInd w:val="0"/>
              <w:snapToGrid w:val="0"/>
              <w:spacing w:line="300" w:lineRule="exact"/>
              <w:rPr>
                <w:rFonts w:hint="eastAsia" w:cs="宋体"/>
                <w:bCs/>
                <w:snapToGrid w:val="0"/>
                <w:color w:val="auto"/>
                <w:w w:val="100"/>
                <w:kern w:val="0"/>
                <w:sz w:val="21"/>
                <w:szCs w:val="21"/>
              </w:rPr>
            </w:pPr>
            <w:r>
              <w:rPr>
                <w:rFonts w:hint="eastAsia" w:cs="宋体"/>
                <w:bCs/>
                <w:snapToGrid w:val="0"/>
                <w:color w:val="auto"/>
                <w:w w:val="100"/>
                <w:kern w:val="0"/>
                <w:sz w:val="21"/>
                <w:szCs w:val="21"/>
              </w:rPr>
              <w:t>0.0021</w:t>
            </w:r>
          </w:p>
        </w:tc>
      </w:tr>
      <w:tr w14:paraId="40A1E4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continue"/>
            <w:vAlign w:val="center"/>
          </w:tcPr>
          <w:p w14:paraId="769AEA7A">
            <w:pPr>
              <w:pStyle w:val="339"/>
              <w:adjustRightInd w:val="0"/>
              <w:snapToGrid w:val="0"/>
              <w:spacing w:line="300" w:lineRule="exact"/>
              <w:rPr>
                <w:rFonts w:hint="eastAsia" w:cs="宋体"/>
                <w:snapToGrid w:val="0"/>
                <w:color w:val="auto"/>
                <w:w w:val="100"/>
                <w:kern w:val="0"/>
                <w:sz w:val="21"/>
                <w:szCs w:val="21"/>
              </w:rPr>
            </w:pPr>
          </w:p>
        </w:tc>
        <w:tc>
          <w:tcPr>
            <w:tcW w:w="650" w:type="pct"/>
            <w:vAlign w:val="center"/>
          </w:tcPr>
          <w:p w14:paraId="30224175">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连接件</w:t>
            </w:r>
          </w:p>
        </w:tc>
        <w:tc>
          <w:tcPr>
            <w:tcW w:w="1087" w:type="pct"/>
            <w:vAlign w:val="center"/>
          </w:tcPr>
          <w:p w14:paraId="2D35F827">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0.028</w:t>
            </w:r>
          </w:p>
        </w:tc>
        <w:tc>
          <w:tcPr>
            <w:tcW w:w="1148" w:type="pct"/>
            <w:vAlign w:val="center"/>
          </w:tcPr>
          <w:p w14:paraId="0A7DB10F">
            <w:pPr>
              <w:pStyle w:val="339"/>
              <w:adjustRightInd w:val="0"/>
              <w:snapToGrid w:val="0"/>
              <w:spacing w:line="300" w:lineRule="exact"/>
              <w:rPr>
                <w:rFonts w:hint="eastAsia" w:cs="宋体"/>
                <w:bCs/>
                <w:snapToGrid w:val="0"/>
                <w:color w:val="auto"/>
                <w:w w:val="100"/>
                <w:kern w:val="0"/>
                <w:sz w:val="21"/>
                <w:szCs w:val="21"/>
              </w:rPr>
            </w:pPr>
            <w:r>
              <w:rPr>
                <w:rFonts w:hint="eastAsia" w:cs="宋体"/>
                <w:bCs/>
                <w:snapToGrid w:val="0"/>
                <w:color w:val="auto"/>
                <w:w w:val="100"/>
                <w:kern w:val="0"/>
                <w:sz w:val="21"/>
                <w:szCs w:val="21"/>
              </w:rPr>
              <w:t>24</w:t>
            </w:r>
          </w:p>
        </w:tc>
        <w:tc>
          <w:tcPr>
            <w:tcW w:w="1466" w:type="pct"/>
            <w:vAlign w:val="center"/>
          </w:tcPr>
          <w:p w14:paraId="12FE4B78">
            <w:pPr>
              <w:pStyle w:val="339"/>
              <w:adjustRightInd w:val="0"/>
              <w:snapToGrid w:val="0"/>
              <w:spacing w:line="300" w:lineRule="exact"/>
              <w:rPr>
                <w:rFonts w:hint="eastAsia" w:cs="宋体"/>
                <w:bCs/>
                <w:snapToGrid w:val="0"/>
                <w:color w:val="auto"/>
                <w:w w:val="100"/>
                <w:kern w:val="0"/>
                <w:sz w:val="21"/>
                <w:szCs w:val="21"/>
              </w:rPr>
            </w:pPr>
            <w:r>
              <w:rPr>
                <w:rFonts w:hint="eastAsia" w:cs="宋体"/>
                <w:bCs/>
                <w:snapToGrid w:val="0"/>
                <w:color w:val="auto"/>
                <w:w w:val="100"/>
                <w:kern w:val="0"/>
                <w:sz w:val="21"/>
                <w:szCs w:val="21"/>
              </w:rPr>
              <w:t>0.0021</w:t>
            </w:r>
          </w:p>
        </w:tc>
      </w:tr>
      <w:tr w14:paraId="717395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continue"/>
            <w:vAlign w:val="center"/>
          </w:tcPr>
          <w:p w14:paraId="1DD56A1F">
            <w:pPr>
              <w:pStyle w:val="339"/>
              <w:adjustRightInd w:val="0"/>
              <w:snapToGrid w:val="0"/>
              <w:spacing w:line="300" w:lineRule="exact"/>
              <w:rPr>
                <w:rFonts w:hint="eastAsia" w:cs="宋体"/>
                <w:snapToGrid w:val="0"/>
                <w:color w:val="auto"/>
                <w:w w:val="100"/>
                <w:kern w:val="0"/>
                <w:sz w:val="21"/>
                <w:szCs w:val="21"/>
              </w:rPr>
            </w:pPr>
          </w:p>
        </w:tc>
        <w:tc>
          <w:tcPr>
            <w:tcW w:w="650" w:type="pct"/>
            <w:vAlign w:val="center"/>
          </w:tcPr>
          <w:p w14:paraId="1F54E275">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小计</w:t>
            </w:r>
          </w:p>
        </w:tc>
        <w:tc>
          <w:tcPr>
            <w:tcW w:w="1087" w:type="pct"/>
            <w:vAlign w:val="center"/>
          </w:tcPr>
          <w:p w14:paraId="16806904">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w:t>
            </w:r>
          </w:p>
        </w:tc>
        <w:tc>
          <w:tcPr>
            <w:tcW w:w="1148" w:type="pct"/>
            <w:vAlign w:val="center"/>
          </w:tcPr>
          <w:p w14:paraId="57496F01">
            <w:pPr>
              <w:pStyle w:val="339"/>
              <w:adjustRightInd w:val="0"/>
              <w:snapToGrid w:val="0"/>
              <w:spacing w:line="300" w:lineRule="exact"/>
              <w:rPr>
                <w:rFonts w:hint="eastAsia" w:cs="宋体"/>
                <w:bCs/>
                <w:snapToGrid w:val="0"/>
                <w:color w:val="auto"/>
                <w:w w:val="100"/>
                <w:kern w:val="0"/>
                <w:sz w:val="21"/>
                <w:szCs w:val="21"/>
              </w:rPr>
            </w:pPr>
            <w:r>
              <w:rPr>
                <w:rFonts w:hint="eastAsia" w:cs="宋体"/>
                <w:bCs/>
                <w:snapToGrid w:val="0"/>
                <w:color w:val="auto"/>
                <w:w w:val="100"/>
                <w:kern w:val="0"/>
                <w:sz w:val="21"/>
                <w:szCs w:val="21"/>
              </w:rPr>
              <w:t>/</w:t>
            </w:r>
          </w:p>
        </w:tc>
        <w:tc>
          <w:tcPr>
            <w:tcW w:w="1466" w:type="pct"/>
            <w:vAlign w:val="center"/>
          </w:tcPr>
          <w:p w14:paraId="37346E2D">
            <w:pPr>
              <w:pStyle w:val="339"/>
              <w:adjustRightInd w:val="0"/>
              <w:snapToGrid w:val="0"/>
              <w:spacing w:line="300" w:lineRule="exact"/>
              <w:rPr>
                <w:rFonts w:hint="eastAsia" w:cs="宋体"/>
                <w:bCs/>
                <w:snapToGrid w:val="0"/>
                <w:color w:val="auto"/>
                <w:w w:val="100"/>
                <w:kern w:val="0"/>
                <w:sz w:val="21"/>
                <w:szCs w:val="21"/>
              </w:rPr>
            </w:pPr>
            <w:r>
              <w:rPr>
                <w:rFonts w:hint="eastAsia" w:cs="宋体"/>
                <w:bCs/>
                <w:snapToGrid w:val="0"/>
                <w:color w:val="auto"/>
                <w:w w:val="100"/>
                <w:kern w:val="0"/>
                <w:sz w:val="21"/>
                <w:szCs w:val="21"/>
              </w:rPr>
              <w:t>0.0052</w:t>
            </w:r>
          </w:p>
        </w:tc>
      </w:tr>
      <w:tr w14:paraId="7B29AA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restart"/>
            <w:vAlign w:val="center"/>
          </w:tcPr>
          <w:p w14:paraId="7A282D56">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莫172H井和天然气撬装装置</w:t>
            </w:r>
          </w:p>
        </w:tc>
        <w:tc>
          <w:tcPr>
            <w:tcW w:w="650" w:type="pct"/>
            <w:vAlign w:val="center"/>
          </w:tcPr>
          <w:p w14:paraId="726044AF">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阀门</w:t>
            </w:r>
          </w:p>
        </w:tc>
        <w:tc>
          <w:tcPr>
            <w:tcW w:w="1087" w:type="pct"/>
            <w:vAlign w:val="center"/>
          </w:tcPr>
          <w:p w14:paraId="7237E4EF">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0.064</w:t>
            </w:r>
          </w:p>
        </w:tc>
        <w:tc>
          <w:tcPr>
            <w:tcW w:w="1148" w:type="pct"/>
            <w:vAlign w:val="center"/>
          </w:tcPr>
          <w:p w14:paraId="65568C4C">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100</w:t>
            </w:r>
          </w:p>
        </w:tc>
        <w:tc>
          <w:tcPr>
            <w:tcW w:w="1466" w:type="pct"/>
            <w:vAlign w:val="center"/>
          </w:tcPr>
          <w:p w14:paraId="445139F8">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0.0201</w:t>
            </w:r>
          </w:p>
        </w:tc>
      </w:tr>
      <w:tr w14:paraId="43B574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continue"/>
            <w:vAlign w:val="center"/>
          </w:tcPr>
          <w:p w14:paraId="0877F3B8">
            <w:pPr>
              <w:pStyle w:val="339"/>
              <w:adjustRightInd w:val="0"/>
              <w:snapToGrid w:val="0"/>
              <w:spacing w:line="300" w:lineRule="exact"/>
              <w:rPr>
                <w:rFonts w:hint="eastAsia" w:cs="宋体"/>
                <w:snapToGrid w:val="0"/>
                <w:color w:val="auto"/>
                <w:w w:val="100"/>
                <w:kern w:val="0"/>
                <w:sz w:val="21"/>
                <w:szCs w:val="21"/>
              </w:rPr>
            </w:pPr>
          </w:p>
        </w:tc>
        <w:tc>
          <w:tcPr>
            <w:tcW w:w="650" w:type="pct"/>
            <w:vAlign w:val="center"/>
          </w:tcPr>
          <w:p w14:paraId="7CCD8AEB">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法兰</w:t>
            </w:r>
          </w:p>
        </w:tc>
        <w:tc>
          <w:tcPr>
            <w:tcW w:w="1087" w:type="pct"/>
            <w:vAlign w:val="center"/>
          </w:tcPr>
          <w:p w14:paraId="74575899">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0.085</w:t>
            </w:r>
          </w:p>
        </w:tc>
        <w:tc>
          <w:tcPr>
            <w:tcW w:w="1148" w:type="pct"/>
            <w:vAlign w:val="center"/>
          </w:tcPr>
          <w:p w14:paraId="55EECFE7">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200</w:t>
            </w:r>
          </w:p>
        </w:tc>
        <w:tc>
          <w:tcPr>
            <w:tcW w:w="1466" w:type="pct"/>
            <w:vAlign w:val="center"/>
          </w:tcPr>
          <w:p w14:paraId="45AAC788">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0.0534</w:t>
            </w:r>
          </w:p>
        </w:tc>
      </w:tr>
      <w:tr w14:paraId="46256F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continue"/>
            <w:vAlign w:val="center"/>
          </w:tcPr>
          <w:p w14:paraId="2342AF36">
            <w:pPr>
              <w:pStyle w:val="339"/>
              <w:adjustRightInd w:val="0"/>
              <w:snapToGrid w:val="0"/>
              <w:spacing w:line="300" w:lineRule="exact"/>
              <w:rPr>
                <w:rFonts w:hint="eastAsia" w:cs="宋体"/>
                <w:snapToGrid w:val="0"/>
                <w:color w:val="auto"/>
                <w:w w:val="100"/>
                <w:kern w:val="0"/>
                <w:sz w:val="21"/>
                <w:szCs w:val="21"/>
              </w:rPr>
            </w:pPr>
          </w:p>
        </w:tc>
        <w:tc>
          <w:tcPr>
            <w:tcW w:w="650" w:type="pct"/>
            <w:vAlign w:val="center"/>
          </w:tcPr>
          <w:p w14:paraId="50486F40">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连接件</w:t>
            </w:r>
          </w:p>
        </w:tc>
        <w:tc>
          <w:tcPr>
            <w:tcW w:w="1087" w:type="pct"/>
            <w:vAlign w:val="center"/>
          </w:tcPr>
          <w:p w14:paraId="05E0D2C7">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0.028</w:t>
            </w:r>
          </w:p>
        </w:tc>
        <w:tc>
          <w:tcPr>
            <w:tcW w:w="1148" w:type="pct"/>
            <w:vAlign w:val="center"/>
          </w:tcPr>
          <w:p w14:paraId="1D02DEAF">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600</w:t>
            </w:r>
          </w:p>
        </w:tc>
        <w:tc>
          <w:tcPr>
            <w:tcW w:w="1466" w:type="pct"/>
            <w:vAlign w:val="center"/>
          </w:tcPr>
          <w:p w14:paraId="12259081">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0.0527</w:t>
            </w:r>
          </w:p>
        </w:tc>
      </w:tr>
      <w:tr w14:paraId="0117B2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continue"/>
            <w:vAlign w:val="center"/>
          </w:tcPr>
          <w:p w14:paraId="253E8ACD">
            <w:pPr>
              <w:pStyle w:val="339"/>
              <w:adjustRightInd w:val="0"/>
              <w:snapToGrid w:val="0"/>
              <w:spacing w:line="300" w:lineRule="exact"/>
              <w:rPr>
                <w:rFonts w:hint="eastAsia" w:cs="宋体"/>
                <w:snapToGrid w:val="0"/>
                <w:color w:val="auto"/>
                <w:w w:val="100"/>
                <w:kern w:val="0"/>
                <w:sz w:val="21"/>
                <w:szCs w:val="21"/>
              </w:rPr>
            </w:pPr>
          </w:p>
        </w:tc>
        <w:tc>
          <w:tcPr>
            <w:tcW w:w="650" w:type="pct"/>
            <w:vAlign w:val="center"/>
          </w:tcPr>
          <w:p w14:paraId="6B5F9BF5">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压缩机</w:t>
            </w:r>
          </w:p>
        </w:tc>
        <w:tc>
          <w:tcPr>
            <w:tcW w:w="1087" w:type="pct"/>
            <w:vAlign w:val="center"/>
          </w:tcPr>
          <w:p w14:paraId="4DEEFCC4">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w:t>
            </w:r>
            <w:r>
              <w:rPr>
                <w:rFonts w:cs="宋体"/>
                <w:snapToGrid w:val="0"/>
                <w:color w:val="auto"/>
                <w:w w:val="100"/>
                <w:kern w:val="0"/>
                <w:sz w:val="21"/>
                <w:szCs w:val="21"/>
              </w:rPr>
              <w:t>.073</w:t>
            </w:r>
          </w:p>
        </w:tc>
        <w:tc>
          <w:tcPr>
            <w:tcW w:w="1148" w:type="pct"/>
            <w:vAlign w:val="center"/>
          </w:tcPr>
          <w:p w14:paraId="6463C14B">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1</w:t>
            </w:r>
          </w:p>
        </w:tc>
        <w:tc>
          <w:tcPr>
            <w:tcW w:w="1466" w:type="pct"/>
            <w:vAlign w:val="center"/>
          </w:tcPr>
          <w:p w14:paraId="61FB4F22">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0.0002</w:t>
            </w:r>
          </w:p>
        </w:tc>
      </w:tr>
      <w:tr w14:paraId="101934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continue"/>
            <w:vAlign w:val="center"/>
          </w:tcPr>
          <w:p w14:paraId="053A02AE">
            <w:pPr>
              <w:pStyle w:val="339"/>
              <w:adjustRightInd w:val="0"/>
              <w:snapToGrid w:val="0"/>
              <w:spacing w:line="300" w:lineRule="exact"/>
              <w:rPr>
                <w:rFonts w:hint="eastAsia" w:cs="宋体"/>
                <w:snapToGrid w:val="0"/>
                <w:color w:val="auto"/>
                <w:w w:val="100"/>
                <w:kern w:val="0"/>
                <w:sz w:val="21"/>
                <w:szCs w:val="21"/>
              </w:rPr>
            </w:pPr>
          </w:p>
        </w:tc>
        <w:tc>
          <w:tcPr>
            <w:tcW w:w="650" w:type="pct"/>
            <w:vAlign w:val="center"/>
          </w:tcPr>
          <w:p w14:paraId="1D85893B">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小计</w:t>
            </w:r>
          </w:p>
        </w:tc>
        <w:tc>
          <w:tcPr>
            <w:tcW w:w="1087" w:type="pct"/>
            <w:vAlign w:val="center"/>
          </w:tcPr>
          <w:p w14:paraId="26EE6E5D">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w:t>
            </w:r>
          </w:p>
        </w:tc>
        <w:tc>
          <w:tcPr>
            <w:tcW w:w="1148" w:type="pct"/>
            <w:vAlign w:val="center"/>
          </w:tcPr>
          <w:p w14:paraId="240CBCBE">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w:t>
            </w:r>
          </w:p>
        </w:tc>
        <w:tc>
          <w:tcPr>
            <w:tcW w:w="1466" w:type="pct"/>
            <w:vAlign w:val="center"/>
          </w:tcPr>
          <w:p w14:paraId="17B183C7">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0.1264</w:t>
            </w:r>
          </w:p>
        </w:tc>
      </w:tr>
      <w:tr w14:paraId="6788ED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restart"/>
            <w:vAlign w:val="center"/>
          </w:tcPr>
          <w:p w14:paraId="3207E9EB">
            <w:pPr>
              <w:pStyle w:val="339"/>
              <w:adjustRightInd w:val="0"/>
              <w:snapToGrid w:val="0"/>
              <w:spacing w:line="300" w:lineRule="exact"/>
              <w:rPr>
                <w:rFonts w:hint="eastAsia" w:cs="宋体"/>
                <w:snapToGrid w:val="0"/>
                <w:color w:val="auto"/>
                <w:w w:val="100"/>
                <w:kern w:val="0"/>
                <w:sz w:val="21"/>
                <w:szCs w:val="21"/>
              </w:rPr>
            </w:pPr>
            <w:bookmarkStart w:id="289" w:name="OLE_LINK39"/>
            <w:bookmarkStart w:id="290" w:name="_Hlk220695474"/>
            <w:r>
              <w:rPr>
                <w:rFonts w:hint="eastAsia" w:cs="宋体"/>
                <w:snapToGrid w:val="0"/>
                <w:color w:val="auto"/>
                <w:w w:val="100"/>
                <w:kern w:val="0"/>
                <w:sz w:val="21"/>
                <w:szCs w:val="21"/>
              </w:rPr>
              <w:t>莫174H井</w:t>
            </w:r>
            <w:bookmarkEnd w:id="289"/>
            <w:r>
              <w:rPr>
                <w:rFonts w:hint="eastAsia" w:cs="宋体"/>
                <w:snapToGrid w:val="0"/>
                <w:color w:val="auto"/>
                <w:w w:val="100"/>
                <w:kern w:val="0"/>
                <w:sz w:val="21"/>
                <w:szCs w:val="21"/>
              </w:rPr>
              <w:t>和天然气撬装装置</w:t>
            </w:r>
          </w:p>
        </w:tc>
        <w:tc>
          <w:tcPr>
            <w:tcW w:w="650" w:type="pct"/>
            <w:vAlign w:val="center"/>
          </w:tcPr>
          <w:p w14:paraId="74A5BC9D">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阀门</w:t>
            </w:r>
          </w:p>
        </w:tc>
        <w:tc>
          <w:tcPr>
            <w:tcW w:w="1087" w:type="pct"/>
            <w:vAlign w:val="center"/>
          </w:tcPr>
          <w:p w14:paraId="1541CC3C">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0.064</w:t>
            </w:r>
          </w:p>
        </w:tc>
        <w:tc>
          <w:tcPr>
            <w:tcW w:w="1148" w:type="pct"/>
            <w:vAlign w:val="center"/>
          </w:tcPr>
          <w:p w14:paraId="1844D8F7">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80</w:t>
            </w:r>
          </w:p>
        </w:tc>
        <w:tc>
          <w:tcPr>
            <w:tcW w:w="1466" w:type="pct"/>
            <w:vAlign w:val="center"/>
          </w:tcPr>
          <w:p w14:paraId="244433EE">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0.0161</w:t>
            </w:r>
          </w:p>
        </w:tc>
      </w:tr>
      <w:tr w14:paraId="6E74F5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continue"/>
            <w:vAlign w:val="center"/>
          </w:tcPr>
          <w:p w14:paraId="0B16CD9A">
            <w:pPr>
              <w:pStyle w:val="339"/>
              <w:adjustRightInd w:val="0"/>
              <w:snapToGrid w:val="0"/>
              <w:spacing w:line="300" w:lineRule="exact"/>
              <w:rPr>
                <w:rFonts w:hint="eastAsia" w:cs="宋体"/>
                <w:snapToGrid w:val="0"/>
                <w:color w:val="auto"/>
                <w:w w:val="100"/>
                <w:kern w:val="0"/>
                <w:sz w:val="21"/>
                <w:szCs w:val="21"/>
              </w:rPr>
            </w:pPr>
          </w:p>
        </w:tc>
        <w:tc>
          <w:tcPr>
            <w:tcW w:w="650" w:type="pct"/>
            <w:vAlign w:val="center"/>
          </w:tcPr>
          <w:p w14:paraId="04DA4C6A">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法兰</w:t>
            </w:r>
          </w:p>
        </w:tc>
        <w:tc>
          <w:tcPr>
            <w:tcW w:w="1087" w:type="pct"/>
            <w:vAlign w:val="center"/>
          </w:tcPr>
          <w:p w14:paraId="45B22C37">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0.085</w:t>
            </w:r>
          </w:p>
        </w:tc>
        <w:tc>
          <w:tcPr>
            <w:tcW w:w="1148" w:type="pct"/>
            <w:vAlign w:val="center"/>
          </w:tcPr>
          <w:p w14:paraId="5F570C2D">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150</w:t>
            </w:r>
          </w:p>
        </w:tc>
        <w:tc>
          <w:tcPr>
            <w:tcW w:w="1466" w:type="pct"/>
            <w:vAlign w:val="center"/>
          </w:tcPr>
          <w:p w14:paraId="297AFE27">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0.0400</w:t>
            </w:r>
          </w:p>
        </w:tc>
      </w:tr>
      <w:tr w14:paraId="63545E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continue"/>
            <w:vAlign w:val="center"/>
          </w:tcPr>
          <w:p w14:paraId="180ABA06">
            <w:pPr>
              <w:pStyle w:val="339"/>
              <w:adjustRightInd w:val="0"/>
              <w:snapToGrid w:val="0"/>
              <w:spacing w:line="300" w:lineRule="exact"/>
              <w:rPr>
                <w:rFonts w:hint="eastAsia" w:cs="宋体"/>
                <w:snapToGrid w:val="0"/>
                <w:color w:val="auto"/>
                <w:w w:val="100"/>
                <w:kern w:val="0"/>
                <w:sz w:val="21"/>
                <w:szCs w:val="21"/>
              </w:rPr>
            </w:pPr>
          </w:p>
        </w:tc>
        <w:tc>
          <w:tcPr>
            <w:tcW w:w="650" w:type="pct"/>
            <w:vAlign w:val="center"/>
          </w:tcPr>
          <w:p w14:paraId="6E8F2BA7">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连接件</w:t>
            </w:r>
          </w:p>
        </w:tc>
        <w:tc>
          <w:tcPr>
            <w:tcW w:w="1087" w:type="pct"/>
            <w:vAlign w:val="center"/>
          </w:tcPr>
          <w:p w14:paraId="058A9DB5">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0.028</w:t>
            </w:r>
          </w:p>
        </w:tc>
        <w:tc>
          <w:tcPr>
            <w:tcW w:w="1148" w:type="pct"/>
            <w:vAlign w:val="center"/>
          </w:tcPr>
          <w:p w14:paraId="31D0DBEE">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500</w:t>
            </w:r>
          </w:p>
        </w:tc>
        <w:tc>
          <w:tcPr>
            <w:tcW w:w="1466" w:type="pct"/>
            <w:vAlign w:val="center"/>
          </w:tcPr>
          <w:p w14:paraId="349215A0">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0.0440</w:t>
            </w:r>
          </w:p>
        </w:tc>
      </w:tr>
      <w:bookmarkEnd w:id="290"/>
      <w:tr w14:paraId="504676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continue"/>
            <w:vAlign w:val="center"/>
          </w:tcPr>
          <w:p w14:paraId="36BF5FF1">
            <w:pPr>
              <w:pStyle w:val="339"/>
              <w:adjustRightInd w:val="0"/>
              <w:snapToGrid w:val="0"/>
              <w:spacing w:line="300" w:lineRule="exact"/>
              <w:rPr>
                <w:rFonts w:hint="eastAsia" w:cs="宋体"/>
                <w:snapToGrid w:val="0"/>
                <w:color w:val="auto"/>
                <w:w w:val="100"/>
                <w:kern w:val="0"/>
                <w:sz w:val="21"/>
                <w:szCs w:val="21"/>
              </w:rPr>
            </w:pPr>
          </w:p>
        </w:tc>
        <w:tc>
          <w:tcPr>
            <w:tcW w:w="650" w:type="pct"/>
            <w:vAlign w:val="center"/>
          </w:tcPr>
          <w:p w14:paraId="66D07A63">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压缩机</w:t>
            </w:r>
          </w:p>
        </w:tc>
        <w:tc>
          <w:tcPr>
            <w:tcW w:w="1087" w:type="pct"/>
            <w:vAlign w:val="center"/>
          </w:tcPr>
          <w:p w14:paraId="66F41FFF">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w:t>
            </w:r>
            <w:r>
              <w:rPr>
                <w:rFonts w:cs="宋体"/>
                <w:snapToGrid w:val="0"/>
                <w:color w:val="auto"/>
                <w:w w:val="100"/>
                <w:kern w:val="0"/>
                <w:sz w:val="21"/>
                <w:szCs w:val="21"/>
              </w:rPr>
              <w:t>.073</w:t>
            </w:r>
          </w:p>
        </w:tc>
        <w:tc>
          <w:tcPr>
            <w:tcW w:w="1148" w:type="pct"/>
            <w:vAlign w:val="center"/>
          </w:tcPr>
          <w:p w14:paraId="3E7C7964">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1</w:t>
            </w:r>
          </w:p>
        </w:tc>
        <w:tc>
          <w:tcPr>
            <w:tcW w:w="1466" w:type="pct"/>
            <w:vAlign w:val="center"/>
          </w:tcPr>
          <w:p w14:paraId="4849BF8E">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0.0002</w:t>
            </w:r>
          </w:p>
        </w:tc>
      </w:tr>
      <w:tr w14:paraId="13B269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continue"/>
            <w:vAlign w:val="center"/>
          </w:tcPr>
          <w:p w14:paraId="3A36B395">
            <w:pPr>
              <w:pStyle w:val="339"/>
              <w:adjustRightInd w:val="0"/>
              <w:snapToGrid w:val="0"/>
              <w:spacing w:line="300" w:lineRule="exact"/>
              <w:rPr>
                <w:rFonts w:hint="eastAsia" w:cs="宋体"/>
                <w:snapToGrid w:val="0"/>
                <w:color w:val="auto"/>
                <w:w w:val="100"/>
                <w:kern w:val="0"/>
                <w:sz w:val="21"/>
                <w:szCs w:val="21"/>
              </w:rPr>
            </w:pPr>
          </w:p>
        </w:tc>
        <w:tc>
          <w:tcPr>
            <w:tcW w:w="650" w:type="pct"/>
            <w:vAlign w:val="center"/>
          </w:tcPr>
          <w:p w14:paraId="5F943C02">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小计</w:t>
            </w:r>
          </w:p>
        </w:tc>
        <w:tc>
          <w:tcPr>
            <w:tcW w:w="1087" w:type="pct"/>
            <w:vAlign w:val="center"/>
          </w:tcPr>
          <w:p w14:paraId="54CF139C">
            <w:pPr>
              <w:adjustRightInd w:val="0"/>
              <w:snapToGrid w:val="0"/>
              <w:spacing w:line="300" w:lineRule="exact"/>
              <w:jc w:val="center"/>
              <w:rPr>
                <w:rFonts w:hint="eastAsia" w:ascii="宋体" w:hAnsi="宋体" w:cs="宋体"/>
                <w:snapToGrid w:val="0"/>
                <w:color w:val="auto"/>
                <w:kern w:val="0"/>
                <w:szCs w:val="21"/>
              </w:rPr>
            </w:pPr>
            <w:r>
              <w:rPr>
                <w:rFonts w:hint="eastAsia" w:ascii="宋体" w:hAnsi="宋体" w:cs="宋体"/>
                <w:snapToGrid w:val="0"/>
                <w:color w:val="auto"/>
                <w:kern w:val="0"/>
                <w:szCs w:val="21"/>
              </w:rPr>
              <w:t>/</w:t>
            </w:r>
          </w:p>
        </w:tc>
        <w:tc>
          <w:tcPr>
            <w:tcW w:w="1148" w:type="pct"/>
            <w:vAlign w:val="center"/>
          </w:tcPr>
          <w:p w14:paraId="27301D51">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w:t>
            </w:r>
          </w:p>
        </w:tc>
        <w:tc>
          <w:tcPr>
            <w:tcW w:w="1466" w:type="pct"/>
            <w:vAlign w:val="center"/>
          </w:tcPr>
          <w:p w14:paraId="7BE17780">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0.1003</w:t>
            </w:r>
          </w:p>
        </w:tc>
      </w:tr>
      <w:tr w14:paraId="27355E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restart"/>
            <w:vAlign w:val="center"/>
          </w:tcPr>
          <w:p w14:paraId="3E93AFE1">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充装区</w:t>
            </w:r>
          </w:p>
        </w:tc>
        <w:tc>
          <w:tcPr>
            <w:tcW w:w="650" w:type="pct"/>
            <w:vAlign w:val="center"/>
          </w:tcPr>
          <w:p w14:paraId="42CF22DB">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阀门</w:t>
            </w:r>
          </w:p>
        </w:tc>
        <w:tc>
          <w:tcPr>
            <w:tcW w:w="1087" w:type="pct"/>
            <w:vAlign w:val="center"/>
          </w:tcPr>
          <w:p w14:paraId="1F78F66A">
            <w:pPr>
              <w:adjustRightInd w:val="0"/>
              <w:snapToGrid w:val="0"/>
              <w:spacing w:line="300" w:lineRule="exact"/>
              <w:jc w:val="center"/>
              <w:rPr>
                <w:rFonts w:hint="eastAsia" w:ascii="宋体" w:hAnsi="宋体" w:cs="宋体"/>
                <w:snapToGrid w:val="0"/>
                <w:color w:val="auto"/>
                <w:kern w:val="0"/>
                <w:szCs w:val="21"/>
              </w:rPr>
            </w:pPr>
            <w:r>
              <w:rPr>
                <w:rFonts w:hint="eastAsia" w:ascii="宋体" w:hAnsi="宋体" w:cs="宋体"/>
                <w:snapToGrid w:val="0"/>
                <w:color w:val="auto"/>
                <w:kern w:val="0"/>
                <w:szCs w:val="21"/>
              </w:rPr>
              <w:t>0.064</w:t>
            </w:r>
          </w:p>
        </w:tc>
        <w:tc>
          <w:tcPr>
            <w:tcW w:w="1148" w:type="pct"/>
            <w:vAlign w:val="center"/>
          </w:tcPr>
          <w:p w14:paraId="7E920597">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10</w:t>
            </w:r>
          </w:p>
        </w:tc>
        <w:tc>
          <w:tcPr>
            <w:tcW w:w="1466" w:type="pct"/>
            <w:vAlign w:val="center"/>
          </w:tcPr>
          <w:p w14:paraId="42ED5DD4">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0.0020</w:t>
            </w:r>
          </w:p>
        </w:tc>
      </w:tr>
      <w:tr w14:paraId="5CA988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continue"/>
            <w:vAlign w:val="center"/>
          </w:tcPr>
          <w:p w14:paraId="45685F0B">
            <w:pPr>
              <w:pStyle w:val="339"/>
              <w:adjustRightInd w:val="0"/>
              <w:snapToGrid w:val="0"/>
              <w:spacing w:line="300" w:lineRule="exact"/>
              <w:rPr>
                <w:rFonts w:hint="eastAsia" w:cs="宋体"/>
                <w:snapToGrid w:val="0"/>
                <w:color w:val="auto"/>
                <w:w w:val="100"/>
                <w:kern w:val="0"/>
                <w:sz w:val="21"/>
                <w:szCs w:val="21"/>
              </w:rPr>
            </w:pPr>
          </w:p>
        </w:tc>
        <w:tc>
          <w:tcPr>
            <w:tcW w:w="650" w:type="pct"/>
            <w:vAlign w:val="center"/>
          </w:tcPr>
          <w:p w14:paraId="50130109">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法兰</w:t>
            </w:r>
          </w:p>
        </w:tc>
        <w:tc>
          <w:tcPr>
            <w:tcW w:w="1087" w:type="pct"/>
            <w:vAlign w:val="center"/>
          </w:tcPr>
          <w:p w14:paraId="041BA086">
            <w:pPr>
              <w:adjustRightInd w:val="0"/>
              <w:snapToGrid w:val="0"/>
              <w:spacing w:line="300" w:lineRule="exact"/>
              <w:jc w:val="center"/>
              <w:rPr>
                <w:rFonts w:hint="eastAsia" w:ascii="宋体" w:hAnsi="宋体" w:cs="宋体"/>
                <w:snapToGrid w:val="0"/>
                <w:color w:val="auto"/>
                <w:kern w:val="0"/>
                <w:szCs w:val="21"/>
              </w:rPr>
            </w:pPr>
            <w:r>
              <w:rPr>
                <w:rFonts w:hint="eastAsia" w:ascii="宋体" w:hAnsi="宋体" w:cs="宋体"/>
                <w:snapToGrid w:val="0"/>
                <w:color w:val="auto"/>
                <w:kern w:val="0"/>
                <w:szCs w:val="21"/>
              </w:rPr>
              <w:t>0.085</w:t>
            </w:r>
          </w:p>
        </w:tc>
        <w:tc>
          <w:tcPr>
            <w:tcW w:w="1148" w:type="pct"/>
            <w:vAlign w:val="center"/>
          </w:tcPr>
          <w:p w14:paraId="32E9D786">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20</w:t>
            </w:r>
          </w:p>
        </w:tc>
        <w:tc>
          <w:tcPr>
            <w:tcW w:w="1466" w:type="pct"/>
            <w:vAlign w:val="center"/>
          </w:tcPr>
          <w:p w14:paraId="4FFDF4EA">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0.0053</w:t>
            </w:r>
          </w:p>
        </w:tc>
      </w:tr>
      <w:tr w14:paraId="3FAC8EB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continue"/>
            <w:vAlign w:val="center"/>
          </w:tcPr>
          <w:p w14:paraId="6EE8775D">
            <w:pPr>
              <w:pStyle w:val="339"/>
              <w:adjustRightInd w:val="0"/>
              <w:snapToGrid w:val="0"/>
              <w:spacing w:line="300" w:lineRule="exact"/>
              <w:rPr>
                <w:rFonts w:hint="eastAsia" w:cs="宋体"/>
                <w:snapToGrid w:val="0"/>
                <w:color w:val="auto"/>
                <w:w w:val="100"/>
                <w:kern w:val="0"/>
                <w:sz w:val="21"/>
                <w:szCs w:val="21"/>
              </w:rPr>
            </w:pPr>
          </w:p>
        </w:tc>
        <w:tc>
          <w:tcPr>
            <w:tcW w:w="650" w:type="pct"/>
            <w:vAlign w:val="center"/>
          </w:tcPr>
          <w:p w14:paraId="67382B6F">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连接件</w:t>
            </w:r>
          </w:p>
        </w:tc>
        <w:tc>
          <w:tcPr>
            <w:tcW w:w="1087" w:type="pct"/>
            <w:vAlign w:val="center"/>
          </w:tcPr>
          <w:p w14:paraId="70E73CE1">
            <w:pPr>
              <w:adjustRightInd w:val="0"/>
              <w:snapToGrid w:val="0"/>
              <w:spacing w:line="300" w:lineRule="exact"/>
              <w:jc w:val="center"/>
              <w:rPr>
                <w:rFonts w:hint="eastAsia" w:ascii="宋体" w:hAnsi="宋体" w:cs="宋体"/>
                <w:snapToGrid w:val="0"/>
                <w:color w:val="auto"/>
                <w:kern w:val="0"/>
                <w:szCs w:val="21"/>
              </w:rPr>
            </w:pPr>
            <w:r>
              <w:rPr>
                <w:rFonts w:hint="eastAsia" w:ascii="宋体" w:hAnsi="宋体" w:cs="宋体"/>
                <w:snapToGrid w:val="0"/>
                <w:color w:val="auto"/>
                <w:kern w:val="0"/>
                <w:szCs w:val="21"/>
              </w:rPr>
              <w:t>0.028</w:t>
            </w:r>
          </w:p>
        </w:tc>
        <w:tc>
          <w:tcPr>
            <w:tcW w:w="1148" w:type="pct"/>
            <w:vAlign w:val="center"/>
          </w:tcPr>
          <w:p w14:paraId="721771BB">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100</w:t>
            </w:r>
          </w:p>
        </w:tc>
        <w:tc>
          <w:tcPr>
            <w:tcW w:w="1466" w:type="pct"/>
            <w:vAlign w:val="center"/>
          </w:tcPr>
          <w:p w14:paraId="087305A7">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0.0088</w:t>
            </w:r>
          </w:p>
        </w:tc>
      </w:tr>
      <w:tr w14:paraId="6EDA96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49" w:type="pct"/>
            <w:vMerge w:val="continue"/>
            <w:vAlign w:val="center"/>
          </w:tcPr>
          <w:p w14:paraId="59ECD5E8">
            <w:pPr>
              <w:pStyle w:val="339"/>
              <w:adjustRightInd w:val="0"/>
              <w:snapToGrid w:val="0"/>
              <w:spacing w:line="300" w:lineRule="exact"/>
              <w:rPr>
                <w:rFonts w:hint="eastAsia" w:cs="宋体"/>
                <w:snapToGrid w:val="0"/>
                <w:color w:val="auto"/>
                <w:w w:val="100"/>
                <w:kern w:val="0"/>
                <w:sz w:val="21"/>
                <w:szCs w:val="21"/>
              </w:rPr>
            </w:pPr>
          </w:p>
        </w:tc>
        <w:tc>
          <w:tcPr>
            <w:tcW w:w="650" w:type="pct"/>
            <w:vAlign w:val="center"/>
          </w:tcPr>
          <w:p w14:paraId="6DD6F8AD">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小计</w:t>
            </w:r>
          </w:p>
        </w:tc>
        <w:tc>
          <w:tcPr>
            <w:tcW w:w="1087" w:type="pct"/>
            <w:vAlign w:val="center"/>
          </w:tcPr>
          <w:p w14:paraId="6B0EE50E">
            <w:pPr>
              <w:adjustRightInd w:val="0"/>
              <w:snapToGrid w:val="0"/>
              <w:spacing w:line="300" w:lineRule="exact"/>
              <w:jc w:val="center"/>
              <w:rPr>
                <w:rFonts w:hint="eastAsia" w:ascii="宋体" w:hAnsi="宋体" w:cs="宋体"/>
                <w:snapToGrid w:val="0"/>
                <w:color w:val="auto"/>
                <w:kern w:val="0"/>
                <w:sz w:val="20"/>
                <w:szCs w:val="21"/>
              </w:rPr>
            </w:pPr>
            <w:r>
              <w:rPr>
                <w:rFonts w:hint="eastAsia" w:ascii="宋体" w:hAnsi="宋体" w:cs="宋体"/>
                <w:snapToGrid w:val="0"/>
                <w:color w:val="auto"/>
                <w:kern w:val="0"/>
                <w:szCs w:val="21"/>
              </w:rPr>
              <w:t>/</w:t>
            </w:r>
          </w:p>
        </w:tc>
        <w:tc>
          <w:tcPr>
            <w:tcW w:w="1148" w:type="pct"/>
            <w:vAlign w:val="center"/>
          </w:tcPr>
          <w:p w14:paraId="35762C9E">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w:t>
            </w:r>
          </w:p>
        </w:tc>
        <w:tc>
          <w:tcPr>
            <w:tcW w:w="1466" w:type="pct"/>
            <w:vAlign w:val="center"/>
          </w:tcPr>
          <w:p w14:paraId="119A7DD9">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0.0161</w:t>
            </w:r>
          </w:p>
        </w:tc>
      </w:tr>
      <w:tr w14:paraId="0B2D4B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534" w:type="pct"/>
            <w:gridSpan w:val="4"/>
            <w:vAlign w:val="center"/>
          </w:tcPr>
          <w:p w14:paraId="52BED8A4">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合计</w:t>
            </w:r>
          </w:p>
        </w:tc>
        <w:tc>
          <w:tcPr>
            <w:tcW w:w="1466" w:type="pct"/>
            <w:vAlign w:val="center"/>
          </w:tcPr>
          <w:p w14:paraId="7E89E544">
            <w:pPr>
              <w:pStyle w:val="339"/>
              <w:adjustRightInd w:val="0"/>
              <w:snapToGrid w:val="0"/>
              <w:spacing w:line="300" w:lineRule="exact"/>
              <w:rPr>
                <w:rFonts w:hint="eastAsia" w:cs="宋体"/>
                <w:snapToGrid w:val="0"/>
                <w:color w:val="auto"/>
                <w:w w:val="100"/>
                <w:kern w:val="0"/>
                <w:sz w:val="21"/>
                <w:szCs w:val="21"/>
              </w:rPr>
            </w:pPr>
            <w:r>
              <w:rPr>
                <w:rFonts w:hint="eastAsia" w:cs="宋体"/>
                <w:snapToGrid w:val="0"/>
                <w:color w:val="auto"/>
                <w:w w:val="100"/>
                <w:kern w:val="0"/>
                <w:sz w:val="21"/>
                <w:szCs w:val="21"/>
              </w:rPr>
              <w:t>0.248</w:t>
            </w:r>
          </w:p>
        </w:tc>
      </w:tr>
    </w:tbl>
    <w:p w14:paraId="63C1D91A">
      <w:pPr>
        <w:adjustRightInd w:val="0"/>
        <w:snapToGrid w:val="0"/>
        <w:spacing w:line="500" w:lineRule="exact"/>
        <w:ind w:firstLine="480" w:firstLineChars="200"/>
        <w:jc w:val="left"/>
        <w:textAlignment w:val="baseline"/>
        <w:rPr>
          <w:rFonts w:hint="eastAsia" w:ascii="宋体" w:hAnsi="宋体"/>
          <w:color w:val="auto"/>
          <w:kern w:val="0"/>
          <w:sz w:val="24"/>
        </w:rPr>
      </w:pPr>
      <w:r>
        <w:rPr>
          <w:rFonts w:hint="eastAsia" w:ascii="宋体" w:hAnsi="宋体"/>
          <w:color w:val="auto"/>
          <w:kern w:val="0"/>
          <w:sz w:val="24"/>
        </w:rPr>
        <w:t>③储油罐大小呼吸无组织废气</w:t>
      </w:r>
    </w:p>
    <w:p w14:paraId="1EB2AE49">
      <w:pPr>
        <w:pStyle w:val="86"/>
        <w:spacing w:line="480" w:lineRule="exact"/>
        <w:ind w:firstLine="480"/>
        <w:rPr>
          <w:rFonts w:hint="eastAsia"/>
          <w:color w:val="auto"/>
          <w:kern w:val="0"/>
          <w:lang w:bidi="ar"/>
        </w:rPr>
      </w:pPr>
      <w:r>
        <w:rPr>
          <w:rFonts w:hint="eastAsia"/>
          <w:color w:val="auto"/>
        </w:rPr>
        <w:t>原油储油罐均采用固定顶罐，</w:t>
      </w:r>
      <w:r>
        <w:rPr>
          <w:rFonts w:hint="eastAsia"/>
          <w:color w:val="auto"/>
          <w:kern w:val="0"/>
          <w:lang w:bidi="ar"/>
        </w:rPr>
        <w:t>储罐因大小呼吸作用排放无组织非甲烷总烃，小呼吸排放是由于温度和大气压力的变化引起蒸气的膨胀和收缩而产生的蒸气排出，它出现在罐内液面无任何变化的情况，是非人为干扰的自然排放方式；大呼吸排放是由于人为的装料与卸料而产生的损失。因装料时罐内压力超过释放压力，蒸气从罐内压出，而卸料损失发生于液面排出，空气被抽入罐体内，因空气变成有机蒸气饱和的气体而膨胀，因而超过蒸气空间容纳的能力。</w:t>
      </w:r>
    </w:p>
    <w:p w14:paraId="47D4F951">
      <w:pPr>
        <w:adjustRightInd w:val="0"/>
        <w:snapToGrid w:val="0"/>
        <w:spacing w:line="500" w:lineRule="exact"/>
        <w:ind w:firstLine="480" w:firstLineChars="200"/>
        <w:jc w:val="left"/>
        <w:textAlignment w:val="baseline"/>
        <w:rPr>
          <w:rFonts w:hint="eastAsia" w:ascii="宋体" w:hAnsi="宋体" w:cs="楷体"/>
          <w:color w:val="auto"/>
          <w:kern w:val="0"/>
          <w:sz w:val="24"/>
          <w:szCs w:val="24"/>
        </w:rPr>
      </w:pPr>
      <w:r>
        <w:rPr>
          <w:rFonts w:hint="eastAsia" w:ascii="宋体" w:hAnsi="宋体" w:cs="楷体"/>
          <w:color w:val="auto"/>
          <w:kern w:val="0"/>
          <w:sz w:val="24"/>
          <w:szCs w:val="24"/>
        </w:rPr>
        <w:t>本次采用中国石油化工系统编制的经验公式计算大小呼吸损失，计算参数参考《石油库节能设计导则》（SH/T3002-2000），公式如下：</w:t>
      </w:r>
    </w:p>
    <w:p w14:paraId="506D6740">
      <w:pPr>
        <w:adjustRightInd w:val="0"/>
        <w:snapToGrid w:val="0"/>
        <w:spacing w:line="500" w:lineRule="exact"/>
        <w:ind w:firstLine="480" w:firstLineChars="200"/>
        <w:jc w:val="left"/>
        <w:textAlignment w:val="baseline"/>
        <w:rPr>
          <w:rFonts w:hint="eastAsia" w:ascii="宋体" w:hAnsi="宋体" w:cs="楷体"/>
          <w:color w:val="auto"/>
          <w:kern w:val="0"/>
          <w:sz w:val="24"/>
          <w:szCs w:val="24"/>
        </w:rPr>
      </w:pPr>
      <w:r>
        <w:rPr>
          <w:rFonts w:hint="eastAsia" w:ascii="宋体" w:hAnsi="宋体" w:cs="楷体"/>
          <w:color w:val="auto"/>
          <w:kern w:val="0"/>
          <w:sz w:val="24"/>
          <w:szCs w:val="24"/>
        </w:rPr>
        <w:t>大呼吸：</w:t>
      </w:r>
    </w:p>
    <w:p w14:paraId="101EDF64">
      <w:pPr>
        <w:autoSpaceDE w:val="0"/>
        <w:autoSpaceDN w:val="0"/>
        <w:adjustRightInd w:val="0"/>
        <w:snapToGrid w:val="0"/>
        <w:spacing w:line="500" w:lineRule="exact"/>
        <w:ind w:firstLine="2160" w:firstLineChars="900"/>
        <w:jc w:val="left"/>
        <w:rPr>
          <w:rFonts w:hint="eastAsia" w:ascii="宋体" w:hAnsi="宋体" w:cs="楷体"/>
          <w:color w:val="auto"/>
          <w:kern w:val="0"/>
          <w:sz w:val="24"/>
          <w:szCs w:val="24"/>
          <w:vertAlign w:val="subscript"/>
        </w:rPr>
      </w:pPr>
      <w:r>
        <w:rPr>
          <w:rFonts w:hint="eastAsia" w:ascii="宋体" w:hAnsi="宋体" w:cs="楷体"/>
          <w:color w:val="auto"/>
          <w:kern w:val="0"/>
          <w:sz w:val="24"/>
          <w:szCs w:val="24"/>
        </w:rPr>
        <w:t>L</w:t>
      </w:r>
      <w:r>
        <w:rPr>
          <w:rFonts w:ascii="宋体" w:hAnsi="宋体" w:cs="楷体"/>
          <w:color w:val="auto"/>
          <w:kern w:val="0"/>
          <w:sz w:val="24"/>
          <w:szCs w:val="24"/>
          <w:vertAlign w:val="subscript"/>
        </w:rPr>
        <w:t>DW</w:t>
      </w:r>
      <w:r>
        <w:rPr>
          <w:rFonts w:hint="eastAsia" w:ascii="宋体" w:hAnsi="宋体" w:cs="楷体"/>
          <w:color w:val="auto"/>
          <w:kern w:val="0"/>
          <w:sz w:val="24"/>
          <w:szCs w:val="24"/>
        </w:rPr>
        <w:t>=4.35×10</w:t>
      </w:r>
      <w:r>
        <w:rPr>
          <w:rFonts w:ascii="宋体" w:hAnsi="宋体" w:cs="楷体"/>
          <w:color w:val="auto"/>
          <w:kern w:val="0"/>
          <w:sz w:val="24"/>
          <w:szCs w:val="24"/>
          <w:vertAlign w:val="superscript"/>
        </w:rPr>
        <w:t>-5</w:t>
      </w:r>
      <w:r>
        <w:rPr>
          <w:rFonts w:hint="eastAsia" w:ascii="宋体" w:hAnsi="宋体" w:cs="楷体"/>
          <w:color w:val="auto"/>
          <w:kern w:val="0"/>
          <w:sz w:val="24"/>
          <w:szCs w:val="24"/>
        </w:rPr>
        <w:t>×P×ρ×V×K</w:t>
      </w:r>
      <w:r>
        <w:rPr>
          <w:rFonts w:ascii="宋体" w:hAnsi="宋体" w:cs="楷体"/>
          <w:color w:val="auto"/>
          <w:kern w:val="0"/>
          <w:sz w:val="24"/>
          <w:szCs w:val="24"/>
          <w:vertAlign w:val="subscript"/>
        </w:rPr>
        <w:t>T</w:t>
      </w:r>
      <w:r>
        <w:rPr>
          <w:rFonts w:hint="eastAsia" w:ascii="宋体" w:hAnsi="宋体" w:cs="楷体"/>
          <w:color w:val="auto"/>
          <w:kern w:val="0"/>
          <w:sz w:val="24"/>
          <w:szCs w:val="24"/>
        </w:rPr>
        <w:t>×K</w:t>
      </w:r>
      <w:r>
        <w:rPr>
          <w:rFonts w:ascii="宋体" w:hAnsi="宋体" w:cs="楷体"/>
          <w:color w:val="auto"/>
          <w:kern w:val="0"/>
          <w:sz w:val="24"/>
          <w:szCs w:val="24"/>
          <w:vertAlign w:val="subscript"/>
        </w:rPr>
        <w:t>E</w:t>
      </w:r>
    </w:p>
    <w:p w14:paraId="0B6CAA57">
      <w:pPr>
        <w:autoSpaceDE w:val="0"/>
        <w:autoSpaceDN w:val="0"/>
        <w:adjustRightInd w:val="0"/>
        <w:snapToGrid w:val="0"/>
        <w:spacing w:line="500" w:lineRule="exact"/>
        <w:ind w:firstLine="480" w:firstLineChars="200"/>
        <w:jc w:val="left"/>
        <w:rPr>
          <w:rFonts w:hint="eastAsia" w:ascii="宋体" w:hAnsi="宋体" w:cs="楷体"/>
          <w:color w:val="auto"/>
          <w:kern w:val="0"/>
          <w:sz w:val="24"/>
          <w:szCs w:val="24"/>
        </w:rPr>
      </w:pPr>
      <w:r>
        <w:rPr>
          <w:rFonts w:hint="eastAsia" w:ascii="宋体" w:hAnsi="宋体" w:cs="楷体"/>
          <w:color w:val="auto"/>
          <w:kern w:val="0"/>
          <w:sz w:val="24"/>
          <w:szCs w:val="24"/>
        </w:rPr>
        <w:t>式中：L</w:t>
      </w:r>
      <w:r>
        <w:rPr>
          <w:rFonts w:hint="eastAsia" w:ascii="宋体" w:hAnsi="宋体" w:cs="楷体"/>
          <w:color w:val="auto"/>
          <w:kern w:val="0"/>
          <w:sz w:val="24"/>
          <w:szCs w:val="24"/>
          <w:vertAlign w:val="subscript"/>
        </w:rPr>
        <w:t>DW</w:t>
      </w:r>
      <w:r>
        <w:rPr>
          <w:rFonts w:hint="eastAsia" w:ascii="宋体" w:hAnsi="宋体" w:cs="楷体"/>
          <w:color w:val="auto"/>
          <w:kern w:val="0"/>
          <w:sz w:val="24"/>
          <w:szCs w:val="24"/>
        </w:rPr>
        <w:t>—拱顶罐的年大呼吸损耗量，kg/a；</w:t>
      </w:r>
    </w:p>
    <w:p w14:paraId="62CF891F">
      <w:pPr>
        <w:autoSpaceDE w:val="0"/>
        <w:autoSpaceDN w:val="0"/>
        <w:adjustRightInd w:val="0"/>
        <w:snapToGrid w:val="0"/>
        <w:spacing w:line="500" w:lineRule="exact"/>
        <w:ind w:firstLine="200"/>
        <w:rPr>
          <w:rFonts w:hint="eastAsia" w:ascii="宋体" w:hAnsi="宋体" w:cs="楷体"/>
          <w:color w:val="auto"/>
          <w:kern w:val="0"/>
          <w:sz w:val="24"/>
          <w:szCs w:val="24"/>
        </w:rPr>
      </w:pPr>
      <w:r>
        <w:rPr>
          <w:rFonts w:hint="eastAsia" w:ascii="宋体" w:hAnsi="宋体" w:cs="楷体"/>
          <w:color w:val="auto"/>
          <w:kern w:val="0"/>
          <w:sz w:val="24"/>
          <w:szCs w:val="24"/>
        </w:rPr>
        <w:t xml:space="preserve">        P—储罐内平均温度下油品真实蒸汽压，Pa，本次取9.2k</w:t>
      </w:r>
      <w:r>
        <w:rPr>
          <w:rFonts w:ascii="宋体" w:hAnsi="宋体" w:cs="楷体"/>
          <w:color w:val="auto"/>
          <w:kern w:val="0"/>
          <w:sz w:val="24"/>
          <w:szCs w:val="24"/>
        </w:rPr>
        <w:t>P</w:t>
      </w:r>
      <w:r>
        <w:rPr>
          <w:rFonts w:hint="eastAsia" w:ascii="宋体" w:hAnsi="宋体" w:cs="楷体"/>
          <w:color w:val="auto"/>
          <w:kern w:val="0"/>
          <w:sz w:val="24"/>
          <w:szCs w:val="24"/>
        </w:rPr>
        <w:t>a；</w:t>
      </w:r>
    </w:p>
    <w:p w14:paraId="4ECC48F8">
      <w:pPr>
        <w:autoSpaceDE w:val="0"/>
        <w:autoSpaceDN w:val="0"/>
        <w:adjustRightInd w:val="0"/>
        <w:snapToGrid w:val="0"/>
        <w:spacing w:line="500" w:lineRule="exact"/>
        <w:ind w:firstLine="200"/>
        <w:rPr>
          <w:rFonts w:hint="eastAsia" w:ascii="宋体" w:hAnsi="宋体" w:cs="楷体"/>
          <w:color w:val="auto"/>
          <w:kern w:val="0"/>
          <w:sz w:val="24"/>
          <w:szCs w:val="24"/>
        </w:rPr>
      </w:pPr>
      <w:r>
        <w:rPr>
          <w:rFonts w:hint="eastAsia" w:ascii="宋体" w:hAnsi="宋体" w:cs="楷体"/>
          <w:color w:val="auto"/>
          <w:kern w:val="0"/>
          <w:sz w:val="24"/>
          <w:szCs w:val="24"/>
        </w:rPr>
        <w:t xml:space="preserve">       ρ—储存油品的平均密度，t/m</w:t>
      </w:r>
      <w:r>
        <w:rPr>
          <w:rFonts w:ascii="宋体" w:hAnsi="宋体" w:cs="楷体"/>
          <w:color w:val="auto"/>
          <w:kern w:val="0"/>
          <w:sz w:val="24"/>
          <w:szCs w:val="24"/>
          <w:vertAlign w:val="superscript"/>
        </w:rPr>
        <w:t>3</w:t>
      </w:r>
      <w:r>
        <w:rPr>
          <w:rFonts w:hint="eastAsia" w:ascii="宋体" w:hAnsi="宋体" w:cs="楷体"/>
          <w:color w:val="auto"/>
          <w:kern w:val="0"/>
          <w:sz w:val="24"/>
          <w:szCs w:val="24"/>
        </w:rPr>
        <w:t>，本次取</w:t>
      </w:r>
      <w:r>
        <w:rPr>
          <w:rFonts w:ascii="宋体" w:hAnsi="宋体"/>
          <w:color w:val="auto"/>
          <w:sz w:val="24"/>
          <w:szCs w:val="24"/>
        </w:rPr>
        <w:t>0.</w:t>
      </w:r>
      <w:r>
        <w:rPr>
          <w:rFonts w:hint="eastAsia" w:ascii="宋体" w:hAnsi="宋体"/>
          <w:color w:val="auto"/>
          <w:sz w:val="24"/>
          <w:szCs w:val="24"/>
        </w:rPr>
        <w:t>7714t</w:t>
      </w:r>
      <w:r>
        <w:rPr>
          <w:rFonts w:hint="eastAsia" w:ascii="宋体" w:hAnsi="宋体" w:cs="楷体"/>
          <w:color w:val="auto"/>
          <w:kern w:val="0"/>
          <w:sz w:val="24"/>
          <w:szCs w:val="24"/>
        </w:rPr>
        <w:t>/m</w:t>
      </w:r>
      <w:r>
        <w:rPr>
          <w:rFonts w:ascii="宋体" w:hAnsi="宋体" w:cs="楷体"/>
          <w:color w:val="auto"/>
          <w:kern w:val="0"/>
          <w:sz w:val="24"/>
          <w:szCs w:val="24"/>
          <w:vertAlign w:val="superscript"/>
        </w:rPr>
        <w:t>3</w:t>
      </w:r>
      <w:r>
        <w:rPr>
          <w:rFonts w:hint="eastAsia" w:ascii="宋体" w:hAnsi="宋体" w:cs="楷体"/>
          <w:color w:val="auto"/>
          <w:kern w:val="0"/>
          <w:sz w:val="24"/>
          <w:szCs w:val="24"/>
        </w:rPr>
        <w:t>；</w:t>
      </w:r>
    </w:p>
    <w:p w14:paraId="0E1842B7">
      <w:pPr>
        <w:autoSpaceDE w:val="0"/>
        <w:autoSpaceDN w:val="0"/>
        <w:adjustRightInd w:val="0"/>
        <w:snapToGrid w:val="0"/>
        <w:spacing w:line="500" w:lineRule="exact"/>
        <w:ind w:firstLine="200"/>
        <w:rPr>
          <w:rFonts w:hint="eastAsia" w:ascii="宋体" w:hAnsi="宋体" w:cs="楷体"/>
          <w:color w:val="auto"/>
          <w:kern w:val="0"/>
          <w:sz w:val="24"/>
          <w:szCs w:val="24"/>
        </w:rPr>
      </w:pPr>
      <w:r>
        <w:rPr>
          <w:rFonts w:hint="eastAsia" w:ascii="宋体" w:hAnsi="宋体" w:cs="楷体"/>
          <w:color w:val="auto"/>
          <w:kern w:val="0"/>
          <w:sz w:val="24"/>
          <w:szCs w:val="24"/>
        </w:rPr>
        <w:t xml:space="preserve">        V—油品年泵送入罐体积，m</w:t>
      </w:r>
      <w:r>
        <w:rPr>
          <w:rFonts w:ascii="宋体" w:hAnsi="宋体" w:cs="楷体"/>
          <w:color w:val="auto"/>
          <w:kern w:val="0"/>
          <w:sz w:val="24"/>
          <w:szCs w:val="24"/>
          <w:vertAlign w:val="superscript"/>
        </w:rPr>
        <w:t>3</w:t>
      </w:r>
      <w:r>
        <w:rPr>
          <w:rFonts w:hint="eastAsia" w:ascii="宋体" w:hAnsi="宋体" w:cs="楷体"/>
          <w:color w:val="auto"/>
          <w:kern w:val="0"/>
          <w:sz w:val="24"/>
          <w:szCs w:val="24"/>
        </w:rPr>
        <w:t>/a，本次0.98</w:t>
      </w:r>
      <w:r>
        <w:rPr>
          <w:rFonts w:ascii="宋体" w:hAnsi="宋体" w:cs="楷体"/>
          <w:color w:val="auto"/>
          <w:kern w:val="0"/>
          <w:sz w:val="24"/>
          <w:szCs w:val="24"/>
        </w:rPr>
        <w:t>×10</w:t>
      </w:r>
      <w:r>
        <w:rPr>
          <w:rFonts w:ascii="宋体" w:hAnsi="宋体" w:cs="楷体"/>
          <w:color w:val="auto"/>
          <w:kern w:val="0"/>
          <w:sz w:val="24"/>
          <w:szCs w:val="24"/>
          <w:vertAlign w:val="superscript"/>
        </w:rPr>
        <w:t>4</w:t>
      </w:r>
      <w:r>
        <w:rPr>
          <w:rFonts w:hint="eastAsia" w:ascii="宋体" w:hAnsi="宋体" w:cs="楷体"/>
          <w:color w:val="auto"/>
          <w:kern w:val="0"/>
          <w:sz w:val="24"/>
          <w:szCs w:val="24"/>
        </w:rPr>
        <w:t>m</w:t>
      </w:r>
      <w:r>
        <w:rPr>
          <w:rFonts w:hint="eastAsia" w:ascii="宋体" w:hAnsi="宋体" w:cs="楷体"/>
          <w:color w:val="auto"/>
          <w:kern w:val="0"/>
          <w:sz w:val="24"/>
          <w:szCs w:val="24"/>
          <w:vertAlign w:val="superscript"/>
        </w:rPr>
        <w:t>3</w:t>
      </w:r>
      <w:r>
        <w:rPr>
          <w:rFonts w:hint="eastAsia" w:ascii="宋体" w:hAnsi="宋体" w:cs="楷体"/>
          <w:color w:val="auto"/>
          <w:kern w:val="0"/>
          <w:sz w:val="24"/>
          <w:szCs w:val="24"/>
        </w:rPr>
        <w:t>/a；</w:t>
      </w:r>
    </w:p>
    <w:p w14:paraId="53C41A2E">
      <w:pPr>
        <w:autoSpaceDE w:val="0"/>
        <w:autoSpaceDN w:val="0"/>
        <w:adjustRightInd w:val="0"/>
        <w:snapToGrid w:val="0"/>
        <w:spacing w:line="500" w:lineRule="exact"/>
        <w:ind w:firstLine="200"/>
        <w:rPr>
          <w:rFonts w:hint="eastAsia" w:ascii="宋体" w:hAnsi="宋体" w:cs="楷体"/>
          <w:color w:val="auto"/>
          <w:kern w:val="0"/>
          <w:sz w:val="24"/>
          <w:szCs w:val="24"/>
        </w:rPr>
      </w:pPr>
      <w:r>
        <w:rPr>
          <w:rFonts w:hint="eastAsia" w:ascii="宋体" w:hAnsi="宋体" w:cs="楷体"/>
          <w:color w:val="auto"/>
          <w:kern w:val="0"/>
          <w:sz w:val="24"/>
          <w:szCs w:val="24"/>
        </w:rPr>
        <w:t xml:space="preserve">        K</w:t>
      </w:r>
      <w:r>
        <w:rPr>
          <w:rFonts w:hint="eastAsia" w:ascii="宋体" w:hAnsi="宋体" w:cs="楷体"/>
          <w:color w:val="auto"/>
          <w:kern w:val="0"/>
          <w:sz w:val="24"/>
          <w:szCs w:val="24"/>
          <w:vertAlign w:val="subscript"/>
        </w:rPr>
        <w:t>T</w:t>
      </w:r>
      <w:r>
        <w:rPr>
          <w:rFonts w:hint="eastAsia" w:ascii="宋体" w:hAnsi="宋体" w:cs="楷体"/>
          <w:color w:val="auto"/>
          <w:kern w:val="0"/>
          <w:sz w:val="24"/>
          <w:szCs w:val="24"/>
        </w:rPr>
        <w:t>—周转系数，（按K</w:t>
      </w:r>
      <w:r>
        <w:rPr>
          <w:rFonts w:hint="eastAsia" w:ascii="宋体" w:hAnsi="宋体" w:cs="楷体"/>
          <w:color w:val="auto"/>
          <w:kern w:val="0"/>
          <w:sz w:val="24"/>
          <w:szCs w:val="24"/>
          <w:vertAlign w:val="subscript"/>
        </w:rPr>
        <w:t>T</w:t>
      </w:r>
      <w:r>
        <w:rPr>
          <w:rFonts w:hint="eastAsia" w:ascii="宋体" w:hAnsi="宋体" w:cs="楷体"/>
          <w:color w:val="auto"/>
          <w:kern w:val="0"/>
          <w:sz w:val="24"/>
          <w:szCs w:val="24"/>
        </w:rPr>
        <w:t>=</w:t>
      </w:r>
      <w:r>
        <w:rPr>
          <w:rFonts w:ascii="宋体" w:hAnsi="宋体" w:cs="楷体"/>
          <w:color w:val="auto"/>
          <w:kern w:val="0"/>
          <w:sz w:val="24"/>
          <w:szCs w:val="24"/>
        </w:rPr>
        <w:t>1</w:t>
      </w:r>
      <w:r>
        <w:rPr>
          <w:rFonts w:hint="eastAsia" w:ascii="宋体" w:hAnsi="宋体" w:cs="楷体"/>
          <w:color w:val="auto"/>
          <w:kern w:val="0"/>
          <w:sz w:val="24"/>
          <w:szCs w:val="24"/>
        </w:rPr>
        <w:t>计算）；</w:t>
      </w:r>
    </w:p>
    <w:p w14:paraId="252D3D4A">
      <w:pPr>
        <w:autoSpaceDE w:val="0"/>
        <w:autoSpaceDN w:val="0"/>
        <w:adjustRightInd w:val="0"/>
        <w:snapToGrid w:val="0"/>
        <w:spacing w:line="500" w:lineRule="exact"/>
        <w:ind w:firstLine="1200" w:firstLineChars="500"/>
        <w:rPr>
          <w:rFonts w:hint="eastAsia" w:ascii="宋体" w:hAnsi="宋体" w:cs="楷体"/>
          <w:color w:val="auto"/>
          <w:kern w:val="0"/>
          <w:sz w:val="24"/>
          <w:szCs w:val="24"/>
        </w:rPr>
      </w:pPr>
      <w:r>
        <w:rPr>
          <w:rFonts w:hint="eastAsia" w:ascii="宋体" w:hAnsi="宋体" w:cs="楷体"/>
          <w:color w:val="auto"/>
          <w:kern w:val="0"/>
          <w:sz w:val="24"/>
          <w:szCs w:val="24"/>
        </w:rPr>
        <w:t>K</w:t>
      </w:r>
      <w:r>
        <w:rPr>
          <w:rFonts w:ascii="宋体" w:hAnsi="宋体" w:cs="楷体"/>
          <w:color w:val="auto"/>
          <w:kern w:val="0"/>
          <w:sz w:val="24"/>
          <w:szCs w:val="24"/>
          <w:vertAlign w:val="subscript"/>
        </w:rPr>
        <w:t>E</w:t>
      </w:r>
      <w:r>
        <w:rPr>
          <w:rFonts w:hint="eastAsia" w:ascii="宋体" w:hAnsi="宋体" w:cs="楷体"/>
          <w:color w:val="auto"/>
          <w:kern w:val="0"/>
          <w:sz w:val="24"/>
          <w:szCs w:val="24"/>
        </w:rPr>
        <w:t>—油品系数，（汽油取1.0，原油取0.75）。</w:t>
      </w:r>
    </w:p>
    <w:p w14:paraId="53950CE9">
      <w:pPr>
        <w:autoSpaceDE w:val="0"/>
        <w:autoSpaceDN w:val="0"/>
        <w:adjustRightInd w:val="0"/>
        <w:snapToGrid w:val="0"/>
        <w:spacing w:line="500" w:lineRule="exact"/>
        <w:ind w:firstLine="480" w:firstLineChars="200"/>
        <w:rPr>
          <w:rFonts w:hint="eastAsia" w:ascii="宋体" w:hAnsi="宋体" w:cs="楷体"/>
          <w:color w:val="auto"/>
          <w:kern w:val="0"/>
          <w:sz w:val="24"/>
          <w:szCs w:val="24"/>
        </w:rPr>
      </w:pPr>
      <w:r>
        <w:rPr>
          <w:rFonts w:hint="eastAsia" w:ascii="宋体" w:hAnsi="宋体" w:cs="楷体"/>
          <w:color w:val="auto"/>
          <w:kern w:val="0"/>
          <w:sz w:val="24"/>
          <w:szCs w:val="24"/>
        </w:rPr>
        <w:t>小呼吸：</w:t>
      </w:r>
    </w:p>
    <w:p w14:paraId="181D15FF">
      <w:pPr>
        <w:autoSpaceDE w:val="0"/>
        <w:autoSpaceDN w:val="0"/>
        <w:adjustRightInd w:val="0"/>
        <w:snapToGrid w:val="0"/>
        <w:spacing w:line="500" w:lineRule="exact"/>
        <w:jc w:val="center"/>
        <w:rPr>
          <w:rFonts w:hint="eastAsia" w:ascii="宋体" w:hAnsi="宋体" w:cs="楷体"/>
          <w:color w:val="auto"/>
          <w:kern w:val="0"/>
          <w:sz w:val="24"/>
          <w:szCs w:val="24"/>
        </w:rPr>
      </w:pPr>
      <w:r>
        <w:rPr>
          <w:rFonts w:hint="eastAsia" w:ascii="宋体" w:hAnsi="宋体" w:cs="楷体"/>
          <w:color w:val="auto"/>
          <w:kern w:val="0"/>
          <w:sz w:val="24"/>
          <w:szCs w:val="24"/>
        </w:rPr>
        <w:t>L</w:t>
      </w:r>
      <w:r>
        <w:rPr>
          <w:rFonts w:ascii="宋体" w:hAnsi="宋体" w:cs="楷体"/>
          <w:color w:val="auto"/>
          <w:kern w:val="0"/>
          <w:sz w:val="24"/>
          <w:szCs w:val="24"/>
          <w:vertAlign w:val="subscript"/>
        </w:rPr>
        <w:t>DS</w:t>
      </w:r>
      <w:r>
        <w:rPr>
          <w:rFonts w:hint="eastAsia" w:ascii="宋体" w:hAnsi="宋体" w:cs="楷体"/>
          <w:color w:val="auto"/>
          <w:kern w:val="0"/>
          <w:sz w:val="24"/>
          <w:szCs w:val="24"/>
        </w:rPr>
        <w:t>=12.751×10</w:t>
      </w:r>
      <w:r>
        <w:rPr>
          <w:rFonts w:ascii="宋体" w:hAnsi="宋体" w:cs="楷体"/>
          <w:color w:val="auto"/>
          <w:kern w:val="0"/>
          <w:sz w:val="24"/>
          <w:szCs w:val="24"/>
          <w:vertAlign w:val="superscript"/>
        </w:rPr>
        <w:t>-3</w:t>
      </w:r>
      <w:r>
        <w:rPr>
          <w:rFonts w:hint="eastAsia" w:ascii="宋体" w:hAnsi="宋体" w:cs="楷体"/>
          <w:color w:val="auto"/>
          <w:kern w:val="0"/>
          <w:sz w:val="24"/>
          <w:szCs w:val="24"/>
        </w:rPr>
        <w:t>×K</w:t>
      </w:r>
      <w:r>
        <w:rPr>
          <w:rFonts w:ascii="宋体" w:hAnsi="宋体" w:cs="楷体"/>
          <w:color w:val="auto"/>
          <w:kern w:val="0"/>
          <w:sz w:val="24"/>
          <w:szCs w:val="24"/>
          <w:vertAlign w:val="subscript"/>
        </w:rPr>
        <w:t>E</w:t>
      </w:r>
      <w:r>
        <w:rPr>
          <w:rFonts w:hint="eastAsia" w:ascii="宋体" w:hAnsi="宋体" w:cs="楷体"/>
          <w:color w:val="auto"/>
          <w:kern w:val="0"/>
          <w:sz w:val="24"/>
          <w:szCs w:val="24"/>
        </w:rPr>
        <w:t>×[P</w:t>
      </w:r>
      <w:r>
        <w:rPr>
          <w:rFonts w:ascii="宋体" w:hAnsi="宋体" w:cs="楷体"/>
          <w:color w:val="auto"/>
          <w:kern w:val="0"/>
          <w:sz w:val="24"/>
          <w:szCs w:val="24"/>
          <w:vertAlign w:val="subscript"/>
        </w:rPr>
        <w:t>y</w:t>
      </w:r>
      <w:r>
        <w:rPr>
          <w:rFonts w:hint="eastAsia" w:ascii="宋体" w:hAnsi="宋体" w:cs="楷体"/>
          <w:color w:val="auto"/>
          <w:kern w:val="0"/>
          <w:sz w:val="24"/>
          <w:szCs w:val="24"/>
        </w:rPr>
        <w:t>/(P</w:t>
      </w:r>
      <w:r>
        <w:rPr>
          <w:rFonts w:ascii="宋体" w:hAnsi="宋体" w:cs="楷体"/>
          <w:color w:val="auto"/>
          <w:kern w:val="0"/>
          <w:sz w:val="24"/>
          <w:szCs w:val="24"/>
          <w:vertAlign w:val="subscript"/>
        </w:rPr>
        <w:t>a</w:t>
      </w:r>
      <w:r>
        <w:rPr>
          <w:rFonts w:hint="eastAsia" w:ascii="宋体" w:hAnsi="宋体" w:cs="楷体"/>
          <w:color w:val="auto"/>
          <w:kern w:val="0"/>
          <w:sz w:val="24"/>
          <w:szCs w:val="24"/>
        </w:rPr>
        <w:t>-P</w:t>
      </w:r>
      <w:r>
        <w:rPr>
          <w:rFonts w:ascii="宋体" w:hAnsi="宋体" w:cs="楷体"/>
          <w:color w:val="auto"/>
          <w:kern w:val="0"/>
          <w:sz w:val="24"/>
          <w:szCs w:val="24"/>
          <w:vertAlign w:val="subscript"/>
        </w:rPr>
        <w:t>y</w:t>
      </w:r>
      <w:r>
        <w:rPr>
          <w:rFonts w:hint="eastAsia" w:ascii="宋体" w:hAnsi="宋体" w:cs="楷体"/>
          <w:color w:val="auto"/>
          <w:kern w:val="0"/>
          <w:sz w:val="24"/>
          <w:szCs w:val="24"/>
          <w:vertAlign w:val="subscript"/>
        </w:rPr>
        <w:t>)</w:t>
      </w:r>
      <w:r>
        <w:rPr>
          <w:rFonts w:hint="eastAsia" w:ascii="宋体" w:hAnsi="宋体" w:cs="楷体"/>
          <w:color w:val="auto"/>
          <w:kern w:val="0"/>
          <w:sz w:val="24"/>
          <w:szCs w:val="24"/>
        </w:rPr>
        <w:t>]</w:t>
      </w:r>
      <w:r>
        <w:rPr>
          <w:rFonts w:ascii="宋体" w:hAnsi="宋体" w:cs="楷体"/>
          <w:color w:val="auto"/>
          <w:kern w:val="0"/>
          <w:sz w:val="24"/>
          <w:szCs w:val="24"/>
          <w:vertAlign w:val="superscript"/>
        </w:rPr>
        <w:t>0.68</w:t>
      </w:r>
      <w:r>
        <w:rPr>
          <w:rFonts w:hint="eastAsia" w:ascii="宋体" w:hAnsi="宋体" w:cs="楷体"/>
          <w:color w:val="auto"/>
          <w:kern w:val="0"/>
          <w:sz w:val="24"/>
          <w:szCs w:val="24"/>
        </w:rPr>
        <w:t>×ρ×D</w:t>
      </w:r>
      <w:r>
        <w:rPr>
          <w:rFonts w:ascii="宋体" w:hAnsi="宋体" w:cs="楷体"/>
          <w:color w:val="auto"/>
          <w:kern w:val="0"/>
          <w:sz w:val="24"/>
          <w:szCs w:val="24"/>
          <w:vertAlign w:val="superscript"/>
        </w:rPr>
        <w:t>1.73</w:t>
      </w:r>
      <w:r>
        <w:rPr>
          <w:rFonts w:hint="eastAsia" w:ascii="宋体" w:hAnsi="宋体" w:cs="楷体"/>
          <w:color w:val="auto"/>
          <w:kern w:val="0"/>
          <w:sz w:val="24"/>
          <w:szCs w:val="24"/>
        </w:rPr>
        <w:t>×H</w:t>
      </w:r>
      <w:r>
        <w:rPr>
          <w:rFonts w:ascii="宋体" w:hAnsi="宋体" w:cs="楷体"/>
          <w:color w:val="auto"/>
          <w:kern w:val="0"/>
          <w:sz w:val="24"/>
          <w:szCs w:val="24"/>
          <w:vertAlign w:val="superscript"/>
        </w:rPr>
        <w:t>0.51</w:t>
      </w:r>
      <w:r>
        <w:rPr>
          <w:rFonts w:hint="eastAsia" w:ascii="宋体" w:hAnsi="宋体" w:cs="楷体"/>
          <w:color w:val="auto"/>
          <w:kern w:val="0"/>
          <w:sz w:val="24"/>
          <w:szCs w:val="24"/>
        </w:rPr>
        <w:t>×ΔT</w:t>
      </w:r>
      <w:r>
        <w:rPr>
          <w:rFonts w:ascii="宋体" w:hAnsi="宋体" w:cs="楷体"/>
          <w:color w:val="auto"/>
          <w:kern w:val="0"/>
          <w:sz w:val="24"/>
          <w:szCs w:val="24"/>
          <w:vertAlign w:val="superscript"/>
        </w:rPr>
        <w:t>0.5</w:t>
      </w:r>
      <w:r>
        <w:rPr>
          <w:rFonts w:hint="eastAsia" w:ascii="宋体" w:hAnsi="宋体" w:cs="楷体"/>
          <w:color w:val="auto"/>
          <w:kern w:val="0"/>
          <w:sz w:val="24"/>
          <w:szCs w:val="24"/>
        </w:rPr>
        <w:t>×K</w:t>
      </w:r>
      <w:r>
        <w:rPr>
          <w:rFonts w:ascii="宋体" w:hAnsi="宋体" w:cs="楷体"/>
          <w:color w:val="auto"/>
          <w:kern w:val="0"/>
          <w:sz w:val="24"/>
          <w:szCs w:val="24"/>
          <w:vertAlign w:val="subscript"/>
        </w:rPr>
        <w:t>p</w:t>
      </w:r>
      <w:r>
        <w:rPr>
          <w:rFonts w:hint="eastAsia" w:ascii="宋体" w:hAnsi="宋体" w:cs="楷体"/>
          <w:color w:val="auto"/>
          <w:kern w:val="0"/>
          <w:sz w:val="24"/>
          <w:szCs w:val="24"/>
        </w:rPr>
        <w:t>×C</w:t>
      </w:r>
    </w:p>
    <w:p w14:paraId="2EE198D3">
      <w:pPr>
        <w:autoSpaceDE w:val="0"/>
        <w:autoSpaceDN w:val="0"/>
        <w:adjustRightInd w:val="0"/>
        <w:snapToGrid w:val="0"/>
        <w:spacing w:line="500" w:lineRule="exact"/>
        <w:ind w:firstLine="480" w:firstLineChars="200"/>
        <w:jc w:val="left"/>
        <w:rPr>
          <w:rFonts w:hint="eastAsia" w:ascii="宋体" w:hAnsi="宋体" w:cs="楷体"/>
          <w:color w:val="auto"/>
          <w:kern w:val="0"/>
          <w:sz w:val="24"/>
          <w:szCs w:val="24"/>
        </w:rPr>
      </w:pPr>
      <w:r>
        <w:rPr>
          <w:rFonts w:hint="eastAsia" w:ascii="宋体" w:hAnsi="宋体" w:cs="楷体"/>
          <w:color w:val="auto"/>
          <w:kern w:val="0"/>
          <w:sz w:val="24"/>
          <w:szCs w:val="24"/>
        </w:rPr>
        <w:t>式中：L</w:t>
      </w:r>
      <w:r>
        <w:rPr>
          <w:rFonts w:hint="eastAsia" w:ascii="宋体" w:hAnsi="宋体" w:cs="楷体"/>
          <w:color w:val="auto"/>
          <w:kern w:val="0"/>
          <w:sz w:val="24"/>
          <w:szCs w:val="24"/>
          <w:vertAlign w:val="subscript"/>
        </w:rPr>
        <w:t>DS</w:t>
      </w:r>
      <w:r>
        <w:rPr>
          <w:rFonts w:hint="eastAsia" w:ascii="宋体" w:hAnsi="宋体" w:cs="楷体"/>
          <w:color w:val="auto"/>
          <w:kern w:val="0"/>
          <w:sz w:val="24"/>
          <w:szCs w:val="24"/>
        </w:rPr>
        <w:t>—拱顶罐的年小呼吸损耗量，kg/a；</w:t>
      </w:r>
    </w:p>
    <w:p w14:paraId="1FB0B18B">
      <w:pPr>
        <w:autoSpaceDE w:val="0"/>
        <w:autoSpaceDN w:val="0"/>
        <w:adjustRightInd w:val="0"/>
        <w:snapToGrid w:val="0"/>
        <w:spacing w:line="500" w:lineRule="exact"/>
        <w:ind w:firstLine="1200" w:firstLineChars="500"/>
        <w:jc w:val="left"/>
        <w:rPr>
          <w:rFonts w:hint="eastAsia" w:ascii="宋体" w:hAnsi="宋体" w:cs="楷体"/>
          <w:color w:val="auto"/>
          <w:kern w:val="0"/>
          <w:sz w:val="24"/>
          <w:szCs w:val="24"/>
        </w:rPr>
      </w:pPr>
      <w:r>
        <w:rPr>
          <w:rFonts w:hint="eastAsia" w:ascii="宋体" w:hAnsi="宋体" w:cs="楷体"/>
          <w:color w:val="auto"/>
          <w:kern w:val="0"/>
          <w:sz w:val="24"/>
          <w:szCs w:val="24"/>
        </w:rPr>
        <w:t>ρ—储存油品的平均密度，t/m</w:t>
      </w:r>
      <w:r>
        <w:rPr>
          <w:rFonts w:hint="eastAsia" w:ascii="宋体" w:hAnsi="宋体" w:cs="楷体"/>
          <w:color w:val="auto"/>
          <w:kern w:val="0"/>
          <w:sz w:val="24"/>
          <w:szCs w:val="24"/>
          <w:vertAlign w:val="superscript"/>
        </w:rPr>
        <w:t>3</w:t>
      </w:r>
      <w:r>
        <w:rPr>
          <w:rFonts w:hint="eastAsia" w:ascii="宋体" w:hAnsi="宋体" w:cs="楷体"/>
          <w:color w:val="auto"/>
          <w:kern w:val="0"/>
          <w:sz w:val="24"/>
          <w:szCs w:val="24"/>
        </w:rPr>
        <w:t>，本次取</w:t>
      </w:r>
      <w:r>
        <w:rPr>
          <w:rFonts w:ascii="宋体" w:hAnsi="宋体"/>
          <w:color w:val="auto"/>
          <w:sz w:val="24"/>
          <w:szCs w:val="24"/>
        </w:rPr>
        <w:t>0.</w:t>
      </w:r>
      <w:r>
        <w:rPr>
          <w:rFonts w:hint="eastAsia" w:ascii="宋体" w:hAnsi="宋体"/>
          <w:color w:val="auto"/>
          <w:sz w:val="24"/>
          <w:szCs w:val="24"/>
        </w:rPr>
        <w:t>7714t</w:t>
      </w:r>
      <w:r>
        <w:rPr>
          <w:rFonts w:hint="eastAsia" w:ascii="宋体" w:hAnsi="宋体" w:cs="楷体"/>
          <w:color w:val="auto"/>
          <w:kern w:val="0"/>
          <w:sz w:val="24"/>
          <w:szCs w:val="24"/>
        </w:rPr>
        <w:t>/m</w:t>
      </w:r>
      <w:r>
        <w:rPr>
          <w:rFonts w:ascii="宋体" w:hAnsi="宋体" w:cs="楷体"/>
          <w:color w:val="auto"/>
          <w:kern w:val="0"/>
          <w:sz w:val="24"/>
          <w:szCs w:val="24"/>
          <w:vertAlign w:val="superscript"/>
        </w:rPr>
        <w:t>3</w:t>
      </w:r>
      <w:r>
        <w:rPr>
          <w:rFonts w:hint="eastAsia" w:ascii="宋体" w:hAnsi="宋体" w:cs="楷体"/>
          <w:color w:val="auto"/>
          <w:kern w:val="0"/>
          <w:sz w:val="24"/>
          <w:szCs w:val="24"/>
        </w:rPr>
        <w:t>；</w:t>
      </w:r>
    </w:p>
    <w:p w14:paraId="5897E1A2">
      <w:pPr>
        <w:autoSpaceDE w:val="0"/>
        <w:autoSpaceDN w:val="0"/>
        <w:adjustRightInd w:val="0"/>
        <w:snapToGrid w:val="0"/>
        <w:spacing w:line="500" w:lineRule="exact"/>
        <w:ind w:firstLine="1200" w:firstLineChars="500"/>
        <w:jc w:val="left"/>
        <w:rPr>
          <w:rFonts w:hint="eastAsia" w:ascii="宋体" w:hAnsi="宋体" w:cs="楷体"/>
          <w:color w:val="auto"/>
          <w:kern w:val="0"/>
          <w:sz w:val="24"/>
          <w:szCs w:val="24"/>
        </w:rPr>
      </w:pPr>
      <w:r>
        <w:rPr>
          <w:rFonts w:hint="eastAsia" w:ascii="宋体" w:hAnsi="宋体" w:cs="楷体"/>
          <w:color w:val="auto"/>
          <w:kern w:val="0"/>
          <w:sz w:val="24"/>
          <w:szCs w:val="24"/>
        </w:rPr>
        <w:t>K</w:t>
      </w:r>
      <w:r>
        <w:rPr>
          <w:rFonts w:hint="eastAsia" w:ascii="宋体" w:hAnsi="宋体" w:cs="楷体"/>
          <w:color w:val="auto"/>
          <w:kern w:val="0"/>
          <w:sz w:val="24"/>
          <w:szCs w:val="24"/>
          <w:vertAlign w:val="subscript"/>
        </w:rPr>
        <w:t>E</w:t>
      </w:r>
      <w:r>
        <w:rPr>
          <w:rFonts w:hint="eastAsia" w:ascii="宋体" w:hAnsi="宋体" w:cs="楷体"/>
          <w:color w:val="auto"/>
          <w:kern w:val="0"/>
          <w:sz w:val="24"/>
          <w:szCs w:val="24"/>
        </w:rPr>
        <w:t>—油品系数，（汽油取24，其他油品取14，本次取1</w:t>
      </w:r>
      <w:r>
        <w:rPr>
          <w:rFonts w:ascii="宋体" w:hAnsi="宋体" w:cs="楷体"/>
          <w:color w:val="auto"/>
          <w:kern w:val="0"/>
          <w:sz w:val="24"/>
          <w:szCs w:val="24"/>
        </w:rPr>
        <w:t>4</w:t>
      </w:r>
      <w:r>
        <w:rPr>
          <w:rFonts w:hint="eastAsia" w:ascii="宋体" w:hAnsi="宋体" w:cs="楷体"/>
          <w:color w:val="auto"/>
          <w:kern w:val="0"/>
          <w:sz w:val="24"/>
          <w:szCs w:val="24"/>
        </w:rPr>
        <w:t>）；</w:t>
      </w:r>
    </w:p>
    <w:p w14:paraId="55B7F046">
      <w:pPr>
        <w:autoSpaceDE w:val="0"/>
        <w:autoSpaceDN w:val="0"/>
        <w:adjustRightInd w:val="0"/>
        <w:snapToGrid w:val="0"/>
        <w:spacing w:line="500" w:lineRule="exact"/>
        <w:ind w:firstLine="1200" w:firstLineChars="500"/>
        <w:jc w:val="left"/>
        <w:rPr>
          <w:rFonts w:hint="eastAsia" w:ascii="宋体" w:hAnsi="宋体" w:cs="楷体"/>
          <w:color w:val="auto"/>
          <w:kern w:val="0"/>
          <w:sz w:val="24"/>
          <w:szCs w:val="24"/>
        </w:rPr>
      </w:pPr>
      <w:r>
        <w:rPr>
          <w:rFonts w:hint="eastAsia" w:ascii="宋体" w:hAnsi="宋体" w:cs="楷体"/>
          <w:color w:val="auto"/>
          <w:kern w:val="0"/>
          <w:sz w:val="24"/>
          <w:szCs w:val="24"/>
        </w:rPr>
        <w:t>P</w:t>
      </w:r>
      <w:r>
        <w:rPr>
          <w:rFonts w:ascii="宋体" w:hAnsi="宋体" w:cs="楷体"/>
          <w:color w:val="auto"/>
          <w:kern w:val="0"/>
          <w:sz w:val="24"/>
          <w:szCs w:val="24"/>
          <w:vertAlign w:val="subscript"/>
        </w:rPr>
        <w:t>a</w:t>
      </w:r>
      <w:r>
        <w:rPr>
          <w:rFonts w:hint="eastAsia" w:ascii="宋体" w:hAnsi="宋体" w:cs="楷体"/>
          <w:color w:val="auto"/>
          <w:kern w:val="0"/>
          <w:sz w:val="24"/>
          <w:szCs w:val="24"/>
        </w:rPr>
        <w:t>—当地大气压，mmHg；</w:t>
      </w:r>
    </w:p>
    <w:p w14:paraId="0C8980E7">
      <w:pPr>
        <w:autoSpaceDE w:val="0"/>
        <w:autoSpaceDN w:val="0"/>
        <w:adjustRightInd w:val="0"/>
        <w:snapToGrid w:val="0"/>
        <w:spacing w:line="500" w:lineRule="exact"/>
        <w:ind w:firstLine="1200" w:firstLineChars="500"/>
        <w:jc w:val="left"/>
        <w:rPr>
          <w:rFonts w:hint="eastAsia" w:ascii="宋体" w:hAnsi="宋体" w:cs="楷体"/>
          <w:color w:val="auto"/>
          <w:kern w:val="0"/>
          <w:sz w:val="24"/>
          <w:szCs w:val="24"/>
        </w:rPr>
      </w:pPr>
      <w:r>
        <w:rPr>
          <w:rFonts w:hint="eastAsia" w:ascii="宋体" w:hAnsi="宋体" w:cs="楷体"/>
          <w:color w:val="auto"/>
          <w:kern w:val="0"/>
          <w:sz w:val="24"/>
          <w:szCs w:val="24"/>
        </w:rPr>
        <w:t>P</w:t>
      </w:r>
      <w:r>
        <w:rPr>
          <w:rFonts w:ascii="宋体" w:hAnsi="宋体" w:cs="楷体"/>
          <w:color w:val="auto"/>
          <w:kern w:val="0"/>
          <w:sz w:val="24"/>
          <w:szCs w:val="24"/>
          <w:vertAlign w:val="subscript"/>
        </w:rPr>
        <w:t>y</w:t>
      </w:r>
      <w:r>
        <w:rPr>
          <w:rFonts w:hint="eastAsia" w:ascii="宋体" w:hAnsi="宋体" w:cs="楷体"/>
          <w:color w:val="auto"/>
          <w:kern w:val="0"/>
          <w:sz w:val="24"/>
          <w:szCs w:val="24"/>
        </w:rPr>
        <w:t>—油品本体温度下的真实蒸汽压，mmHg；</w:t>
      </w:r>
    </w:p>
    <w:p w14:paraId="1222DEBC">
      <w:pPr>
        <w:autoSpaceDE w:val="0"/>
        <w:autoSpaceDN w:val="0"/>
        <w:adjustRightInd w:val="0"/>
        <w:snapToGrid w:val="0"/>
        <w:spacing w:line="500" w:lineRule="exact"/>
        <w:ind w:firstLine="1200" w:firstLineChars="500"/>
        <w:jc w:val="left"/>
        <w:rPr>
          <w:rFonts w:hint="eastAsia" w:ascii="宋体" w:hAnsi="宋体" w:cs="楷体"/>
          <w:color w:val="auto"/>
          <w:kern w:val="0"/>
          <w:sz w:val="24"/>
          <w:szCs w:val="24"/>
        </w:rPr>
      </w:pPr>
      <w:r>
        <w:rPr>
          <w:rFonts w:hint="eastAsia" w:ascii="宋体" w:hAnsi="宋体" w:cs="楷体"/>
          <w:color w:val="auto"/>
          <w:kern w:val="0"/>
          <w:sz w:val="24"/>
          <w:szCs w:val="24"/>
        </w:rPr>
        <w:t>D—储罐直径，m（等效直径取2.13m）；</w:t>
      </w:r>
    </w:p>
    <w:p w14:paraId="5EC78A57">
      <w:pPr>
        <w:autoSpaceDE w:val="0"/>
        <w:autoSpaceDN w:val="0"/>
        <w:adjustRightInd w:val="0"/>
        <w:snapToGrid w:val="0"/>
        <w:spacing w:line="500" w:lineRule="exact"/>
        <w:ind w:firstLine="1200" w:firstLineChars="500"/>
        <w:jc w:val="left"/>
        <w:rPr>
          <w:rFonts w:hint="eastAsia" w:ascii="宋体" w:hAnsi="宋体" w:cs="楷体"/>
          <w:color w:val="auto"/>
          <w:kern w:val="0"/>
          <w:sz w:val="24"/>
          <w:szCs w:val="24"/>
        </w:rPr>
      </w:pPr>
      <w:r>
        <w:rPr>
          <w:rFonts w:hint="eastAsia" w:ascii="宋体" w:hAnsi="宋体" w:cs="楷体"/>
          <w:color w:val="auto"/>
          <w:kern w:val="0"/>
          <w:sz w:val="24"/>
          <w:szCs w:val="24"/>
        </w:rPr>
        <w:t>H—储罐内气相空间的高度，包括罐顶部分的相对高度，m（按照装填系数0</w:t>
      </w:r>
      <w:r>
        <w:rPr>
          <w:rFonts w:ascii="宋体" w:hAnsi="宋体" w:cs="楷体"/>
          <w:color w:val="auto"/>
          <w:kern w:val="0"/>
          <w:sz w:val="24"/>
          <w:szCs w:val="24"/>
        </w:rPr>
        <w:t>.</w:t>
      </w:r>
      <w:r>
        <w:rPr>
          <w:rFonts w:hint="eastAsia" w:ascii="宋体" w:hAnsi="宋体" w:cs="楷体"/>
          <w:color w:val="auto"/>
          <w:kern w:val="0"/>
          <w:sz w:val="24"/>
          <w:szCs w:val="24"/>
        </w:rPr>
        <w:t>9计算，取0.2m）；</w:t>
      </w:r>
    </w:p>
    <w:p w14:paraId="281326B7">
      <w:pPr>
        <w:autoSpaceDE w:val="0"/>
        <w:autoSpaceDN w:val="0"/>
        <w:adjustRightInd w:val="0"/>
        <w:snapToGrid w:val="0"/>
        <w:spacing w:line="500" w:lineRule="exact"/>
        <w:ind w:firstLine="1200" w:firstLineChars="500"/>
        <w:jc w:val="left"/>
        <w:rPr>
          <w:rFonts w:hint="eastAsia" w:ascii="宋体" w:hAnsi="宋体" w:cs="楷体"/>
          <w:color w:val="auto"/>
          <w:kern w:val="0"/>
          <w:sz w:val="24"/>
          <w:szCs w:val="24"/>
        </w:rPr>
      </w:pPr>
      <w:r>
        <w:rPr>
          <w:rFonts w:hint="eastAsia" w:ascii="宋体" w:hAnsi="宋体" w:cs="楷体"/>
          <w:color w:val="auto"/>
          <w:kern w:val="0"/>
          <w:sz w:val="24"/>
          <w:szCs w:val="24"/>
        </w:rPr>
        <w:t>ΔT—每日大气温度变化的年平均值，℃；</w:t>
      </w:r>
    </w:p>
    <w:p w14:paraId="01C0FEAB">
      <w:pPr>
        <w:autoSpaceDE w:val="0"/>
        <w:autoSpaceDN w:val="0"/>
        <w:adjustRightInd w:val="0"/>
        <w:snapToGrid w:val="0"/>
        <w:spacing w:line="500" w:lineRule="exact"/>
        <w:ind w:firstLine="1200" w:firstLineChars="500"/>
        <w:jc w:val="left"/>
        <w:rPr>
          <w:rFonts w:hint="eastAsia" w:ascii="宋体" w:hAnsi="宋体" w:cs="楷体"/>
          <w:color w:val="auto"/>
          <w:kern w:val="0"/>
          <w:sz w:val="24"/>
          <w:szCs w:val="24"/>
        </w:rPr>
      </w:pPr>
      <w:r>
        <w:rPr>
          <w:rFonts w:hint="eastAsia" w:ascii="宋体" w:hAnsi="宋体" w:cs="楷体"/>
          <w:color w:val="auto"/>
          <w:kern w:val="0"/>
          <w:sz w:val="24"/>
          <w:szCs w:val="24"/>
        </w:rPr>
        <w:t>K</w:t>
      </w:r>
      <w:r>
        <w:rPr>
          <w:rFonts w:ascii="宋体" w:hAnsi="宋体" w:cs="楷体"/>
          <w:color w:val="auto"/>
          <w:kern w:val="0"/>
          <w:sz w:val="24"/>
          <w:szCs w:val="24"/>
          <w:vertAlign w:val="subscript"/>
        </w:rPr>
        <w:t>p</w:t>
      </w:r>
      <w:r>
        <w:rPr>
          <w:rFonts w:hint="eastAsia" w:ascii="宋体" w:hAnsi="宋体" w:cs="楷体"/>
          <w:color w:val="auto"/>
          <w:kern w:val="0"/>
          <w:sz w:val="24"/>
          <w:szCs w:val="24"/>
        </w:rPr>
        <w:t>—涂层因子或涂料系数（铅漆为1.39，白漆为1.02，本工程取1</w:t>
      </w:r>
      <w:r>
        <w:rPr>
          <w:rFonts w:ascii="宋体" w:hAnsi="宋体" w:cs="楷体"/>
          <w:color w:val="auto"/>
          <w:kern w:val="0"/>
          <w:sz w:val="24"/>
          <w:szCs w:val="24"/>
        </w:rPr>
        <w:t>.02</w:t>
      </w:r>
      <w:r>
        <w:rPr>
          <w:rFonts w:hint="eastAsia" w:ascii="宋体" w:hAnsi="宋体" w:cs="楷体"/>
          <w:color w:val="auto"/>
          <w:kern w:val="0"/>
          <w:sz w:val="24"/>
          <w:szCs w:val="24"/>
        </w:rPr>
        <w:t>）；</w:t>
      </w:r>
    </w:p>
    <w:p w14:paraId="63F6A4D6">
      <w:pPr>
        <w:autoSpaceDE w:val="0"/>
        <w:autoSpaceDN w:val="0"/>
        <w:adjustRightInd w:val="0"/>
        <w:snapToGrid w:val="0"/>
        <w:spacing w:line="500" w:lineRule="exact"/>
        <w:ind w:firstLine="1200" w:firstLineChars="500"/>
        <w:jc w:val="left"/>
        <w:rPr>
          <w:rFonts w:hint="eastAsia" w:ascii="宋体" w:hAnsi="宋体" w:cs="楷体"/>
          <w:color w:val="auto"/>
          <w:kern w:val="0"/>
          <w:sz w:val="24"/>
          <w:szCs w:val="24"/>
        </w:rPr>
      </w:pPr>
      <w:r>
        <w:rPr>
          <w:rFonts w:hint="eastAsia" w:ascii="宋体" w:hAnsi="宋体" w:cs="楷体"/>
          <w:color w:val="auto"/>
          <w:kern w:val="0"/>
          <w:sz w:val="24"/>
          <w:szCs w:val="24"/>
        </w:rPr>
        <w:t>C—小罐修正系数，直径在0～9m之间的罐体，C</w:t>
      </w:r>
      <w:r>
        <w:rPr>
          <w:rFonts w:ascii="宋体" w:hAnsi="宋体" w:cs="楷体"/>
          <w:color w:val="auto"/>
          <w:kern w:val="0"/>
          <w:sz w:val="24"/>
          <w:szCs w:val="24"/>
        </w:rPr>
        <w:t>=1-0.0123</w:t>
      </w:r>
      <w:r>
        <w:rPr>
          <w:rFonts w:hint="eastAsia" w:ascii="宋体" w:hAnsi="宋体" w:cs="楷体"/>
          <w:color w:val="auto"/>
          <w:kern w:val="0"/>
          <w:sz w:val="24"/>
          <w:szCs w:val="24"/>
        </w:rPr>
        <w:t>（D</w:t>
      </w:r>
      <w:r>
        <w:rPr>
          <w:rFonts w:ascii="宋体" w:hAnsi="宋体" w:cs="楷体"/>
          <w:color w:val="auto"/>
          <w:kern w:val="0"/>
          <w:sz w:val="24"/>
          <w:szCs w:val="24"/>
        </w:rPr>
        <w:t>-9</w:t>
      </w:r>
      <w:r>
        <w:rPr>
          <w:rFonts w:hint="eastAsia" w:ascii="宋体" w:hAnsi="宋体" w:cs="楷体"/>
          <w:color w:val="auto"/>
          <w:kern w:val="0"/>
          <w:sz w:val="24"/>
          <w:szCs w:val="24"/>
        </w:rPr>
        <w:t>）</w:t>
      </w:r>
      <w:r>
        <w:rPr>
          <w:rFonts w:hint="eastAsia" w:ascii="宋体" w:hAnsi="宋体" w:cs="楷体"/>
          <w:color w:val="auto"/>
          <w:kern w:val="0"/>
          <w:sz w:val="24"/>
          <w:szCs w:val="24"/>
          <w:vertAlign w:val="superscript"/>
        </w:rPr>
        <w:t>2</w:t>
      </w:r>
      <w:r>
        <w:rPr>
          <w:rFonts w:hint="eastAsia" w:ascii="宋体" w:hAnsi="宋体" w:cs="楷体"/>
          <w:color w:val="auto"/>
          <w:kern w:val="0"/>
          <w:sz w:val="24"/>
          <w:szCs w:val="24"/>
        </w:rPr>
        <w:t>，罐径大于</w:t>
      </w:r>
      <w:r>
        <w:rPr>
          <w:rFonts w:ascii="宋体" w:hAnsi="宋体" w:cs="楷体"/>
          <w:color w:val="auto"/>
          <w:kern w:val="0"/>
          <w:sz w:val="24"/>
          <w:szCs w:val="24"/>
        </w:rPr>
        <w:t>9</w:t>
      </w:r>
      <w:r>
        <w:rPr>
          <w:rFonts w:hint="eastAsia" w:ascii="宋体" w:hAnsi="宋体" w:cs="楷体"/>
          <w:color w:val="auto"/>
          <w:kern w:val="0"/>
          <w:sz w:val="24"/>
          <w:szCs w:val="24"/>
        </w:rPr>
        <w:t>取1，本次取0</w:t>
      </w:r>
      <w:r>
        <w:rPr>
          <w:rFonts w:ascii="宋体" w:hAnsi="宋体" w:cs="楷体"/>
          <w:color w:val="auto"/>
          <w:kern w:val="0"/>
          <w:sz w:val="24"/>
          <w:szCs w:val="24"/>
        </w:rPr>
        <w:t>.</w:t>
      </w:r>
      <w:r>
        <w:rPr>
          <w:rFonts w:hint="eastAsia" w:ascii="宋体" w:hAnsi="宋体" w:cs="楷体"/>
          <w:color w:val="auto"/>
          <w:kern w:val="0"/>
          <w:sz w:val="24"/>
          <w:szCs w:val="24"/>
        </w:rPr>
        <w:t>42。</w:t>
      </w:r>
    </w:p>
    <w:p w14:paraId="081E80DC">
      <w:pPr>
        <w:autoSpaceDE w:val="0"/>
        <w:autoSpaceDN w:val="0"/>
        <w:adjustRightInd w:val="0"/>
        <w:snapToGrid w:val="0"/>
        <w:spacing w:line="500" w:lineRule="exact"/>
        <w:ind w:firstLine="480" w:firstLineChars="200"/>
        <w:jc w:val="left"/>
        <w:rPr>
          <w:rFonts w:hint="eastAsia" w:ascii="黑体" w:hAnsi="黑体" w:eastAsia="黑体" w:cs="楷体"/>
          <w:color w:val="auto"/>
          <w:kern w:val="0"/>
          <w:szCs w:val="21"/>
        </w:rPr>
      </w:pPr>
      <w:r>
        <w:rPr>
          <w:rFonts w:hint="eastAsia" w:ascii="宋体" w:hAnsi="宋体" w:cs="楷体"/>
          <w:color w:val="auto"/>
          <w:kern w:val="0"/>
          <w:sz w:val="24"/>
          <w:szCs w:val="24"/>
        </w:rPr>
        <w:t>根据上述公式计算得出单个储罐的大小呼吸量分别为2.269t/a、0.069t/a，合计排放量为2.338t/a。本项目建设3个储油罐，共计排放量为7.014t/a。</w:t>
      </w:r>
    </w:p>
    <w:p w14:paraId="15423D9C">
      <w:pPr>
        <w:pStyle w:val="86"/>
        <w:spacing w:line="480" w:lineRule="exact"/>
        <w:ind w:firstLine="480"/>
        <w:rPr>
          <w:rFonts w:hint="eastAsia"/>
          <w:color w:val="auto"/>
          <w:kern w:val="0"/>
          <w:lang w:bidi="ar"/>
        </w:rPr>
      </w:pPr>
      <w:r>
        <w:rPr>
          <w:rFonts w:hint="eastAsia"/>
          <w:color w:val="auto"/>
          <w:kern w:val="0"/>
          <w:lang w:bidi="ar"/>
        </w:rPr>
        <w:t>④原油装车过程中的无组织废气</w:t>
      </w:r>
    </w:p>
    <w:p w14:paraId="29423A4D">
      <w:pPr>
        <w:pStyle w:val="86"/>
        <w:spacing w:line="480" w:lineRule="exact"/>
        <w:ind w:firstLine="480"/>
        <w:rPr>
          <w:rFonts w:hint="eastAsia"/>
          <w:color w:val="auto"/>
          <w:kern w:val="0"/>
          <w:lang w:bidi="ar"/>
        </w:rPr>
      </w:pPr>
      <w:r>
        <w:rPr>
          <w:rFonts w:hint="eastAsia"/>
          <w:color w:val="auto"/>
          <w:kern w:val="0"/>
          <w:lang w:bidi="ar"/>
        </w:rPr>
        <w:t xml:space="preserve">原油装车时产生的无组织挥发性有机物无相应的污染源强核算技术指南，其产生量参考《污染源源强核算技术指南 </w:t>
      </w:r>
      <w:r>
        <w:rPr>
          <w:color w:val="auto"/>
          <w:kern w:val="0"/>
          <w:lang w:bidi="ar"/>
        </w:rPr>
        <w:t xml:space="preserve"> </w:t>
      </w:r>
      <w:r>
        <w:rPr>
          <w:rFonts w:hint="eastAsia"/>
          <w:color w:val="auto"/>
          <w:kern w:val="0"/>
          <w:lang w:bidi="ar"/>
        </w:rPr>
        <w:t>石油炼制》（H</w:t>
      </w:r>
      <w:r>
        <w:rPr>
          <w:color w:val="auto"/>
          <w:kern w:val="0"/>
          <w:lang w:bidi="ar"/>
        </w:rPr>
        <w:t>J982-2018</w:t>
      </w:r>
      <w:r>
        <w:rPr>
          <w:rFonts w:hint="eastAsia"/>
          <w:color w:val="auto"/>
          <w:kern w:val="0"/>
          <w:lang w:bidi="ar"/>
        </w:rPr>
        <w:t>）中挥发性有机液体装载过程挥发性有机物的产生量计算，计算公式如下：</w:t>
      </w:r>
    </w:p>
    <w:p w14:paraId="6CC37163">
      <w:pPr>
        <w:pStyle w:val="86"/>
        <w:adjustRightInd w:val="0"/>
        <w:snapToGrid w:val="0"/>
        <w:spacing w:line="240" w:lineRule="auto"/>
        <w:ind w:firstLine="480"/>
        <w:rPr>
          <w:rFonts w:hint="eastAsia"/>
          <w:color w:val="auto"/>
        </w:rPr>
      </w:pPr>
      <m:oMathPara>
        <m:oMathParaPr>
          <m:jc m:val="center"/>
        </m:oMathParaPr>
        <m:oMath>
          <m:sSub>
            <m:sSubPr>
              <m:ctrlPr>
                <w:rPr>
                  <w:rFonts w:ascii="Cambria Math" w:hAnsi="Cambria Math"/>
                  <w:i/>
                  <w:color w:val="auto"/>
                </w:rPr>
              </m:ctrlPr>
            </m:sSubPr>
            <m:e>
              <m:r>
                <m:rPr>
                  <m:nor/>
                  <m:sty m:val="p"/>
                </m:rPr>
                <w:rPr>
                  <w:color w:val="auto"/>
                </w:rPr>
                <m:t>D</m:t>
              </m:r>
              <m:ctrlPr>
                <w:rPr>
                  <w:rFonts w:ascii="Cambria Math" w:hAnsi="Cambria Math"/>
                  <w:i/>
                  <w:color w:val="auto"/>
                </w:rPr>
              </m:ctrlPr>
            </m:e>
            <m:sub>
              <m:r>
                <m:rPr>
                  <m:nor/>
                  <m:sty m:val="p"/>
                </m:rPr>
                <w:rPr>
                  <w:rFonts w:hint="eastAsia"/>
                  <w:iCs/>
                  <w:color w:val="auto"/>
                </w:rPr>
                <m:t>产生量</m:t>
              </m:r>
              <m:ctrlPr>
                <w:rPr>
                  <w:rFonts w:ascii="Cambria Math" w:hAnsi="Cambria Math"/>
                  <w:i/>
                  <w:color w:val="auto"/>
                </w:rPr>
              </m:ctrlPr>
            </m:sub>
          </m:sSub>
          <m:r>
            <m:rPr>
              <m:nor/>
              <m:sty m:val="p"/>
            </m:rPr>
            <w:rPr>
              <w:color w:val="auto"/>
            </w:rPr>
            <m:t>=</m:t>
          </m:r>
          <m:f>
            <m:fPr>
              <m:ctrlPr>
                <w:rPr>
                  <w:rFonts w:ascii="Cambria Math" w:hAnsi="Cambria Math"/>
                  <w:i/>
                  <w:color w:val="auto"/>
                </w:rPr>
              </m:ctrlPr>
            </m:fPr>
            <m:num>
              <m:sSub>
                <m:sSubPr>
                  <m:ctrlPr>
                    <w:rPr>
                      <w:rFonts w:ascii="Cambria Math" w:hAnsi="Cambria Math"/>
                      <w:i/>
                      <w:color w:val="auto"/>
                    </w:rPr>
                  </m:ctrlPr>
                </m:sSubPr>
                <m:e>
                  <m:r>
                    <m:rPr>
                      <m:nor/>
                      <m:sty m:val="p"/>
                    </m:rPr>
                    <w:rPr>
                      <w:color w:val="auto"/>
                    </w:rPr>
                    <m:t>L</m:t>
                  </m:r>
                  <m:ctrlPr>
                    <w:rPr>
                      <w:rFonts w:ascii="Cambria Math" w:hAnsi="Cambria Math"/>
                      <w:i/>
                      <w:color w:val="auto"/>
                    </w:rPr>
                  </m:ctrlPr>
                </m:e>
                <m:sub>
                  <m:r>
                    <m:rPr>
                      <m:nor/>
                      <m:sty m:val="p"/>
                    </m:rPr>
                    <w:rPr>
                      <w:color w:val="auto"/>
                    </w:rPr>
                    <m:t>L</m:t>
                  </m:r>
                  <m:ctrlPr>
                    <w:rPr>
                      <w:rFonts w:ascii="Cambria Math" w:hAnsi="Cambria Math"/>
                      <w:i/>
                      <w:color w:val="auto"/>
                    </w:rPr>
                  </m:ctrlPr>
                </m:sub>
              </m:sSub>
              <m:r>
                <m:rPr>
                  <m:nor/>
                  <m:sty m:val="p"/>
                </m:rPr>
                <w:rPr>
                  <w:color w:val="auto"/>
                </w:rPr>
                <m:t>×Q</m:t>
              </m:r>
              <m:ctrlPr>
                <w:rPr>
                  <w:rFonts w:ascii="Cambria Math" w:hAnsi="Cambria Math"/>
                  <w:i/>
                  <w:color w:val="auto"/>
                </w:rPr>
              </m:ctrlPr>
            </m:num>
            <m:den>
              <m:r>
                <m:rPr>
                  <m:nor/>
                  <m:sty m:val="p"/>
                </m:rPr>
                <w:rPr>
                  <w:color w:val="auto"/>
                </w:rPr>
                <m:t>1000</m:t>
              </m:r>
              <m:ctrlPr>
                <w:rPr>
                  <w:rFonts w:ascii="Cambria Math" w:hAnsi="Cambria Math"/>
                  <w:i/>
                  <w:color w:val="auto"/>
                </w:rPr>
              </m:ctrlPr>
            </m:den>
          </m:f>
        </m:oMath>
      </m:oMathPara>
    </w:p>
    <w:p w14:paraId="20E1E5DE">
      <w:pPr>
        <w:pStyle w:val="86"/>
        <w:adjustRightInd w:val="0"/>
        <w:snapToGrid w:val="0"/>
        <w:spacing w:line="360" w:lineRule="auto"/>
        <w:ind w:firstLine="480"/>
        <w:rPr>
          <w:rFonts w:hint="eastAsia"/>
          <w:color w:val="auto"/>
        </w:rPr>
      </w:pPr>
      <w:r>
        <w:rPr>
          <w:rFonts w:hint="eastAsia"/>
          <w:color w:val="auto"/>
        </w:rPr>
        <w:t>式中：</w:t>
      </w:r>
      <w:r>
        <w:rPr>
          <w:color w:val="auto"/>
        </w:rPr>
        <w:t>D</w:t>
      </w:r>
      <w:r>
        <w:rPr>
          <w:rFonts w:hint="eastAsia"/>
          <w:color w:val="auto"/>
          <w:vertAlign w:val="subscript"/>
        </w:rPr>
        <w:t>产生量</w:t>
      </w:r>
      <w:r>
        <w:rPr>
          <w:rFonts w:hint="eastAsia"/>
          <w:color w:val="auto"/>
        </w:rPr>
        <w:t>——核算时段内挥发性有机液体装载过程挥发性有机物的产生量，t/a；</w:t>
      </w:r>
    </w:p>
    <w:p w14:paraId="153C35B7">
      <w:pPr>
        <w:pStyle w:val="86"/>
        <w:adjustRightInd w:val="0"/>
        <w:snapToGrid w:val="0"/>
        <w:spacing w:line="360" w:lineRule="auto"/>
        <w:ind w:firstLine="1200" w:firstLineChars="500"/>
        <w:rPr>
          <w:rFonts w:hint="eastAsia"/>
          <w:color w:val="auto"/>
        </w:rPr>
      </w:pPr>
      <w:r>
        <w:rPr>
          <w:rFonts w:hint="eastAsia"/>
          <w:color w:val="auto"/>
        </w:rPr>
        <w:t>Q-核算时段内物料装载量，m</w:t>
      </w:r>
      <w:r>
        <w:rPr>
          <w:rFonts w:hint="eastAsia"/>
          <w:color w:val="auto"/>
          <w:vertAlign w:val="superscript"/>
        </w:rPr>
        <w:t>3</w:t>
      </w:r>
      <w:r>
        <w:rPr>
          <w:rFonts w:hint="eastAsia"/>
          <w:color w:val="auto"/>
        </w:rPr>
        <w:t>/a；</w:t>
      </w:r>
    </w:p>
    <w:p w14:paraId="41E56C92">
      <w:pPr>
        <w:pStyle w:val="86"/>
        <w:adjustRightInd w:val="0"/>
        <w:snapToGrid w:val="0"/>
        <w:spacing w:line="360" w:lineRule="auto"/>
        <w:ind w:firstLine="1200" w:firstLineChars="500"/>
        <w:rPr>
          <w:rFonts w:hint="eastAsia"/>
          <w:color w:val="auto"/>
        </w:rPr>
      </w:pPr>
      <w:r>
        <w:rPr>
          <w:rFonts w:hint="eastAsia"/>
          <w:color w:val="auto"/>
        </w:rPr>
        <w:t>L</w:t>
      </w:r>
      <w:r>
        <w:rPr>
          <w:color w:val="auto"/>
          <w:vertAlign w:val="subscript"/>
        </w:rPr>
        <w:t>L</w:t>
      </w:r>
      <w:r>
        <w:rPr>
          <w:rFonts w:hint="eastAsia"/>
          <w:color w:val="auto"/>
        </w:rPr>
        <w:t>-挥发性有机液体装载过程的排放系数，kg/m</w:t>
      </w:r>
      <w:r>
        <w:rPr>
          <w:rFonts w:hint="eastAsia"/>
          <w:color w:val="auto"/>
          <w:vertAlign w:val="superscript"/>
        </w:rPr>
        <w:t>3</w:t>
      </w:r>
      <w:r>
        <w:rPr>
          <w:rFonts w:hint="eastAsia"/>
          <w:color w:val="auto"/>
        </w:rPr>
        <w:t>，计算公式如下：</w:t>
      </w:r>
    </w:p>
    <w:p w14:paraId="1982F4A2">
      <w:pPr>
        <w:pStyle w:val="86"/>
        <w:spacing w:line="240" w:lineRule="auto"/>
        <w:ind w:firstLine="480"/>
        <w:rPr>
          <w:rFonts w:hint="eastAsia"/>
          <w:iCs/>
          <w:color w:val="auto"/>
        </w:rPr>
      </w:pPr>
      <m:oMathPara>
        <m:oMath>
          <m:sSub>
            <m:sSubPr>
              <m:ctrlPr>
                <w:rPr>
                  <w:rFonts w:ascii="Cambria Math" w:hAnsi="Cambria Math"/>
                  <w:iCs/>
                  <w:color w:val="auto"/>
                </w:rPr>
              </m:ctrlPr>
            </m:sSubPr>
            <m:e>
              <m:r>
                <m:rPr>
                  <m:nor/>
                  <m:sty m:val="p"/>
                </m:rPr>
                <w:rPr>
                  <w:iCs/>
                  <w:color w:val="auto"/>
                </w:rPr>
                <m:t>L</m:t>
              </m:r>
              <m:ctrlPr>
                <w:rPr>
                  <w:rFonts w:ascii="Cambria Math" w:hAnsi="Cambria Math"/>
                  <w:iCs/>
                  <w:color w:val="auto"/>
                </w:rPr>
              </m:ctrlPr>
            </m:e>
            <m:sub>
              <m:r>
                <m:rPr>
                  <m:nor/>
                  <m:sty m:val="p"/>
                </m:rPr>
                <w:rPr>
                  <w:iCs/>
                  <w:color w:val="auto"/>
                </w:rPr>
                <m:t>L</m:t>
              </m:r>
              <m:ctrlPr>
                <w:rPr>
                  <w:rFonts w:ascii="Cambria Math" w:hAnsi="Cambria Math"/>
                  <w:iCs/>
                  <w:color w:val="auto"/>
                </w:rPr>
              </m:ctrlPr>
            </m:sub>
          </m:sSub>
          <m:r>
            <m:rPr>
              <m:nor/>
              <m:sty m:val="p"/>
            </m:rPr>
            <w:rPr>
              <w:iCs/>
              <w:color w:val="auto"/>
            </w:rPr>
            <m:t>=1.20×</m:t>
          </m:r>
          <m:sSup>
            <m:sSupPr>
              <m:ctrlPr>
                <w:rPr>
                  <w:rFonts w:ascii="Cambria Math" w:hAnsi="Cambria Math"/>
                  <w:iCs/>
                  <w:color w:val="auto"/>
                </w:rPr>
              </m:ctrlPr>
            </m:sSupPr>
            <m:e>
              <m:r>
                <m:rPr>
                  <m:nor/>
                  <m:sty m:val="p"/>
                </m:rPr>
                <w:rPr>
                  <w:iCs/>
                  <w:color w:val="auto"/>
                </w:rPr>
                <m:t>10</m:t>
              </m:r>
              <m:ctrlPr>
                <w:rPr>
                  <w:rFonts w:ascii="Cambria Math" w:hAnsi="Cambria Math"/>
                  <w:iCs/>
                  <w:color w:val="auto"/>
                </w:rPr>
              </m:ctrlPr>
            </m:e>
            <m:sup>
              <m:r>
                <m:rPr>
                  <m:nor/>
                  <m:sty m:val="p"/>
                </m:rPr>
                <w:rPr>
                  <w:iCs/>
                  <w:color w:val="auto"/>
                </w:rPr>
                <m:t>-4</m:t>
              </m:r>
              <m:ctrlPr>
                <w:rPr>
                  <w:rFonts w:ascii="Cambria Math" w:hAnsi="Cambria Math"/>
                  <w:iCs/>
                  <w:color w:val="auto"/>
                </w:rPr>
              </m:ctrlPr>
            </m:sup>
          </m:sSup>
          <m:r>
            <m:rPr>
              <m:nor/>
              <m:sty m:val="p"/>
            </m:rPr>
            <w:rPr>
              <w:iCs/>
              <w:color w:val="auto"/>
            </w:rPr>
            <m:t>×</m:t>
          </m:r>
          <m:f>
            <m:fPr>
              <m:ctrlPr>
                <w:rPr>
                  <w:rFonts w:ascii="Cambria Math" w:hAnsi="Cambria Math"/>
                  <w:iCs/>
                  <w:color w:val="auto"/>
                </w:rPr>
              </m:ctrlPr>
            </m:fPr>
            <m:num>
              <m:r>
                <m:rPr>
                  <m:nor/>
                  <m:sty m:val="p"/>
                </m:rPr>
                <w:rPr>
                  <w:iCs/>
                  <w:color w:val="auto"/>
                </w:rPr>
                <m:t>S×</m:t>
              </m:r>
              <m:sSub>
                <m:sSubPr>
                  <m:ctrlPr>
                    <w:rPr>
                      <w:rFonts w:ascii="Cambria Math" w:hAnsi="Cambria Math"/>
                      <w:iCs/>
                      <w:color w:val="auto"/>
                    </w:rPr>
                  </m:ctrlPr>
                </m:sSubPr>
                <m:e>
                  <m:r>
                    <m:rPr>
                      <m:nor/>
                      <m:sty m:val="p"/>
                    </m:rPr>
                    <w:rPr>
                      <w:iCs/>
                      <w:color w:val="auto"/>
                    </w:rPr>
                    <m:t>P</m:t>
                  </m:r>
                  <m:ctrlPr>
                    <w:rPr>
                      <w:rFonts w:ascii="Cambria Math" w:hAnsi="Cambria Math"/>
                      <w:iCs/>
                      <w:color w:val="auto"/>
                    </w:rPr>
                  </m:ctrlPr>
                </m:e>
                <m:sub>
                  <m:r>
                    <m:rPr>
                      <m:nor/>
                      <m:sty m:val="p"/>
                    </m:rPr>
                    <w:rPr>
                      <w:iCs/>
                      <w:color w:val="auto"/>
                    </w:rPr>
                    <m:t>T</m:t>
                  </m:r>
                  <m:ctrlPr>
                    <w:rPr>
                      <w:rFonts w:ascii="Cambria Math" w:hAnsi="Cambria Math"/>
                      <w:iCs/>
                      <w:color w:val="auto"/>
                    </w:rPr>
                  </m:ctrlPr>
                </m:sub>
              </m:sSub>
              <m:r>
                <m:rPr>
                  <m:nor/>
                  <m:sty m:val="p"/>
                </m:rPr>
                <w:rPr>
                  <w:iCs/>
                  <w:color w:val="auto"/>
                </w:rPr>
                <m:t>×</m:t>
              </m:r>
              <m:sSub>
                <m:sSubPr>
                  <m:ctrlPr>
                    <w:rPr>
                      <w:rFonts w:ascii="Cambria Math" w:hAnsi="Cambria Math"/>
                      <w:iCs/>
                      <w:color w:val="auto"/>
                    </w:rPr>
                  </m:ctrlPr>
                </m:sSubPr>
                <m:e>
                  <m:r>
                    <m:rPr>
                      <m:nor/>
                      <m:sty m:val="p"/>
                    </m:rPr>
                    <w:rPr>
                      <w:iCs/>
                      <w:color w:val="auto"/>
                    </w:rPr>
                    <m:t>M</m:t>
                  </m:r>
                  <m:ctrlPr>
                    <w:rPr>
                      <w:rFonts w:ascii="Cambria Math" w:hAnsi="Cambria Math"/>
                      <w:iCs/>
                      <w:color w:val="auto"/>
                    </w:rPr>
                  </m:ctrlPr>
                </m:e>
                <m:sub>
                  <m:r>
                    <m:rPr>
                      <m:nor/>
                      <m:sty m:val="p"/>
                    </m:rPr>
                    <w:rPr>
                      <w:iCs/>
                      <w:color w:val="auto"/>
                    </w:rPr>
                    <m:t>vap</m:t>
                  </m:r>
                  <m:ctrlPr>
                    <w:rPr>
                      <w:rFonts w:ascii="Cambria Math" w:hAnsi="Cambria Math"/>
                      <w:iCs/>
                      <w:color w:val="auto"/>
                    </w:rPr>
                  </m:ctrlPr>
                </m:sub>
              </m:sSub>
              <m:ctrlPr>
                <w:rPr>
                  <w:rFonts w:ascii="Cambria Math" w:hAnsi="Cambria Math"/>
                  <w:iCs/>
                  <w:color w:val="auto"/>
                </w:rPr>
              </m:ctrlPr>
            </m:num>
            <m:den>
              <m:r>
                <m:rPr>
                  <m:nor/>
                  <m:sty m:val="p"/>
                </m:rPr>
                <w:rPr>
                  <w:iCs/>
                  <w:color w:val="auto"/>
                </w:rPr>
                <m:t>273.15</m:t>
              </m:r>
              <m:r>
                <m:rPr>
                  <m:nor/>
                  <m:sty m:val="p"/>
                </m:rPr>
                <w:rPr>
                  <w:rFonts w:hint="eastAsia"/>
                  <w:iCs/>
                  <w:color w:val="auto"/>
                </w:rPr>
                <m:t>+</m:t>
              </m:r>
              <m:r>
                <m:rPr>
                  <m:nor/>
                  <m:sty m:val="p"/>
                </m:rPr>
                <w:rPr>
                  <w:iCs/>
                  <w:color w:val="auto"/>
                </w:rPr>
                <m:t>T</m:t>
              </m:r>
              <m:ctrlPr>
                <w:rPr>
                  <w:rFonts w:ascii="Cambria Math" w:hAnsi="Cambria Math"/>
                  <w:iCs/>
                  <w:color w:val="auto"/>
                </w:rPr>
              </m:ctrlPr>
            </m:den>
          </m:f>
        </m:oMath>
      </m:oMathPara>
    </w:p>
    <w:p w14:paraId="4FEFAB4A">
      <w:pPr>
        <w:pStyle w:val="86"/>
        <w:adjustRightInd w:val="0"/>
        <w:snapToGrid w:val="0"/>
        <w:spacing w:line="360" w:lineRule="auto"/>
        <w:ind w:firstLine="480"/>
        <w:rPr>
          <w:rFonts w:hint="eastAsia"/>
          <w:color w:val="auto"/>
        </w:rPr>
      </w:pPr>
      <w:r>
        <w:rPr>
          <w:rFonts w:hint="eastAsia"/>
          <w:color w:val="auto"/>
        </w:rPr>
        <w:t>式中：S——饱和系数，无量纲，一般取0.6。</w:t>
      </w:r>
    </w:p>
    <w:p w14:paraId="388B17D1">
      <w:pPr>
        <w:pStyle w:val="86"/>
        <w:adjustRightInd w:val="0"/>
        <w:snapToGrid w:val="0"/>
        <w:spacing w:line="360" w:lineRule="auto"/>
        <w:ind w:firstLine="1200" w:firstLineChars="500"/>
        <w:rPr>
          <w:rFonts w:hint="eastAsia"/>
          <w:color w:val="auto"/>
        </w:rPr>
      </w:pPr>
      <w:r>
        <w:rPr>
          <w:rFonts w:hint="eastAsia"/>
          <w:color w:val="auto"/>
        </w:rPr>
        <w:t>P</w:t>
      </w:r>
      <w:r>
        <w:rPr>
          <w:color w:val="auto"/>
          <w:vertAlign w:val="subscript"/>
        </w:rPr>
        <w:t>T</w:t>
      </w:r>
      <w:r>
        <w:rPr>
          <w:rFonts w:hint="eastAsia"/>
          <w:color w:val="auto"/>
        </w:rPr>
        <w:t>——温度T时装载物料的真实蒸气压，Pa；本次取9.2k</w:t>
      </w:r>
      <w:r>
        <w:rPr>
          <w:color w:val="auto"/>
        </w:rPr>
        <w:t>Pa</w:t>
      </w:r>
      <w:r>
        <w:rPr>
          <w:rFonts w:hint="eastAsia"/>
          <w:color w:val="auto"/>
        </w:rPr>
        <w:t>。</w:t>
      </w:r>
    </w:p>
    <w:p w14:paraId="4B1D6FE9">
      <w:pPr>
        <w:pStyle w:val="86"/>
        <w:adjustRightInd w:val="0"/>
        <w:snapToGrid w:val="0"/>
        <w:spacing w:line="360" w:lineRule="auto"/>
        <w:ind w:firstLine="1200" w:firstLineChars="500"/>
        <w:rPr>
          <w:rFonts w:hint="eastAsia"/>
          <w:color w:val="auto"/>
        </w:rPr>
      </w:pPr>
      <w:r>
        <w:rPr>
          <w:rFonts w:hint="eastAsia"/>
          <w:color w:val="auto"/>
        </w:rPr>
        <w:t>M</w:t>
      </w:r>
      <w:r>
        <w:rPr>
          <w:rFonts w:hint="eastAsia"/>
          <w:color w:val="auto"/>
          <w:vertAlign w:val="subscript"/>
        </w:rPr>
        <w:t>vap</w:t>
      </w:r>
      <w:r>
        <w:rPr>
          <w:rFonts w:hint="eastAsia"/>
          <w:color w:val="auto"/>
        </w:rPr>
        <w:t>——油气分子量，g/mol；本次取5</w:t>
      </w:r>
      <w:r>
        <w:rPr>
          <w:color w:val="auto"/>
        </w:rPr>
        <w:t>0</w:t>
      </w:r>
      <w:r>
        <w:rPr>
          <w:rFonts w:hint="eastAsia"/>
          <w:color w:val="auto"/>
        </w:rPr>
        <w:t>g</w:t>
      </w:r>
      <w:r>
        <w:rPr>
          <w:color w:val="auto"/>
        </w:rPr>
        <w:t>/mol</w:t>
      </w:r>
      <w:r>
        <w:rPr>
          <w:rFonts w:hint="eastAsia"/>
          <w:color w:val="auto"/>
        </w:rPr>
        <w:t>。</w:t>
      </w:r>
    </w:p>
    <w:p w14:paraId="435B2652">
      <w:pPr>
        <w:pStyle w:val="86"/>
        <w:adjustRightInd w:val="0"/>
        <w:snapToGrid w:val="0"/>
        <w:spacing w:line="360" w:lineRule="auto"/>
        <w:ind w:firstLine="1200" w:firstLineChars="500"/>
        <w:rPr>
          <w:rFonts w:hint="eastAsia"/>
          <w:color w:val="auto"/>
        </w:rPr>
      </w:pPr>
      <w:r>
        <w:rPr>
          <w:rFonts w:hint="eastAsia"/>
          <w:color w:val="auto"/>
        </w:rPr>
        <w:t>T——物料装载温度，℃；本次取2</w:t>
      </w:r>
      <w:r>
        <w:rPr>
          <w:color w:val="auto"/>
        </w:rPr>
        <w:t>5</w:t>
      </w:r>
      <w:r>
        <w:rPr>
          <w:rFonts w:hint="eastAsia"/>
          <w:color w:val="auto"/>
        </w:rPr>
        <w:t>℃。</w:t>
      </w:r>
    </w:p>
    <w:p w14:paraId="1AD9E81D">
      <w:pPr>
        <w:pStyle w:val="86"/>
        <w:adjustRightInd w:val="0"/>
        <w:snapToGrid w:val="0"/>
        <w:ind w:firstLine="480"/>
        <w:rPr>
          <w:rFonts w:hint="eastAsia" w:ascii="黑体" w:hAnsi="黑体" w:eastAsia="黑体"/>
          <w:color w:val="auto"/>
          <w:sz w:val="21"/>
          <w:szCs w:val="21"/>
        </w:rPr>
      </w:pPr>
      <w:r>
        <w:rPr>
          <w:rFonts w:hint="eastAsia"/>
          <w:color w:val="auto"/>
        </w:rPr>
        <w:t>根据L</w:t>
      </w:r>
      <w:r>
        <w:rPr>
          <w:color w:val="auto"/>
          <w:vertAlign w:val="subscript"/>
        </w:rPr>
        <w:t>L</w:t>
      </w:r>
      <w:r>
        <w:rPr>
          <w:rFonts w:hint="eastAsia"/>
          <w:color w:val="auto"/>
        </w:rPr>
        <w:t>计算公式计算出L</w:t>
      </w:r>
      <w:r>
        <w:rPr>
          <w:color w:val="auto"/>
          <w:vertAlign w:val="subscript"/>
        </w:rPr>
        <w:t>L</w:t>
      </w:r>
      <w:r>
        <w:rPr>
          <w:rFonts w:hint="eastAsia"/>
          <w:color w:val="auto"/>
        </w:rPr>
        <w:t>为0</w:t>
      </w:r>
      <w:r>
        <w:rPr>
          <w:color w:val="auto"/>
        </w:rPr>
        <w:t>.</w:t>
      </w:r>
      <w:r>
        <w:rPr>
          <w:rFonts w:hint="eastAsia"/>
          <w:color w:val="auto"/>
        </w:rPr>
        <w:t>111，根据产能预测表及上述计算公式计算出采出液装车时产生的无组织挥发性有机物，详见表</w:t>
      </w:r>
      <w:r>
        <w:rPr>
          <w:color w:val="auto"/>
        </w:rPr>
        <w:t>3.3-</w:t>
      </w:r>
      <w:r>
        <w:rPr>
          <w:rFonts w:hint="eastAsia"/>
          <w:color w:val="auto"/>
        </w:rPr>
        <w:t>4。</w:t>
      </w:r>
    </w:p>
    <w:p w14:paraId="3214ED79">
      <w:pPr>
        <w:pStyle w:val="86"/>
        <w:adjustRightInd w:val="0"/>
        <w:snapToGrid w:val="0"/>
        <w:ind w:firstLine="0" w:firstLineChars="0"/>
        <w:jc w:val="center"/>
        <w:rPr>
          <w:rFonts w:ascii="黑体" w:hAnsi="黑体" w:eastAsia="黑体"/>
          <w:color w:val="auto"/>
          <w:sz w:val="21"/>
          <w:szCs w:val="21"/>
        </w:rPr>
      </w:pPr>
    </w:p>
    <w:p w14:paraId="34AA6F96">
      <w:pPr>
        <w:pStyle w:val="86"/>
        <w:adjustRightInd w:val="0"/>
        <w:snapToGrid w:val="0"/>
        <w:ind w:firstLine="0" w:firstLineChars="0"/>
        <w:jc w:val="center"/>
        <w:rPr>
          <w:rFonts w:hint="eastAsia" w:ascii="黑体" w:hAnsi="黑体" w:eastAsia="黑体"/>
          <w:color w:val="auto"/>
          <w:sz w:val="21"/>
          <w:szCs w:val="21"/>
        </w:rPr>
      </w:pPr>
      <w:r>
        <w:rPr>
          <w:rFonts w:hint="eastAsia" w:ascii="黑体" w:hAnsi="黑体" w:eastAsia="黑体"/>
          <w:color w:val="auto"/>
          <w:sz w:val="21"/>
          <w:szCs w:val="21"/>
        </w:rPr>
        <w:t>表3</w:t>
      </w:r>
      <w:r>
        <w:rPr>
          <w:rFonts w:ascii="黑体" w:hAnsi="黑体" w:eastAsia="黑体"/>
          <w:color w:val="auto"/>
          <w:sz w:val="21"/>
          <w:szCs w:val="21"/>
        </w:rPr>
        <w:t>.3-</w:t>
      </w:r>
      <w:r>
        <w:rPr>
          <w:rFonts w:hint="eastAsia" w:ascii="黑体" w:hAnsi="黑体" w:eastAsia="黑体"/>
          <w:color w:val="auto"/>
          <w:sz w:val="21"/>
          <w:szCs w:val="21"/>
        </w:rPr>
        <w:t xml:space="preserve">4 </w:t>
      </w:r>
      <w:r>
        <w:rPr>
          <w:rFonts w:ascii="黑体" w:hAnsi="黑体" w:eastAsia="黑体"/>
          <w:color w:val="auto"/>
          <w:sz w:val="21"/>
          <w:szCs w:val="21"/>
        </w:rPr>
        <w:t xml:space="preserve"> </w:t>
      </w:r>
      <w:r>
        <w:rPr>
          <w:rFonts w:hint="eastAsia" w:ascii="黑体" w:hAnsi="黑体" w:eastAsia="黑体"/>
          <w:color w:val="auto"/>
          <w:sz w:val="21"/>
          <w:szCs w:val="21"/>
        </w:rPr>
        <w:t>装车时无组织挥发性有机物产生量一览表</w:t>
      </w:r>
    </w:p>
    <w:tbl>
      <w:tblPr>
        <w:tblStyle w:val="51"/>
        <w:tblW w:w="8731"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560"/>
        <w:gridCol w:w="1842"/>
        <w:gridCol w:w="1701"/>
        <w:gridCol w:w="3628"/>
      </w:tblGrid>
      <w:tr w14:paraId="24C81D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560" w:type="dxa"/>
            <w:vAlign w:val="center"/>
          </w:tcPr>
          <w:p w14:paraId="0987992C">
            <w:pPr>
              <w:pStyle w:val="296"/>
              <w:adjustRightInd w:val="0"/>
              <w:snapToGrid w:val="0"/>
              <w:spacing w:line="240" w:lineRule="auto"/>
              <w:rPr>
                <w:rFonts w:hint="eastAsia"/>
                <w:color w:val="auto"/>
              </w:rPr>
            </w:pPr>
            <w:r>
              <w:rPr>
                <w:rFonts w:hint="eastAsia"/>
                <w:color w:val="auto"/>
              </w:rPr>
              <w:t>井号</w:t>
            </w:r>
          </w:p>
        </w:tc>
        <w:tc>
          <w:tcPr>
            <w:tcW w:w="1842" w:type="dxa"/>
            <w:vAlign w:val="center"/>
          </w:tcPr>
          <w:p w14:paraId="320BF1FF">
            <w:pPr>
              <w:widowControl/>
              <w:adjustRightInd w:val="0"/>
              <w:snapToGrid w:val="0"/>
              <w:jc w:val="center"/>
              <w:textAlignment w:val="center"/>
              <w:rPr>
                <w:rFonts w:hint="eastAsia" w:ascii="宋体" w:hAnsi="宋体"/>
                <w:color w:val="auto"/>
                <w:szCs w:val="21"/>
              </w:rPr>
            </w:pPr>
            <w:r>
              <w:rPr>
                <w:rFonts w:hint="eastAsia" w:ascii="宋体" w:hAnsi="宋体"/>
                <w:color w:val="auto"/>
                <w:szCs w:val="21"/>
              </w:rPr>
              <w:t>原油密度（t</w:t>
            </w:r>
            <w:r>
              <w:rPr>
                <w:rFonts w:ascii="宋体" w:hAnsi="宋体"/>
                <w:color w:val="auto"/>
                <w:szCs w:val="21"/>
              </w:rPr>
              <w:t>/m</w:t>
            </w:r>
            <w:r>
              <w:rPr>
                <w:rFonts w:ascii="宋体" w:hAnsi="宋体"/>
                <w:color w:val="auto"/>
                <w:szCs w:val="21"/>
                <w:vertAlign w:val="superscript"/>
              </w:rPr>
              <w:t>3</w:t>
            </w:r>
            <w:r>
              <w:rPr>
                <w:rFonts w:hint="eastAsia" w:ascii="宋体" w:hAnsi="宋体"/>
                <w:color w:val="auto"/>
                <w:szCs w:val="21"/>
              </w:rPr>
              <w:t>）</w:t>
            </w:r>
          </w:p>
        </w:tc>
        <w:tc>
          <w:tcPr>
            <w:tcW w:w="1701" w:type="dxa"/>
            <w:vAlign w:val="center"/>
          </w:tcPr>
          <w:p w14:paraId="0F4F8248">
            <w:pPr>
              <w:widowControl/>
              <w:adjustRightInd w:val="0"/>
              <w:snapToGrid w:val="0"/>
              <w:jc w:val="center"/>
              <w:textAlignment w:val="center"/>
              <w:rPr>
                <w:rFonts w:hint="eastAsia" w:ascii="宋体" w:hAnsi="宋体"/>
                <w:color w:val="auto"/>
                <w:szCs w:val="21"/>
              </w:rPr>
            </w:pPr>
            <w:r>
              <w:rPr>
                <w:rFonts w:hint="eastAsia" w:ascii="宋体" w:hAnsi="宋体"/>
                <w:color w:val="auto"/>
                <w:szCs w:val="21"/>
              </w:rPr>
              <w:t>产油量（t/a）</w:t>
            </w:r>
          </w:p>
        </w:tc>
        <w:tc>
          <w:tcPr>
            <w:tcW w:w="3628" w:type="dxa"/>
            <w:vAlign w:val="center"/>
          </w:tcPr>
          <w:p w14:paraId="7845B1EF">
            <w:pPr>
              <w:pStyle w:val="86"/>
              <w:adjustRightInd w:val="0"/>
              <w:snapToGrid w:val="0"/>
              <w:spacing w:line="240" w:lineRule="auto"/>
              <w:ind w:firstLine="0" w:firstLineChars="0"/>
              <w:jc w:val="center"/>
              <w:rPr>
                <w:rFonts w:hint="eastAsia"/>
                <w:color w:val="auto"/>
                <w:sz w:val="21"/>
                <w:szCs w:val="21"/>
              </w:rPr>
            </w:pPr>
            <w:r>
              <w:rPr>
                <w:rFonts w:hint="eastAsia"/>
                <w:color w:val="auto"/>
                <w:sz w:val="21"/>
                <w:szCs w:val="21"/>
              </w:rPr>
              <w:t>N</w:t>
            </w:r>
            <w:r>
              <w:rPr>
                <w:color w:val="auto"/>
                <w:sz w:val="21"/>
                <w:szCs w:val="21"/>
              </w:rPr>
              <w:t>MHC</w:t>
            </w:r>
            <w:r>
              <w:rPr>
                <w:rFonts w:hint="eastAsia"/>
                <w:color w:val="auto"/>
                <w:sz w:val="21"/>
                <w:szCs w:val="21"/>
              </w:rPr>
              <w:t>产生量（t</w:t>
            </w:r>
            <w:r>
              <w:rPr>
                <w:color w:val="auto"/>
                <w:sz w:val="21"/>
                <w:szCs w:val="21"/>
              </w:rPr>
              <w:t>/a</w:t>
            </w:r>
            <w:r>
              <w:rPr>
                <w:rFonts w:hint="eastAsia"/>
                <w:color w:val="auto"/>
                <w:sz w:val="21"/>
                <w:szCs w:val="21"/>
              </w:rPr>
              <w:t>）</w:t>
            </w:r>
          </w:p>
        </w:tc>
      </w:tr>
      <w:tr w14:paraId="12183A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560" w:type="dxa"/>
            <w:vAlign w:val="center"/>
          </w:tcPr>
          <w:p w14:paraId="2C1AE588">
            <w:pPr>
              <w:widowControl/>
              <w:adjustRightInd w:val="0"/>
              <w:snapToGrid w:val="0"/>
              <w:jc w:val="center"/>
              <w:textAlignment w:val="center"/>
              <w:rPr>
                <w:rFonts w:hint="eastAsia" w:ascii="宋体" w:hAnsi="宋体" w:cs="Arial"/>
                <w:color w:val="auto"/>
                <w:szCs w:val="21"/>
              </w:rPr>
            </w:pPr>
            <w:bookmarkStart w:id="291" w:name="OLE_LINK81"/>
            <w:bookmarkStart w:id="292" w:name="_Hlk207816269"/>
            <w:r>
              <w:rPr>
                <w:rFonts w:hint="eastAsia" w:ascii="宋体" w:hAnsi="宋体"/>
                <w:color w:val="auto"/>
                <w:szCs w:val="21"/>
              </w:rPr>
              <w:t>莫172H井</w:t>
            </w:r>
            <w:bookmarkEnd w:id="291"/>
          </w:p>
        </w:tc>
        <w:tc>
          <w:tcPr>
            <w:tcW w:w="1842" w:type="dxa"/>
            <w:vAlign w:val="center"/>
          </w:tcPr>
          <w:p w14:paraId="1EE45219">
            <w:pPr>
              <w:widowControl/>
              <w:adjustRightInd w:val="0"/>
              <w:snapToGrid w:val="0"/>
              <w:jc w:val="center"/>
              <w:textAlignment w:val="center"/>
              <w:rPr>
                <w:rFonts w:hint="eastAsia" w:ascii="宋体" w:hAnsi="宋体" w:cs="宋体"/>
                <w:color w:val="auto"/>
                <w:szCs w:val="21"/>
                <w:lang w:bidi="ar"/>
              </w:rPr>
            </w:pPr>
            <w:r>
              <w:rPr>
                <w:rFonts w:hint="eastAsia" w:ascii="宋体" w:hAnsi="宋体" w:cs="宋体"/>
                <w:color w:val="auto"/>
                <w:szCs w:val="21"/>
                <w:lang w:bidi="ar"/>
              </w:rPr>
              <w:t>0.7714</w:t>
            </w:r>
          </w:p>
        </w:tc>
        <w:tc>
          <w:tcPr>
            <w:tcW w:w="1701" w:type="dxa"/>
            <w:vAlign w:val="center"/>
          </w:tcPr>
          <w:p w14:paraId="382E4BB2">
            <w:pPr>
              <w:pStyle w:val="86"/>
              <w:adjustRightInd w:val="0"/>
              <w:snapToGrid w:val="0"/>
              <w:spacing w:line="240" w:lineRule="auto"/>
              <w:ind w:firstLine="0" w:firstLineChars="0"/>
              <w:jc w:val="center"/>
              <w:rPr>
                <w:rFonts w:hint="eastAsia"/>
                <w:color w:val="auto"/>
                <w:sz w:val="21"/>
                <w:szCs w:val="21"/>
              </w:rPr>
            </w:pPr>
            <w:r>
              <w:rPr>
                <w:rFonts w:hint="eastAsia"/>
                <w:color w:val="auto"/>
                <w:sz w:val="21"/>
                <w:szCs w:val="21"/>
              </w:rPr>
              <w:t>11550</w:t>
            </w:r>
          </w:p>
        </w:tc>
        <w:tc>
          <w:tcPr>
            <w:tcW w:w="3628" w:type="dxa"/>
            <w:vAlign w:val="center"/>
          </w:tcPr>
          <w:p w14:paraId="631AB17F">
            <w:pPr>
              <w:pStyle w:val="86"/>
              <w:adjustRightInd w:val="0"/>
              <w:snapToGrid w:val="0"/>
              <w:spacing w:line="240" w:lineRule="auto"/>
              <w:ind w:firstLine="0" w:firstLineChars="0"/>
              <w:jc w:val="center"/>
              <w:rPr>
                <w:rFonts w:hint="eastAsia"/>
                <w:color w:val="auto"/>
                <w:sz w:val="21"/>
                <w:szCs w:val="21"/>
              </w:rPr>
            </w:pPr>
            <w:r>
              <w:rPr>
                <w:rFonts w:hint="eastAsia"/>
                <w:color w:val="auto"/>
                <w:sz w:val="21"/>
                <w:szCs w:val="21"/>
              </w:rPr>
              <w:t>1.662</w:t>
            </w:r>
          </w:p>
        </w:tc>
      </w:tr>
      <w:tr w14:paraId="2349B8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560" w:type="dxa"/>
            <w:vAlign w:val="center"/>
          </w:tcPr>
          <w:p w14:paraId="46786B5A">
            <w:pPr>
              <w:widowControl/>
              <w:adjustRightInd w:val="0"/>
              <w:snapToGrid w:val="0"/>
              <w:jc w:val="center"/>
              <w:textAlignment w:val="center"/>
              <w:rPr>
                <w:rFonts w:hint="eastAsia" w:ascii="宋体" w:hAnsi="宋体" w:cs="Arial"/>
                <w:color w:val="auto"/>
                <w:szCs w:val="21"/>
              </w:rPr>
            </w:pPr>
            <w:r>
              <w:rPr>
                <w:rFonts w:hint="eastAsia" w:ascii="宋体" w:hAnsi="宋体"/>
                <w:color w:val="auto"/>
                <w:szCs w:val="21"/>
              </w:rPr>
              <w:t>莫174H井</w:t>
            </w:r>
          </w:p>
        </w:tc>
        <w:tc>
          <w:tcPr>
            <w:tcW w:w="1842" w:type="dxa"/>
            <w:vAlign w:val="center"/>
          </w:tcPr>
          <w:p w14:paraId="14BB38FC">
            <w:pPr>
              <w:widowControl/>
              <w:adjustRightInd w:val="0"/>
              <w:snapToGrid w:val="0"/>
              <w:jc w:val="center"/>
              <w:textAlignment w:val="center"/>
              <w:rPr>
                <w:rFonts w:hint="eastAsia" w:ascii="宋体" w:hAnsi="宋体" w:cs="宋体"/>
                <w:color w:val="auto"/>
                <w:szCs w:val="21"/>
                <w:lang w:bidi="ar"/>
              </w:rPr>
            </w:pPr>
            <w:r>
              <w:rPr>
                <w:rFonts w:hint="eastAsia" w:ascii="宋体" w:hAnsi="宋体" w:cs="宋体"/>
                <w:color w:val="auto"/>
                <w:szCs w:val="21"/>
                <w:lang w:bidi="ar"/>
              </w:rPr>
              <w:t>0.7714</w:t>
            </w:r>
          </w:p>
        </w:tc>
        <w:tc>
          <w:tcPr>
            <w:tcW w:w="1701" w:type="dxa"/>
            <w:vAlign w:val="center"/>
          </w:tcPr>
          <w:p w14:paraId="6D85D47D">
            <w:pPr>
              <w:pStyle w:val="86"/>
              <w:adjustRightInd w:val="0"/>
              <w:snapToGrid w:val="0"/>
              <w:spacing w:line="240" w:lineRule="auto"/>
              <w:ind w:firstLine="0" w:firstLineChars="0"/>
              <w:jc w:val="center"/>
              <w:rPr>
                <w:rFonts w:hint="eastAsia"/>
                <w:color w:val="auto"/>
                <w:sz w:val="21"/>
                <w:szCs w:val="21"/>
              </w:rPr>
            </w:pPr>
            <w:r>
              <w:rPr>
                <w:rFonts w:hint="eastAsia"/>
                <w:color w:val="auto"/>
                <w:sz w:val="21"/>
                <w:szCs w:val="21"/>
              </w:rPr>
              <w:t>8250</w:t>
            </w:r>
          </w:p>
        </w:tc>
        <w:tc>
          <w:tcPr>
            <w:tcW w:w="3628" w:type="dxa"/>
            <w:vAlign w:val="center"/>
          </w:tcPr>
          <w:p w14:paraId="4235C169">
            <w:pPr>
              <w:pStyle w:val="86"/>
              <w:adjustRightInd w:val="0"/>
              <w:snapToGrid w:val="0"/>
              <w:spacing w:line="240" w:lineRule="auto"/>
              <w:ind w:firstLine="0" w:firstLineChars="0"/>
              <w:jc w:val="center"/>
              <w:rPr>
                <w:rFonts w:hint="eastAsia"/>
                <w:color w:val="auto"/>
                <w:sz w:val="21"/>
                <w:szCs w:val="21"/>
              </w:rPr>
            </w:pPr>
            <w:r>
              <w:rPr>
                <w:rFonts w:hint="eastAsia"/>
                <w:color w:val="auto"/>
                <w:sz w:val="21"/>
                <w:szCs w:val="21"/>
              </w:rPr>
              <w:t>1.187</w:t>
            </w:r>
          </w:p>
        </w:tc>
      </w:tr>
      <w:bookmarkEnd w:id="292"/>
      <w:tr w14:paraId="49AB95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560" w:type="dxa"/>
            <w:vAlign w:val="center"/>
          </w:tcPr>
          <w:p w14:paraId="5E3EB563">
            <w:pPr>
              <w:widowControl/>
              <w:adjustRightInd w:val="0"/>
              <w:snapToGrid w:val="0"/>
              <w:jc w:val="center"/>
              <w:textAlignment w:val="center"/>
              <w:rPr>
                <w:rFonts w:hint="eastAsia" w:ascii="宋体" w:hAnsi="宋体" w:cs="宋体"/>
                <w:color w:val="auto"/>
                <w:kern w:val="0"/>
                <w:szCs w:val="21"/>
              </w:rPr>
            </w:pPr>
            <w:r>
              <w:rPr>
                <w:rFonts w:hint="eastAsia" w:ascii="宋体" w:hAnsi="宋体" w:cs="宋体"/>
                <w:color w:val="auto"/>
                <w:kern w:val="0"/>
                <w:szCs w:val="21"/>
              </w:rPr>
              <w:t>总计</w:t>
            </w:r>
          </w:p>
        </w:tc>
        <w:tc>
          <w:tcPr>
            <w:tcW w:w="1842" w:type="dxa"/>
            <w:vAlign w:val="center"/>
          </w:tcPr>
          <w:p w14:paraId="26C1906D">
            <w:pPr>
              <w:widowControl/>
              <w:adjustRightInd w:val="0"/>
              <w:snapToGrid w:val="0"/>
              <w:jc w:val="center"/>
              <w:textAlignment w:val="center"/>
              <w:rPr>
                <w:rFonts w:hint="eastAsia" w:ascii="宋体" w:hAnsi="宋体" w:cs="宋体"/>
                <w:color w:val="auto"/>
                <w:kern w:val="0"/>
                <w:szCs w:val="21"/>
              </w:rPr>
            </w:pPr>
            <w:r>
              <w:rPr>
                <w:rFonts w:hint="eastAsia" w:ascii="宋体" w:hAnsi="宋体" w:cs="宋体"/>
                <w:color w:val="auto"/>
                <w:kern w:val="0"/>
                <w:szCs w:val="21"/>
              </w:rPr>
              <w:t>/</w:t>
            </w:r>
          </w:p>
        </w:tc>
        <w:tc>
          <w:tcPr>
            <w:tcW w:w="1701" w:type="dxa"/>
            <w:vAlign w:val="center"/>
          </w:tcPr>
          <w:p w14:paraId="6ACE69EE">
            <w:pPr>
              <w:pStyle w:val="86"/>
              <w:adjustRightInd w:val="0"/>
              <w:snapToGrid w:val="0"/>
              <w:spacing w:line="240" w:lineRule="auto"/>
              <w:ind w:firstLine="0" w:firstLineChars="0"/>
              <w:jc w:val="center"/>
              <w:rPr>
                <w:rFonts w:hint="eastAsia"/>
                <w:color w:val="auto"/>
                <w:sz w:val="21"/>
                <w:szCs w:val="21"/>
              </w:rPr>
            </w:pPr>
            <w:r>
              <w:rPr>
                <w:rFonts w:hint="eastAsia"/>
                <w:color w:val="auto"/>
                <w:sz w:val="21"/>
                <w:szCs w:val="21"/>
              </w:rPr>
              <w:t>19800</w:t>
            </w:r>
          </w:p>
        </w:tc>
        <w:tc>
          <w:tcPr>
            <w:tcW w:w="3628" w:type="dxa"/>
            <w:vAlign w:val="center"/>
          </w:tcPr>
          <w:p w14:paraId="0BC2C27B">
            <w:pPr>
              <w:pStyle w:val="86"/>
              <w:adjustRightInd w:val="0"/>
              <w:snapToGrid w:val="0"/>
              <w:spacing w:line="240" w:lineRule="auto"/>
              <w:ind w:firstLine="0" w:firstLineChars="0"/>
              <w:jc w:val="center"/>
              <w:rPr>
                <w:rFonts w:hint="eastAsia"/>
                <w:color w:val="auto"/>
                <w:sz w:val="21"/>
                <w:szCs w:val="21"/>
              </w:rPr>
            </w:pPr>
            <w:r>
              <w:rPr>
                <w:rFonts w:hint="eastAsia"/>
                <w:color w:val="auto"/>
                <w:sz w:val="21"/>
                <w:szCs w:val="21"/>
              </w:rPr>
              <w:t>2.849</w:t>
            </w:r>
          </w:p>
        </w:tc>
      </w:tr>
    </w:tbl>
    <w:p w14:paraId="568A2E77">
      <w:pPr>
        <w:pStyle w:val="86"/>
        <w:adjustRightInd w:val="0"/>
        <w:snapToGrid w:val="0"/>
        <w:ind w:firstLine="480"/>
        <w:rPr>
          <w:rFonts w:hint="eastAsia"/>
          <w:color w:val="auto"/>
        </w:rPr>
      </w:pPr>
      <w:bookmarkStart w:id="293" w:name="OLE_LINK274"/>
      <w:r>
        <w:rPr>
          <w:rFonts w:hint="eastAsia"/>
          <w:color w:val="auto"/>
        </w:rPr>
        <w:t>拉运装车过程中对储油罐、罐车采用气相平衡系统，使储油罐、</w:t>
      </w:r>
      <w:bookmarkStart w:id="294" w:name="OLE_LINK267"/>
      <w:r>
        <w:rPr>
          <w:rFonts w:hint="eastAsia"/>
          <w:color w:val="auto"/>
        </w:rPr>
        <w:t>罐车形成闭路循环，减少储油罐及装车时产生的无组织废气；根据《利用气相平衡管原</w:t>
      </w:r>
      <w:bookmarkEnd w:id="294"/>
      <w:r>
        <w:rPr>
          <w:rFonts w:hint="eastAsia"/>
          <w:color w:val="auto"/>
        </w:rPr>
        <w:t>理控制有机污染物的无组织排放》（齐刚）研究可知，采用气相平衡系统之后无组织废气排放量可减少90%以上，则储油罐的大呼吸和采出液装车时无组织非甲烷总烃排放量见表3.3-5，每座井场储油罐及装车过程无组织废气排放量见表3.3-6。</w:t>
      </w:r>
    </w:p>
    <w:p w14:paraId="0E256021">
      <w:pPr>
        <w:pStyle w:val="86"/>
        <w:adjustRightInd w:val="0"/>
        <w:snapToGrid w:val="0"/>
        <w:ind w:firstLine="0" w:firstLineChars="0"/>
        <w:jc w:val="center"/>
        <w:rPr>
          <w:rFonts w:hint="eastAsia" w:ascii="黑体" w:hAnsi="黑体" w:eastAsia="黑体"/>
          <w:color w:val="auto"/>
          <w:sz w:val="21"/>
          <w:szCs w:val="21"/>
        </w:rPr>
      </w:pPr>
      <w:r>
        <w:rPr>
          <w:rFonts w:hint="eastAsia" w:ascii="黑体" w:hAnsi="黑体" w:eastAsia="黑体"/>
          <w:color w:val="auto"/>
          <w:sz w:val="21"/>
          <w:szCs w:val="21"/>
        </w:rPr>
        <w:t>表3.3-5  采用气相平衡后大呼吸和装车废气合计排放量一览表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59"/>
        <w:gridCol w:w="1311"/>
        <w:gridCol w:w="1451"/>
        <w:gridCol w:w="2179"/>
        <w:gridCol w:w="2846"/>
      </w:tblGrid>
      <w:tr w14:paraId="0E98FC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48" w:type="pct"/>
            <w:vAlign w:val="center"/>
          </w:tcPr>
          <w:p w14:paraId="4AE57DBF">
            <w:pPr>
              <w:widowControl/>
              <w:jc w:val="center"/>
              <w:rPr>
                <w:rFonts w:hint="eastAsia" w:ascii="宋体" w:hAnsi="宋体" w:cs="宋体"/>
                <w:color w:val="auto"/>
                <w:kern w:val="0"/>
                <w:szCs w:val="21"/>
              </w:rPr>
            </w:pPr>
            <w:r>
              <w:rPr>
                <w:rFonts w:hint="eastAsia" w:ascii="宋体" w:hAnsi="宋体" w:cs="宋体"/>
                <w:color w:val="auto"/>
                <w:kern w:val="0"/>
                <w:szCs w:val="21"/>
              </w:rPr>
              <w:t>类别</w:t>
            </w:r>
          </w:p>
        </w:tc>
        <w:tc>
          <w:tcPr>
            <w:tcW w:w="733" w:type="pct"/>
            <w:vAlign w:val="center"/>
          </w:tcPr>
          <w:p w14:paraId="6115E539">
            <w:pPr>
              <w:widowControl/>
              <w:jc w:val="center"/>
              <w:rPr>
                <w:rFonts w:hint="eastAsia" w:ascii="宋体" w:hAnsi="宋体" w:cs="宋体"/>
                <w:color w:val="auto"/>
                <w:kern w:val="0"/>
                <w:szCs w:val="21"/>
              </w:rPr>
            </w:pPr>
            <w:r>
              <w:rPr>
                <w:rFonts w:hint="eastAsia" w:ascii="宋体" w:hAnsi="宋体" w:cs="宋体"/>
                <w:color w:val="auto"/>
                <w:kern w:val="0"/>
                <w:szCs w:val="21"/>
              </w:rPr>
              <w:t>大呼吸损耗量（t/a）</w:t>
            </w:r>
          </w:p>
        </w:tc>
        <w:tc>
          <w:tcPr>
            <w:tcW w:w="811" w:type="pct"/>
            <w:vAlign w:val="center"/>
          </w:tcPr>
          <w:p w14:paraId="20079792">
            <w:pPr>
              <w:widowControl/>
              <w:jc w:val="center"/>
              <w:rPr>
                <w:rFonts w:hint="eastAsia" w:ascii="宋体" w:hAnsi="宋体" w:cs="宋体"/>
                <w:color w:val="auto"/>
                <w:kern w:val="0"/>
                <w:szCs w:val="21"/>
              </w:rPr>
            </w:pPr>
            <w:r>
              <w:rPr>
                <w:rFonts w:hint="eastAsia" w:ascii="宋体" w:hAnsi="宋体" w:cs="宋体"/>
                <w:color w:val="auto"/>
                <w:kern w:val="0"/>
                <w:szCs w:val="21"/>
              </w:rPr>
              <w:t>装车无组织废气（t/a）</w:t>
            </w:r>
          </w:p>
        </w:tc>
        <w:tc>
          <w:tcPr>
            <w:tcW w:w="1218" w:type="pct"/>
            <w:vAlign w:val="center"/>
          </w:tcPr>
          <w:p w14:paraId="5E4E8A0A">
            <w:pPr>
              <w:widowControl/>
              <w:jc w:val="center"/>
              <w:rPr>
                <w:rFonts w:hint="eastAsia" w:ascii="宋体" w:hAnsi="宋体" w:cs="宋体"/>
                <w:color w:val="auto"/>
                <w:kern w:val="0"/>
                <w:szCs w:val="21"/>
              </w:rPr>
            </w:pPr>
            <w:r>
              <w:rPr>
                <w:rFonts w:hint="eastAsia" w:ascii="宋体" w:hAnsi="宋体" w:cs="宋体"/>
                <w:color w:val="auto"/>
                <w:kern w:val="0"/>
                <w:szCs w:val="21"/>
              </w:rPr>
              <w:t>大呼吸和装车废气合计产生量（t/a）</w:t>
            </w:r>
          </w:p>
        </w:tc>
        <w:tc>
          <w:tcPr>
            <w:tcW w:w="1590" w:type="pct"/>
            <w:vAlign w:val="center"/>
          </w:tcPr>
          <w:p w14:paraId="06127ED9">
            <w:pPr>
              <w:widowControl/>
              <w:jc w:val="center"/>
              <w:rPr>
                <w:rFonts w:hint="eastAsia" w:ascii="宋体" w:hAnsi="宋体" w:cs="宋体"/>
                <w:color w:val="auto"/>
                <w:kern w:val="0"/>
                <w:szCs w:val="21"/>
              </w:rPr>
            </w:pPr>
            <w:r>
              <w:rPr>
                <w:rFonts w:hint="eastAsia" w:ascii="宋体" w:hAnsi="宋体" w:cs="宋体"/>
                <w:color w:val="auto"/>
                <w:kern w:val="0"/>
                <w:szCs w:val="21"/>
              </w:rPr>
              <w:t>采用气相平衡后大呼吸和装车废气合计排放量（t/a）</w:t>
            </w:r>
          </w:p>
        </w:tc>
      </w:tr>
      <w:tr w14:paraId="5CD00B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48" w:type="pct"/>
            <w:vAlign w:val="center"/>
          </w:tcPr>
          <w:p w14:paraId="1E2770F6">
            <w:pPr>
              <w:widowControl/>
              <w:jc w:val="center"/>
              <w:rPr>
                <w:rFonts w:hint="eastAsia" w:ascii="宋体" w:hAnsi="宋体" w:cs="宋体"/>
                <w:color w:val="auto"/>
                <w:kern w:val="0"/>
                <w:szCs w:val="21"/>
              </w:rPr>
            </w:pPr>
            <w:r>
              <w:rPr>
                <w:rFonts w:hint="eastAsia" w:ascii="宋体" w:hAnsi="宋体"/>
                <w:color w:val="auto"/>
                <w:szCs w:val="21"/>
              </w:rPr>
              <w:t>莫172H井</w:t>
            </w:r>
          </w:p>
        </w:tc>
        <w:tc>
          <w:tcPr>
            <w:tcW w:w="733" w:type="pct"/>
            <w:vAlign w:val="center"/>
          </w:tcPr>
          <w:p w14:paraId="6A254616">
            <w:pPr>
              <w:widowControl/>
              <w:jc w:val="center"/>
              <w:rPr>
                <w:rFonts w:hint="eastAsia" w:ascii="宋体" w:hAnsi="宋体"/>
                <w:color w:val="auto"/>
                <w:szCs w:val="21"/>
              </w:rPr>
            </w:pPr>
            <w:r>
              <w:rPr>
                <w:rFonts w:hint="eastAsia" w:ascii="宋体" w:hAnsi="宋体"/>
                <w:color w:val="auto"/>
                <w:szCs w:val="21"/>
              </w:rPr>
              <w:t>4.538</w:t>
            </w:r>
          </w:p>
        </w:tc>
        <w:tc>
          <w:tcPr>
            <w:tcW w:w="811" w:type="pct"/>
            <w:vAlign w:val="center"/>
          </w:tcPr>
          <w:p w14:paraId="32FEA717">
            <w:pPr>
              <w:widowControl/>
              <w:jc w:val="center"/>
              <w:rPr>
                <w:rFonts w:hint="eastAsia" w:ascii="宋体" w:hAnsi="宋体"/>
                <w:color w:val="auto"/>
                <w:szCs w:val="21"/>
              </w:rPr>
            </w:pPr>
            <w:r>
              <w:rPr>
                <w:rFonts w:hint="eastAsia" w:ascii="宋体" w:hAnsi="宋体"/>
                <w:color w:val="auto"/>
                <w:szCs w:val="21"/>
              </w:rPr>
              <w:t>1.662</w:t>
            </w:r>
          </w:p>
        </w:tc>
        <w:tc>
          <w:tcPr>
            <w:tcW w:w="1218" w:type="pct"/>
            <w:noWrap/>
            <w:vAlign w:val="center"/>
          </w:tcPr>
          <w:p w14:paraId="6E5CE2D0">
            <w:pPr>
              <w:widowControl/>
              <w:jc w:val="center"/>
              <w:rPr>
                <w:rFonts w:hint="eastAsia" w:ascii="宋体" w:hAnsi="宋体"/>
                <w:color w:val="auto"/>
                <w:szCs w:val="21"/>
              </w:rPr>
            </w:pPr>
            <w:r>
              <w:rPr>
                <w:rFonts w:hint="eastAsia" w:ascii="宋体" w:hAnsi="宋体"/>
                <w:color w:val="auto"/>
                <w:szCs w:val="21"/>
              </w:rPr>
              <w:t>6.2</w:t>
            </w:r>
          </w:p>
        </w:tc>
        <w:tc>
          <w:tcPr>
            <w:tcW w:w="1590" w:type="pct"/>
            <w:noWrap/>
            <w:vAlign w:val="center"/>
          </w:tcPr>
          <w:p w14:paraId="7C762E02">
            <w:pPr>
              <w:widowControl/>
              <w:jc w:val="center"/>
              <w:rPr>
                <w:rFonts w:hint="eastAsia" w:ascii="宋体" w:hAnsi="宋体"/>
                <w:color w:val="auto"/>
                <w:szCs w:val="21"/>
              </w:rPr>
            </w:pPr>
            <w:r>
              <w:rPr>
                <w:rFonts w:hint="eastAsia" w:ascii="宋体" w:hAnsi="宋体"/>
                <w:color w:val="auto"/>
                <w:szCs w:val="21"/>
              </w:rPr>
              <w:t>0.62</w:t>
            </w:r>
          </w:p>
        </w:tc>
      </w:tr>
      <w:tr w14:paraId="215205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48" w:type="pct"/>
            <w:vAlign w:val="center"/>
          </w:tcPr>
          <w:p w14:paraId="3443A83E">
            <w:pPr>
              <w:widowControl/>
              <w:jc w:val="center"/>
              <w:rPr>
                <w:rFonts w:hint="eastAsia" w:ascii="宋体" w:hAnsi="宋体" w:cs="宋体"/>
                <w:color w:val="auto"/>
                <w:kern w:val="0"/>
                <w:szCs w:val="21"/>
              </w:rPr>
            </w:pPr>
            <w:r>
              <w:rPr>
                <w:rFonts w:hint="eastAsia" w:ascii="宋体" w:hAnsi="宋体"/>
                <w:color w:val="auto"/>
                <w:szCs w:val="21"/>
              </w:rPr>
              <w:t>莫174H井</w:t>
            </w:r>
          </w:p>
        </w:tc>
        <w:tc>
          <w:tcPr>
            <w:tcW w:w="733" w:type="pct"/>
            <w:vAlign w:val="center"/>
          </w:tcPr>
          <w:p w14:paraId="229A1BCE">
            <w:pPr>
              <w:widowControl/>
              <w:jc w:val="center"/>
              <w:rPr>
                <w:rFonts w:hint="eastAsia" w:ascii="宋体" w:hAnsi="宋体"/>
                <w:color w:val="auto"/>
                <w:szCs w:val="21"/>
              </w:rPr>
            </w:pPr>
            <w:r>
              <w:rPr>
                <w:rFonts w:hint="eastAsia" w:ascii="宋体" w:hAnsi="宋体"/>
                <w:color w:val="auto"/>
                <w:szCs w:val="21"/>
              </w:rPr>
              <w:t>2.269</w:t>
            </w:r>
          </w:p>
        </w:tc>
        <w:tc>
          <w:tcPr>
            <w:tcW w:w="811" w:type="pct"/>
            <w:vAlign w:val="center"/>
          </w:tcPr>
          <w:p w14:paraId="0D297A0B">
            <w:pPr>
              <w:widowControl/>
              <w:jc w:val="center"/>
              <w:rPr>
                <w:rFonts w:hint="eastAsia" w:ascii="宋体" w:hAnsi="宋体"/>
                <w:color w:val="auto"/>
                <w:szCs w:val="21"/>
              </w:rPr>
            </w:pPr>
            <w:r>
              <w:rPr>
                <w:rFonts w:hint="eastAsia" w:ascii="宋体" w:hAnsi="宋体"/>
                <w:color w:val="auto"/>
                <w:szCs w:val="21"/>
              </w:rPr>
              <w:t>1.187</w:t>
            </w:r>
          </w:p>
        </w:tc>
        <w:tc>
          <w:tcPr>
            <w:tcW w:w="1218" w:type="pct"/>
            <w:noWrap/>
            <w:vAlign w:val="center"/>
          </w:tcPr>
          <w:p w14:paraId="0B3BA10F">
            <w:pPr>
              <w:widowControl/>
              <w:jc w:val="center"/>
              <w:rPr>
                <w:rFonts w:hint="eastAsia" w:ascii="宋体" w:hAnsi="宋体"/>
                <w:color w:val="auto"/>
                <w:szCs w:val="21"/>
              </w:rPr>
            </w:pPr>
            <w:r>
              <w:rPr>
                <w:rFonts w:hint="eastAsia" w:ascii="宋体" w:hAnsi="宋体"/>
                <w:color w:val="auto"/>
                <w:szCs w:val="21"/>
              </w:rPr>
              <w:t>3.456</w:t>
            </w:r>
          </w:p>
        </w:tc>
        <w:tc>
          <w:tcPr>
            <w:tcW w:w="1590" w:type="pct"/>
            <w:noWrap/>
            <w:vAlign w:val="center"/>
          </w:tcPr>
          <w:p w14:paraId="099E849C">
            <w:pPr>
              <w:widowControl/>
              <w:jc w:val="center"/>
              <w:rPr>
                <w:rFonts w:hint="eastAsia" w:ascii="宋体" w:hAnsi="宋体"/>
                <w:color w:val="auto"/>
                <w:szCs w:val="21"/>
              </w:rPr>
            </w:pPr>
            <w:r>
              <w:rPr>
                <w:rFonts w:hint="eastAsia" w:ascii="宋体" w:hAnsi="宋体"/>
                <w:color w:val="auto"/>
                <w:szCs w:val="21"/>
              </w:rPr>
              <w:t>0.3456</w:t>
            </w:r>
          </w:p>
        </w:tc>
      </w:tr>
      <w:tr w14:paraId="60DFED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48" w:type="pct"/>
            <w:vAlign w:val="center"/>
          </w:tcPr>
          <w:p w14:paraId="629990C7">
            <w:pPr>
              <w:widowControl/>
              <w:jc w:val="center"/>
              <w:rPr>
                <w:rFonts w:hint="eastAsia" w:ascii="宋体" w:hAnsi="宋体" w:cs="宋体"/>
                <w:color w:val="auto"/>
                <w:kern w:val="0"/>
                <w:szCs w:val="21"/>
              </w:rPr>
            </w:pPr>
            <w:r>
              <w:rPr>
                <w:rFonts w:hint="eastAsia" w:ascii="宋体" w:hAnsi="宋体" w:cs="宋体"/>
                <w:color w:val="auto"/>
                <w:kern w:val="0"/>
                <w:szCs w:val="21"/>
              </w:rPr>
              <w:t>总计</w:t>
            </w:r>
          </w:p>
        </w:tc>
        <w:tc>
          <w:tcPr>
            <w:tcW w:w="733" w:type="pct"/>
            <w:vAlign w:val="center"/>
          </w:tcPr>
          <w:p w14:paraId="38540B32">
            <w:pPr>
              <w:widowControl/>
              <w:jc w:val="center"/>
              <w:rPr>
                <w:rFonts w:hint="eastAsia" w:ascii="宋体" w:hAnsi="宋体"/>
                <w:color w:val="auto"/>
                <w:szCs w:val="21"/>
              </w:rPr>
            </w:pPr>
            <w:r>
              <w:rPr>
                <w:rFonts w:hint="eastAsia" w:ascii="宋体" w:hAnsi="宋体"/>
                <w:color w:val="auto"/>
                <w:szCs w:val="21"/>
              </w:rPr>
              <w:t>6.807</w:t>
            </w:r>
          </w:p>
        </w:tc>
        <w:tc>
          <w:tcPr>
            <w:tcW w:w="811" w:type="pct"/>
            <w:vAlign w:val="center"/>
          </w:tcPr>
          <w:p w14:paraId="0B3E3C08">
            <w:pPr>
              <w:widowControl/>
              <w:jc w:val="center"/>
              <w:rPr>
                <w:rFonts w:hint="eastAsia" w:ascii="宋体" w:hAnsi="宋体"/>
                <w:color w:val="auto"/>
                <w:szCs w:val="21"/>
              </w:rPr>
            </w:pPr>
            <w:r>
              <w:rPr>
                <w:rFonts w:hint="eastAsia" w:ascii="宋体" w:hAnsi="宋体"/>
                <w:color w:val="auto"/>
                <w:szCs w:val="21"/>
              </w:rPr>
              <w:t>2.849</w:t>
            </w:r>
          </w:p>
        </w:tc>
        <w:tc>
          <w:tcPr>
            <w:tcW w:w="1218" w:type="pct"/>
            <w:noWrap/>
            <w:vAlign w:val="center"/>
          </w:tcPr>
          <w:p w14:paraId="6D91C197">
            <w:pPr>
              <w:widowControl/>
              <w:jc w:val="center"/>
              <w:rPr>
                <w:rFonts w:hint="eastAsia" w:ascii="宋体" w:hAnsi="宋体"/>
                <w:color w:val="auto"/>
                <w:szCs w:val="21"/>
              </w:rPr>
            </w:pPr>
            <w:r>
              <w:rPr>
                <w:rFonts w:hint="eastAsia" w:ascii="宋体" w:hAnsi="宋体"/>
                <w:color w:val="auto"/>
                <w:szCs w:val="21"/>
              </w:rPr>
              <w:t>9.656</w:t>
            </w:r>
          </w:p>
        </w:tc>
        <w:tc>
          <w:tcPr>
            <w:tcW w:w="1590" w:type="pct"/>
            <w:noWrap/>
            <w:vAlign w:val="center"/>
          </w:tcPr>
          <w:p w14:paraId="0BBCB106">
            <w:pPr>
              <w:widowControl/>
              <w:jc w:val="center"/>
              <w:rPr>
                <w:rFonts w:hint="eastAsia" w:ascii="宋体" w:hAnsi="宋体"/>
                <w:color w:val="auto"/>
                <w:szCs w:val="21"/>
              </w:rPr>
            </w:pPr>
            <w:r>
              <w:rPr>
                <w:rFonts w:hint="eastAsia" w:ascii="宋体" w:hAnsi="宋体"/>
                <w:color w:val="auto"/>
                <w:szCs w:val="21"/>
              </w:rPr>
              <w:t>0.9656</w:t>
            </w:r>
          </w:p>
        </w:tc>
      </w:tr>
    </w:tbl>
    <w:p w14:paraId="09AEC08D">
      <w:pPr>
        <w:pStyle w:val="86"/>
        <w:adjustRightInd w:val="0"/>
        <w:snapToGrid w:val="0"/>
        <w:ind w:firstLine="0" w:firstLineChars="0"/>
        <w:jc w:val="center"/>
        <w:rPr>
          <w:rFonts w:hint="eastAsia"/>
          <w:color w:val="auto"/>
          <w:kern w:val="0"/>
        </w:rPr>
      </w:pPr>
      <w:r>
        <w:rPr>
          <w:rFonts w:hint="eastAsia" w:ascii="黑体" w:hAnsi="黑体" w:eastAsia="黑体"/>
          <w:color w:val="auto"/>
          <w:sz w:val="21"/>
          <w:szCs w:val="21"/>
        </w:rPr>
        <w:t>表3.3-6  拉油罐及装车废气无组织废气排放量一览表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3"/>
        <w:gridCol w:w="1889"/>
        <w:gridCol w:w="2759"/>
        <w:gridCol w:w="2845"/>
      </w:tblGrid>
      <w:tr w14:paraId="73FF9D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812" w:type="pct"/>
            <w:vAlign w:val="center"/>
          </w:tcPr>
          <w:p w14:paraId="101D9081">
            <w:pPr>
              <w:widowControl/>
              <w:jc w:val="center"/>
              <w:rPr>
                <w:rFonts w:hint="eastAsia" w:ascii="宋体" w:hAnsi="宋体" w:cs="宋体"/>
                <w:color w:val="auto"/>
                <w:kern w:val="0"/>
                <w:szCs w:val="21"/>
              </w:rPr>
            </w:pPr>
            <w:r>
              <w:rPr>
                <w:rFonts w:hint="eastAsia" w:ascii="宋体" w:hAnsi="宋体" w:cs="宋体"/>
                <w:color w:val="auto"/>
                <w:kern w:val="0"/>
                <w:szCs w:val="21"/>
              </w:rPr>
              <w:t>类别</w:t>
            </w:r>
          </w:p>
        </w:tc>
        <w:tc>
          <w:tcPr>
            <w:tcW w:w="1056" w:type="pct"/>
            <w:vAlign w:val="center"/>
          </w:tcPr>
          <w:p w14:paraId="593D6FF1">
            <w:pPr>
              <w:widowControl/>
              <w:jc w:val="center"/>
              <w:rPr>
                <w:rFonts w:hint="eastAsia" w:ascii="宋体" w:hAnsi="宋体" w:cs="宋体"/>
                <w:color w:val="auto"/>
                <w:kern w:val="0"/>
                <w:szCs w:val="21"/>
              </w:rPr>
            </w:pPr>
            <w:r>
              <w:rPr>
                <w:rFonts w:hint="eastAsia" w:ascii="宋体" w:hAnsi="宋体" w:cs="宋体"/>
                <w:color w:val="auto"/>
                <w:kern w:val="0"/>
                <w:szCs w:val="21"/>
              </w:rPr>
              <w:t>拉油罐小呼吸损耗量（t/a）</w:t>
            </w:r>
          </w:p>
        </w:tc>
        <w:tc>
          <w:tcPr>
            <w:tcW w:w="1542" w:type="pct"/>
            <w:vAlign w:val="center"/>
          </w:tcPr>
          <w:p w14:paraId="24FC4A8B">
            <w:pPr>
              <w:widowControl/>
              <w:jc w:val="center"/>
              <w:rPr>
                <w:rFonts w:hint="eastAsia" w:ascii="宋体" w:hAnsi="宋体" w:cs="宋体"/>
                <w:color w:val="auto"/>
                <w:kern w:val="0"/>
                <w:szCs w:val="21"/>
              </w:rPr>
            </w:pPr>
            <w:r>
              <w:rPr>
                <w:rFonts w:hint="eastAsia" w:ascii="宋体" w:hAnsi="宋体" w:cs="宋体"/>
                <w:color w:val="auto"/>
                <w:kern w:val="0"/>
                <w:szCs w:val="21"/>
              </w:rPr>
              <w:t>大呼吸和装车废气合计排放量（t/a）</w:t>
            </w:r>
          </w:p>
        </w:tc>
        <w:tc>
          <w:tcPr>
            <w:tcW w:w="1590" w:type="pct"/>
            <w:vAlign w:val="center"/>
          </w:tcPr>
          <w:p w14:paraId="7DC46FBD">
            <w:pPr>
              <w:widowControl/>
              <w:jc w:val="center"/>
              <w:rPr>
                <w:rFonts w:hint="eastAsia" w:ascii="宋体" w:hAnsi="宋体" w:cs="宋体"/>
                <w:color w:val="auto"/>
                <w:kern w:val="0"/>
                <w:szCs w:val="21"/>
              </w:rPr>
            </w:pPr>
            <w:r>
              <w:rPr>
                <w:rFonts w:hint="eastAsia" w:ascii="宋体" w:hAnsi="宋体" w:cs="宋体"/>
                <w:color w:val="auto"/>
                <w:kern w:val="0"/>
                <w:szCs w:val="21"/>
              </w:rPr>
              <w:t>每座井场合计排放量（t/a）</w:t>
            </w:r>
          </w:p>
        </w:tc>
      </w:tr>
      <w:tr w14:paraId="13A3A5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12" w:type="pct"/>
            <w:vAlign w:val="center"/>
          </w:tcPr>
          <w:p w14:paraId="303D7009">
            <w:pPr>
              <w:widowControl/>
              <w:jc w:val="center"/>
              <w:rPr>
                <w:rFonts w:hint="eastAsia" w:ascii="宋体" w:hAnsi="宋体" w:cs="宋体"/>
                <w:color w:val="auto"/>
                <w:kern w:val="0"/>
                <w:szCs w:val="21"/>
              </w:rPr>
            </w:pPr>
            <w:r>
              <w:rPr>
                <w:rFonts w:hint="eastAsia" w:ascii="宋体" w:hAnsi="宋体"/>
                <w:color w:val="auto"/>
                <w:szCs w:val="21"/>
              </w:rPr>
              <w:t>莫172H井</w:t>
            </w:r>
          </w:p>
        </w:tc>
        <w:tc>
          <w:tcPr>
            <w:tcW w:w="1056" w:type="pct"/>
            <w:vAlign w:val="center"/>
          </w:tcPr>
          <w:p w14:paraId="3FFFD506">
            <w:pPr>
              <w:widowControl/>
              <w:jc w:val="center"/>
              <w:rPr>
                <w:rFonts w:hint="eastAsia" w:ascii="宋体" w:hAnsi="宋体"/>
                <w:color w:val="auto"/>
                <w:szCs w:val="21"/>
              </w:rPr>
            </w:pPr>
            <w:r>
              <w:rPr>
                <w:rFonts w:hint="eastAsia" w:ascii="宋体" w:hAnsi="宋体"/>
                <w:color w:val="auto"/>
                <w:szCs w:val="21"/>
              </w:rPr>
              <w:t>0.138</w:t>
            </w:r>
          </w:p>
        </w:tc>
        <w:tc>
          <w:tcPr>
            <w:tcW w:w="1542" w:type="pct"/>
            <w:noWrap/>
            <w:vAlign w:val="center"/>
          </w:tcPr>
          <w:p w14:paraId="549C1328">
            <w:pPr>
              <w:widowControl/>
              <w:jc w:val="center"/>
              <w:rPr>
                <w:rFonts w:hint="eastAsia" w:ascii="宋体" w:hAnsi="宋体" w:cs="宋体"/>
                <w:color w:val="auto"/>
                <w:kern w:val="0"/>
                <w:szCs w:val="21"/>
              </w:rPr>
            </w:pPr>
            <w:r>
              <w:rPr>
                <w:rFonts w:hint="eastAsia" w:ascii="宋体" w:hAnsi="宋体"/>
                <w:color w:val="auto"/>
                <w:szCs w:val="21"/>
              </w:rPr>
              <w:t>0.62</w:t>
            </w:r>
          </w:p>
        </w:tc>
        <w:tc>
          <w:tcPr>
            <w:tcW w:w="1590" w:type="pct"/>
            <w:vAlign w:val="center"/>
          </w:tcPr>
          <w:p w14:paraId="0297C66B">
            <w:pPr>
              <w:widowControl/>
              <w:jc w:val="center"/>
              <w:rPr>
                <w:rFonts w:hint="eastAsia" w:ascii="宋体" w:hAnsi="宋体" w:cs="宋体"/>
                <w:color w:val="auto"/>
                <w:kern w:val="0"/>
                <w:szCs w:val="21"/>
              </w:rPr>
            </w:pPr>
            <w:r>
              <w:rPr>
                <w:rFonts w:hint="eastAsia" w:ascii="宋体" w:hAnsi="宋体" w:cs="宋体"/>
                <w:color w:val="auto"/>
                <w:kern w:val="0"/>
                <w:szCs w:val="21"/>
              </w:rPr>
              <w:t>0.758</w:t>
            </w:r>
          </w:p>
        </w:tc>
      </w:tr>
      <w:tr w14:paraId="7E9FA5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12" w:type="pct"/>
            <w:vAlign w:val="center"/>
          </w:tcPr>
          <w:p w14:paraId="07FED331">
            <w:pPr>
              <w:widowControl/>
              <w:jc w:val="center"/>
              <w:rPr>
                <w:rFonts w:hint="eastAsia" w:ascii="宋体" w:hAnsi="宋体" w:cs="宋体"/>
                <w:color w:val="auto"/>
                <w:kern w:val="0"/>
                <w:szCs w:val="21"/>
              </w:rPr>
            </w:pPr>
            <w:bookmarkStart w:id="295" w:name="OLE_LINK83"/>
            <w:r>
              <w:rPr>
                <w:rFonts w:hint="eastAsia" w:ascii="宋体" w:hAnsi="宋体"/>
                <w:color w:val="auto"/>
                <w:szCs w:val="21"/>
              </w:rPr>
              <w:t>莫174H井</w:t>
            </w:r>
            <w:bookmarkEnd w:id="295"/>
          </w:p>
        </w:tc>
        <w:tc>
          <w:tcPr>
            <w:tcW w:w="1056" w:type="pct"/>
            <w:vAlign w:val="center"/>
          </w:tcPr>
          <w:p w14:paraId="55F8BA85">
            <w:pPr>
              <w:widowControl/>
              <w:jc w:val="center"/>
              <w:rPr>
                <w:rFonts w:hint="eastAsia" w:ascii="宋体" w:hAnsi="宋体"/>
                <w:color w:val="auto"/>
                <w:szCs w:val="21"/>
              </w:rPr>
            </w:pPr>
            <w:r>
              <w:rPr>
                <w:rFonts w:hint="eastAsia" w:ascii="宋体" w:hAnsi="宋体"/>
                <w:color w:val="auto"/>
                <w:szCs w:val="21"/>
              </w:rPr>
              <w:t>0.069</w:t>
            </w:r>
          </w:p>
        </w:tc>
        <w:tc>
          <w:tcPr>
            <w:tcW w:w="1542" w:type="pct"/>
            <w:noWrap/>
            <w:vAlign w:val="center"/>
          </w:tcPr>
          <w:p w14:paraId="4218513D">
            <w:pPr>
              <w:widowControl/>
              <w:jc w:val="center"/>
              <w:rPr>
                <w:rFonts w:hint="eastAsia" w:ascii="宋体" w:hAnsi="宋体" w:cs="宋体"/>
                <w:color w:val="auto"/>
                <w:kern w:val="0"/>
                <w:szCs w:val="21"/>
              </w:rPr>
            </w:pPr>
            <w:r>
              <w:rPr>
                <w:rFonts w:hint="eastAsia" w:ascii="宋体" w:hAnsi="宋体"/>
                <w:color w:val="auto"/>
                <w:szCs w:val="21"/>
              </w:rPr>
              <w:t>0.3456</w:t>
            </w:r>
          </w:p>
        </w:tc>
        <w:tc>
          <w:tcPr>
            <w:tcW w:w="1590" w:type="pct"/>
            <w:vAlign w:val="center"/>
          </w:tcPr>
          <w:p w14:paraId="39F17198">
            <w:pPr>
              <w:widowControl/>
              <w:jc w:val="center"/>
              <w:rPr>
                <w:rFonts w:hint="eastAsia" w:ascii="宋体" w:hAnsi="宋体" w:cs="宋体"/>
                <w:color w:val="auto"/>
                <w:kern w:val="0"/>
                <w:szCs w:val="21"/>
              </w:rPr>
            </w:pPr>
            <w:r>
              <w:rPr>
                <w:rFonts w:hint="eastAsia" w:ascii="宋体" w:hAnsi="宋体" w:cs="宋体"/>
                <w:color w:val="auto"/>
                <w:kern w:val="0"/>
                <w:szCs w:val="21"/>
              </w:rPr>
              <w:t>0.4146</w:t>
            </w:r>
          </w:p>
        </w:tc>
      </w:tr>
      <w:tr w14:paraId="64C4D9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12" w:type="pct"/>
            <w:vAlign w:val="center"/>
          </w:tcPr>
          <w:p w14:paraId="4D94F640">
            <w:pPr>
              <w:widowControl/>
              <w:jc w:val="center"/>
              <w:rPr>
                <w:rFonts w:hint="eastAsia" w:ascii="宋体" w:hAnsi="宋体" w:cs="宋体"/>
                <w:color w:val="auto"/>
                <w:kern w:val="0"/>
                <w:szCs w:val="21"/>
              </w:rPr>
            </w:pPr>
            <w:r>
              <w:rPr>
                <w:rFonts w:hint="eastAsia" w:ascii="宋体" w:hAnsi="宋体" w:cs="宋体"/>
                <w:color w:val="auto"/>
                <w:kern w:val="0"/>
                <w:szCs w:val="21"/>
              </w:rPr>
              <w:t>总计</w:t>
            </w:r>
          </w:p>
        </w:tc>
        <w:tc>
          <w:tcPr>
            <w:tcW w:w="1056" w:type="pct"/>
            <w:vAlign w:val="center"/>
          </w:tcPr>
          <w:p w14:paraId="66B7E484">
            <w:pPr>
              <w:widowControl/>
              <w:jc w:val="center"/>
              <w:rPr>
                <w:rFonts w:hint="eastAsia" w:ascii="宋体" w:hAnsi="宋体"/>
                <w:color w:val="auto"/>
                <w:szCs w:val="21"/>
              </w:rPr>
            </w:pPr>
            <w:r>
              <w:rPr>
                <w:rFonts w:hint="eastAsia" w:ascii="宋体" w:hAnsi="宋体"/>
                <w:color w:val="auto"/>
                <w:szCs w:val="21"/>
              </w:rPr>
              <w:t>0.207</w:t>
            </w:r>
          </w:p>
        </w:tc>
        <w:tc>
          <w:tcPr>
            <w:tcW w:w="1542" w:type="pct"/>
            <w:noWrap/>
            <w:vAlign w:val="center"/>
          </w:tcPr>
          <w:p w14:paraId="37C6920A">
            <w:pPr>
              <w:widowControl/>
              <w:jc w:val="center"/>
              <w:rPr>
                <w:rFonts w:hint="eastAsia" w:ascii="宋体" w:hAnsi="宋体" w:cs="宋体"/>
                <w:color w:val="auto"/>
                <w:kern w:val="0"/>
                <w:szCs w:val="21"/>
              </w:rPr>
            </w:pPr>
            <w:r>
              <w:rPr>
                <w:rFonts w:hint="eastAsia" w:ascii="宋体" w:hAnsi="宋体"/>
                <w:color w:val="auto"/>
                <w:szCs w:val="21"/>
              </w:rPr>
              <w:t>0.9656</w:t>
            </w:r>
          </w:p>
        </w:tc>
        <w:tc>
          <w:tcPr>
            <w:tcW w:w="1590" w:type="pct"/>
            <w:vAlign w:val="center"/>
          </w:tcPr>
          <w:p w14:paraId="57DD6DA9">
            <w:pPr>
              <w:widowControl/>
              <w:jc w:val="center"/>
              <w:rPr>
                <w:rFonts w:hint="eastAsia" w:ascii="宋体" w:hAnsi="宋体" w:cs="宋体"/>
                <w:color w:val="auto"/>
                <w:kern w:val="0"/>
                <w:szCs w:val="21"/>
              </w:rPr>
            </w:pPr>
            <w:r>
              <w:rPr>
                <w:rFonts w:hint="eastAsia" w:ascii="宋体" w:hAnsi="宋体" w:cs="宋体"/>
                <w:color w:val="auto"/>
                <w:kern w:val="0"/>
                <w:szCs w:val="21"/>
              </w:rPr>
              <w:t>1.1726</w:t>
            </w:r>
          </w:p>
        </w:tc>
      </w:tr>
      <w:bookmarkEnd w:id="293"/>
    </w:tbl>
    <w:p w14:paraId="6EC73D01">
      <w:pPr>
        <w:pStyle w:val="86"/>
        <w:spacing w:line="480" w:lineRule="exact"/>
        <w:ind w:firstLine="480"/>
        <w:rPr>
          <w:rFonts w:hint="eastAsia"/>
          <w:color w:val="auto"/>
          <w:kern w:val="0"/>
          <w:lang w:bidi="ar"/>
        </w:rPr>
      </w:pPr>
      <w:r>
        <w:rPr>
          <w:rFonts w:hint="eastAsia"/>
          <w:color w:val="auto"/>
        </w:rPr>
        <w:t>⑤</w:t>
      </w:r>
      <w:r>
        <w:rPr>
          <w:rFonts w:hint="eastAsia"/>
          <w:color w:val="auto"/>
          <w:kern w:val="0"/>
          <w:lang w:bidi="ar"/>
        </w:rPr>
        <w:t>混烃装车过程中的无组织废气</w:t>
      </w:r>
    </w:p>
    <w:p w14:paraId="6C7C508A">
      <w:pPr>
        <w:pStyle w:val="86"/>
        <w:spacing w:line="480" w:lineRule="exact"/>
        <w:ind w:firstLine="480"/>
        <w:rPr>
          <w:rFonts w:hint="eastAsia"/>
          <w:color w:val="auto"/>
          <w:kern w:val="0"/>
          <w:lang w:bidi="ar"/>
        </w:rPr>
      </w:pPr>
      <w:r>
        <w:rPr>
          <w:rFonts w:hint="eastAsia"/>
          <w:color w:val="auto"/>
          <w:kern w:val="0"/>
          <w:lang w:bidi="ar"/>
        </w:rPr>
        <w:t xml:space="preserve">混烃装车时产生的无组织挥发性有机物无相应的污染源强核算技术指南，其产生量参考《污染源源强核算技术指南 </w:t>
      </w:r>
      <w:r>
        <w:rPr>
          <w:color w:val="auto"/>
          <w:kern w:val="0"/>
          <w:lang w:bidi="ar"/>
        </w:rPr>
        <w:t xml:space="preserve"> </w:t>
      </w:r>
      <w:r>
        <w:rPr>
          <w:rFonts w:hint="eastAsia"/>
          <w:color w:val="auto"/>
          <w:kern w:val="0"/>
          <w:lang w:bidi="ar"/>
        </w:rPr>
        <w:t>石油炼制》（H</w:t>
      </w:r>
      <w:r>
        <w:rPr>
          <w:color w:val="auto"/>
          <w:kern w:val="0"/>
          <w:lang w:bidi="ar"/>
        </w:rPr>
        <w:t>J982-2018</w:t>
      </w:r>
      <w:r>
        <w:rPr>
          <w:rFonts w:hint="eastAsia"/>
          <w:color w:val="auto"/>
          <w:kern w:val="0"/>
          <w:lang w:bidi="ar"/>
        </w:rPr>
        <w:t>）中挥发性有机液体装载过程挥发性有机物的产生量计算，计算公式如下：</w:t>
      </w:r>
    </w:p>
    <w:p w14:paraId="782A9DAA">
      <w:pPr>
        <w:pStyle w:val="86"/>
        <w:adjustRightInd w:val="0"/>
        <w:snapToGrid w:val="0"/>
        <w:spacing w:line="240" w:lineRule="auto"/>
        <w:ind w:firstLine="480"/>
        <w:rPr>
          <w:rFonts w:hint="eastAsia"/>
          <w:color w:val="auto"/>
        </w:rPr>
      </w:pPr>
      <m:oMathPara>
        <m:oMathParaPr>
          <m:jc m:val="center"/>
        </m:oMathParaPr>
        <m:oMath>
          <m:sSub>
            <m:sSubPr>
              <m:ctrlPr>
                <w:rPr>
                  <w:rFonts w:ascii="Cambria Math" w:hAnsi="Cambria Math"/>
                  <w:i/>
                  <w:color w:val="auto"/>
                </w:rPr>
              </m:ctrlPr>
            </m:sSubPr>
            <m:e>
              <m:r>
                <m:rPr>
                  <m:nor/>
                  <m:sty m:val="p"/>
                </m:rPr>
                <w:rPr>
                  <w:color w:val="auto"/>
                </w:rPr>
                <m:t>D</m:t>
              </m:r>
              <m:ctrlPr>
                <w:rPr>
                  <w:rFonts w:ascii="Cambria Math" w:hAnsi="Cambria Math"/>
                  <w:i/>
                  <w:color w:val="auto"/>
                </w:rPr>
              </m:ctrlPr>
            </m:e>
            <m:sub>
              <m:r>
                <m:rPr>
                  <m:nor/>
                  <m:sty m:val="p"/>
                </m:rPr>
                <w:rPr>
                  <w:rFonts w:hint="eastAsia"/>
                  <w:iCs/>
                  <w:color w:val="auto"/>
                </w:rPr>
                <m:t>产生量</m:t>
              </m:r>
              <m:ctrlPr>
                <w:rPr>
                  <w:rFonts w:ascii="Cambria Math" w:hAnsi="Cambria Math"/>
                  <w:i/>
                  <w:color w:val="auto"/>
                </w:rPr>
              </m:ctrlPr>
            </m:sub>
          </m:sSub>
          <m:r>
            <m:rPr>
              <m:nor/>
              <m:sty m:val="p"/>
            </m:rPr>
            <w:rPr>
              <w:color w:val="auto"/>
            </w:rPr>
            <m:t>=</m:t>
          </m:r>
          <m:f>
            <m:fPr>
              <m:ctrlPr>
                <w:rPr>
                  <w:rFonts w:ascii="Cambria Math" w:hAnsi="Cambria Math"/>
                  <w:i/>
                  <w:color w:val="auto"/>
                </w:rPr>
              </m:ctrlPr>
            </m:fPr>
            <m:num>
              <m:sSub>
                <m:sSubPr>
                  <m:ctrlPr>
                    <w:rPr>
                      <w:rFonts w:ascii="Cambria Math" w:hAnsi="Cambria Math"/>
                      <w:i/>
                      <w:color w:val="auto"/>
                    </w:rPr>
                  </m:ctrlPr>
                </m:sSubPr>
                <m:e>
                  <m:r>
                    <m:rPr>
                      <m:nor/>
                      <m:sty m:val="p"/>
                    </m:rPr>
                    <w:rPr>
                      <w:color w:val="auto"/>
                    </w:rPr>
                    <m:t>L</m:t>
                  </m:r>
                  <m:ctrlPr>
                    <w:rPr>
                      <w:rFonts w:ascii="Cambria Math" w:hAnsi="Cambria Math"/>
                      <w:i/>
                      <w:color w:val="auto"/>
                    </w:rPr>
                  </m:ctrlPr>
                </m:e>
                <m:sub>
                  <m:r>
                    <m:rPr>
                      <m:nor/>
                      <m:sty m:val="p"/>
                    </m:rPr>
                    <w:rPr>
                      <w:color w:val="auto"/>
                    </w:rPr>
                    <m:t>L</m:t>
                  </m:r>
                  <m:ctrlPr>
                    <w:rPr>
                      <w:rFonts w:ascii="Cambria Math" w:hAnsi="Cambria Math"/>
                      <w:i/>
                      <w:color w:val="auto"/>
                    </w:rPr>
                  </m:ctrlPr>
                </m:sub>
              </m:sSub>
              <m:r>
                <m:rPr>
                  <m:nor/>
                  <m:sty m:val="p"/>
                </m:rPr>
                <w:rPr>
                  <w:color w:val="auto"/>
                </w:rPr>
                <m:t>×Q</m:t>
              </m:r>
              <m:ctrlPr>
                <w:rPr>
                  <w:rFonts w:ascii="Cambria Math" w:hAnsi="Cambria Math"/>
                  <w:i/>
                  <w:color w:val="auto"/>
                </w:rPr>
              </m:ctrlPr>
            </m:num>
            <m:den>
              <m:r>
                <m:rPr>
                  <m:nor/>
                  <m:sty m:val="p"/>
                </m:rPr>
                <w:rPr>
                  <w:color w:val="auto"/>
                </w:rPr>
                <m:t>1000</m:t>
              </m:r>
              <m:ctrlPr>
                <w:rPr>
                  <w:rFonts w:ascii="Cambria Math" w:hAnsi="Cambria Math"/>
                  <w:i/>
                  <w:color w:val="auto"/>
                </w:rPr>
              </m:ctrlPr>
            </m:den>
          </m:f>
        </m:oMath>
      </m:oMathPara>
    </w:p>
    <w:p w14:paraId="15EF7361">
      <w:pPr>
        <w:pStyle w:val="86"/>
        <w:adjustRightInd w:val="0"/>
        <w:snapToGrid w:val="0"/>
        <w:spacing w:line="360" w:lineRule="auto"/>
        <w:ind w:firstLine="480"/>
        <w:rPr>
          <w:rFonts w:hint="eastAsia"/>
          <w:color w:val="auto"/>
        </w:rPr>
      </w:pPr>
      <w:r>
        <w:rPr>
          <w:rFonts w:hint="eastAsia"/>
          <w:color w:val="auto"/>
        </w:rPr>
        <w:t>式中：</w:t>
      </w:r>
      <w:r>
        <w:rPr>
          <w:color w:val="auto"/>
        </w:rPr>
        <w:t>D</w:t>
      </w:r>
      <w:r>
        <w:rPr>
          <w:rFonts w:hint="eastAsia"/>
          <w:color w:val="auto"/>
          <w:vertAlign w:val="subscript"/>
        </w:rPr>
        <w:t>产生量</w:t>
      </w:r>
      <w:r>
        <w:rPr>
          <w:rFonts w:hint="eastAsia"/>
          <w:color w:val="auto"/>
        </w:rPr>
        <w:t>——核算时段内挥发性有机液体装载过程挥发性有机物的产生量，t/a；</w:t>
      </w:r>
    </w:p>
    <w:p w14:paraId="1E2A0404">
      <w:pPr>
        <w:pStyle w:val="86"/>
        <w:adjustRightInd w:val="0"/>
        <w:snapToGrid w:val="0"/>
        <w:spacing w:line="360" w:lineRule="auto"/>
        <w:ind w:firstLine="1200" w:firstLineChars="500"/>
        <w:rPr>
          <w:rFonts w:hint="eastAsia"/>
          <w:color w:val="auto"/>
        </w:rPr>
      </w:pPr>
      <w:r>
        <w:rPr>
          <w:rFonts w:hint="eastAsia"/>
          <w:color w:val="auto"/>
        </w:rPr>
        <w:t>Q-核算时段内物料装载量，m</w:t>
      </w:r>
      <w:r>
        <w:rPr>
          <w:rFonts w:hint="eastAsia"/>
          <w:color w:val="auto"/>
          <w:vertAlign w:val="superscript"/>
        </w:rPr>
        <w:t>3</w:t>
      </w:r>
      <w:r>
        <w:rPr>
          <w:rFonts w:hint="eastAsia"/>
          <w:color w:val="auto"/>
        </w:rPr>
        <w:t>/a；</w:t>
      </w:r>
    </w:p>
    <w:p w14:paraId="4CE8D4A2">
      <w:pPr>
        <w:pStyle w:val="86"/>
        <w:adjustRightInd w:val="0"/>
        <w:snapToGrid w:val="0"/>
        <w:spacing w:line="360" w:lineRule="auto"/>
        <w:ind w:firstLine="1200" w:firstLineChars="500"/>
        <w:rPr>
          <w:rFonts w:hint="eastAsia"/>
          <w:color w:val="auto"/>
        </w:rPr>
      </w:pPr>
      <w:r>
        <w:rPr>
          <w:rFonts w:hint="eastAsia"/>
          <w:color w:val="auto"/>
        </w:rPr>
        <w:t>L</w:t>
      </w:r>
      <w:r>
        <w:rPr>
          <w:color w:val="auto"/>
          <w:vertAlign w:val="subscript"/>
        </w:rPr>
        <w:t>L</w:t>
      </w:r>
      <w:r>
        <w:rPr>
          <w:rFonts w:hint="eastAsia"/>
          <w:color w:val="auto"/>
        </w:rPr>
        <w:t>-挥发性有机液体装载过程的排放系数，kg/m</w:t>
      </w:r>
      <w:r>
        <w:rPr>
          <w:rFonts w:hint="eastAsia"/>
          <w:color w:val="auto"/>
          <w:vertAlign w:val="superscript"/>
        </w:rPr>
        <w:t>3</w:t>
      </w:r>
      <w:r>
        <w:rPr>
          <w:rFonts w:hint="eastAsia"/>
          <w:color w:val="auto"/>
        </w:rPr>
        <w:t>，计算公式如下：</w:t>
      </w:r>
    </w:p>
    <w:p w14:paraId="1B323A1F">
      <w:pPr>
        <w:pStyle w:val="86"/>
        <w:spacing w:line="240" w:lineRule="auto"/>
        <w:ind w:firstLine="480"/>
        <w:rPr>
          <w:rFonts w:hint="eastAsia"/>
          <w:iCs/>
          <w:color w:val="auto"/>
        </w:rPr>
      </w:pPr>
      <m:oMathPara>
        <m:oMath>
          <m:sSub>
            <m:sSubPr>
              <m:ctrlPr>
                <w:rPr>
                  <w:rFonts w:ascii="Cambria Math" w:hAnsi="Cambria Math"/>
                  <w:iCs/>
                  <w:color w:val="auto"/>
                </w:rPr>
              </m:ctrlPr>
            </m:sSubPr>
            <m:e>
              <m:r>
                <m:rPr>
                  <m:nor/>
                  <m:sty m:val="p"/>
                </m:rPr>
                <w:rPr>
                  <w:iCs/>
                  <w:color w:val="auto"/>
                </w:rPr>
                <m:t>L</m:t>
              </m:r>
              <m:ctrlPr>
                <w:rPr>
                  <w:rFonts w:ascii="Cambria Math" w:hAnsi="Cambria Math"/>
                  <w:iCs/>
                  <w:color w:val="auto"/>
                </w:rPr>
              </m:ctrlPr>
            </m:e>
            <m:sub>
              <m:r>
                <m:rPr>
                  <m:nor/>
                  <m:sty m:val="p"/>
                </m:rPr>
                <w:rPr>
                  <w:iCs/>
                  <w:color w:val="auto"/>
                </w:rPr>
                <m:t>L</m:t>
              </m:r>
              <m:ctrlPr>
                <w:rPr>
                  <w:rFonts w:ascii="Cambria Math" w:hAnsi="Cambria Math"/>
                  <w:iCs/>
                  <w:color w:val="auto"/>
                </w:rPr>
              </m:ctrlPr>
            </m:sub>
          </m:sSub>
          <m:r>
            <m:rPr>
              <m:nor/>
              <m:sty m:val="p"/>
            </m:rPr>
            <w:rPr>
              <w:iCs/>
              <w:color w:val="auto"/>
            </w:rPr>
            <m:t>=1.20×</m:t>
          </m:r>
          <m:sSup>
            <m:sSupPr>
              <m:ctrlPr>
                <w:rPr>
                  <w:rFonts w:ascii="Cambria Math" w:hAnsi="Cambria Math"/>
                  <w:iCs/>
                  <w:color w:val="auto"/>
                </w:rPr>
              </m:ctrlPr>
            </m:sSupPr>
            <m:e>
              <m:r>
                <m:rPr>
                  <m:nor/>
                  <m:sty m:val="p"/>
                </m:rPr>
                <w:rPr>
                  <w:iCs/>
                  <w:color w:val="auto"/>
                </w:rPr>
                <m:t>10</m:t>
              </m:r>
              <m:ctrlPr>
                <w:rPr>
                  <w:rFonts w:ascii="Cambria Math" w:hAnsi="Cambria Math"/>
                  <w:iCs/>
                  <w:color w:val="auto"/>
                </w:rPr>
              </m:ctrlPr>
            </m:e>
            <m:sup>
              <m:r>
                <m:rPr>
                  <m:nor/>
                  <m:sty m:val="p"/>
                </m:rPr>
                <w:rPr>
                  <w:iCs/>
                  <w:color w:val="auto"/>
                </w:rPr>
                <m:t>-4</m:t>
              </m:r>
              <m:ctrlPr>
                <w:rPr>
                  <w:rFonts w:ascii="Cambria Math" w:hAnsi="Cambria Math"/>
                  <w:iCs/>
                  <w:color w:val="auto"/>
                </w:rPr>
              </m:ctrlPr>
            </m:sup>
          </m:sSup>
          <m:r>
            <m:rPr>
              <m:nor/>
              <m:sty m:val="p"/>
            </m:rPr>
            <w:rPr>
              <w:iCs/>
              <w:color w:val="auto"/>
            </w:rPr>
            <m:t>×</m:t>
          </m:r>
          <m:f>
            <m:fPr>
              <m:ctrlPr>
                <w:rPr>
                  <w:rFonts w:ascii="Cambria Math" w:hAnsi="Cambria Math"/>
                  <w:iCs/>
                  <w:color w:val="auto"/>
                </w:rPr>
              </m:ctrlPr>
            </m:fPr>
            <m:num>
              <m:r>
                <m:rPr>
                  <m:nor/>
                  <m:sty m:val="p"/>
                </m:rPr>
                <w:rPr>
                  <w:iCs/>
                  <w:color w:val="auto"/>
                </w:rPr>
                <m:t>S×</m:t>
              </m:r>
              <m:sSub>
                <m:sSubPr>
                  <m:ctrlPr>
                    <w:rPr>
                      <w:rFonts w:ascii="Cambria Math" w:hAnsi="Cambria Math"/>
                      <w:iCs/>
                      <w:color w:val="auto"/>
                    </w:rPr>
                  </m:ctrlPr>
                </m:sSubPr>
                <m:e>
                  <m:r>
                    <m:rPr>
                      <m:nor/>
                      <m:sty m:val="p"/>
                    </m:rPr>
                    <w:rPr>
                      <w:iCs/>
                      <w:color w:val="auto"/>
                    </w:rPr>
                    <m:t>P</m:t>
                  </m:r>
                  <m:ctrlPr>
                    <w:rPr>
                      <w:rFonts w:ascii="Cambria Math" w:hAnsi="Cambria Math"/>
                      <w:iCs/>
                      <w:color w:val="auto"/>
                    </w:rPr>
                  </m:ctrlPr>
                </m:e>
                <m:sub>
                  <m:r>
                    <m:rPr>
                      <m:nor/>
                      <m:sty m:val="p"/>
                    </m:rPr>
                    <w:rPr>
                      <w:iCs/>
                      <w:color w:val="auto"/>
                    </w:rPr>
                    <m:t>T</m:t>
                  </m:r>
                  <m:ctrlPr>
                    <w:rPr>
                      <w:rFonts w:ascii="Cambria Math" w:hAnsi="Cambria Math"/>
                      <w:iCs/>
                      <w:color w:val="auto"/>
                    </w:rPr>
                  </m:ctrlPr>
                </m:sub>
              </m:sSub>
              <m:r>
                <m:rPr>
                  <m:nor/>
                  <m:sty m:val="p"/>
                </m:rPr>
                <w:rPr>
                  <w:iCs/>
                  <w:color w:val="auto"/>
                </w:rPr>
                <m:t>×</m:t>
              </m:r>
              <m:sSub>
                <m:sSubPr>
                  <m:ctrlPr>
                    <w:rPr>
                      <w:rFonts w:ascii="Cambria Math" w:hAnsi="Cambria Math"/>
                      <w:iCs/>
                      <w:color w:val="auto"/>
                    </w:rPr>
                  </m:ctrlPr>
                </m:sSubPr>
                <m:e>
                  <m:r>
                    <m:rPr>
                      <m:nor/>
                      <m:sty m:val="p"/>
                    </m:rPr>
                    <w:rPr>
                      <w:iCs/>
                      <w:color w:val="auto"/>
                    </w:rPr>
                    <m:t>M</m:t>
                  </m:r>
                  <m:ctrlPr>
                    <w:rPr>
                      <w:rFonts w:ascii="Cambria Math" w:hAnsi="Cambria Math"/>
                      <w:iCs/>
                      <w:color w:val="auto"/>
                    </w:rPr>
                  </m:ctrlPr>
                </m:e>
                <m:sub>
                  <m:r>
                    <m:rPr>
                      <m:nor/>
                      <m:sty m:val="p"/>
                    </m:rPr>
                    <w:rPr>
                      <w:iCs/>
                      <w:color w:val="auto"/>
                    </w:rPr>
                    <m:t>vap</m:t>
                  </m:r>
                  <m:ctrlPr>
                    <w:rPr>
                      <w:rFonts w:ascii="Cambria Math" w:hAnsi="Cambria Math"/>
                      <w:iCs/>
                      <w:color w:val="auto"/>
                    </w:rPr>
                  </m:ctrlPr>
                </m:sub>
              </m:sSub>
              <m:ctrlPr>
                <w:rPr>
                  <w:rFonts w:ascii="Cambria Math" w:hAnsi="Cambria Math"/>
                  <w:iCs/>
                  <w:color w:val="auto"/>
                </w:rPr>
              </m:ctrlPr>
            </m:num>
            <m:den>
              <m:r>
                <m:rPr>
                  <m:nor/>
                  <m:sty m:val="p"/>
                </m:rPr>
                <w:rPr>
                  <w:iCs/>
                  <w:color w:val="auto"/>
                </w:rPr>
                <m:t>273.15</m:t>
              </m:r>
              <m:r>
                <m:rPr>
                  <m:nor/>
                  <m:sty m:val="p"/>
                </m:rPr>
                <w:rPr>
                  <w:rFonts w:hint="eastAsia"/>
                  <w:iCs/>
                  <w:color w:val="auto"/>
                </w:rPr>
                <m:t>+</m:t>
              </m:r>
              <m:r>
                <m:rPr>
                  <m:nor/>
                  <m:sty m:val="p"/>
                </m:rPr>
                <w:rPr>
                  <w:iCs/>
                  <w:color w:val="auto"/>
                </w:rPr>
                <m:t>T</m:t>
              </m:r>
              <m:ctrlPr>
                <w:rPr>
                  <w:rFonts w:ascii="Cambria Math" w:hAnsi="Cambria Math"/>
                  <w:iCs/>
                  <w:color w:val="auto"/>
                </w:rPr>
              </m:ctrlPr>
            </m:den>
          </m:f>
        </m:oMath>
      </m:oMathPara>
    </w:p>
    <w:p w14:paraId="70EC86FC">
      <w:pPr>
        <w:pStyle w:val="86"/>
        <w:adjustRightInd w:val="0"/>
        <w:snapToGrid w:val="0"/>
        <w:spacing w:line="360" w:lineRule="auto"/>
        <w:ind w:firstLine="480"/>
        <w:rPr>
          <w:rFonts w:hint="eastAsia"/>
          <w:color w:val="auto"/>
        </w:rPr>
      </w:pPr>
      <w:r>
        <w:rPr>
          <w:rFonts w:hint="eastAsia"/>
          <w:color w:val="auto"/>
        </w:rPr>
        <w:t>式中：S——饱和系数，无量纲，一般取0.6。</w:t>
      </w:r>
    </w:p>
    <w:p w14:paraId="3D035594">
      <w:pPr>
        <w:pStyle w:val="86"/>
        <w:adjustRightInd w:val="0"/>
        <w:snapToGrid w:val="0"/>
        <w:spacing w:line="360" w:lineRule="auto"/>
        <w:ind w:firstLine="1200" w:firstLineChars="500"/>
        <w:rPr>
          <w:rFonts w:hint="eastAsia"/>
          <w:color w:val="auto"/>
        </w:rPr>
      </w:pPr>
      <w:r>
        <w:rPr>
          <w:rFonts w:hint="eastAsia"/>
          <w:color w:val="auto"/>
        </w:rPr>
        <w:t>P</w:t>
      </w:r>
      <w:r>
        <w:rPr>
          <w:color w:val="auto"/>
          <w:vertAlign w:val="subscript"/>
        </w:rPr>
        <w:t>T</w:t>
      </w:r>
      <w:r>
        <w:rPr>
          <w:rFonts w:hint="eastAsia"/>
          <w:color w:val="auto"/>
        </w:rPr>
        <w:t>——温度T时装载物料的真实蒸气压，Pa；本次取40.15k</w:t>
      </w:r>
      <w:r>
        <w:rPr>
          <w:color w:val="auto"/>
        </w:rPr>
        <w:t>Pa</w:t>
      </w:r>
      <w:r>
        <w:rPr>
          <w:rFonts w:hint="eastAsia"/>
          <w:color w:val="auto"/>
        </w:rPr>
        <w:t>。</w:t>
      </w:r>
    </w:p>
    <w:p w14:paraId="43F6D520">
      <w:pPr>
        <w:pStyle w:val="86"/>
        <w:adjustRightInd w:val="0"/>
        <w:snapToGrid w:val="0"/>
        <w:spacing w:line="360" w:lineRule="auto"/>
        <w:ind w:firstLine="1200" w:firstLineChars="500"/>
        <w:rPr>
          <w:rFonts w:hint="eastAsia"/>
          <w:color w:val="auto"/>
        </w:rPr>
      </w:pPr>
      <w:r>
        <w:rPr>
          <w:rFonts w:hint="eastAsia"/>
          <w:color w:val="auto"/>
        </w:rPr>
        <w:t>M</w:t>
      </w:r>
      <w:r>
        <w:rPr>
          <w:rFonts w:hint="eastAsia"/>
          <w:color w:val="auto"/>
          <w:vertAlign w:val="subscript"/>
        </w:rPr>
        <w:t>vap</w:t>
      </w:r>
      <w:r>
        <w:rPr>
          <w:rFonts w:hint="eastAsia"/>
          <w:color w:val="auto"/>
        </w:rPr>
        <w:t>——油气分子量，g/mol；本次取5</w:t>
      </w:r>
      <w:r>
        <w:rPr>
          <w:color w:val="auto"/>
        </w:rPr>
        <w:t>0</w:t>
      </w:r>
      <w:r>
        <w:rPr>
          <w:rFonts w:hint="eastAsia"/>
          <w:color w:val="auto"/>
        </w:rPr>
        <w:t>g</w:t>
      </w:r>
      <w:r>
        <w:rPr>
          <w:color w:val="auto"/>
        </w:rPr>
        <w:t>/mol</w:t>
      </w:r>
      <w:r>
        <w:rPr>
          <w:rFonts w:hint="eastAsia"/>
          <w:color w:val="auto"/>
        </w:rPr>
        <w:t>。</w:t>
      </w:r>
    </w:p>
    <w:p w14:paraId="6F5AF59A">
      <w:pPr>
        <w:pStyle w:val="86"/>
        <w:adjustRightInd w:val="0"/>
        <w:snapToGrid w:val="0"/>
        <w:spacing w:line="360" w:lineRule="auto"/>
        <w:ind w:firstLine="1200" w:firstLineChars="500"/>
        <w:rPr>
          <w:rFonts w:hint="eastAsia"/>
          <w:color w:val="auto"/>
        </w:rPr>
      </w:pPr>
      <w:r>
        <w:rPr>
          <w:rFonts w:hint="eastAsia"/>
          <w:color w:val="auto"/>
        </w:rPr>
        <w:t>T——物料装载温度，℃；本次取2</w:t>
      </w:r>
      <w:r>
        <w:rPr>
          <w:color w:val="auto"/>
        </w:rPr>
        <w:t>5</w:t>
      </w:r>
      <w:r>
        <w:rPr>
          <w:rFonts w:hint="eastAsia"/>
          <w:color w:val="auto"/>
        </w:rPr>
        <w:t>℃。</w:t>
      </w:r>
    </w:p>
    <w:p w14:paraId="0F8D1201">
      <w:pPr>
        <w:pStyle w:val="86"/>
        <w:adjustRightInd w:val="0"/>
        <w:snapToGrid w:val="0"/>
        <w:ind w:firstLine="480"/>
        <w:rPr>
          <w:rFonts w:hint="eastAsia" w:ascii="黑体" w:hAnsi="黑体" w:eastAsia="黑体"/>
          <w:color w:val="auto"/>
          <w:sz w:val="21"/>
          <w:szCs w:val="21"/>
        </w:rPr>
      </w:pPr>
      <w:r>
        <w:rPr>
          <w:rFonts w:hint="eastAsia"/>
          <w:color w:val="auto"/>
        </w:rPr>
        <w:t>根据L</w:t>
      </w:r>
      <w:r>
        <w:rPr>
          <w:color w:val="auto"/>
          <w:vertAlign w:val="subscript"/>
        </w:rPr>
        <w:t>L</w:t>
      </w:r>
      <w:r>
        <w:rPr>
          <w:rFonts w:hint="eastAsia"/>
          <w:color w:val="auto"/>
        </w:rPr>
        <w:t>计算公式计算出L</w:t>
      </w:r>
      <w:r>
        <w:rPr>
          <w:color w:val="auto"/>
          <w:vertAlign w:val="subscript"/>
        </w:rPr>
        <w:t>L</w:t>
      </w:r>
      <w:r>
        <w:rPr>
          <w:rFonts w:hint="eastAsia"/>
          <w:color w:val="auto"/>
        </w:rPr>
        <w:t>为0</w:t>
      </w:r>
      <w:r>
        <w:rPr>
          <w:color w:val="auto"/>
        </w:rPr>
        <w:t>.</w:t>
      </w:r>
      <w:r>
        <w:rPr>
          <w:rFonts w:hint="eastAsia"/>
          <w:color w:val="auto"/>
        </w:rPr>
        <w:t>485，根据产能预测表及上述计算公式计算出采出液装车时产生的无组织挥发性有机物，详见表</w:t>
      </w:r>
      <w:r>
        <w:rPr>
          <w:color w:val="auto"/>
        </w:rPr>
        <w:t>3.3-</w:t>
      </w:r>
      <w:r>
        <w:rPr>
          <w:rFonts w:hint="eastAsia"/>
          <w:color w:val="auto"/>
        </w:rPr>
        <w:t>7。</w:t>
      </w:r>
    </w:p>
    <w:p w14:paraId="31F869FC">
      <w:pPr>
        <w:pStyle w:val="86"/>
        <w:adjustRightInd w:val="0"/>
        <w:snapToGrid w:val="0"/>
        <w:ind w:firstLine="0" w:firstLineChars="0"/>
        <w:jc w:val="center"/>
        <w:rPr>
          <w:rFonts w:hint="eastAsia" w:ascii="黑体" w:hAnsi="黑体" w:eastAsia="黑体"/>
          <w:color w:val="auto"/>
          <w:sz w:val="21"/>
          <w:szCs w:val="21"/>
        </w:rPr>
      </w:pPr>
      <w:r>
        <w:rPr>
          <w:rFonts w:hint="eastAsia" w:ascii="黑体" w:hAnsi="黑体" w:eastAsia="黑体"/>
          <w:color w:val="auto"/>
          <w:sz w:val="21"/>
          <w:szCs w:val="21"/>
        </w:rPr>
        <w:t>表3</w:t>
      </w:r>
      <w:r>
        <w:rPr>
          <w:rFonts w:ascii="黑体" w:hAnsi="黑体" w:eastAsia="黑体"/>
          <w:color w:val="auto"/>
          <w:sz w:val="21"/>
          <w:szCs w:val="21"/>
        </w:rPr>
        <w:t>.3-</w:t>
      </w:r>
      <w:r>
        <w:rPr>
          <w:rFonts w:hint="eastAsia" w:ascii="黑体" w:hAnsi="黑体" w:eastAsia="黑体"/>
          <w:color w:val="auto"/>
          <w:sz w:val="21"/>
          <w:szCs w:val="21"/>
        </w:rPr>
        <w:t xml:space="preserve">7 </w:t>
      </w:r>
      <w:r>
        <w:rPr>
          <w:rFonts w:ascii="黑体" w:hAnsi="黑体" w:eastAsia="黑体"/>
          <w:color w:val="auto"/>
          <w:sz w:val="21"/>
          <w:szCs w:val="21"/>
        </w:rPr>
        <w:t xml:space="preserve"> </w:t>
      </w:r>
      <w:r>
        <w:rPr>
          <w:rFonts w:hint="eastAsia" w:ascii="黑体" w:hAnsi="黑体" w:eastAsia="黑体"/>
          <w:color w:val="auto"/>
          <w:sz w:val="21"/>
          <w:szCs w:val="21"/>
        </w:rPr>
        <w:t>装车时无组织挥发性有机物产生量一览表</w:t>
      </w:r>
    </w:p>
    <w:tbl>
      <w:tblPr>
        <w:tblStyle w:val="51"/>
        <w:tblW w:w="8731"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843"/>
        <w:gridCol w:w="1985"/>
        <w:gridCol w:w="2268"/>
        <w:gridCol w:w="2635"/>
      </w:tblGrid>
      <w:tr w14:paraId="2D8B75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843" w:type="dxa"/>
            <w:vAlign w:val="center"/>
          </w:tcPr>
          <w:p w14:paraId="2206B62D">
            <w:pPr>
              <w:pStyle w:val="296"/>
              <w:adjustRightInd w:val="0"/>
              <w:snapToGrid w:val="0"/>
              <w:spacing w:line="240" w:lineRule="auto"/>
              <w:rPr>
                <w:rFonts w:hint="eastAsia"/>
                <w:color w:val="auto"/>
              </w:rPr>
            </w:pPr>
            <w:r>
              <w:rPr>
                <w:rFonts w:hint="eastAsia"/>
                <w:color w:val="auto"/>
              </w:rPr>
              <w:t>井号</w:t>
            </w:r>
          </w:p>
        </w:tc>
        <w:tc>
          <w:tcPr>
            <w:tcW w:w="1985" w:type="dxa"/>
            <w:vAlign w:val="center"/>
          </w:tcPr>
          <w:p w14:paraId="768796B7">
            <w:pPr>
              <w:widowControl/>
              <w:adjustRightInd w:val="0"/>
              <w:snapToGrid w:val="0"/>
              <w:jc w:val="center"/>
              <w:textAlignment w:val="center"/>
              <w:rPr>
                <w:rFonts w:hint="eastAsia" w:ascii="宋体" w:hAnsi="宋体"/>
                <w:color w:val="auto"/>
                <w:szCs w:val="21"/>
              </w:rPr>
            </w:pPr>
            <w:r>
              <w:rPr>
                <w:rFonts w:hint="eastAsia" w:ascii="宋体" w:hAnsi="宋体"/>
                <w:color w:val="auto"/>
                <w:szCs w:val="21"/>
              </w:rPr>
              <w:t>混烃密度（t</w:t>
            </w:r>
            <w:r>
              <w:rPr>
                <w:rFonts w:ascii="宋体" w:hAnsi="宋体"/>
                <w:color w:val="auto"/>
                <w:szCs w:val="21"/>
              </w:rPr>
              <w:t>/m</w:t>
            </w:r>
            <w:r>
              <w:rPr>
                <w:rFonts w:ascii="宋体" w:hAnsi="宋体"/>
                <w:color w:val="auto"/>
                <w:szCs w:val="21"/>
                <w:vertAlign w:val="superscript"/>
              </w:rPr>
              <w:t>3</w:t>
            </w:r>
            <w:r>
              <w:rPr>
                <w:rFonts w:hint="eastAsia" w:ascii="宋体" w:hAnsi="宋体"/>
                <w:color w:val="auto"/>
                <w:szCs w:val="21"/>
              </w:rPr>
              <w:t>）</w:t>
            </w:r>
          </w:p>
        </w:tc>
        <w:tc>
          <w:tcPr>
            <w:tcW w:w="2268" w:type="dxa"/>
            <w:vAlign w:val="center"/>
          </w:tcPr>
          <w:p w14:paraId="4AADD76D">
            <w:pPr>
              <w:widowControl/>
              <w:adjustRightInd w:val="0"/>
              <w:snapToGrid w:val="0"/>
              <w:jc w:val="center"/>
              <w:textAlignment w:val="center"/>
              <w:rPr>
                <w:rFonts w:hint="eastAsia" w:ascii="宋体" w:hAnsi="宋体"/>
                <w:color w:val="auto"/>
                <w:szCs w:val="21"/>
              </w:rPr>
            </w:pPr>
            <w:r>
              <w:rPr>
                <w:rFonts w:hint="eastAsia" w:ascii="宋体" w:hAnsi="宋体"/>
                <w:color w:val="auto"/>
                <w:szCs w:val="21"/>
              </w:rPr>
              <w:t>混烃产生量（t/a）</w:t>
            </w:r>
          </w:p>
        </w:tc>
        <w:tc>
          <w:tcPr>
            <w:tcW w:w="2635" w:type="dxa"/>
            <w:vAlign w:val="center"/>
          </w:tcPr>
          <w:p w14:paraId="0A2E4EA3">
            <w:pPr>
              <w:pStyle w:val="86"/>
              <w:adjustRightInd w:val="0"/>
              <w:snapToGrid w:val="0"/>
              <w:spacing w:line="240" w:lineRule="auto"/>
              <w:ind w:firstLine="0" w:firstLineChars="0"/>
              <w:jc w:val="center"/>
              <w:rPr>
                <w:rFonts w:hint="eastAsia"/>
                <w:color w:val="auto"/>
                <w:sz w:val="21"/>
                <w:szCs w:val="21"/>
              </w:rPr>
            </w:pPr>
            <w:r>
              <w:rPr>
                <w:rFonts w:hint="eastAsia"/>
                <w:color w:val="auto"/>
                <w:sz w:val="21"/>
                <w:szCs w:val="21"/>
              </w:rPr>
              <w:t>N</w:t>
            </w:r>
            <w:r>
              <w:rPr>
                <w:color w:val="auto"/>
                <w:sz w:val="21"/>
                <w:szCs w:val="21"/>
              </w:rPr>
              <w:t>MHC</w:t>
            </w:r>
            <w:r>
              <w:rPr>
                <w:rFonts w:hint="eastAsia"/>
                <w:color w:val="auto"/>
                <w:sz w:val="21"/>
                <w:szCs w:val="21"/>
              </w:rPr>
              <w:t>产生量（t</w:t>
            </w:r>
            <w:r>
              <w:rPr>
                <w:color w:val="auto"/>
                <w:sz w:val="21"/>
                <w:szCs w:val="21"/>
              </w:rPr>
              <w:t>/a</w:t>
            </w:r>
            <w:r>
              <w:rPr>
                <w:rFonts w:hint="eastAsia"/>
                <w:color w:val="auto"/>
                <w:sz w:val="21"/>
                <w:szCs w:val="21"/>
              </w:rPr>
              <w:t>）</w:t>
            </w:r>
          </w:p>
        </w:tc>
      </w:tr>
      <w:tr w14:paraId="1F8D55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21" w:hRule="atLeast"/>
          <w:jc w:val="center"/>
        </w:trPr>
        <w:tc>
          <w:tcPr>
            <w:tcW w:w="1843" w:type="dxa"/>
            <w:vAlign w:val="center"/>
          </w:tcPr>
          <w:p w14:paraId="5A18D8B0">
            <w:pPr>
              <w:widowControl/>
              <w:adjustRightInd w:val="0"/>
              <w:snapToGrid w:val="0"/>
              <w:jc w:val="center"/>
              <w:textAlignment w:val="center"/>
              <w:rPr>
                <w:rFonts w:hint="eastAsia" w:ascii="宋体" w:hAnsi="宋体" w:cs="Arial"/>
                <w:color w:val="auto"/>
                <w:szCs w:val="21"/>
              </w:rPr>
            </w:pPr>
            <w:r>
              <w:rPr>
                <w:rFonts w:hint="eastAsia" w:ascii="宋体" w:hAnsi="宋体"/>
                <w:color w:val="auto"/>
                <w:szCs w:val="21"/>
              </w:rPr>
              <w:t>莫172H井充装区</w:t>
            </w:r>
          </w:p>
        </w:tc>
        <w:tc>
          <w:tcPr>
            <w:tcW w:w="1985" w:type="dxa"/>
            <w:vAlign w:val="center"/>
          </w:tcPr>
          <w:p w14:paraId="063DBB25">
            <w:pPr>
              <w:widowControl/>
              <w:adjustRightInd w:val="0"/>
              <w:snapToGrid w:val="0"/>
              <w:jc w:val="center"/>
              <w:textAlignment w:val="center"/>
              <w:rPr>
                <w:rFonts w:hint="eastAsia" w:ascii="宋体" w:hAnsi="宋体" w:cs="宋体"/>
                <w:color w:val="auto"/>
                <w:szCs w:val="21"/>
                <w:lang w:bidi="ar"/>
              </w:rPr>
            </w:pPr>
            <w:r>
              <w:rPr>
                <w:rFonts w:hint="eastAsia" w:ascii="宋体" w:hAnsi="宋体" w:cs="宋体"/>
                <w:color w:val="auto"/>
                <w:szCs w:val="21"/>
                <w:lang w:bidi="ar"/>
              </w:rPr>
              <w:t>0.6773</w:t>
            </w:r>
          </w:p>
        </w:tc>
        <w:tc>
          <w:tcPr>
            <w:tcW w:w="2268" w:type="dxa"/>
            <w:vAlign w:val="center"/>
          </w:tcPr>
          <w:p w14:paraId="094140CE">
            <w:pPr>
              <w:pStyle w:val="86"/>
              <w:adjustRightInd w:val="0"/>
              <w:snapToGrid w:val="0"/>
              <w:spacing w:line="240" w:lineRule="auto"/>
              <w:ind w:firstLine="0" w:firstLineChars="0"/>
              <w:jc w:val="center"/>
              <w:rPr>
                <w:rFonts w:hint="eastAsia"/>
                <w:color w:val="auto"/>
                <w:sz w:val="21"/>
                <w:szCs w:val="21"/>
              </w:rPr>
            </w:pPr>
            <w:r>
              <w:rPr>
                <w:rFonts w:hint="eastAsia"/>
                <w:color w:val="auto"/>
                <w:sz w:val="21"/>
                <w:szCs w:val="21"/>
              </w:rPr>
              <w:t>1254</w:t>
            </w:r>
          </w:p>
        </w:tc>
        <w:tc>
          <w:tcPr>
            <w:tcW w:w="2635" w:type="dxa"/>
            <w:vAlign w:val="center"/>
          </w:tcPr>
          <w:p w14:paraId="275FC174">
            <w:pPr>
              <w:pStyle w:val="86"/>
              <w:adjustRightInd w:val="0"/>
              <w:snapToGrid w:val="0"/>
              <w:spacing w:line="240" w:lineRule="auto"/>
              <w:ind w:firstLine="0" w:firstLineChars="0"/>
              <w:jc w:val="center"/>
              <w:rPr>
                <w:rFonts w:hint="eastAsia"/>
                <w:color w:val="auto"/>
                <w:sz w:val="21"/>
                <w:szCs w:val="21"/>
              </w:rPr>
            </w:pPr>
            <w:r>
              <w:rPr>
                <w:rFonts w:hint="eastAsia"/>
                <w:color w:val="auto"/>
                <w:sz w:val="21"/>
                <w:szCs w:val="21"/>
              </w:rPr>
              <w:t>0.898</w:t>
            </w:r>
          </w:p>
        </w:tc>
      </w:tr>
      <w:tr w14:paraId="3562AF6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843" w:type="dxa"/>
            <w:vAlign w:val="center"/>
          </w:tcPr>
          <w:p w14:paraId="0C22AC4A">
            <w:pPr>
              <w:widowControl/>
              <w:adjustRightInd w:val="0"/>
              <w:snapToGrid w:val="0"/>
              <w:jc w:val="center"/>
              <w:textAlignment w:val="center"/>
              <w:rPr>
                <w:rFonts w:hint="eastAsia" w:ascii="宋体" w:hAnsi="宋体" w:cs="Arial"/>
                <w:color w:val="auto"/>
                <w:szCs w:val="21"/>
              </w:rPr>
            </w:pPr>
            <w:r>
              <w:rPr>
                <w:rFonts w:hint="eastAsia" w:ascii="宋体" w:hAnsi="宋体"/>
                <w:color w:val="auto"/>
                <w:szCs w:val="21"/>
              </w:rPr>
              <w:t>莫174H井</w:t>
            </w:r>
          </w:p>
        </w:tc>
        <w:tc>
          <w:tcPr>
            <w:tcW w:w="1985" w:type="dxa"/>
            <w:vAlign w:val="center"/>
          </w:tcPr>
          <w:p w14:paraId="2938598B">
            <w:pPr>
              <w:widowControl/>
              <w:adjustRightInd w:val="0"/>
              <w:snapToGrid w:val="0"/>
              <w:jc w:val="center"/>
              <w:textAlignment w:val="center"/>
              <w:rPr>
                <w:rFonts w:hint="eastAsia" w:ascii="宋体" w:hAnsi="宋体" w:cs="宋体"/>
                <w:color w:val="auto"/>
                <w:szCs w:val="21"/>
                <w:lang w:bidi="ar"/>
              </w:rPr>
            </w:pPr>
            <w:r>
              <w:rPr>
                <w:rFonts w:hint="eastAsia" w:ascii="宋体" w:hAnsi="宋体" w:cs="宋体"/>
                <w:color w:val="auto"/>
                <w:szCs w:val="21"/>
                <w:lang w:bidi="ar"/>
              </w:rPr>
              <w:t>0.6773</w:t>
            </w:r>
          </w:p>
        </w:tc>
        <w:tc>
          <w:tcPr>
            <w:tcW w:w="2268" w:type="dxa"/>
            <w:vAlign w:val="center"/>
          </w:tcPr>
          <w:p w14:paraId="71CFE7FC">
            <w:pPr>
              <w:pStyle w:val="86"/>
              <w:adjustRightInd w:val="0"/>
              <w:snapToGrid w:val="0"/>
              <w:spacing w:line="240" w:lineRule="auto"/>
              <w:ind w:firstLine="0" w:firstLineChars="0"/>
              <w:jc w:val="center"/>
              <w:rPr>
                <w:rFonts w:hint="eastAsia"/>
                <w:color w:val="auto"/>
                <w:sz w:val="21"/>
                <w:szCs w:val="21"/>
              </w:rPr>
            </w:pPr>
            <w:r>
              <w:rPr>
                <w:rFonts w:hint="eastAsia"/>
                <w:color w:val="auto"/>
                <w:sz w:val="21"/>
                <w:szCs w:val="21"/>
              </w:rPr>
              <w:t>627</w:t>
            </w:r>
          </w:p>
        </w:tc>
        <w:tc>
          <w:tcPr>
            <w:tcW w:w="2635" w:type="dxa"/>
            <w:vAlign w:val="center"/>
          </w:tcPr>
          <w:p w14:paraId="50039B1E">
            <w:pPr>
              <w:pStyle w:val="86"/>
              <w:adjustRightInd w:val="0"/>
              <w:snapToGrid w:val="0"/>
              <w:spacing w:line="240" w:lineRule="auto"/>
              <w:ind w:firstLine="0" w:firstLineChars="0"/>
              <w:jc w:val="center"/>
              <w:rPr>
                <w:rFonts w:hint="eastAsia"/>
                <w:color w:val="auto"/>
                <w:sz w:val="21"/>
                <w:szCs w:val="21"/>
              </w:rPr>
            </w:pPr>
            <w:r>
              <w:rPr>
                <w:rFonts w:hint="eastAsia"/>
                <w:color w:val="auto"/>
                <w:sz w:val="21"/>
                <w:szCs w:val="21"/>
              </w:rPr>
              <w:t>0.449</w:t>
            </w:r>
          </w:p>
        </w:tc>
      </w:tr>
      <w:tr w14:paraId="1514B3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843" w:type="dxa"/>
            <w:vAlign w:val="center"/>
          </w:tcPr>
          <w:p w14:paraId="25EF0225">
            <w:pPr>
              <w:widowControl/>
              <w:adjustRightInd w:val="0"/>
              <w:snapToGrid w:val="0"/>
              <w:jc w:val="center"/>
              <w:textAlignment w:val="center"/>
              <w:rPr>
                <w:rFonts w:hint="eastAsia" w:ascii="宋体" w:hAnsi="宋体" w:cs="宋体"/>
                <w:color w:val="auto"/>
                <w:kern w:val="0"/>
                <w:szCs w:val="21"/>
              </w:rPr>
            </w:pPr>
            <w:r>
              <w:rPr>
                <w:rFonts w:hint="eastAsia" w:ascii="宋体" w:hAnsi="宋体" w:cs="宋体"/>
                <w:color w:val="auto"/>
                <w:kern w:val="0"/>
                <w:szCs w:val="21"/>
              </w:rPr>
              <w:t>总计</w:t>
            </w:r>
          </w:p>
        </w:tc>
        <w:tc>
          <w:tcPr>
            <w:tcW w:w="1985" w:type="dxa"/>
            <w:vAlign w:val="center"/>
          </w:tcPr>
          <w:p w14:paraId="5D31FA1D">
            <w:pPr>
              <w:widowControl/>
              <w:adjustRightInd w:val="0"/>
              <w:snapToGrid w:val="0"/>
              <w:jc w:val="center"/>
              <w:textAlignment w:val="center"/>
              <w:rPr>
                <w:rFonts w:hint="eastAsia" w:ascii="宋体" w:hAnsi="宋体" w:cs="宋体"/>
                <w:color w:val="auto"/>
                <w:kern w:val="0"/>
                <w:szCs w:val="21"/>
              </w:rPr>
            </w:pPr>
            <w:r>
              <w:rPr>
                <w:rFonts w:hint="eastAsia" w:ascii="宋体" w:hAnsi="宋体" w:cs="宋体"/>
                <w:color w:val="auto"/>
                <w:kern w:val="0"/>
                <w:szCs w:val="21"/>
              </w:rPr>
              <w:t>/</w:t>
            </w:r>
          </w:p>
        </w:tc>
        <w:tc>
          <w:tcPr>
            <w:tcW w:w="2268" w:type="dxa"/>
            <w:vAlign w:val="center"/>
          </w:tcPr>
          <w:p w14:paraId="61551EF9">
            <w:pPr>
              <w:pStyle w:val="86"/>
              <w:adjustRightInd w:val="0"/>
              <w:snapToGrid w:val="0"/>
              <w:spacing w:line="240" w:lineRule="auto"/>
              <w:ind w:firstLine="0" w:firstLineChars="0"/>
              <w:jc w:val="center"/>
              <w:rPr>
                <w:rFonts w:hint="eastAsia"/>
                <w:color w:val="auto"/>
                <w:sz w:val="21"/>
                <w:szCs w:val="21"/>
              </w:rPr>
            </w:pPr>
            <w:r>
              <w:rPr>
                <w:rFonts w:hint="eastAsia"/>
                <w:color w:val="auto"/>
                <w:sz w:val="21"/>
                <w:szCs w:val="21"/>
              </w:rPr>
              <w:t>1881</w:t>
            </w:r>
          </w:p>
        </w:tc>
        <w:tc>
          <w:tcPr>
            <w:tcW w:w="2635" w:type="dxa"/>
            <w:vAlign w:val="center"/>
          </w:tcPr>
          <w:p w14:paraId="19921AA4">
            <w:pPr>
              <w:pStyle w:val="86"/>
              <w:adjustRightInd w:val="0"/>
              <w:snapToGrid w:val="0"/>
              <w:spacing w:line="240" w:lineRule="auto"/>
              <w:ind w:firstLine="0" w:firstLineChars="0"/>
              <w:jc w:val="center"/>
              <w:rPr>
                <w:rFonts w:hint="eastAsia"/>
                <w:color w:val="auto"/>
                <w:sz w:val="21"/>
                <w:szCs w:val="21"/>
              </w:rPr>
            </w:pPr>
            <w:r>
              <w:rPr>
                <w:rFonts w:hint="eastAsia"/>
                <w:color w:val="auto"/>
                <w:sz w:val="21"/>
                <w:szCs w:val="21"/>
              </w:rPr>
              <w:t>1.397</w:t>
            </w:r>
          </w:p>
        </w:tc>
      </w:tr>
    </w:tbl>
    <w:p w14:paraId="56348975">
      <w:pPr>
        <w:pStyle w:val="86"/>
        <w:adjustRightInd w:val="0"/>
        <w:snapToGrid w:val="0"/>
        <w:ind w:firstLine="480"/>
        <w:rPr>
          <w:rFonts w:hint="eastAsia"/>
          <w:color w:val="auto"/>
        </w:rPr>
      </w:pPr>
      <w:r>
        <w:rPr>
          <w:rFonts w:hint="eastAsia"/>
          <w:color w:val="auto"/>
        </w:rPr>
        <w:t>拉运装车过程中对混烃罐、罐车采用气相平衡系统，使混烃罐、罐车形成闭路循环，减少储油罐及装车时产生的无组织废气；根据《利用气相平衡管原理控制有机污染物的无组织排放》（齐刚）研究可知，采用气相平衡系统之后无组织废气排放量可减少90%以上，则混烃罐装车时无组织非甲烷总烃排放量见表3.3-8。</w:t>
      </w:r>
    </w:p>
    <w:p w14:paraId="388A2911">
      <w:pPr>
        <w:pStyle w:val="86"/>
        <w:adjustRightInd w:val="0"/>
        <w:snapToGrid w:val="0"/>
        <w:ind w:firstLine="0" w:firstLineChars="0"/>
        <w:jc w:val="center"/>
        <w:rPr>
          <w:rFonts w:hint="eastAsia" w:ascii="黑体" w:hAnsi="黑体" w:eastAsia="黑体"/>
          <w:color w:val="auto"/>
          <w:sz w:val="21"/>
          <w:szCs w:val="21"/>
        </w:rPr>
      </w:pPr>
      <w:r>
        <w:rPr>
          <w:rFonts w:hint="eastAsia" w:ascii="黑体" w:hAnsi="黑体" w:eastAsia="黑体"/>
          <w:color w:val="auto"/>
          <w:sz w:val="21"/>
          <w:szCs w:val="21"/>
        </w:rPr>
        <w:t>表3.3-8  采用气相平衡后装车废气合计排放量一览表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00"/>
        <w:gridCol w:w="3040"/>
        <w:gridCol w:w="4006"/>
      </w:tblGrid>
      <w:tr w14:paraId="4E662F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062" w:type="pct"/>
            <w:vAlign w:val="center"/>
          </w:tcPr>
          <w:p w14:paraId="275649AB">
            <w:pPr>
              <w:widowControl/>
              <w:jc w:val="center"/>
              <w:rPr>
                <w:rFonts w:hint="eastAsia" w:ascii="宋体" w:hAnsi="宋体" w:cs="宋体"/>
                <w:color w:val="auto"/>
                <w:kern w:val="0"/>
                <w:szCs w:val="21"/>
              </w:rPr>
            </w:pPr>
            <w:r>
              <w:rPr>
                <w:rFonts w:hint="eastAsia" w:ascii="宋体" w:hAnsi="宋体" w:cs="宋体"/>
                <w:color w:val="auto"/>
                <w:kern w:val="0"/>
                <w:szCs w:val="21"/>
              </w:rPr>
              <w:t>类别</w:t>
            </w:r>
          </w:p>
        </w:tc>
        <w:tc>
          <w:tcPr>
            <w:tcW w:w="1699" w:type="pct"/>
            <w:vAlign w:val="center"/>
          </w:tcPr>
          <w:p w14:paraId="3454EC74">
            <w:pPr>
              <w:widowControl/>
              <w:jc w:val="center"/>
              <w:rPr>
                <w:rFonts w:hint="eastAsia" w:ascii="宋体" w:hAnsi="宋体" w:cs="宋体"/>
                <w:color w:val="auto"/>
                <w:kern w:val="0"/>
                <w:szCs w:val="21"/>
              </w:rPr>
            </w:pPr>
            <w:r>
              <w:rPr>
                <w:rFonts w:hint="eastAsia" w:ascii="宋体" w:hAnsi="宋体" w:cs="宋体"/>
                <w:color w:val="auto"/>
                <w:kern w:val="0"/>
                <w:szCs w:val="21"/>
              </w:rPr>
              <w:t>装车无组织废气（t/a）</w:t>
            </w:r>
          </w:p>
        </w:tc>
        <w:tc>
          <w:tcPr>
            <w:tcW w:w="2239" w:type="pct"/>
            <w:vAlign w:val="center"/>
          </w:tcPr>
          <w:p w14:paraId="38FFF4FC">
            <w:pPr>
              <w:widowControl/>
              <w:jc w:val="center"/>
              <w:rPr>
                <w:rFonts w:hint="eastAsia" w:ascii="宋体" w:hAnsi="宋体" w:cs="宋体"/>
                <w:color w:val="auto"/>
                <w:kern w:val="0"/>
                <w:szCs w:val="21"/>
              </w:rPr>
            </w:pPr>
            <w:r>
              <w:rPr>
                <w:rFonts w:hint="eastAsia" w:ascii="宋体" w:hAnsi="宋体" w:cs="宋体"/>
                <w:color w:val="auto"/>
                <w:kern w:val="0"/>
                <w:szCs w:val="21"/>
              </w:rPr>
              <w:t>采用气相平衡后装车废气排放量（t/a）</w:t>
            </w:r>
          </w:p>
        </w:tc>
      </w:tr>
      <w:tr w14:paraId="141068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62" w:type="pct"/>
            <w:vAlign w:val="center"/>
          </w:tcPr>
          <w:p w14:paraId="41270452">
            <w:pPr>
              <w:widowControl/>
              <w:jc w:val="center"/>
              <w:rPr>
                <w:rFonts w:hint="eastAsia" w:ascii="宋体" w:hAnsi="宋体" w:cs="宋体"/>
                <w:color w:val="auto"/>
                <w:kern w:val="0"/>
                <w:szCs w:val="21"/>
              </w:rPr>
            </w:pPr>
            <w:r>
              <w:rPr>
                <w:rFonts w:hint="eastAsia" w:ascii="宋体" w:hAnsi="宋体"/>
                <w:color w:val="auto"/>
                <w:szCs w:val="21"/>
              </w:rPr>
              <w:t>莫172H井充装区</w:t>
            </w:r>
          </w:p>
        </w:tc>
        <w:tc>
          <w:tcPr>
            <w:tcW w:w="1699" w:type="pct"/>
            <w:vAlign w:val="center"/>
          </w:tcPr>
          <w:p w14:paraId="10DDA365">
            <w:pPr>
              <w:widowControl/>
              <w:jc w:val="center"/>
              <w:rPr>
                <w:rFonts w:hint="eastAsia" w:ascii="宋体" w:hAnsi="宋体"/>
                <w:color w:val="auto"/>
                <w:szCs w:val="21"/>
              </w:rPr>
            </w:pPr>
            <w:r>
              <w:rPr>
                <w:rFonts w:hint="eastAsia" w:ascii="宋体" w:hAnsi="宋体"/>
                <w:color w:val="auto"/>
                <w:szCs w:val="21"/>
              </w:rPr>
              <w:t>0.898</w:t>
            </w:r>
          </w:p>
        </w:tc>
        <w:tc>
          <w:tcPr>
            <w:tcW w:w="2239" w:type="pct"/>
            <w:noWrap/>
            <w:vAlign w:val="center"/>
          </w:tcPr>
          <w:p w14:paraId="21D218DC">
            <w:pPr>
              <w:widowControl/>
              <w:jc w:val="center"/>
              <w:rPr>
                <w:rFonts w:hint="eastAsia" w:ascii="宋体" w:hAnsi="宋体"/>
                <w:color w:val="auto"/>
                <w:szCs w:val="21"/>
              </w:rPr>
            </w:pPr>
            <w:r>
              <w:rPr>
                <w:rFonts w:hint="eastAsia" w:ascii="宋体" w:hAnsi="宋体"/>
                <w:color w:val="auto"/>
                <w:szCs w:val="21"/>
              </w:rPr>
              <w:t>0.0898</w:t>
            </w:r>
          </w:p>
        </w:tc>
      </w:tr>
      <w:tr w14:paraId="6B087F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62" w:type="pct"/>
            <w:vAlign w:val="center"/>
          </w:tcPr>
          <w:p w14:paraId="54772994">
            <w:pPr>
              <w:widowControl/>
              <w:jc w:val="center"/>
              <w:rPr>
                <w:rFonts w:hint="eastAsia" w:ascii="宋体" w:hAnsi="宋体" w:cs="宋体"/>
                <w:color w:val="auto"/>
                <w:kern w:val="0"/>
                <w:szCs w:val="21"/>
              </w:rPr>
            </w:pPr>
            <w:r>
              <w:rPr>
                <w:rFonts w:hint="eastAsia" w:ascii="宋体" w:hAnsi="宋体"/>
                <w:color w:val="auto"/>
                <w:szCs w:val="21"/>
              </w:rPr>
              <w:t>莫174H井</w:t>
            </w:r>
          </w:p>
        </w:tc>
        <w:tc>
          <w:tcPr>
            <w:tcW w:w="1699" w:type="pct"/>
            <w:vAlign w:val="center"/>
          </w:tcPr>
          <w:p w14:paraId="7A82F511">
            <w:pPr>
              <w:widowControl/>
              <w:jc w:val="center"/>
              <w:rPr>
                <w:rFonts w:hint="eastAsia" w:ascii="宋体" w:hAnsi="宋体"/>
                <w:color w:val="auto"/>
                <w:szCs w:val="21"/>
              </w:rPr>
            </w:pPr>
            <w:r>
              <w:rPr>
                <w:rFonts w:hint="eastAsia" w:ascii="宋体" w:hAnsi="宋体"/>
                <w:color w:val="auto"/>
                <w:szCs w:val="21"/>
              </w:rPr>
              <w:t>0.449</w:t>
            </w:r>
          </w:p>
        </w:tc>
        <w:tc>
          <w:tcPr>
            <w:tcW w:w="2239" w:type="pct"/>
            <w:noWrap/>
            <w:vAlign w:val="center"/>
          </w:tcPr>
          <w:p w14:paraId="0D00995F">
            <w:pPr>
              <w:widowControl/>
              <w:jc w:val="center"/>
              <w:rPr>
                <w:rFonts w:hint="eastAsia" w:ascii="宋体" w:hAnsi="宋体"/>
                <w:color w:val="auto"/>
                <w:szCs w:val="21"/>
              </w:rPr>
            </w:pPr>
            <w:r>
              <w:rPr>
                <w:rFonts w:hint="eastAsia" w:ascii="宋体" w:hAnsi="宋体"/>
                <w:color w:val="auto"/>
                <w:szCs w:val="21"/>
              </w:rPr>
              <w:t>0.0449</w:t>
            </w:r>
          </w:p>
        </w:tc>
      </w:tr>
      <w:tr w14:paraId="2AB78F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62" w:type="pct"/>
            <w:vAlign w:val="center"/>
          </w:tcPr>
          <w:p w14:paraId="40083969">
            <w:pPr>
              <w:widowControl/>
              <w:jc w:val="center"/>
              <w:rPr>
                <w:rFonts w:hint="eastAsia" w:ascii="宋体" w:hAnsi="宋体" w:cs="宋体"/>
                <w:color w:val="auto"/>
                <w:kern w:val="0"/>
                <w:szCs w:val="21"/>
              </w:rPr>
            </w:pPr>
            <w:r>
              <w:rPr>
                <w:rFonts w:hint="eastAsia" w:ascii="宋体" w:hAnsi="宋体" w:cs="宋体"/>
                <w:color w:val="auto"/>
                <w:kern w:val="0"/>
                <w:szCs w:val="21"/>
              </w:rPr>
              <w:t>总计</w:t>
            </w:r>
          </w:p>
        </w:tc>
        <w:tc>
          <w:tcPr>
            <w:tcW w:w="1699" w:type="pct"/>
            <w:vAlign w:val="center"/>
          </w:tcPr>
          <w:p w14:paraId="168F50FB">
            <w:pPr>
              <w:widowControl/>
              <w:jc w:val="center"/>
              <w:rPr>
                <w:rFonts w:hint="eastAsia" w:ascii="宋体" w:hAnsi="宋体"/>
                <w:color w:val="auto"/>
                <w:szCs w:val="21"/>
              </w:rPr>
            </w:pPr>
            <w:r>
              <w:rPr>
                <w:rFonts w:hint="eastAsia" w:ascii="宋体" w:hAnsi="宋体"/>
                <w:color w:val="auto"/>
                <w:szCs w:val="21"/>
              </w:rPr>
              <w:t>1.347</w:t>
            </w:r>
          </w:p>
        </w:tc>
        <w:tc>
          <w:tcPr>
            <w:tcW w:w="2239" w:type="pct"/>
            <w:noWrap/>
            <w:vAlign w:val="center"/>
          </w:tcPr>
          <w:p w14:paraId="13226CE0">
            <w:pPr>
              <w:widowControl/>
              <w:jc w:val="center"/>
              <w:rPr>
                <w:rFonts w:hint="eastAsia" w:ascii="宋体" w:hAnsi="宋体"/>
                <w:color w:val="auto"/>
                <w:szCs w:val="21"/>
              </w:rPr>
            </w:pPr>
            <w:r>
              <w:rPr>
                <w:rFonts w:hint="eastAsia" w:ascii="宋体" w:hAnsi="宋体"/>
                <w:color w:val="auto"/>
                <w:szCs w:val="21"/>
              </w:rPr>
              <w:t>0.1347</w:t>
            </w:r>
          </w:p>
        </w:tc>
      </w:tr>
    </w:tbl>
    <w:p w14:paraId="5F1BA2BE">
      <w:pPr>
        <w:pStyle w:val="86"/>
        <w:adjustRightInd w:val="0"/>
        <w:snapToGrid w:val="0"/>
        <w:ind w:firstLine="480"/>
        <w:rPr>
          <w:rFonts w:hint="eastAsia"/>
          <w:color w:val="auto"/>
        </w:rPr>
      </w:pPr>
      <w:r>
        <w:rPr>
          <w:rFonts w:hint="eastAsia"/>
          <w:color w:val="auto"/>
        </w:rPr>
        <w:t>⑥废气汇总</w:t>
      </w:r>
    </w:p>
    <w:p w14:paraId="423F37F4">
      <w:pPr>
        <w:pStyle w:val="86"/>
        <w:adjustRightInd w:val="0"/>
        <w:snapToGrid w:val="0"/>
        <w:ind w:firstLine="480"/>
        <w:rPr>
          <w:rFonts w:hint="eastAsia"/>
          <w:color w:val="auto"/>
        </w:rPr>
      </w:pPr>
      <w:r>
        <w:rPr>
          <w:rFonts w:hint="eastAsia"/>
          <w:color w:val="auto"/>
        </w:rPr>
        <w:t>项目实施后无组织废气排放量核算表见表3</w:t>
      </w:r>
      <w:r>
        <w:rPr>
          <w:color w:val="auto"/>
        </w:rPr>
        <w:t>.</w:t>
      </w:r>
      <w:r>
        <w:rPr>
          <w:rFonts w:hint="eastAsia"/>
          <w:color w:val="auto"/>
        </w:rPr>
        <w:t>3-9，各污染物排放量汇总见表3.3-10。</w:t>
      </w:r>
    </w:p>
    <w:p w14:paraId="0E5258D2">
      <w:pPr>
        <w:adjustRightInd w:val="0"/>
        <w:snapToGrid w:val="0"/>
        <w:spacing w:line="500" w:lineRule="exact"/>
        <w:jc w:val="center"/>
        <w:textAlignment w:val="baseline"/>
        <w:rPr>
          <w:rFonts w:hint="eastAsia" w:ascii="黑体" w:hAnsi="黑体" w:eastAsia="黑体"/>
          <w:color w:val="auto"/>
          <w:kern w:val="0"/>
          <w:szCs w:val="21"/>
        </w:rPr>
      </w:pPr>
      <w:bookmarkStart w:id="296" w:name="_Hlk207821561"/>
      <w:bookmarkStart w:id="297" w:name="OLE_LINK103"/>
      <w:r>
        <w:rPr>
          <w:rFonts w:hint="eastAsia" w:ascii="黑体" w:hAnsi="黑体" w:eastAsia="黑体"/>
          <w:color w:val="auto"/>
          <w:kern w:val="0"/>
          <w:szCs w:val="21"/>
        </w:rPr>
        <w:t>表</w:t>
      </w:r>
      <w:r>
        <w:rPr>
          <w:rFonts w:ascii="黑体" w:hAnsi="黑体" w:eastAsia="黑体"/>
          <w:color w:val="auto"/>
          <w:kern w:val="0"/>
          <w:szCs w:val="21"/>
        </w:rPr>
        <w:t>3.3</w:t>
      </w:r>
      <w:r>
        <w:rPr>
          <w:rFonts w:hint="eastAsia" w:ascii="黑体" w:hAnsi="黑体" w:eastAsia="黑体"/>
          <w:color w:val="auto"/>
          <w:kern w:val="0"/>
          <w:szCs w:val="21"/>
        </w:rPr>
        <w:t>-9  大气污染物无组织排放量核算表</w:t>
      </w:r>
      <w:bookmarkEnd w:id="296"/>
    </w:p>
    <w:tbl>
      <w:tblPr>
        <w:tblStyle w:val="51"/>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442"/>
        <w:gridCol w:w="721"/>
        <w:gridCol w:w="1018"/>
        <w:gridCol w:w="1161"/>
        <w:gridCol w:w="1598"/>
        <w:gridCol w:w="1743"/>
        <w:gridCol w:w="1161"/>
        <w:gridCol w:w="1102"/>
      </w:tblGrid>
      <w:tr w14:paraId="4809F8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47" w:type="pct"/>
            <w:vMerge w:val="restart"/>
            <w:vAlign w:val="center"/>
          </w:tcPr>
          <w:p w14:paraId="08262737">
            <w:pPr>
              <w:pStyle w:val="339"/>
              <w:adjustRightInd w:val="0"/>
              <w:snapToGrid w:val="0"/>
              <w:spacing w:line="300" w:lineRule="exact"/>
              <w:rPr>
                <w:rFonts w:hint="eastAsia" w:cs="宋体"/>
                <w:bCs/>
                <w:snapToGrid w:val="0"/>
                <w:color w:val="auto"/>
                <w:w w:val="100"/>
                <w:sz w:val="21"/>
                <w:szCs w:val="21"/>
              </w:rPr>
            </w:pPr>
            <w:bookmarkStart w:id="298" w:name="OLE_LINK92"/>
            <w:r>
              <w:rPr>
                <w:rFonts w:hint="eastAsia" w:cs="宋体"/>
                <w:bCs/>
                <w:snapToGrid w:val="0"/>
                <w:color w:val="auto"/>
                <w:w w:val="100"/>
                <w:sz w:val="21"/>
                <w:szCs w:val="21"/>
              </w:rPr>
              <w:t>序号</w:t>
            </w:r>
          </w:p>
        </w:tc>
        <w:tc>
          <w:tcPr>
            <w:tcW w:w="403" w:type="pct"/>
            <w:vMerge w:val="restart"/>
            <w:vAlign w:val="center"/>
          </w:tcPr>
          <w:p w14:paraId="3ABB21ED">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排放口编号</w:t>
            </w:r>
          </w:p>
        </w:tc>
        <w:tc>
          <w:tcPr>
            <w:tcW w:w="569" w:type="pct"/>
            <w:vMerge w:val="restart"/>
            <w:vAlign w:val="center"/>
          </w:tcPr>
          <w:p w14:paraId="38115CBC">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产污环节</w:t>
            </w:r>
          </w:p>
        </w:tc>
        <w:tc>
          <w:tcPr>
            <w:tcW w:w="649" w:type="pct"/>
            <w:vMerge w:val="restart"/>
            <w:vAlign w:val="center"/>
          </w:tcPr>
          <w:p w14:paraId="0D1F77C2">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污染物</w:t>
            </w:r>
          </w:p>
        </w:tc>
        <w:tc>
          <w:tcPr>
            <w:tcW w:w="893" w:type="pct"/>
            <w:vMerge w:val="restart"/>
            <w:vAlign w:val="center"/>
          </w:tcPr>
          <w:p w14:paraId="0B4210B1">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主要污染</w:t>
            </w:r>
          </w:p>
          <w:p w14:paraId="00870729">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防治措施</w:t>
            </w:r>
          </w:p>
        </w:tc>
        <w:tc>
          <w:tcPr>
            <w:tcW w:w="1623" w:type="pct"/>
            <w:gridSpan w:val="2"/>
            <w:vAlign w:val="center"/>
          </w:tcPr>
          <w:p w14:paraId="572A4D7D">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国家污染物排放标准</w:t>
            </w:r>
          </w:p>
        </w:tc>
        <w:tc>
          <w:tcPr>
            <w:tcW w:w="616" w:type="pct"/>
            <w:vMerge w:val="restart"/>
            <w:vAlign w:val="center"/>
          </w:tcPr>
          <w:p w14:paraId="0CEBAAF4">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年排放量（</w:t>
            </w:r>
            <w:r>
              <w:rPr>
                <w:rFonts w:hint="eastAsia" w:cs="宋体"/>
                <w:bCs/>
                <w:snapToGrid w:val="0"/>
                <w:color w:val="auto"/>
                <w:w w:val="100"/>
              </w:rPr>
              <w:t>t/a</w:t>
            </w:r>
            <w:r>
              <w:rPr>
                <w:rFonts w:hint="eastAsia" w:cs="宋体"/>
                <w:bCs/>
                <w:snapToGrid w:val="0"/>
                <w:color w:val="auto"/>
                <w:w w:val="100"/>
                <w:sz w:val="21"/>
                <w:szCs w:val="21"/>
              </w:rPr>
              <w:t>）</w:t>
            </w:r>
          </w:p>
        </w:tc>
      </w:tr>
      <w:tr w14:paraId="0B76C1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47" w:type="pct"/>
            <w:vMerge w:val="continue"/>
            <w:vAlign w:val="center"/>
          </w:tcPr>
          <w:p w14:paraId="419CB576">
            <w:pPr>
              <w:pStyle w:val="339"/>
              <w:adjustRightInd w:val="0"/>
              <w:snapToGrid w:val="0"/>
              <w:spacing w:line="300" w:lineRule="exact"/>
              <w:rPr>
                <w:rFonts w:hint="eastAsia" w:cs="宋体"/>
                <w:bCs/>
                <w:snapToGrid w:val="0"/>
                <w:color w:val="auto"/>
                <w:w w:val="100"/>
                <w:sz w:val="21"/>
                <w:szCs w:val="21"/>
              </w:rPr>
            </w:pPr>
          </w:p>
        </w:tc>
        <w:tc>
          <w:tcPr>
            <w:tcW w:w="403" w:type="pct"/>
            <w:vMerge w:val="continue"/>
            <w:vAlign w:val="center"/>
          </w:tcPr>
          <w:p w14:paraId="33EA49C8">
            <w:pPr>
              <w:pStyle w:val="339"/>
              <w:adjustRightInd w:val="0"/>
              <w:snapToGrid w:val="0"/>
              <w:spacing w:line="300" w:lineRule="exact"/>
              <w:rPr>
                <w:rFonts w:hint="eastAsia" w:cs="宋体"/>
                <w:bCs/>
                <w:snapToGrid w:val="0"/>
                <w:color w:val="auto"/>
                <w:w w:val="100"/>
                <w:sz w:val="21"/>
                <w:szCs w:val="21"/>
              </w:rPr>
            </w:pPr>
          </w:p>
        </w:tc>
        <w:tc>
          <w:tcPr>
            <w:tcW w:w="569" w:type="pct"/>
            <w:vMerge w:val="continue"/>
            <w:vAlign w:val="center"/>
          </w:tcPr>
          <w:p w14:paraId="3E1D564C">
            <w:pPr>
              <w:pStyle w:val="339"/>
              <w:adjustRightInd w:val="0"/>
              <w:snapToGrid w:val="0"/>
              <w:spacing w:line="300" w:lineRule="exact"/>
              <w:rPr>
                <w:rFonts w:hint="eastAsia" w:cs="宋体"/>
                <w:bCs/>
                <w:snapToGrid w:val="0"/>
                <w:color w:val="auto"/>
                <w:w w:val="100"/>
                <w:sz w:val="21"/>
                <w:szCs w:val="21"/>
              </w:rPr>
            </w:pPr>
          </w:p>
        </w:tc>
        <w:tc>
          <w:tcPr>
            <w:tcW w:w="649" w:type="pct"/>
            <w:vMerge w:val="continue"/>
            <w:tcBorders>
              <w:bottom w:val="single" w:color="auto" w:sz="4" w:space="0"/>
            </w:tcBorders>
            <w:vAlign w:val="center"/>
          </w:tcPr>
          <w:p w14:paraId="068476E2">
            <w:pPr>
              <w:pStyle w:val="339"/>
              <w:adjustRightInd w:val="0"/>
              <w:snapToGrid w:val="0"/>
              <w:spacing w:line="300" w:lineRule="exact"/>
              <w:rPr>
                <w:rFonts w:hint="eastAsia" w:cs="宋体"/>
                <w:bCs/>
                <w:snapToGrid w:val="0"/>
                <w:color w:val="auto"/>
                <w:w w:val="100"/>
                <w:sz w:val="21"/>
                <w:szCs w:val="21"/>
              </w:rPr>
            </w:pPr>
          </w:p>
        </w:tc>
        <w:tc>
          <w:tcPr>
            <w:tcW w:w="893" w:type="pct"/>
            <w:vMerge w:val="continue"/>
            <w:tcBorders>
              <w:bottom w:val="single" w:color="auto" w:sz="4" w:space="0"/>
            </w:tcBorders>
            <w:vAlign w:val="center"/>
          </w:tcPr>
          <w:p w14:paraId="22D16457">
            <w:pPr>
              <w:pStyle w:val="339"/>
              <w:adjustRightInd w:val="0"/>
              <w:snapToGrid w:val="0"/>
              <w:spacing w:line="300" w:lineRule="exact"/>
              <w:rPr>
                <w:rFonts w:hint="eastAsia" w:cs="宋体"/>
                <w:bCs/>
                <w:snapToGrid w:val="0"/>
                <w:color w:val="auto"/>
                <w:w w:val="100"/>
                <w:sz w:val="21"/>
                <w:szCs w:val="21"/>
              </w:rPr>
            </w:pPr>
          </w:p>
        </w:tc>
        <w:tc>
          <w:tcPr>
            <w:tcW w:w="974" w:type="pct"/>
            <w:tcBorders>
              <w:bottom w:val="single" w:color="auto" w:sz="4" w:space="0"/>
            </w:tcBorders>
            <w:vAlign w:val="center"/>
          </w:tcPr>
          <w:p w14:paraId="560325D6">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标准名称</w:t>
            </w:r>
          </w:p>
        </w:tc>
        <w:tc>
          <w:tcPr>
            <w:tcW w:w="649" w:type="pct"/>
            <w:tcBorders>
              <w:bottom w:val="single" w:color="auto" w:sz="4" w:space="0"/>
            </w:tcBorders>
            <w:vAlign w:val="center"/>
          </w:tcPr>
          <w:p w14:paraId="51CF607A">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浓度限值（mg/m</w:t>
            </w:r>
            <w:r>
              <w:rPr>
                <w:rFonts w:hint="eastAsia" w:cs="宋体"/>
                <w:bCs/>
                <w:snapToGrid w:val="0"/>
                <w:color w:val="auto"/>
                <w:w w:val="100"/>
                <w:sz w:val="21"/>
                <w:szCs w:val="21"/>
                <w:vertAlign w:val="superscript"/>
              </w:rPr>
              <w:t>3</w:t>
            </w:r>
            <w:r>
              <w:rPr>
                <w:rFonts w:hint="eastAsia" w:cs="宋体"/>
                <w:bCs/>
                <w:snapToGrid w:val="0"/>
                <w:color w:val="auto"/>
                <w:w w:val="100"/>
                <w:sz w:val="21"/>
                <w:szCs w:val="21"/>
              </w:rPr>
              <w:t>）</w:t>
            </w:r>
          </w:p>
        </w:tc>
        <w:tc>
          <w:tcPr>
            <w:tcW w:w="616" w:type="pct"/>
            <w:vMerge w:val="continue"/>
            <w:vAlign w:val="center"/>
          </w:tcPr>
          <w:p w14:paraId="1BB50B14">
            <w:pPr>
              <w:pStyle w:val="339"/>
              <w:adjustRightInd w:val="0"/>
              <w:snapToGrid w:val="0"/>
              <w:spacing w:line="300" w:lineRule="exact"/>
              <w:rPr>
                <w:rFonts w:hint="eastAsia" w:cs="宋体"/>
                <w:bCs/>
                <w:snapToGrid w:val="0"/>
                <w:color w:val="auto"/>
                <w:w w:val="100"/>
                <w:sz w:val="21"/>
                <w:szCs w:val="21"/>
              </w:rPr>
            </w:pPr>
          </w:p>
        </w:tc>
      </w:tr>
      <w:tr w14:paraId="496AE2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247" w:type="pct"/>
            <w:vAlign w:val="center"/>
          </w:tcPr>
          <w:p w14:paraId="65DDBD0D">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1</w:t>
            </w:r>
          </w:p>
        </w:tc>
        <w:tc>
          <w:tcPr>
            <w:tcW w:w="403" w:type="pct"/>
            <w:vAlign w:val="center"/>
          </w:tcPr>
          <w:p w14:paraId="06AA9689">
            <w:pPr>
              <w:adjustRightInd w:val="0"/>
              <w:snapToGrid w:val="0"/>
              <w:spacing w:line="300" w:lineRule="exact"/>
              <w:jc w:val="center"/>
              <w:rPr>
                <w:rFonts w:hint="eastAsia" w:ascii="宋体" w:hAnsi="宋体" w:cs="宋体"/>
                <w:bCs/>
                <w:snapToGrid w:val="0"/>
                <w:color w:val="auto"/>
                <w:szCs w:val="21"/>
              </w:rPr>
            </w:pPr>
            <w:r>
              <w:rPr>
                <w:rFonts w:hint="eastAsia" w:ascii="宋体" w:hAnsi="宋体" w:cs="宋体"/>
                <w:bCs/>
                <w:snapToGrid w:val="0"/>
                <w:color w:val="auto"/>
                <w:szCs w:val="21"/>
              </w:rPr>
              <w:t>M1</w:t>
            </w:r>
          </w:p>
        </w:tc>
        <w:tc>
          <w:tcPr>
            <w:tcW w:w="569" w:type="pct"/>
            <w:vAlign w:val="center"/>
          </w:tcPr>
          <w:p w14:paraId="595DAE14">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莫27井场</w:t>
            </w:r>
          </w:p>
        </w:tc>
        <w:tc>
          <w:tcPr>
            <w:tcW w:w="649" w:type="pct"/>
            <w:tcBorders>
              <w:bottom w:val="single" w:color="auto" w:sz="4" w:space="0"/>
            </w:tcBorders>
            <w:vAlign w:val="center"/>
          </w:tcPr>
          <w:p w14:paraId="79EC2AD3">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N</w:t>
            </w:r>
            <w:r>
              <w:rPr>
                <w:rFonts w:cs="宋体"/>
                <w:bCs/>
                <w:snapToGrid w:val="0"/>
                <w:color w:val="auto"/>
                <w:w w:val="100"/>
                <w:sz w:val="21"/>
                <w:szCs w:val="21"/>
              </w:rPr>
              <w:t>MHC</w:t>
            </w:r>
          </w:p>
        </w:tc>
        <w:tc>
          <w:tcPr>
            <w:tcW w:w="893" w:type="pct"/>
            <w:vMerge w:val="restart"/>
            <w:vAlign w:val="center"/>
          </w:tcPr>
          <w:p w14:paraId="7433E0A1">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选用质量可靠的设备、仪表、阀门等；定期对设备、阀门等检查</w:t>
            </w:r>
          </w:p>
        </w:tc>
        <w:tc>
          <w:tcPr>
            <w:tcW w:w="974" w:type="pct"/>
            <w:vMerge w:val="restart"/>
            <w:vAlign w:val="center"/>
          </w:tcPr>
          <w:p w14:paraId="053D639F">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GB39728-2020</w:t>
            </w:r>
            <w:r>
              <w:rPr>
                <w:rFonts w:cs="宋体"/>
                <w:bCs/>
                <w:snapToGrid w:val="0"/>
                <w:color w:val="auto"/>
                <w:w w:val="100"/>
                <w:sz w:val="21"/>
                <w:szCs w:val="21"/>
              </w:rPr>
              <w:t xml:space="preserve">  </w:t>
            </w:r>
            <w:r>
              <w:rPr>
                <w:rFonts w:hint="eastAsia" w:cs="宋体"/>
                <w:bCs/>
                <w:snapToGrid w:val="0"/>
                <w:color w:val="auto"/>
                <w:w w:val="100"/>
                <w:sz w:val="21"/>
                <w:szCs w:val="21"/>
              </w:rPr>
              <w:t>中</w:t>
            </w:r>
            <w:r>
              <w:rPr>
                <w:rFonts w:cs="宋体"/>
                <w:bCs/>
                <w:snapToGrid w:val="0"/>
                <w:color w:val="auto"/>
                <w:w w:val="100"/>
                <w:sz w:val="21"/>
                <w:szCs w:val="21"/>
              </w:rPr>
              <w:t>企业边界污染物控制要求</w:t>
            </w:r>
          </w:p>
        </w:tc>
        <w:tc>
          <w:tcPr>
            <w:tcW w:w="649" w:type="pct"/>
            <w:tcBorders>
              <w:bottom w:val="single" w:color="auto" w:sz="4" w:space="0"/>
            </w:tcBorders>
            <w:vAlign w:val="center"/>
          </w:tcPr>
          <w:p w14:paraId="1F238A3A">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4</w:t>
            </w:r>
          </w:p>
        </w:tc>
        <w:tc>
          <w:tcPr>
            <w:tcW w:w="616" w:type="pct"/>
            <w:vAlign w:val="center"/>
          </w:tcPr>
          <w:p w14:paraId="317AA724">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0.0052</w:t>
            </w:r>
          </w:p>
        </w:tc>
      </w:tr>
      <w:tr w14:paraId="09015B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247" w:type="pct"/>
            <w:vMerge w:val="restart"/>
            <w:vAlign w:val="center"/>
          </w:tcPr>
          <w:p w14:paraId="24777B3C">
            <w:pPr>
              <w:pStyle w:val="339"/>
              <w:adjustRightInd w:val="0"/>
              <w:snapToGrid w:val="0"/>
              <w:spacing w:line="300" w:lineRule="exact"/>
              <w:rPr>
                <w:rFonts w:hint="eastAsia" w:cs="宋体"/>
                <w:bCs/>
                <w:snapToGrid w:val="0"/>
                <w:color w:val="auto"/>
                <w:w w:val="100"/>
                <w:sz w:val="21"/>
                <w:szCs w:val="21"/>
              </w:rPr>
            </w:pPr>
            <w:r>
              <w:rPr>
                <w:rFonts w:cs="宋体"/>
                <w:bCs/>
                <w:snapToGrid w:val="0"/>
                <w:color w:val="auto"/>
                <w:w w:val="100"/>
                <w:sz w:val="21"/>
                <w:szCs w:val="21"/>
              </w:rPr>
              <w:t>2</w:t>
            </w:r>
          </w:p>
        </w:tc>
        <w:tc>
          <w:tcPr>
            <w:tcW w:w="403" w:type="pct"/>
            <w:vMerge w:val="restart"/>
            <w:vAlign w:val="center"/>
          </w:tcPr>
          <w:p w14:paraId="16BF848A">
            <w:pPr>
              <w:adjustRightInd w:val="0"/>
              <w:snapToGrid w:val="0"/>
              <w:spacing w:line="300" w:lineRule="exact"/>
              <w:jc w:val="center"/>
              <w:rPr>
                <w:rFonts w:cs="宋体"/>
                <w:bCs/>
                <w:snapToGrid w:val="0"/>
                <w:color w:val="auto"/>
                <w:szCs w:val="21"/>
              </w:rPr>
            </w:pPr>
            <w:r>
              <w:rPr>
                <w:rFonts w:hint="eastAsia" w:ascii="宋体" w:hAnsi="宋体" w:cs="宋体"/>
                <w:bCs/>
                <w:snapToGrid w:val="0"/>
                <w:color w:val="auto"/>
                <w:szCs w:val="21"/>
              </w:rPr>
              <w:t>M</w:t>
            </w:r>
            <w:r>
              <w:rPr>
                <w:rFonts w:ascii="宋体" w:hAnsi="宋体" w:cs="宋体"/>
                <w:bCs/>
                <w:snapToGrid w:val="0"/>
                <w:color w:val="auto"/>
                <w:szCs w:val="21"/>
              </w:rPr>
              <w:t>2</w:t>
            </w:r>
          </w:p>
        </w:tc>
        <w:tc>
          <w:tcPr>
            <w:tcW w:w="569" w:type="pct"/>
            <w:vMerge w:val="restart"/>
            <w:vAlign w:val="center"/>
          </w:tcPr>
          <w:p w14:paraId="4C4C7082">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莫174H井场</w:t>
            </w:r>
          </w:p>
        </w:tc>
        <w:tc>
          <w:tcPr>
            <w:tcW w:w="649" w:type="pct"/>
            <w:tcBorders>
              <w:bottom w:val="single" w:color="auto" w:sz="4" w:space="0"/>
            </w:tcBorders>
            <w:vAlign w:val="center"/>
          </w:tcPr>
          <w:p w14:paraId="2B8504EB">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N</w:t>
            </w:r>
            <w:r>
              <w:rPr>
                <w:rFonts w:cs="宋体"/>
                <w:bCs/>
                <w:snapToGrid w:val="0"/>
                <w:color w:val="auto"/>
                <w:w w:val="100"/>
                <w:sz w:val="21"/>
                <w:szCs w:val="21"/>
              </w:rPr>
              <w:t>MHC</w:t>
            </w:r>
          </w:p>
        </w:tc>
        <w:tc>
          <w:tcPr>
            <w:tcW w:w="893" w:type="pct"/>
            <w:vMerge w:val="continue"/>
            <w:vAlign w:val="center"/>
          </w:tcPr>
          <w:p w14:paraId="291A6F1C">
            <w:pPr>
              <w:pStyle w:val="339"/>
              <w:adjustRightInd w:val="0"/>
              <w:snapToGrid w:val="0"/>
              <w:spacing w:line="300" w:lineRule="exact"/>
              <w:rPr>
                <w:rFonts w:hint="eastAsia" w:cs="宋体"/>
                <w:bCs/>
                <w:snapToGrid w:val="0"/>
                <w:color w:val="auto"/>
                <w:w w:val="100"/>
                <w:sz w:val="21"/>
                <w:szCs w:val="21"/>
              </w:rPr>
            </w:pPr>
          </w:p>
        </w:tc>
        <w:tc>
          <w:tcPr>
            <w:tcW w:w="974" w:type="pct"/>
            <w:vMerge w:val="continue"/>
            <w:vAlign w:val="center"/>
          </w:tcPr>
          <w:p w14:paraId="76254070">
            <w:pPr>
              <w:pStyle w:val="339"/>
              <w:adjustRightInd w:val="0"/>
              <w:snapToGrid w:val="0"/>
              <w:spacing w:line="300" w:lineRule="exact"/>
              <w:rPr>
                <w:rFonts w:hint="eastAsia" w:cs="宋体"/>
                <w:bCs/>
                <w:snapToGrid w:val="0"/>
                <w:color w:val="auto"/>
                <w:w w:val="100"/>
                <w:sz w:val="21"/>
                <w:szCs w:val="21"/>
              </w:rPr>
            </w:pPr>
          </w:p>
        </w:tc>
        <w:tc>
          <w:tcPr>
            <w:tcW w:w="649" w:type="pct"/>
            <w:tcBorders>
              <w:bottom w:val="single" w:color="auto" w:sz="4" w:space="0"/>
            </w:tcBorders>
            <w:vAlign w:val="center"/>
          </w:tcPr>
          <w:p w14:paraId="0E25FC88">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4</w:t>
            </w:r>
          </w:p>
        </w:tc>
        <w:tc>
          <w:tcPr>
            <w:tcW w:w="616" w:type="pct"/>
            <w:vAlign w:val="center"/>
          </w:tcPr>
          <w:p w14:paraId="625599FD">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0.5598</w:t>
            </w:r>
          </w:p>
        </w:tc>
      </w:tr>
      <w:tr w14:paraId="7A812C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247" w:type="pct"/>
            <w:vMerge w:val="continue"/>
            <w:vAlign w:val="center"/>
          </w:tcPr>
          <w:p w14:paraId="1426AA62">
            <w:pPr>
              <w:pStyle w:val="339"/>
              <w:adjustRightInd w:val="0"/>
              <w:snapToGrid w:val="0"/>
              <w:spacing w:line="300" w:lineRule="exact"/>
              <w:rPr>
                <w:rFonts w:hint="eastAsia" w:cs="宋体"/>
                <w:bCs/>
                <w:snapToGrid w:val="0"/>
                <w:color w:val="auto"/>
                <w:w w:val="100"/>
                <w:sz w:val="21"/>
                <w:szCs w:val="21"/>
              </w:rPr>
            </w:pPr>
          </w:p>
        </w:tc>
        <w:tc>
          <w:tcPr>
            <w:tcW w:w="403" w:type="pct"/>
            <w:vMerge w:val="continue"/>
            <w:vAlign w:val="center"/>
          </w:tcPr>
          <w:p w14:paraId="2A631D5D">
            <w:pPr>
              <w:adjustRightInd w:val="0"/>
              <w:snapToGrid w:val="0"/>
              <w:spacing w:line="300" w:lineRule="exact"/>
              <w:jc w:val="center"/>
              <w:rPr>
                <w:rFonts w:hint="eastAsia" w:ascii="宋体" w:hAnsi="宋体" w:cs="宋体"/>
                <w:bCs/>
                <w:snapToGrid w:val="0"/>
                <w:color w:val="auto"/>
                <w:szCs w:val="21"/>
              </w:rPr>
            </w:pPr>
          </w:p>
        </w:tc>
        <w:tc>
          <w:tcPr>
            <w:tcW w:w="569" w:type="pct"/>
            <w:vMerge w:val="continue"/>
            <w:vAlign w:val="center"/>
          </w:tcPr>
          <w:p w14:paraId="376A2F42">
            <w:pPr>
              <w:pStyle w:val="339"/>
              <w:adjustRightInd w:val="0"/>
              <w:snapToGrid w:val="0"/>
              <w:spacing w:line="300" w:lineRule="exact"/>
              <w:rPr>
                <w:rFonts w:hint="eastAsia" w:cs="宋体"/>
                <w:bCs/>
                <w:snapToGrid w:val="0"/>
                <w:color w:val="auto"/>
                <w:w w:val="100"/>
                <w:sz w:val="21"/>
                <w:szCs w:val="21"/>
              </w:rPr>
            </w:pPr>
          </w:p>
        </w:tc>
        <w:tc>
          <w:tcPr>
            <w:tcW w:w="649" w:type="pct"/>
            <w:tcBorders>
              <w:bottom w:val="single" w:color="auto" w:sz="4" w:space="0"/>
            </w:tcBorders>
            <w:vAlign w:val="center"/>
          </w:tcPr>
          <w:p w14:paraId="7FA3D2D6">
            <w:pPr>
              <w:adjustRightInd w:val="0"/>
              <w:snapToGrid w:val="0"/>
              <w:spacing w:line="300" w:lineRule="exact"/>
              <w:jc w:val="center"/>
              <w:rPr>
                <w:rFonts w:hint="eastAsia" w:ascii="宋体" w:hAnsi="宋体" w:cs="宋体"/>
                <w:bCs/>
                <w:snapToGrid w:val="0"/>
                <w:color w:val="auto"/>
                <w:szCs w:val="21"/>
              </w:rPr>
            </w:pPr>
            <w:r>
              <w:rPr>
                <w:rFonts w:ascii="宋体" w:hAnsi="宋体" w:cs="宋体"/>
                <w:bCs/>
                <w:snapToGrid w:val="0"/>
                <w:color w:val="auto"/>
                <w:szCs w:val="21"/>
              </w:rPr>
              <w:t>NOx</w:t>
            </w:r>
          </w:p>
        </w:tc>
        <w:tc>
          <w:tcPr>
            <w:tcW w:w="893" w:type="pct"/>
            <w:vMerge w:val="restart"/>
            <w:vAlign w:val="center"/>
          </w:tcPr>
          <w:p w14:paraId="4ADC501B">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采用清洁燃料天然气</w:t>
            </w:r>
          </w:p>
        </w:tc>
        <w:tc>
          <w:tcPr>
            <w:tcW w:w="974" w:type="pct"/>
            <w:vMerge w:val="restart"/>
            <w:vAlign w:val="center"/>
          </w:tcPr>
          <w:p w14:paraId="00F9F919">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《大气污染物综合排放标准》（GB16297-1996）表2限值要求</w:t>
            </w:r>
          </w:p>
        </w:tc>
        <w:tc>
          <w:tcPr>
            <w:tcW w:w="649" w:type="pct"/>
            <w:tcBorders>
              <w:bottom w:val="single" w:color="auto" w:sz="4" w:space="0"/>
            </w:tcBorders>
            <w:vAlign w:val="center"/>
          </w:tcPr>
          <w:p w14:paraId="10D5ED08">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240</w:t>
            </w:r>
          </w:p>
        </w:tc>
        <w:tc>
          <w:tcPr>
            <w:tcW w:w="616" w:type="pct"/>
            <w:vAlign w:val="center"/>
          </w:tcPr>
          <w:p w14:paraId="79F3012E">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0.52272</w:t>
            </w:r>
          </w:p>
        </w:tc>
      </w:tr>
      <w:tr w14:paraId="7E41A2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247" w:type="pct"/>
            <w:vMerge w:val="continue"/>
            <w:vAlign w:val="center"/>
          </w:tcPr>
          <w:p w14:paraId="489B9461">
            <w:pPr>
              <w:pStyle w:val="339"/>
              <w:adjustRightInd w:val="0"/>
              <w:snapToGrid w:val="0"/>
              <w:spacing w:line="300" w:lineRule="exact"/>
              <w:rPr>
                <w:rFonts w:hint="eastAsia" w:cs="宋体"/>
                <w:bCs/>
                <w:snapToGrid w:val="0"/>
                <w:color w:val="auto"/>
                <w:w w:val="100"/>
                <w:sz w:val="21"/>
                <w:szCs w:val="21"/>
              </w:rPr>
            </w:pPr>
          </w:p>
        </w:tc>
        <w:tc>
          <w:tcPr>
            <w:tcW w:w="403" w:type="pct"/>
            <w:vMerge w:val="continue"/>
            <w:vAlign w:val="center"/>
          </w:tcPr>
          <w:p w14:paraId="13983B9C">
            <w:pPr>
              <w:adjustRightInd w:val="0"/>
              <w:snapToGrid w:val="0"/>
              <w:spacing w:line="300" w:lineRule="exact"/>
              <w:jc w:val="center"/>
              <w:rPr>
                <w:rFonts w:hint="eastAsia" w:ascii="宋体" w:hAnsi="宋体" w:cs="宋体"/>
                <w:bCs/>
                <w:snapToGrid w:val="0"/>
                <w:color w:val="auto"/>
                <w:szCs w:val="21"/>
              </w:rPr>
            </w:pPr>
          </w:p>
        </w:tc>
        <w:tc>
          <w:tcPr>
            <w:tcW w:w="569" w:type="pct"/>
            <w:vMerge w:val="continue"/>
            <w:vAlign w:val="center"/>
          </w:tcPr>
          <w:p w14:paraId="52339880">
            <w:pPr>
              <w:pStyle w:val="339"/>
              <w:adjustRightInd w:val="0"/>
              <w:snapToGrid w:val="0"/>
              <w:spacing w:line="300" w:lineRule="exact"/>
              <w:rPr>
                <w:rFonts w:hint="eastAsia" w:cs="宋体"/>
                <w:bCs/>
                <w:snapToGrid w:val="0"/>
                <w:color w:val="auto"/>
                <w:w w:val="100"/>
                <w:sz w:val="21"/>
                <w:szCs w:val="21"/>
              </w:rPr>
            </w:pPr>
          </w:p>
        </w:tc>
        <w:tc>
          <w:tcPr>
            <w:tcW w:w="649" w:type="pct"/>
            <w:tcBorders>
              <w:bottom w:val="single" w:color="auto" w:sz="4" w:space="0"/>
            </w:tcBorders>
            <w:vAlign w:val="center"/>
          </w:tcPr>
          <w:p w14:paraId="206E559F">
            <w:pPr>
              <w:adjustRightInd w:val="0"/>
              <w:snapToGrid w:val="0"/>
              <w:spacing w:line="300" w:lineRule="exact"/>
              <w:jc w:val="center"/>
              <w:rPr>
                <w:rFonts w:hint="eastAsia" w:ascii="宋体" w:hAnsi="宋体" w:cs="宋体"/>
                <w:bCs/>
                <w:snapToGrid w:val="0"/>
                <w:color w:val="auto"/>
                <w:szCs w:val="21"/>
              </w:rPr>
            </w:pPr>
            <w:r>
              <w:rPr>
                <w:rFonts w:ascii="宋体" w:hAnsi="宋体" w:cs="宋体"/>
                <w:bCs/>
                <w:snapToGrid w:val="0"/>
                <w:color w:val="auto"/>
                <w:szCs w:val="21"/>
              </w:rPr>
              <w:t>SO</w:t>
            </w:r>
            <w:r>
              <w:rPr>
                <w:rFonts w:ascii="宋体" w:hAnsi="宋体" w:cs="宋体"/>
                <w:bCs/>
                <w:snapToGrid w:val="0"/>
                <w:color w:val="auto"/>
                <w:szCs w:val="21"/>
                <w:vertAlign w:val="subscript"/>
              </w:rPr>
              <w:t>2</w:t>
            </w:r>
          </w:p>
        </w:tc>
        <w:tc>
          <w:tcPr>
            <w:tcW w:w="893" w:type="pct"/>
            <w:vMerge w:val="continue"/>
            <w:vAlign w:val="center"/>
          </w:tcPr>
          <w:p w14:paraId="43D7768D">
            <w:pPr>
              <w:pStyle w:val="339"/>
              <w:adjustRightInd w:val="0"/>
              <w:snapToGrid w:val="0"/>
              <w:spacing w:line="300" w:lineRule="exact"/>
              <w:rPr>
                <w:rFonts w:hint="eastAsia" w:cs="宋体"/>
                <w:bCs/>
                <w:snapToGrid w:val="0"/>
                <w:color w:val="auto"/>
                <w:w w:val="100"/>
                <w:sz w:val="21"/>
                <w:szCs w:val="21"/>
              </w:rPr>
            </w:pPr>
          </w:p>
        </w:tc>
        <w:tc>
          <w:tcPr>
            <w:tcW w:w="974" w:type="pct"/>
            <w:vMerge w:val="continue"/>
            <w:vAlign w:val="center"/>
          </w:tcPr>
          <w:p w14:paraId="3BEBC522">
            <w:pPr>
              <w:pStyle w:val="339"/>
              <w:adjustRightInd w:val="0"/>
              <w:snapToGrid w:val="0"/>
              <w:spacing w:line="300" w:lineRule="exact"/>
              <w:rPr>
                <w:rFonts w:hint="eastAsia" w:cs="宋体"/>
                <w:bCs/>
                <w:snapToGrid w:val="0"/>
                <w:color w:val="auto"/>
                <w:w w:val="100"/>
                <w:sz w:val="21"/>
                <w:szCs w:val="21"/>
              </w:rPr>
            </w:pPr>
          </w:p>
        </w:tc>
        <w:tc>
          <w:tcPr>
            <w:tcW w:w="649" w:type="pct"/>
            <w:tcBorders>
              <w:bottom w:val="single" w:color="auto" w:sz="4" w:space="0"/>
            </w:tcBorders>
            <w:vAlign w:val="center"/>
          </w:tcPr>
          <w:p w14:paraId="5EF66EE2">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550</w:t>
            </w:r>
          </w:p>
        </w:tc>
        <w:tc>
          <w:tcPr>
            <w:tcW w:w="616" w:type="pct"/>
            <w:vAlign w:val="center"/>
          </w:tcPr>
          <w:p w14:paraId="2F08C385">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0.05346</w:t>
            </w:r>
          </w:p>
        </w:tc>
      </w:tr>
      <w:tr w14:paraId="573A34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40" w:hRule="atLeast"/>
          <w:jc w:val="center"/>
        </w:trPr>
        <w:tc>
          <w:tcPr>
            <w:tcW w:w="247" w:type="pct"/>
            <w:vMerge w:val="continue"/>
            <w:vAlign w:val="center"/>
          </w:tcPr>
          <w:p w14:paraId="37162C9C">
            <w:pPr>
              <w:pStyle w:val="339"/>
              <w:adjustRightInd w:val="0"/>
              <w:snapToGrid w:val="0"/>
              <w:spacing w:line="300" w:lineRule="exact"/>
              <w:rPr>
                <w:rFonts w:hint="eastAsia" w:cs="宋体"/>
                <w:bCs/>
                <w:snapToGrid w:val="0"/>
                <w:color w:val="auto"/>
                <w:w w:val="100"/>
                <w:sz w:val="21"/>
                <w:szCs w:val="21"/>
              </w:rPr>
            </w:pPr>
          </w:p>
        </w:tc>
        <w:tc>
          <w:tcPr>
            <w:tcW w:w="403" w:type="pct"/>
            <w:vMerge w:val="continue"/>
            <w:vAlign w:val="center"/>
          </w:tcPr>
          <w:p w14:paraId="68BA23C7">
            <w:pPr>
              <w:adjustRightInd w:val="0"/>
              <w:snapToGrid w:val="0"/>
              <w:spacing w:line="300" w:lineRule="exact"/>
              <w:jc w:val="center"/>
              <w:rPr>
                <w:rFonts w:hint="eastAsia" w:ascii="宋体" w:hAnsi="宋体" w:cs="宋体"/>
                <w:bCs/>
                <w:snapToGrid w:val="0"/>
                <w:color w:val="auto"/>
                <w:szCs w:val="21"/>
              </w:rPr>
            </w:pPr>
          </w:p>
        </w:tc>
        <w:tc>
          <w:tcPr>
            <w:tcW w:w="569" w:type="pct"/>
            <w:vMerge w:val="continue"/>
            <w:vAlign w:val="center"/>
          </w:tcPr>
          <w:p w14:paraId="47FB7198">
            <w:pPr>
              <w:pStyle w:val="339"/>
              <w:adjustRightInd w:val="0"/>
              <w:snapToGrid w:val="0"/>
              <w:spacing w:line="300" w:lineRule="exact"/>
              <w:rPr>
                <w:rFonts w:hint="eastAsia" w:cs="宋体"/>
                <w:bCs/>
                <w:snapToGrid w:val="0"/>
                <w:color w:val="auto"/>
                <w:w w:val="100"/>
                <w:sz w:val="21"/>
                <w:szCs w:val="21"/>
              </w:rPr>
            </w:pPr>
          </w:p>
        </w:tc>
        <w:tc>
          <w:tcPr>
            <w:tcW w:w="649" w:type="pct"/>
            <w:tcBorders>
              <w:bottom w:val="single" w:color="auto" w:sz="4" w:space="0"/>
            </w:tcBorders>
            <w:vAlign w:val="center"/>
          </w:tcPr>
          <w:p w14:paraId="1441A811">
            <w:pPr>
              <w:adjustRightInd w:val="0"/>
              <w:snapToGrid w:val="0"/>
              <w:spacing w:line="300" w:lineRule="exact"/>
              <w:jc w:val="center"/>
              <w:rPr>
                <w:rFonts w:hint="eastAsia" w:ascii="宋体" w:hAnsi="宋体" w:cs="宋体"/>
                <w:bCs/>
                <w:snapToGrid w:val="0"/>
                <w:color w:val="auto"/>
                <w:szCs w:val="21"/>
              </w:rPr>
            </w:pPr>
            <w:r>
              <w:rPr>
                <w:rFonts w:ascii="宋体" w:hAnsi="宋体" w:cs="宋体"/>
                <w:bCs/>
                <w:snapToGrid w:val="0"/>
                <w:color w:val="auto"/>
                <w:szCs w:val="21"/>
              </w:rPr>
              <w:t>颗粒物</w:t>
            </w:r>
          </w:p>
        </w:tc>
        <w:tc>
          <w:tcPr>
            <w:tcW w:w="893" w:type="pct"/>
            <w:vMerge w:val="continue"/>
            <w:vAlign w:val="center"/>
          </w:tcPr>
          <w:p w14:paraId="35D95178">
            <w:pPr>
              <w:pStyle w:val="339"/>
              <w:adjustRightInd w:val="0"/>
              <w:snapToGrid w:val="0"/>
              <w:spacing w:line="300" w:lineRule="exact"/>
              <w:rPr>
                <w:rFonts w:hint="eastAsia" w:cs="宋体"/>
                <w:bCs/>
                <w:snapToGrid w:val="0"/>
                <w:color w:val="auto"/>
                <w:w w:val="100"/>
                <w:sz w:val="21"/>
                <w:szCs w:val="21"/>
              </w:rPr>
            </w:pPr>
          </w:p>
        </w:tc>
        <w:tc>
          <w:tcPr>
            <w:tcW w:w="974" w:type="pct"/>
            <w:vMerge w:val="continue"/>
            <w:vAlign w:val="center"/>
          </w:tcPr>
          <w:p w14:paraId="6D173265">
            <w:pPr>
              <w:pStyle w:val="339"/>
              <w:adjustRightInd w:val="0"/>
              <w:snapToGrid w:val="0"/>
              <w:spacing w:line="300" w:lineRule="exact"/>
              <w:rPr>
                <w:rFonts w:hint="eastAsia" w:cs="宋体"/>
                <w:bCs/>
                <w:snapToGrid w:val="0"/>
                <w:color w:val="auto"/>
                <w:w w:val="100"/>
                <w:sz w:val="21"/>
                <w:szCs w:val="21"/>
              </w:rPr>
            </w:pPr>
          </w:p>
        </w:tc>
        <w:tc>
          <w:tcPr>
            <w:tcW w:w="649" w:type="pct"/>
            <w:tcBorders>
              <w:bottom w:val="single" w:color="auto" w:sz="4" w:space="0"/>
            </w:tcBorders>
            <w:vAlign w:val="center"/>
          </w:tcPr>
          <w:p w14:paraId="2DF549AC">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120</w:t>
            </w:r>
          </w:p>
        </w:tc>
        <w:tc>
          <w:tcPr>
            <w:tcW w:w="616" w:type="pct"/>
            <w:vAlign w:val="center"/>
          </w:tcPr>
          <w:p w14:paraId="3618246D">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0.04158</w:t>
            </w:r>
          </w:p>
        </w:tc>
      </w:tr>
      <w:tr w14:paraId="1FD836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47" w:type="pct"/>
            <w:vMerge w:val="restart"/>
            <w:vAlign w:val="center"/>
          </w:tcPr>
          <w:p w14:paraId="6EF82B5A">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3</w:t>
            </w:r>
          </w:p>
        </w:tc>
        <w:tc>
          <w:tcPr>
            <w:tcW w:w="403" w:type="pct"/>
            <w:vMerge w:val="restart"/>
            <w:vAlign w:val="center"/>
          </w:tcPr>
          <w:p w14:paraId="41A40BCA">
            <w:pPr>
              <w:adjustRightInd w:val="0"/>
              <w:snapToGrid w:val="0"/>
              <w:spacing w:line="300" w:lineRule="exact"/>
              <w:jc w:val="center"/>
              <w:rPr>
                <w:rFonts w:hint="eastAsia" w:ascii="宋体" w:hAnsi="宋体" w:cs="宋体"/>
                <w:bCs/>
                <w:snapToGrid w:val="0"/>
                <w:color w:val="auto"/>
                <w:szCs w:val="21"/>
              </w:rPr>
            </w:pPr>
            <w:r>
              <w:rPr>
                <w:rFonts w:hint="eastAsia" w:ascii="宋体" w:hAnsi="宋体" w:cs="宋体"/>
                <w:bCs/>
                <w:snapToGrid w:val="0"/>
                <w:color w:val="auto"/>
                <w:szCs w:val="21"/>
              </w:rPr>
              <w:t>M3</w:t>
            </w:r>
          </w:p>
        </w:tc>
        <w:tc>
          <w:tcPr>
            <w:tcW w:w="569" w:type="pct"/>
            <w:vMerge w:val="restart"/>
            <w:vAlign w:val="center"/>
          </w:tcPr>
          <w:p w14:paraId="4D651408">
            <w:pPr>
              <w:adjustRightInd w:val="0"/>
              <w:snapToGrid w:val="0"/>
              <w:spacing w:line="300" w:lineRule="exact"/>
              <w:jc w:val="center"/>
              <w:rPr>
                <w:rFonts w:hint="eastAsia" w:ascii="宋体" w:hAnsi="宋体" w:cs="宋体"/>
                <w:snapToGrid w:val="0"/>
                <w:color w:val="auto"/>
                <w:kern w:val="0"/>
                <w:szCs w:val="21"/>
              </w:rPr>
            </w:pPr>
            <w:r>
              <w:rPr>
                <w:rFonts w:hint="eastAsia" w:ascii="宋体" w:hAnsi="宋体" w:cs="宋体"/>
                <w:snapToGrid w:val="0"/>
                <w:color w:val="auto"/>
                <w:kern w:val="0"/>
                <w:szCs w:val="21"/>
              </w:rPr>
              <w:t>莫172H井、充装区</w:t>
            </w:r>
          </w:p>
        </w:tc>
        <w:tc>
          <w:tcPr>
            <w:tcW w:w="649" w:type="pct"/>
            <w:vAlign w:val="center"/>
          </w:tcPr>
          <w:p w14:paraId="39BE53F8">
            <w:pPr>
              <w:adjustRightInd w:val="0"/>
              <w:snapToGrid w:val="0"/>
              <w:spacing w:line="300" w:lineRule="exact"/>
              <w:jc w:val="center"/>
              <w:rPr>
                <w:rFonts w:hint="eastAsia" w:ascii="宋体" w:hAnsi="宋体" w:cs="宋体"/>
                <w:bCs/>
                <w:snapToGrid w:val="0"/>
                <w:color w:val="auto"/>
                <w:szCs w:val="21"/>
              </w:rPr>
            </w:pPr>
            <w:r>
              <w:rPr>
                <w:rFonts w:hint="eastAsia" w:ascii="宋体" w:hAnsi="宋体" w:cs="宋体"/>
                <w:bCs/>
                <w:snapToGrid w:val="0"/>
                <w:color w:val="auto"/>
                <w:szCs w:val="21"/>
              </w:rPr>
              <w:t>N</w:t>
            </w:r>
            <w:r>
              <w:rPr>
                <w:rFonts w:ascii="宋体" w:hAnsi="宋体" w:cs="宋体"/>
                <w:bCs/>
                <w:snapToGrid w:val="0"/>
                <w:color w:val="auto"/>
                <w:szCs w:val="21"/>
              </w:rPr>
              <w:t>MHC</w:t>
            </w:r>
          </w:p>
        </w:tc>
        <w:tc>
          <w:tcPr>
            <w:tcW w:w="893" w:type="pct"/>
            <w:vAlign w:val="center"/>
          </w:tcPr>
          <w:p w14:paraId="55A81B7F">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选用质量可靠的设备、仪表、阀门等；定期对设备、阀门等检查</w:t>
            </w:r>
          </w:p>
        </w:tc>
        <w:tc>
          <w:tcPr>
            <w:tcW w:w="974" w:type="pct"/>
            <w:vAlign w:val="center"/>
          </w:tcPr>
          <w:p w14:paraId="2D33BF23">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GB39728-2020</w:t>
            </w:r>
            <w:r>
              <w:rPr>
                <w:rFonts w:cs="宋体"/>
                <w:bCs/>
                <w:snapToGrid w:val="0"/>
                <w:color w:val="auto"/>
                <w:w w:val="100"/>
                <w:sz w:val="21"/>
                <w:szCs w:val="21"/>
              </w:rPr>
              <w:t xml:space="preserve">  </w:t>
            </w:r>
            <w:r>
              <w:rPr>
                <w:rFonts w:hint="eastAsia" w:cs="宋体"/>
                <w:bCs/>
                <w:snapToGrid w:val="0"/>
                <w:color w:val="auto"/>
                <w:w w:val="100"/>
                <w:sz w:val="21"/>
                <w:szCs w:val="21"/>
              </w:rPr>
              <w:t>中</w:t>
            </w:r>
            <w:r>
              <w:rPr>
                <w:rFonts w:cs="宋体"/>
                <w:bCs/>
                <w:snapToGrid w:val="0"/>
                <w:color w:val="auto"/>
                <w:w w:val="100"/>
                <w:sz w:val="21"/>
                <w:szCs w:val="21"/>
              </w:rPr>
              <w:t>企业边界污染物控制要求</w:t>
            </w:r>
          </w:p>
        </w:tc>
        <w:tc>
          <w:tcPr>
            <w:tcW w:w="649" w:type="pct"/>
            <w:vAlign w:val="center"/>
          </w:tcPr>
          <w:p w14:paraId="3538800D">
            <w:pPr>
              <w:pStyle w:val="339"/>
              <w:adjustRightInd w:val="0"/>
              <w:snapToGrid w:val="0"/>
              <w:spacing w:line="300" w:lineRule="exact"/>
              <w:rPr>
                <w:rFonts w:hint="eastAsia" w:cs="宋体"/>
                <w:bCs/>
                <w:snapToGrid w:val="0"/>
                <w:color w:val="auto"/>
                <w:w w:val="100"/>
                <w:sz w:val="21"/>
                <w:szCs w:val="21"/>
              </w:rPr>
            </w:pPr>
            <w:r>
              <w:rPr>
                <w:rFonts w:cs="宋体"/>
                <w:bCs/>
                <w:snapToGrid w:val="0"/>
                <w:color w:val="auto"/>
                <w:w w:val="100"/>
                <w:sz w:val="21"/>
                <w:szCs w:val="21"/>
              </w:rPr>
              <w:t>4</w:t>
            </w:r>
          </w:p>
        </w:tc>
        <w:tc>
          <w:tcPr>
            <w:tcW w:w="616" w:type="pct"/>
            <w:vAlign w:val="center"/>
          </w:tcPr>
          <w:p w14:paraId="5395407F">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0.9903</w:t>
            </w:r>
          </w:p>
        </w:tc>
      </w:tr>
      <w:tr w14:paraId="1AC727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47" w:type="pct"/>
            <w:vMerge w:val="continue"/>
            <w:vAlign w:val="center"/>
          </w:tcPr>
          <w:p w14:paraId="44BB618A">
            <w:pPr>
              <w:pStyle w:val="339"/>
              <w:adjustRightInd w:val="0"/>
              <w:snapToGrid w:val="0"/>
              <w:spacing w:line="300" w:lineRule="exact"/>
              <w:rPr>
                <w:rFonts w:hint="eastAsia" w:cs="宋体"/>
                <w:bCs/>
                <w:snapToGrid w:val="0"/>
                <w:color w:val="auto"/>
                <w:w w:val="100"/>
                <w:sz w:val="21"/>
                <w:szCs w:val="21"/>
              </w:rPr>
            </w:pPr>
          </w:p>
        </w:tc>
        <w:tc>
          <w:tcPr>
            <w:tcW w:w="403" w:type="pct"/>
            <w:vMerge w:val="continue"/>
            <w:vAlign w:val="center"/>
          </w:tcPr>
          <w:p w14:paraId="6399C9C4">
            <w:pPr>
              <w:adjustRightInd w:val="0"/>
              <w:snapToGrid w:val="0"/>
              <w:spacing w:line="300" w:lineRule="exact"/>
              <w:jc w:val="center"/>
              <w:rPr>
                <w:rFonts w:hint="eastAsia" w:ascii="宋体" w:hAnsi="宋体" w:cs="宋体"/>
                <w:bCs/>
                <w:snapToGrid w:val="0"/>
                <w:color w:val="auto"/>
                <w:szCs w:val="21"/>
              </w:rPr>
            </w:pPr>
          </w:p>
        </w:tc>
        <w:tc>
          <w:tcPr>
            <w:tcW w:w="569" w:type="pct"/>
            <w:vMerge w:val="continue"/>
            <w:vAlign w:val="center"/>
          </w:tcPr>
          <w:p w14:paraId="1DDE4DDB">
            <w:pPr>
              <w:adjustRightInd w:val="0"/>
              <w:snapToGrid w:val="0"/>
              <w:spacing w:line="300" w:lineRule="exact"/>
              <w:jc w:val="center"/>
              <w:rPr>
                <w:rFonts w:hint="eastAsia" w:ascii="宋体" w:hAnsi="宋体" w:cs="宋体"/>
                <w:snapToGrid w:val="0"/>
                <w:color w:val="auto"/>
                <w:kern w:val="0"/>
                <w:szCs w:val="21"/>
              </w:rPr>
            </w:pPr>
          </w:p>
        </w:tc>
        <w:tc>
          <w:tcPr>
            <w:tcW w:w="649" w:type="pct"/>
            <w:vAlign w:val="center"/>
          </w:tcPr>
          <w:p w14:paraId="745D8261">
            <w:pPr>
              <w:adjustRightInd w:val="0"/>
              <w:snapToGrid w:val="0"/>
              <w:spacing w:line="300" w:lineRule="exact"/>
              <w:jc w:val="center"/>
              <w:rPr>
                <w:rFonts w:hint="eastAsia" w:ascii="宋体" w:hAnsi="宋体" w:cs="宋体"/>
                <w:bCs/>
                <w:snapToGrid w:val="0"/>
                <w:color w:val="auto"/>
                <w:szCs w:val="21"/>
              </w:rPr>
            </w:pPr>
            <w:r>
              <w:rPr>
                <w:rFonts w:ascii="宋体" w:hAnsi="宋体" w:cs="宋体"/>
                <w:bCs/>
                <w:snapToGrid w:val="0"/>
                <w:color w:val="auto"/>
                <w:szCs w:val="21"/>
              </w:rPr>
              <w:t>NOx</w:t>
            </w:r>
          </w:p>
        </w:tc>
        <w:tc>
          <w:tcPr>
            <w:tcW w:w="893" w:type="pct"/>
            <w:vMerge w:val="restart"/>
            <w:vAlign w:val="center"/>
          </w:tcPr>
          <w:p w14:paraId="425FA971">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采用清洁燃料天然气</w:t>
            </w:r>
          </w:p>
        </w:tc>
        <w:tc>
          <w:tcPr>
            <w:tcW w:w="974" w:type="pct"/>
            <w:vMerge w:val="restart"/>
            <w:vAlign w:val="center"/>
          </w:tcPr>
          <w:p w14:paraId="6AF42499">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《大气污染物综合排放标准》（GB16297-1996）表2限值要求</w:t>
            </w:r>
          </w:p>
        </w:tc>
        <w:tc>
          <w:tcPr>
            <w:tcW w:w="649" w:type="pct"/>
            <w:vAlign w:val="center"/>
          </w:tcPr>
          <w:p w14:paraId="332CE58A">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240</w:t>
            </w:r>
          </w:p>
        </w:tc>
        <w:tc>
          <w:tcPr>
            <w:tcW w:w="616" w:type="pct"/>
            <w:vAlign w:val="center"/>
          </w:tcPr>
          <w:p w14:paraId="5C6E9E98">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1.04544</w:t>
            </w:r>
          </w:p>
        </w:tc>
      </w:tr>
      <w:tr w14:paraId="35ADA4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47" w:type="pct"/>
            <w:vMerge w:val="continue"/>
            <w:vAlign w:val="center"/>
          </w:tcPr>
          <w:p w14:paraId="654903DD">
            <w:pPr>
              <w:pStyle w:val="339"/>
              <w:adjustRightInd w:val="0"/>
              <w:snapToGrid w:val="0"/>
              <w:spacing w:line="300" w:lineRule="exact"/>
              <w:rPr>
                <w:rFonts w:hint="eastAsia" w:cs="宋体"/>
                <w:bCs/>
                <w:snapToGrid w:val="0"/>
                <w:color w:val="auto"/>
                <w:w w:val="100"/>
                <w:sz w:val="21"/>
                <w:szCs w:val="21"/>
              </w:rPr>
            </w:pPr>
          </w:p>
        </w:tc>
        <w:tc>
          <w:tcPr>
            <w:tcW w:w="403" w:type="pct"/>
            <w:vMerge w:val="continue"/>
            <w:vAlign w:val="center"/>
          </w:tcPr>
          <w:p w14:paraId="3D261917">
            <w:pPr>
              <w:adjustRightInd w:val="0"/>
              <w:snapToGrid w:val="0"/>
              <w:spacing w:line="300" w:lineRule="exact"/>
              <w:jc w:val="center"/>
              <w:rPr>
                <w:rFonts w:hint="eastAsia" w:ascii="宋体" w:hAnsi="宋体" w:cs="宋体"/>
                <w:bCs/>
                <w:snapToGrid w:val="0"/>
                <w:color w:val="auto"/>
                <w:szCs w:val="21"/>
              </w:rPr>
            </w:pPr>
          </w:p>
        </w:tc>
        <w:tc>
          <w:tcPr>
            <w:tcW w:w="569" w:type="pct"/>
            <w:vMerge w:val="continue"/>
            <w:vAlign w:val="center"/>
          </w:tcPr>
          <w:p w14:paraId="799D5F18">
            <w:pPr>
              <w:adjustRightInd w:val="0"/>
              <w:snapToGrid w:val="0"/>
              <w:spacing w:line="300" w:lineRule="exact"/>
              <w:jc w:val="center"/>
              <w:rPr>
                <w:rFonts w:hint="eastAsia" w:ascii="宋体" w:hAnsi="宋体" w:cs="宋体"/>
                <w:snapToGrid w:val="0"/>
                <w:color w:val="auto"/>
                <w:kern w:val="0"/>
                <w:szCs w:val="21"/>
              </w:rPr>
            </w:pPr>
          </w:p>
        </w:tc>
        <w:tc>
          <w:tcPr>
            <w:tcW w:w="649" w:type="pct"/>
            <w:vAlign w:val="center"/>
          </w:tcPr>
          <w:p w14:paraId="25561076">
            <w:pPr>
              <w:adjustRightInd w:val="0"/>
              <w:snapToGrid w:val="0"/>
              <w:spacing w:line="300" w:lineRule="exact"/>
              <w:jc w:val="center"/>
              <w:rPr>
                <w:rFonts w:hint="eastAsia" w:ascii="宋体" w:hAnsi="宋体" w:cs="宋体"/>
                <w:bCs/>
                <w:snapToGrid w:val="0"/>
                <w:color w:val="auto"/>
                <w:szCs w:val="21"/>
              </w:rPr>
            </w:pPr>
            <w:r>
              <w:rPr>
                <w:rFonts w:ascii="宋体" w:hAnsi="宋体" w:cs="宋体"/>
                <w:bCs/>
                <w:snapToGrid w:val="0"/>
                <w:color w:val="auto"/>
                <w:szCs w:val="21"/>
              </w:rPr>
              <w:t>SO</w:t>
            </w:r>
            <w:r>
              <w:rPr>
                <w:rFonts w:ascii="宋体" w:hAnsi="宋体" w:cs="宋体"/>
                <w:bCs/>
                <w:snapToGrid w:val="0"/>
                <w:color w:val="auto"/>
                <w:szCs w:val="21"/>
                <w:vertAlign w:val="subscript"/>
              </w:rPr>
              <w:t>2</w:t>
            </w:r>
          </w:p>
        </w:tc>
        <w:tc>
          <w:tcPr>
            <w:tcW w:w="893" w:type="pct"/>
            <w:vMerge w:val="continue"/>
            <w:vAlign w:val="center"/>
          </w:tcPr>
          <w:p w14:paraId="71C23257">
            <w:pPr>
              <w:pStyle w:val="339"/>
              <w:adjustRightInd w:val="0"/>
              <w:snapToGrid w:val="0"/>
              <w:spacing w:line="300" w:lineRule="exact"/>
              <w:rPr>
                <w:rFonts w:hint="eastAsia" w:cs="宋体"/>
                <w:bCs/>
                <w:snapToGrid w:val="0"/>
                <w:color w:val="auto"/>
                <w:w w:val="100"/>
                <w:sz w:val="21"/>
                <w:szCs w:val="21"/>
              </w:rPr>
            </w:pPr>
          </w:p>
        </w:tc>
        <w:tc>
          <w:tcPr>
            <w:tcW w:w="974" w:type="pct"/>
            <w:vMerge w:val="continue"/>
            <w:vAlign w:val="center"/>
          </w:tcPr>
          <w:p w14:paraId="42122BA4">
            <w:pPr>
              <w:pStyle w:val="339"/>
              <w:adjustRightInd w:val="0"/>
              <w:snapToGrid w:val="0"/>
              <w:spacing w:line="300" w:lineRule="exact"/>
              <w:rPr>
                <w:rFonts w:hint="eastAsia" w:cs="宋体"/>
                <w:bCs/>
                <w:snapToGrid w:val="0"/>
                <w:color w:val="auto"/>
                <w:w w:val="100"/>
                <w:sz w:val="21"/>
                <w:szCs w:val="21"/>
              </w:rPr>
            </w:pPr>
          </w:p>
        </w:tc>
        <w:tc>
          <w:tcPr>
            <w:tcW w:w="649" w:type="pct"/>
            <w:vAlign w:val="center"/>
          </w:tcPr>
          <w:p w14:paraId="4E210C1E">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550</w:t>
            </w:r>
          </w:p>
        </w:tc>
        <w:tc>
          <w:tcPr>
            <w:tcW w:w="616" w:type="pct"/>
            <w:vAlign w:val="center"/>
          </w:tcPr>
          <w:p w14:paraId="64DAB70F">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0.10692</w:t>
            </w:r>
          </w:p>
        </w:tc>
      </w:tr>
      <w:tr w14:paraId="0843C2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47" w:type="pct"/>
            <w:vMerge w:val="continue"/>
            <w:vAlign w:val="center"/>
          </w:tcPr>
          <w:p w14:paraId="6185D0E1">
            <w:pPr>
              <w:pStyle w:val="339"/>
              <w:adjustRightInd w:val="0"/>
              <w:snapToGrid w:val="0"/>
              <w:spacing w:line="300" w:lineRule="exact"/>
              <w:rPr>
                <w:rFonts w:hint="eastAsia" w:cs="宋体"/>
                <w:bCs/>
                <w:snapToGrid w:val="0"/>
                <w:color w:val="auto"/>
                <w:w w:val="100"/>
                <w:sz w:val="21"/>
                <w:szCs w:val="21"/>
              </w:rPr>
            </w:pPr>
          </w:p>
        </w:tc>
        <w:tc>
          <w:tcPr>
            <w:tcW w:w="403" w:type="pct"/>
            <w:vMerge w:val="continue"/>
            <w:vAlign w:val="center"/>
          </w:tcPr>
          <w:p w14:paraId="65AB2193">
            <w:pPr>
              <w:adjustRightInd w:val="0"/>
              <w:snapToGrid w:val="0"/>
              <w:spacing w:line="300" w:lineRule="exact"/>
              <w:jc w:val="center"/>
              <w:rPr>
                <w:rFonts w:hint="eastAsia" w:ascii="宋体" w:hAnsi="宋体" w:cs="宋体"/>
                <w:bCs/>
                <w:snapToGrid w:val="0"/>
                <w:color w:val="auto"/>
                <w:szCs w:val="21"/>
              </w:rPr>
            </w:pPr>
          </w:p>
        </w:tc>
        <w:tc>
          <w:tcPr>
            <w:tcW w:w="569" w:type="pct"/>
            <w:vMerge w:val="continue"/>
            <w:vAlign w:val="center"/>
          </w:tcPr>
          <w:p w14:paraId="7133FC6F">
            <w:pPr>
              <w:adjustRightInd w:val="0"/>
              <w:snapToGrid w:val="0"/>
              <w:spacing w:line="300" w:lineRule="exact"/>
              <w:jc w:val="center"/>
              <w:rPr>
                <w:rFonts w:hint="eastAsia" w:ascii="宋体" w:hAnsi="宋体" w:cs="宋体"/>
                <w:snapToGrid w:val="0"/>
                <w:color w:val="auto"/>
                <w:kern w:val="0"/>
                <w:szCs w:val="21"/>
              </w:rPr>
            </w:pPr>
          </w:p>
        </w:tc>
        <w:tc>
          <w:tcPr>
            <w:tcW w:w="649" w:type="pct"/>
            <w:vAlign w:val="center"/>
          </w:tcPr>
          <w:p w14:paraId="72682E13">
            <w:pPr>
              <w:adjustRightInd w:val="0"/>
              <w:snapToGrid w:val="0"/>
              <w:spacing w:line="300" w:lineRule="exact"/>
              <w:jc w:val="center"/>
              <w:rPr>
                <w:rFonts w:hint="eastAsia" w:ascii="宋体" w:hAnsi="宋体" w:cs="宋体"/>
                <w:bCs/>
                <w:snapToGrid w:val="0"/>
                <w:color w:val="auto"/>
                <w:szCs w:val="21"/>
              </w:rPr>
            </w:pPr>
            <w:r>
              <w:rPr>
                <w:rFonts w:ascii="宋体" w:hAnsi="宋体" w:cs="宋体"/>
                <w:bCs/>
                <w:snapToGrid w:val="0"/>
                <w:color w:val="auto"/>
                <w:szCs w:val="21"/>
              </w:rPr>
              <w:t>颗粒物</w:t>
            </w:r>
          </w:p>
        </w:tc>
        <w:tc>
          <w:tcPr>
            <w:tcW w:w="893" w:type="pct"/>
            <w:vMerge w:val="continue"/>
            <w:vAlign w:val="center"/>
          </w:tcPr>
          <w:p w14:paraId="21BC8391">
            <w:pPr>
              <w:pStyle w:val="339"/>
              <w:adjustRightInd w:val="0"/>
              <w:snapToGrid w:val="0"/>
              <w:spacing w:line="300" w:lineRule="exact"/>
              <w:rPr>
                <w:rFonts w:hint="eastAsia" w:cs="宋体"/>
                <w:bCs/>
                <w:snapToGrid w:val="0"/>
                <w:color w:val="auto"/>
                <w:w w:val="100"/>
                <w:sz w:val="21"/>
                <w:szCs w:val="21"/>
              </w:rPr>
            </w:pPr>
          </w:p>
        </w:tc>
        <w:tc>
          <w:tcPr>
            <w:tcW w:w="974" w:type="pct"/>
            <w:vMerge w:val="continue"/>
            <w:vAlign w:val="center"/>
          </w:tcPr>
          <w:p w14:paraId="58102478">
            <w:pPr>
              <w:pStyle w:val="339"/>
              <w:adjustRightInd w:val="0"/>
              <w:snapToGrid w:val="0"/>
              <w:spacing w:line="300" w:lineRule="exact"/>
              <w:rPr>
                <w:rFonts w:hint="eastAsia" w:cs="宋体"/>
                <w:bCs/>
                <w:snapToGrid w:val="0"/>
                <w:color w:val="auto"/>
                <w:w w:val="100"/>
                <w:sz w:val="21"/>
                <w:szCs w:val="21"/>
              </w:rPr>
            </w:pPr>
          </w:p>
        </w:tc>
        <w:tc>
          <w:tcPr>
            <w:tcW w:w="649" w:type="pct"/>
            <w:vAlign w:val="center"/>
          </w:tcPr>
          <w:p w14:paraId="7E5404C7">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120</w:t>
            </w:r>
          </w:p>
        </w:tc>
        <w:tc>
          <w:tcPr>
            <w:tcW w:w="616" w:type="pct"/>
            <w:vAlign w:val="center"/>
          </w:tcPr>
          <w:p w14:paraId="784849CA">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0.08316</w:t>
            </w:r>
          </w:p>
        </w:tc>
      </w:tr>
      <w:bookmarkEnd w:id="280"/>
      <w:bookmarkEnd w:id="297"/>
      <w:bookmarkEnd w:id="298"/>
    </w:tbl>
    <w:p w14:paraId="241FC7CC">
      <w:pPr>
        <w:adjustRightInd w:val="0"/>
        <w:snapToGrid w:val="0"/>
        <w:spacing w:line="500" w:lineRule="exact"/>
        <w:jc w:val="center"/>
        <w:textAlignment w:val="baseline"/>
        <w:rPr>
          <w:rFonts w:hint="eastAsia" w:ascii="黑体" w:hAnsi="黑体" w:eastAsia="黑体"/>
          <w:color w:val="auto"/>
          <w:kern w:val="0"/>
          <w:szCs w:val="21"/>
        </w:rPr>
      </w:pPr>
      <w:bookmarkStart w:id="299" w:name="_Hlk160375551"/>
      <w:r>
        <w:rPr>
          <w:rFonts w:hint="eastAsia" w:ascii="黑体" w:hAnsi="黑体" w:eastAsia="黑体"/>
          <w:color w:val="auto"/>
          <w:kern w:val="0"/>
          <w:szCs w:val="21"/>
        </w:rPr>
        <w:t>表</w:t>
      </w:r>
      <w:r>
        <w:rPr>
          <w:rFonts w:ascii="黑体" w:hAnsi="黑体" w:eastAsia="黑体"/>
          <w:color w:val="auto"/>
          <w:kern w:val="0"/>
          <w:szCs w:val="21"/>
        </w:rPr>
        <w:t>3.3</w:t>
      </w:r>
      <w:r>
        <w:rPr>
          <w:rFonts w:hint="eastAsia" w:ascii="黑体" w:hAnsi="黑体" w:eastAsia="黑体"/>
          <w:color w:val="auto"/>
          <w:kern w:val="0"/>
          <w:szCs w:val="21"/>
        </w:rPr>
        <w:t>-10</w:t>
      </w:r>
      <w:r>
        <w:rPr>
          <w:rFonts w:ascii="黑体" w:hAnsi="黑体" w:eastAsia="黑体"/>
          <w:color w:val="auto"/>
          <w:kern w:val="0"/>
          <w:szCs w:val="21"/>
        </w:rPr>
        <w:t xml:space="preserve">  </w:t>
      </w:r>
      <w:r>
        <w:rPr>
          <w:rFonts w:hint="eastAsia" w:ascii="黑体" w:hAnsi="黑体" w:eastAsia="黑体"/>
          <w:color w:val="auto"/>
          <w:kern w:val="0"/>
          <w:szCs w:val="21"/>
        </w:rPr>
        <w:t>各污染物无组织排放量一览表</w:t>
      </w:r>
    </w:p>
    <w:tbl>
      <w:tblPr>
        <w:tblStyle w:val="51"/>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3669"/>
        <w:gridCol w:w="5275"/>
      </w:tblGrid>
      <w:tr w14:paraId="5D7769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2051" w:type="pct"/>
            <w:vAlign w:val="center"/>
          </w:tcPr>
          <w:p w14:paraId="72409CA5">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污染物名称</w:t>
            </w:r>
          </w:p>
        </w:tc>
        <w:tc>
          <w:tcPr>
            <w:tcW w:w="2948" w:type="pct"/>
            <w:vAlign w:val="center"/>
          </w:tcPr>
          <w:p w14:paraId="33C66758">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污染物排放量（t</w:t>
            </w:r>
            <w:r>
              <w:rPr>
                <w:rFonts w:cs="宋体"/>
                <w:bCs/>
                <w:snapToGrid w:val="0"/>
                <w:color w:val="auto"/>
                <w:w w:val="100"/>
                <w:sz w:val="21"/>
                <w:szCs w:val="21"/>
              </w:rPr>
              <w:t>/a</w:t>
            </w:r>
            <w:r>
              <w:rPr>
                <w:rFonts w:hint="eastAsia" w:cs="宋体"/>
                <w:bCs/>
                <w:snapToGrid w:val="0"/>
                <w:color w:val="auto"/>
                <w:w w:val="100"/>
                <w:sz w:val="21"/>
                <w:szCs w:val="21"/>
              </w:rPr>
              <w:t>）</w:t>
            </w:r>
          </w:p>
        </w:tc>
      </w:tr>
      <w:tr w14:paraId="74E05C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2051" w:type="pct"/>
            <w:vAlign w:val="center"/>
          </w:tcPr>
          <w:p w14:paraId="49088F0C">
            <w:pPr>
              <w:pStyle w:val="339"/>
              <w:adjustRightInd w:val="0"/>
              <w:snapToGrid w:val="0"/>
              <w:spacing w:line="300" w:lineRule="exact"/>
              <w:rPr>
                <w:rFonts w:hint="eastAsia" w:cs="宋体"/>
                <w:bCs/>
                <w:snapToGrid w:val="0"/>
                <w:color w:val="auto"/>
                <w:w w:val="100"/>
                <w:sz w:val="21"/>
                <w:szCs w:val="21"/>
              </w:rPr>
            </w:pPr>
            <w:bookmarkStart w:id="300" w:name="_Hlk221015343"/>
            <w:r>
              <w:rPr>
                <w:rFonts w:hint="eastAsia" w:cs="宋体"/>
                <w:bCs/>
                <w:snapToGrid w:val="0"/>
                <w:color w:val="auto"/>
                <w:w w:val="100"/>
                <w:sz w:val="21"/>
                <w:szCs w:val="21"/>
              </w:rPr>
              <w:t>N</w:t>
            </w:r>
            <w:r>
              <w:rPr>
                <w:rFonts w:cs="宋体"/>
                <w:bCs/>
                <w:snapToGrid w:val="0"/>
                <w:color w:val="auto"/>
                <w:w w:val="100"/>
                <w:sz w:val="21"/>
                <w:szCs w:val="21"/>
              </w:rPr>
              <w:t>MHC</w:t>
            </w:r>
          </w:p>
        </w:tc>
        <w:tc>
          <w:tcPr>
            <w:tcW w:w="2948" w:type="pct"/>
            <w:vAlign w:val="center"/>
          </w:tcPr>
          <w:p w14:paraId="68648F75">
            <w:pPr>
              <w:pStyle w:val="339"/>
              <w:adjustRightInd w:val="0"/>
              <w:snapToGrid w:val="0"/>
              <w:spacing w:line="300" w:lineRule="exact"/>
              <w:rPr>
                <w:rFonts w:hint="eastAsia" w:cs="宋体"/>
                <w:bCs/>
                <w:snapToGrid w:val="0"/>
                <w:color w:val="auto"/>
                <w:w w:val="100"/>
                <w:sz w:val="21"/>
                <w:szCs w:val="21"/>
              </w:rPr>
            </w:pPr>
            <w:r>
              <w:rPr>
                <w:rFonts w:hint="eastAsia" w:cs="宋体"/>
                <w:bCs/>
                <w:snapToGrid w:val="0"/>
                <w:color w:val="auto"/>
                <w:w w:val="100"/>
                <w:sz w:val="21"/>
                <w:szCs w:val="21"/>
              </w:rPr>
              <w:t>1.5553</w:t>
            </w:r>
          </w:p>
        </w:tc>
      </w:tr>
      <w:bookmarkEnd w:id="300"/>
    </w:tbl>
    <w:p w14:paraId="5E36B721">
      <w:pPr>
        <w:pStyle w:val="86"/>
        <w:ind w:firstLine="480"/>
        <w:rPr>
          <w:rFonts w:hint="eastAsia"/>
          <w:color w:val="auto"/>
        </w:rPr>
      </w:pPr>
      <w:r>
        <w:rPr>
          <w:rFonts w:hint="eastAsia"/>
          <w:color w:val="auto"/>
          <w:kern w:val="0"/>
          <w:szCs w:val="22"/>
        </w:rPr>
        <w:t>（2）</w:t>
      </w:r>
      <w:r>
        <w:rPr>
          <w:rFonts w:hint="eastAsia"/>
          <w:color w:val="auto"/>
        </w:rPr>
        <w:t>废水</w:t>
      </w:r>
    </w:p>
    <w:bookmarkEnd w:id="287"/>
    <w:p w14:paraId="741C574F">
      <w:pPr>
        <w:pStyle w:val="86"/>
        <w:ind w:firstLine="480"/>
        <w:rPr>
          <w:rFonts w:hint="eastAsia"/>
          <w:color w:val="auto"/>
        </w:rPr>
      </w:pPr>
      <w:r>
        <w:rPr>
          <w:rFonts w:hint="eastAsia"/>
          <w:color w:val="auto"/>
        </w:rPr>
        <w:t>井场废水主要为采出水、井下作业废液（酸化返排液、压裂返排液和废洗井液）、装置排污水和生活污水。</w:t>
      </w:r>
    </w:p>
    <w:p w14:paraId="7E4E683B">
      <w:pPr>
        <w:pStyle w:val="86"/>
        <w:ind w:left="480" w:firstLine="0" w:firstLineChars="0"/>
        <w:rPr>
          <w:rFonts w:hint="eastAsia" w:cs="宋体"/>
          <w:color w:val="auto"/>
        </w:rPr>
      </w:pPr>
      <w:r>
        <w:rPr>
          <w:rFonts w:hint="eastAsia"/>
          <w:color w:val="auto"/>
        </w:rPr>
        <w:t>①</w:t>
      </w:r>
      <w:r>
        <w:rPr>
          <w:rFonts w:hint="eastAsia" w:cs="宋体"/>
          <w:color w:val="auto"/>
        </w:rPr>
        <w:t>采出水</w:t>
      </w:r>
    </w:p>
    <w:p w14:paraId="2101AD6D">
      <w:pPr>
        <w:pStyle w:val="86"/>
        <w:ind w:firstLine="480"/>
        <w:rPr>
          <w:rFonts w:hint="eastAsia"/>
          <w:color w:val="auto"/>
        </w:rPr>
      </w:pPr>
      <w:r>
        <w:rPr>
          <w:rFonts w:hint="eastAsia"/>
          <w:color w:val="auto"/>
        </w:rPr>
        <w:t>根据产能规模可知，本项目采出水产生量约为74m</w:t>
      </w:r>
      <w:r>
        <w:rPr>
          <w:rFonts w:hint="eastAsia"/>
          <w:color w:val="auto"/>
          <w:vertAlign w:val="superscript"/>
        </w:rPr>
        <w:t>3</w:t>
      </w:r>
      <w:r>
        <w:rPr>
          <w:rFonts w:hint="eastAsia"/>
          <w:color w:val="auto"/>
        </w:rPr>
        <w:t>/d（24420m</w:t>
      </w:r>
      <w:r>
        <w:rPr>
          <w:rFonts w:hint="eastAsia"/>
          <w:color w:val="auto"/>
          <w:vertAlign w:val="superscript"/>
        </w:rPr>
        <w:t>3</w:t>
      </w:r>
      <w:r>
        <w:rPr>
          <w:rFonts w:hint="eastAsia"/>
          <w:color w:val="auto"/>
        </w:rPr>
        <w:t>/a），污染物主要为悬浮物和石油类，参照新疆油田其他处理站进水水质，采出水中石油类浓度约</w:t>
      </w:r>
      <w:r>
        <w:rPr>
          <w:color w:val="auto"/>
        </w:rPr>
        <w:t>200mg/L</w:t>
      </w:r>
      <w:r>
        <w:rPr>
          <w:rFonts w:hint="eastAsia"/>
          <w:color w:val="auto"/>
        </w:rPr>
        <w:t>，悬浮物浓度约</w:t>
      </w:r>
      <w:r>
        <w:rPr>
          <w:color w:val="auto"/>
        </w:rPr>
        <w:t>300mg/L</w:t>
      </w:r>
      <w:r>
        <w:rPr>
          <w:rFonts w:hint="eastAsia"/>
          <w:color w:val="auto"/>
        </w:rPr>
        <w:t>，石油类和悬浮物排放量分别为0.005t/a、0.007t/a。采出水排至井场内的储水罐中，</w:t>
      </w:r>
      <w:bookmarkStart w:id="301" w:name="OLE_LINK141"/>
      <w:r>
        <w:rPr>
          <w:rFonts w:hint="eastAsia"/>
          <w:color w:val="auto"/>
        </w:rPr>
        <w:t>由罐车拉运</w:t>
      </w:r>
      <w:bookmarkEnd w:id="301"/>
      <w:r>
        <w:rPr>
          <w:rFonts w:hint="eastAsia"/>
          <w:color w:val="auto"/>
        </w:rPr>
        <w:t>至莫北转油站采出水处理系统处理。</w:t>
      </w:r>
    </w:p>
    <w:p w14:paraId="5866EA2A">
      <w:pPr>
        <w:pStyle w:val="86"/>
        <w:ind w:firstLine="480" w:firstLineChars="0"/>
        <w:rPr>
          <w:rFonts w:hint="eastAsia"/>
          <w:color w:val="auto"/>
        </w:rPr>
      </w:pPr>
      <w:r>
        <w:rPr>
          <w:rFonts w:hint="eastAsia"/>
          <w:color w:val="auto"/>
        </w:rPr>
        <w:t>②井下作业废液</w:t>
      </w:r>
    </w:p>
    <w:p w14:paraId="7F32369A">
      <w:pPr>
        <w:pStyle w:val="86"/>
        <w:ind w:firstLine="480"/>
        <w:rPr>
          <w:rFonts w:hint="eastAsia" w:ascii="黑体" w:hAnsi="黑体"/>
          <w:color w:val="auto"/>
          <w:szCs w:val="21"/>
        </w:rPr>
      </w:pPr>
      <w:r>
        <w:rPr>
          <w:rFonts w:hint="eastAsia" w:cs="宋体"/>
          <w:color w:val="auto"/>
        </w:rPr>
        <w:t>井下作业进行压裂工序时，会产生一定的压裂返排液和酸化返排液，修井时会产生一定的废洗井液，</w:t>
      </w:r>
      <w:r>
        <w:rPr>
          <w:rFonts w:hint="eastAsia"/>
          <w:color w:val="auto"/>
        </w:rPr>
        <w:t>井下作业废液主要包括压裂返排液和废洗井液。</w:t>
      </w:r>
      <w:r>
        <w:rPr>
          <w:rFonts w:hint="eastAsia" w:cs="宋体"/>
          <w:color w:val="auto"/>
        </w:rPr>
        <w:t>其产生量无相应的源强核算指南，本次评价</w:t>
      </w:r>
      <w:r>
        <w:rPr>
          <w:rFonts w:hint="eastAsia"/>
          <w:color w:val="auto"/>
        </w:rPr>
        <w:t>采用《排放源统计调查产排污核算方法和系数手册》中的《工业源产排污核算方法和系数手册》</w:t>
      </w:r>
      <w:r>
        <w:rPr>
          <w:color w:val="auto"/>
        </w:rPr>
        <w:t>-1120</w:t>
      </w:r>
      <w:r>
        <w:rPr>
          <w:rFonts w:hint="eastAsia"/>
          <w:color w:val="auto"/>
        </w:rPr>
        <w:t>石油和天然气开采专业及辅助性活动行业系数手册中的产排污系数进行核算</w:t>
      </w:r>
      <w:r>
        <w:rPr>
          <w:rFonts w:hint="eastAsia" w:cs="宋体"/>
          <w:color w:val="auto"/>
        </w:rPr>
        <w:t>，产污系数及产生量见表</w:t>
      </w:r>
      <w:r>
        <w:rPr>
          <w:color w:val="auto"/>
        </w:rPr>
        <w:t>3.3</w:t>
      </w:r>
      <w:r>
        <w:rPr>
          <w:rFonts w:hint="eastAsia"/>
          <w:color w:val="auto"/>
        </w:rPr>
        <w:t>-11。</w:t>
      </w:r>
    </w:p>
    <w:p w14:paraId="0EA953F3">
      <w:pPr>
        <w:pStyle w:val="15"/>
        <w:rPr>
          <w:rFonts w:hint="eastAsia"/>
          <w:color w:val="auto"/>
        </w:rPr>
      </w:pPr>
      <w:r>
        <w:rPr>
          <w:rFonts w:hint="eastAsia"/>
          <w:color w:val="auto"/>
        </w:rPr>
        <w:t>表</w:t>
      </w:r>
      <w:r>
        <w:rPr>
          <w:color w:val="auto"/>
        </w:rPr>
        <w:t>3.3</w:t>
      </w:r>
      <w:r>
        <w:rPr>
          <w:rFonts w:hint="eastAsia"/>
          <w:color w:val="auto"/>
        </w:rPr>
        <w:t xml:space="preserve">-11 </w:t>
      </w:r>
      <w:r>
        <w:rPr>
          <w:color w:val="auto"/>
        </w:rPr>
        <w:t xml:space="preserve"> </w:t>
      </w:r>
      <w:r>
        <w:rPr>
          <w:rFonts w:hint="eastAsia"/>
          <w:color w:val="auto"/>
        </w:rPr>
        <w:t>压裂返排液及废洗井液产生量一览表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9"/>
        <w:gridCol w:w="1818"/>
        <w:gridCol w:w="2827"/>
        <w:gridCol w:w="2932"/>
      </w:tblGrid>
      <w:tr w14:paraId="1FE261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81" w:type="pct"/>
            <w:gridSpan w:val="2"/>
            <w:vAlign w:val="center"/>
          </w:tcPr>
          <w:p w14:paraId="110640EF">
            <w:pPr>
              <w:pStyle w:val="296"/>
              <w:adjustRightInd w:val="0"/>
              <w:snapToGrid w:val="0"/>
              <w:rPr>
                <w:rFonts w:hint="eastAsia"/>
                <w:color w:val="auto"/>
              </w:rPr>
            </w:pPr>
            <w:r>
              <w:rPr>
                <w:rFonts w:hint="eastAsia"/>
                <w:color w:val="auto"/>
              </w:rPr>
              <w:t>污染物名称</w:t>
            </w:r>
          </w:p>
        </w:tc>
        <w:tc>
          <w:tcPr>
            <w:tcW w:w="1580" w:type="pct"/>
            <w:vAlign w:val="center"/>
          </w:tcPr>
          <w:p w14:paraId="37F5D862">
            <w:pPr>
              <w:pStyle w:val="296"/>
              <w:adjustRightInd w:val="0"/>
              <w:snapToGrid w:val="0"/>
              <w:rPr>
                <w:rFonts w:hint="eastAsia"/>
                <w:color w:val="auto"/>
              </w:rPr>
            </w:pPr>
            <w:r>
              <w:rPr>
                <w:rFonts w:hint="eastAsia"/>
                <w:color w:val="auto"/>
              </w:rPr>
              <w:t>产污系数</w:t>
            </w:r>
          </w:p>
        </w:tc>
        <w:tc>
          <w:tcPr>
            <w:tcW w:w="1639" w:type="pct"/>
            <w:vAlign w:val="center"/>
          </w:tcPr>
          <w:p w14:paraId="6D7AECFC">
            <w:pPr>
              <w:pStyle w:val="296"/>
              <w:adjustRightInd w:val="0"/>
              <w:snapToGrid w:val="0"/>
              <w:rPr>
                <w:rFonts w:hint="eastAsia"/>
                <w:color w:val="auto"/>
              </w:rPr>
            </w:pPr>
            <w:r>
              <w:rPr>
                <w:rFonts w:hint="eastAsia"/>
                <w:color w:val="auto"/>
              </w:rPr>
              <w:t>3口井合计产生量</w:t>
            </w:r>
          </w:p>
        </w:tc>
      </w:tr>
      <w:tr w14:paraId="5F36E9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5" w:type="pct"/>
            <w:vMerge w:val="restart"/>
            <w:vAlign w:val="center"/>
          </w:tcPr>
          <w:p w14:paraId="4AB12F85">
            <w:pPr>
              <w:pStyle w:val="296"/>
              <w:adjustRightInd w:val="0"/>
              <w:snapToGrid w:val="0"/>
              <w:rPr>
                <w:rFonts w:hint="eastAsia"/>
                <w:color w:val="auto"/>
              </w:rPr>
            </w:pPr>
            <w:r>
              <w:rPr>
                <w:rFonts w:hint="eastAsia"/>
                <w:color w:val="auto"/>
              </w:rPr>
              <w:t>非低渗透油井</w:t>
            </w:r>
          </w:p>
        </w:tc>
        <w:tc>
          <w:tcPr>
            <w:tcW w:w="1016" w:type="pct"/>
            <w:vAlign w:val="center"/>
          </w:tcPr>
          <w:p w14:paraId="0A78E354">
            <w:pPr>
              <w:pStyle w:val="296"/>
              <w:adjustRightInd w:val="0"/>
              <w:snapToGrid w:val="0"/>
              <w:rPr>
                <w:rFonts w:hint="eastAsia"/>
                <w:color w:val="auto"/>
              </w:rPr>
            </w:pPr>
            <w:r>
              <w:rPr>
                <w:rFonts w:hint="eastAsia"/>
                <w:color w:val="auto"/>
              </w:rPr>
              <w:t>压裂返排液</w:t>
            </w:r>
          </w:p>
        </w:tc>
        <w:tc>
          <w:tcPr>
            <w:tcW w:w="1580" w:type="pct"/>
            <w:vAlign w:val="center"/>
          </w:tcPr>
          <w:p w14:paraId="5AB5B11B">
            <w:pPr>
              <w:pStyle w:val="296"/>
              <w:adjustRightInd w:val="0"/>
              <w:snapToGrid w:val="0"/>
              <w:rPr>
                <w:rFonts w:hint="eastAsia"/>
                <w:color w:val="auto"/>
              </w:rPr>
            </w:pPr>
            <w:r>
              <w:rPr>
                <w:rFonts w:hint="eastAsia"/>
                <w:color w:val="auto"/>
              </w:rPr>
              <w:t>263.98m</w:t>
            </w:r>
            <w:r>
              <w:rPr>
                <w:rFonts w:hint="eastAsia"/>
                <w:color w:val="auto"/>
                <w:vertAlign w:val="superscript"/>
              </w:rPr>
              <w:t>3</w:t>
            </w:r>
            <w:r>
              <w:rPr>
                <w:rFonts w:hint="eastAsia"/>
                <w:color w:val="auto"/>
              </w:rPr>
              <w:t>/井·次</w:t>
            </w:r>
          </w:p>
        </w:tc>
        <w:tc>
          <w:tcPr>
            <w:tcW w:w="1639" w:type="pct"/>
            <w:vAlign w:val="center"/>
          </w:tcPr>
          <w:p w14:paraId="07583D5E">
            <w:pPr>
              <w:pStyle w:val="296"/>
              <w:adjustRightInd w:val="0"/>
              <w:snapToGrid w:val="0"/>
              <w:rPr>
                <w:rFonts w:hint="eastAsia"/>
                <w:color w:val="auto"/>
              </w:rPr>
            </w:pPr>
            <w:r>
              <w:rPr>
                <w:rFonts w:hint="eastAsia" w:cs="宋体"/>
                <w:color w:val="auto"/>
              </w:rPr>
              <w:t>791.94m</w:t>
            </w:r>
            <w:r>
              <w:rPr>
                <w:rFonts w:hint="eastAsia" w:cs="宋体"/>
                <w:color w:val="auto"/>
                <w:vertAlign w:val="superscript"/>
              </w:rPr>
              <w:t>3</w:t>
            </w:r>
            <w:r>
              <w:rPr>
                <w:rFonts w:hint="eastAsia" w:cs="宋体"/>
                <w:color w:val="auto"/>
              </w:rPr>
              <w:t>/a</w:t>
            </w:r>
          </w:p>
        </w:tc>
      </w:tr>
      <w:tr w14:paraId="656C30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5" w:type="pct"/>
            <w:vMerge w:val="continue"/>
            <w:vAlign w:val="center"/>
          </w:tcPr>
          <w:p w14:paraId="58A80593">
            <w:pPr>
              <w:pStyle w:val="296"/>
              <w:adjustRightInd w:val="0"/>
              <w:snapToGrid w:val="0"/>
              <w:rPr>
                <w:rFonts w:hint="eastAsia"/>
                <w:color w:val="auto"/>
              </w:rPr>
            </w:pPr>
          </w:p>
        </w:tc>
        <w:tc>
          <w:tcPr>
            <w:tcW w:w="1016" w:type="pct"/>
            <w:vAlign w:val="center"/>
          </w:tcPr>
          <w:p w14:paraId="40EAB5D7">
            <w:pPr>
              <w:pStyle w:val="296"/>
              <w:adjustRightInd w:val="0"/>
              <w:snapToGrid w:val="0"/>
              <w:rPr>
                <w:rFonts w:hint="eastAsia"/>
                <w:color w:val="auto"/>
              </w:rPr>
            </w:pPr>
            <w:r>
              <w:rPr>
                <w:rFonts w:hint="eastAsia"/>
                <w:color w:val="auto"/>
              </w:rPr>
              <w:t>废洗井液</w:t>
            </w:r>
          </w:p>
        </w:tc>
        <w:tc>
          <w:tcPr>
            <w:tcW w:w="1580" w:type="pct"/>
            <w:vAlign w:val="center"/>
          </w:tcPr>
          <w:p w14:paraId="074EBFFE">
            <w:pPr>
              <w:pStyle w:val="296"/>
              <w:adjustRightInd w:val="0"/>
              <w:snapToGrid w:val="0"/>
              <w:rPr>
                <w:rFonts w:hint="eastAsia"/>
                <w:color w:val="auto"/>
              </w:rPr>
            </w:pPr>
            <w:r>
              <w:rPr>
                <w:rFonts w:hint="eastAsia"/>
                <w:color w:val="auto"/>
              </w:rPr>
              <w:t>2</w:t>
            </w:r>
            <w:r>
              <w:rPr>
                <w:color w:val="auto"/>
              </w:rPr>
              <w:t>5.29</w:t>
            </w:r>
            <w:r>
              <w:rPr>
                <w:rFonts w:hint="eastAsia"/>
                <w:color w:val="auto"/>
              </w:rPr>
              <w:t>t</w:t>
            </w:r>
            <w:r>
              <w:rPr>
                <w:color w:val="auto"/>
              </w:rPr>
              <w:t>/</w:t>
            </w:r>
            <w:r>
              <w:rPr>
                <w:rFonts w:hint="eastAsia"/>
                <w:color w:val="auto"/>
              </w:rPr>
              <w:t>井</w:t>
            </w:r>
          </w:p>
        </w:tc>
        <w:tc>
          <w:tcPr>
            <w:tcW w:w="1639" w:type="pct"/>
            <w:vAlign w:val="center"/>
          </w:tcPr>
          <w:p w14:paraId="7328204D">
            <w:pPr>
              <w:pStyle w:val="296"/>
              <w:adjustRightInd w:val="0"/>
              <w:snapToGrid w:val="0"/>
              <w:rPr>
                <w:rFonts w:hint="eastAsia"/>
                <w:color w:val="auto"/>
              </w:rPr>
            </w:pPr>
            <w:r>
              <w:rPr>
                <w:rFonts w:hint="eastAsia"/>
                <w:color w:val="auto"/>
              </w:rPr>
              <w:t>75.87t/</w:t>
            </w:r>
            <w:r>
              <w:rPr>
                <w:color w:val="auto"/>
              </w:rPr>
              <w:t>a</w:t>
            </w:r>
          </w:p>
        </w:tc>
      </w:tr>
    </w:tbl>
    <w:p w14:paraId="028F2708">
      <w:pPr>
        <w:pStyle w:val="86"/>
        <w:ind w:left="105" w:leftChars="50" w:firstLine="360" w:firstLineChars="150"/>
        <w:rPr>
          <w:rFonts w:hint="eastAsia"/>
          <w:color w:val="auto"/>
        </w:rPr>
      </w:pPr>
      <w:r>
        <w:rPr>
          <w:rFonts w:hint="eastAsia"/>
          <w:color w:val="auto"/>
        </w:rPr>
        <w:t>压裂返排液及废洗井液收集至专用储罐中，由罐车拉运至莫北转油站采出水处理系统处理，出水水质达到《碎屑岩油藏注水水质指标技术要求及分析方法》（SY/T5329-</w:t>
      </w:r>
      <w:r>
        <w:rPr>
          <w:color w:val="auto"/>
        </w:rPr>
        <w:t>2022</w:t>
      </w:r>
      <w:r>
        <w:rPr>
          <w:rFonts w:hint="eastAsia"/>
          <w:color w:val="auto"/>
        </w:rPr>
        <w:t>）Ⅲ级标准后回注地层，不外排。</w:t>
      </w:r>
    </w:p>
    <w:bookmarkEnd w:id="299"/>
    <w:p w14:paraId="48D90BE9">
      <w:pPr>
        <w:adjustRightInd w:val="0"/>
        <w:snapToGrid w:val="0"/>
        <w:spacing w:line="460" w:lineRule="exact"/>
        <w:ind w:firstLine="480" w:firstLineChars="200"/>
        <w:jc w:val="left"/>
        <w:textAlignment w:val="baseline"/>
        <w:rPr>
          <w:rFonts w:hint="eastAsia" w:ascii="宋体" w:hAnsi="宋体"/>
          <w:color w:val="auto"/>
          <w:kern w:val="0"/>
          <w:sz w:val="24"/>
        </w:rPr>
      </w:pPr>
      <w:r>
        <w:rPr>
          <w:rFonts w:hint="eastAsia" w:ascii="宋体" w:hAnsi="宋体"/>
          <w:color w:val="auto"/>
          <w:kern w:val="0"/>
          <w:sz w:val="24"/>
        </w:rPr>
        <w:t>③装置排污水</w:t>
      </w:r>
    </w:p>
    <w:p w14:paraId="49AAD7B7">
      <w:pPr>
        <w:pStyle w:val="86"/>
        <w:adjustRightInd w:val="0"/>
        <w:snapToGrid w:val="0"/>
        <w:spacing w:line="460" w:lineRule="exact"/>
        <w:ind w:firstLine="360" w:firstLineChars="150"/>
        <w:rPr>
          <w:rFonts w:hint="eastAsia"/>
          <w:color w:val="auto"/>
          <w:kern w:val="0"/>
        </w:rPr>
      </w:pPr>
      <w:r>
        <w:rPr>
          <w:rFonts w:hint="eastAsia"/>
          <w:color w:val="auto"/>
          <w:kern w:val="0"/>
        </w:rPr>
        <w:t>CNG撬装天然气处理装置处理天然气过程中会产生一定的装置排污水，产生量约为100m</w:t>
      </w:r>
      <w:r>
        <w:rPr>
          <w:rFonts w:hint="eastAsia"/>
          <w:color w:val="auto"/>
          <w:kern w:val="0"/>
          <w:vertAlign w:val="superscript"/>
        </w:rPr>
        <w:t>3</w:t>
      </w:r>
      <w:r>
        <w:rPr>
          <w:rFonts w:hint="eastAsia"/>
          <w:color w:val="auto"/>
          <w:kern w:val="0"/>
        </w:rPr>
        <w:t>/a，污染物主要为石油类和COD，参考新疆油田其他处理站进水水质，污水中石油类浓度约</w:t>
      </w:r>
      <w:r>
        <w:rPr>
          <w:color w:val="auto"/>
          <w:kern w:val="0"/>
        </w:rPr>
        <w:t>200mg/L</w:t>
      </w:r>
      <w:r>
        <w:rPr>
          <w:rFonts w:hint="eastAsia"/>
          <w:color w:val="auto"/>
          <w:kern w:val="0"/>
        </w:rPr>
        <w:t>，悬浮物浓度约</w:t>
      </w:r>
      <w:r>
        <w:rPr>
          <w:color w:val="auto"/>
          <w:kern w:val="0"/>
        </w:rPr>
        <w:t>300mg/L</w:t>
      </w:r>
      <w:r>
        <w:rPr>
          <w:rFonts w:hint="eastAsia"/>
          <w:color w:val="auto"/>
          <w:kern w:val="0"/>
        </w:rPr>
        <w:t>，石油类和悬浮物排放量分别为0.02t/a、0.06t/a。装置排污水排至排污罐中，由罐车拉运至莫北转油站采出水处理系统处理。</w:t>
      </w:r>
    </w:p>
    <w:p w14:paraId="3A2271CE">
      <w:pPr>
        <w:adjustRightInd w:val="0"/>
        <w:snapToGrid w:val="0"/>
        <w:spacing w:line="500" w:lineRule="exact"/>
        <w:ind w:firstLine="480" w:firstLineChars="200"/>
        <w:jc w:val="left"/>
        <w:textAlignment w:val="baseline"/>
        <w:rPr>
          <w:rFonts w:hint="eastAsia" w:ascii="宋体" w:hAnsi="宋体"/>
          <w:color w:val="auto"/>
          <w:kern w:val="0"/>
          <w:sz w:val="24"/>
        </w:rPr>
      </w:pPr>
      <w:r>
        <w:rPr>
          <w:rFonts w:hint="eastAsia" w:ascii="宋体" w:hAnsi="宋体"/>
          <w:color w:val="auto"/>
          <w:kern w:val="0"/>
          <w:sz w:val="24"/>
        </w:rPr>
        <w:t>④生活污水</w:t>
      </w:r>
    </w:p>
    <w:p w14:paraId="5674BC02">
      <w:pPr>
        <w:pStyle w:val="86"/>
        <w:ind w:firstLine="480"/>
        <w:rPr>
          <w:rFonts w:hint="eastAsia"/>
          <w:color w:val="auto"/>
          <w:lang w:bidi="ar"/>
        </w:rPr>
      </w:pPr>
      <w:r>
        <w:rPr>
          <w:rFonts w:hint="eastAsia"/>
          <w:color w:val="auto"/>
        </w:rPr>
        <w:t>2座橇装天然气处理装置处共设8名工作人员，工作330天，</w:t>
      </w:r>
      <w:r>
        <w:rPr>
          <w:rFonts w:hint="eastAsia"/>
          <w:color w:val="auto"/>
          <w:lang w:bidi="ar"/>
        </w:rPr>
        <w:t>单人消耗水量参考《新疆用水定额》2</w:t>
      </w:r>
      <w:r>
        <w:rPr>
          <w:color w:val="auto"/>
          <w:lang w:bidi="ar"/>
        </w:rPr>
        <w:t>0</w:t>
      </w:r>
      <w:r>
        <w:rPr>
          <w:rFonts w:hint="eastAsia"/>
          <w:color w:val="auto"/>
          <w:lang w:bidi="ar"/>
        </w:rPr>
        <w:t>L</w:t>
      </w:r>
      <w:r>
        <w:rPr>
          <w:color w:val="auto"/>
          <w:lang w:bidi="ar"/>
        </w:rPr>
        <w:t>/</w:t>
      </w:r>
      <w:r>
        <w:rPr>
          <w:rFonts w:hint="eastAsia"/>
          <w:color w:val="auto"/>
        </w:rPr>
        <w:t>（人·天）</w:t>
      </w:r>
      <w:r>
        <w:rPr>
          <w:rFonts w:hint="eastAsia"/>
          <w:color w:val="auto"/>
          <w:lang w:bidi="ar"/>
        </w:rPr>
        <w:t>计算，生活用水量为52.8m</w:t>
      </w:r>
      <w:r>
        <w:rPr>
          <w:rFonts w:hint="eastAsia"/>
          <w:color w:val="auto"/>
          <w:vertAlign w:val="superscript"/>
          <w:lang w:bidi="ar"/>
        </w:rPr>
        <w:t>3</w:t>
      </w:r>
      <w:r>
        <w:rPr>
          <w:color w:val="auto"/>
          <w:lang w:bidi="ar"/>
        </w:rPr>
        <w:t>/a</w:t>
      </w:r>
      <w:r>
        <w:rPr>
          <w:rFonts w:hint="eastAsia"/>
          <w:color w:val="auto"/>
          <w:lang w:bidi="ar"/>
        </w:rPr>
        <w:t>。</w:t>
      </w:r>
      <w:r>
        <w:rPr>
          <w:rFonts w:hint="eastAsia"/>
          <w:color w:val="auto"/>
        </w:rPr>
        <w:t>生活污水产生量按</w:t>
      </w:r>
      <w:r>
        <w:rPr>
          <w:rFonts w:hint="eastAsia"/>
          <w:color w:val="auto"/>
          <w:lang w:bidi="ar"/>
        </w:rPr>
        <w:t>生活用水量的8</w:t>
      </w:r>
      <w:r>
        <w:rPr>
          <w:color w:val="auto"/>
          <w:lang w:bidi="ar"/>
        </w:rPr>
        <w:t>0</w:t>
      </w:r>
      <w:r>
        <w:rPr>
          <w:rFonts w:hint="eastAsia"/>
          <w:color w:val="auto"/>
          <w:lang w:bidi="ar"/>
        </w:rPr>
        <w:t>%计算，则产生量为42.2m</w:t>
      </w:r>
      <w:r>
        <w:rPr>
          <w:rFonts w:hint="eastAsia"/>
          <w:color w:val="auto"/>
          <w:vertAlign w:val="superscript"/>
          <w:lang w:bidi="ar"/>
        </w:rPr>
        <w:t>3</w:t>
      </w:r>
      <w:r>
        <w:rPr>
          <w:color w:val="auto"/>
          <w:lang w:bidi="ar"/>
        </w:rPr>
        <w:t>/a</w:t>
      </w:r>
      <w:r>
        <w:rPr>
          <w:rFonts w:hint="eastAsia"/>
          <w:color w:val="auto"/>
          <w:lang w:bidi="ar"/>
        </w:rPr>
        <w:t>，污染物主要为化学需氧量、氨氮、悬浮物等，排至装置区的防渗收集池中，定期清运至玛纳斯县生活污水处理厂处理。</w:t>
      </w:r>
    </w:p>
    <w:p w14:paraId="575D8034">
      <w:pPr>
        <w:adjustRightInd w:val="0"/>
        <w:snapToGrid w:val="0"/>
        <w:spacing w:line="500" w:lineRule="exact"/>
        <w:ind w:firstLine="480" w:firstLineChars="200"/>
        <w:jc w:val="left"/>
        <w:textAlignment w:val="baseline"/>
        <w:rPr>
          <w:rFonts w:hint="eastAsia" w:ascii="宋体" w:hAnsi="宋体"/>
          <w:color w:val="auto"/>
          <w:kern w:val="0"/>
          <w:sz w:val="24"/>
        </w:rPr>
      </w:pPr>
      <w:r>
        <w:rPr>
          <w:rFonts w:hint="eastAsia" w:ascii="宋体" w:hAnsi="宋体"/>
          <w:color w:val="auto"/>
          <w:kern w:val="0"/>
          <w:sz w:val="24"/>
        </w:rPr>
        <w:t>（3）噪声</w:t>
      </w:r>
    </w:p>
    <w:p w14:paraId="390C1ED0">
      <w:pPr>
        <w:pStyle w:val="86"/>
        <w:ind w:firstLine="480"/>
        <w:rPr>
          <w:rFonts w:hint="eastAsia"/>
          <w:color w:val="auto"/>
        </w:rPr>
      </w:pPr>
      <w:bookmarkStart w:id="302" w:name="_Hlk148008301"/>
      <w:r>
        <w:rPr>
          <w:rFonts w:hint="eastAsia"/>
          <w:color w:val="auto"/>
        </w:rPr>
        <w:t>噪声源主要为井场井下作业时的</w:t>
      </w:r>
      <w:bookmarkStart w:id="303" w:name="_Hlk177511329"/>
      <w:r>
        <w:rPr>
          <w:rFonts w:hint="eastAsia"/>
          <w:color w:val="auto"/>
        </w:rPr>
        <w:t>各类机泵及巡检车辆和撬装天然气浅冷处理装置中的机泵、压缩机等</w:t>
      </w:r>
      <w:bookmarkEnd w:id="303"/>
      <w:r>
        <w:rPr>
          <w:rFonts w:hint="eastAsia"/>
          <w:color w:val="auto"/>
        </w:rPr>
        <w:t>，</w:t>
      </w:r>
      <w:bookmarkEnd w:id="302"/>
      <w:r>
        <w:rPr>
          <w:rFonts w:hint="eastAsia"/>
          <w:color w:val="auto"/>
        </w:rPr>
        <w:t>各噪声源均为室外噪声源，噪声排放情况见表</w:t>
      </w:r>
      <w:r>
        <w:rPr>
          <w:color w:val="auto"/>
        </w:rPr>
        <w:t>3.3</w:t>
      </w:r>
      <w:r>
        <w:rPr>
          <w:rFonts w:hint="eastAsia"/>
          <w:color w:val="auto"/>
        </w:rPr>
        <w:t>-12。</w:t>
      </w:r>
    </w:p>
    <w:p w14:paraId="2106D5D3">
      <w:pPr>
        <w:pStyle w:val="15"/>
        <w:rPr>
          <w:rFonts w:hint="eastAsia"/>
          <w:color w:val="auto"/>
        </w:rPr>
      </w:pPr>
      <w:bookmarkStart w:id="304" w:name="_Ref137046989"/>
      <w:bookmarkStart w:id="305" w:name="_Hlk143596597"/>
      <w:r>
        <w:rPr>
          <w:color w:val="auto"/>
        </w:rPr>
        <w:t>表</w:t>
      </w:r>
      <w:bookmarkEnd w:id="304"/>
      <w:r>
        <w:rPr>
          <w:rFonts w:hint="eastAsia"/>
          <w:color w:val="auto"/>
        </w:rPr>
        <w:t>3.3-12</w:t>
      </w:r>
      <w:r>
        <w:rPr>
          <w:color w:val="auto"/>
        </w:rPr>
        <w:t xml:space="preserve">  </w:t>
      </w:r>
      <w:r>
        <w:rPr>
          <w:rFonts w:hint="eastAsia"/>
          <w:color w:val="auto"/>
        </w:rPr>
        <w:t>噪声源强清单</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89"/>
        <w:gridCol w:w="744"/>
        <w:gridCol w:w="709"/>
        <w:gridCol w:w="1170"/>
        <w:gridCol w:w="1039"/>
        <w:gridCol w:w="1039"/>
        <w:gridCol w:w="1039"/>
        <w:gridCol w:w="1039"/>
        <w:gridCol w:w="779"/>
        <w:gridCol w:w="783"/>
      </w:tblGrid>
      <w:tr w14:paraId="715032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3" w:type="pct"/>
            <w:vMerge w:val="restart"/>
            <w:tcBorders>
              <w:right w:val="single" w:color="auto" w:sz="4" w:space="0"/>
            </w:tcBorders>
            <w:tcMar>
              <w:left w:w="0" w:type="dxa"/>
              <w:right w:w="0" w:type="dxa"/>
            </w:tcMar>
            <w:vAlign w:val="center"/>
          </w:tcPr>
          <w:p w14:paraId="1E45C557">
            <w:pPr>
              <w:pStyle w:val="296"/>
              <w:adjustRightInd w:val="0"/>
              <w:snapToGrid w:val="0"/>
              <w:rPr>
                <w:rFonts w:hint="eastAsia"/>
                <w:color w:val="auto"/>
              </w:rPr>
            </w:pPr>
            <w:r>
              <w:rPr>
                <w:rFonts w:hint="eastAsia"/>
                <w:color w:val="auto"/>
              </w:rPr>
              <w:t>序号</w:t>
            </w:r>
          </w:p>
        </w:tc>
        <w:tc>
          <w:tcPr>
            <w:tcW w:w="832" w:type="pct"/>
            <w:gridSpan w:val="2"/>
            <w:vMerge w:val="restart"/>
            <w:tcBorders>
              <w:left w:val="single" w:color="auto" w:sz="4" w:space="0"/>
              <w:right w:val="single" w:color="auto" w:sz="4" w:space="0"/>
            </w:tcBorders>
            <w:tcMar>
              <w:left w:w="0" w:type="dxa"/>
              <w:right w:w="0" w:type="dxa"/>
            </w:tcMar>
            <w:vAlign w:val="center"/>
          </w:tcPr>
          <w:p w14:paraId="75B04B3B">
            <w:pPr>
              <w:pStyle w:val="296"/>
              <w:adjustRightInd w:val="0"/>
              <w:snapToGrid w:val="0"/>
              <w:rPr>
                <w:rFonts w:hint="eastAsia"/>
                <w:color w:val="auto"/>
              </w:rPr>
            </w:pPr>
            <w:r>
              <w:rPr>
                <w:rFonts w:hint="eastAsia"/>
                <w:color w:val="auto"/>
              </w:rPr>
              <w:t>噪声源名称</w:t>
            </w:r>
          </w:p>
        </w:tc>
        <w:tc>
          <w:tcPr>
            <w:tcW w:w="670" w:type="pct"/>
            <w:vMerge w:val="restart"/>
            <w:tcBorders>
              <w:left w:val="single" w:color="auto" w:sz="4" w:space="0"/>
            </w:tcBorders>
            <w:tcMar>
              <w:left w:w="0" w:type="dxa"/>
              <w:right w:w="0" w:type="dxa"/>
            </w:tcMar>
            <w:vAlign w:val="center"/>
          </w:tcPr>
          <w:p w14:paraId="07431238">
            <w:pPr>
              <w:pStyle w:val="296"/>
              <w:adjustRightInd w:val="0"/>
              <w:snapToGrid w:val="0"/>
              <w:rPr>
                <w:rFonts w:hint="eastAsia"/>
                <w:color w:val="auto"/>
              </w:rPr>
            </w:pPr>
            <w:r>
              <w:rPr>
                <w:rFonts w:hint="eastAsia"/>
                <w:color w:val="auto"/>
              </w:rPr>
              <w:t>声功率级[dB（A）]</w:t>
            </w:r>
          </w:p>
        </w:tc>
        <w:tc>
          <w:tcPr>
            <w:tcW w:w="1785" w:type="pct"/>
            <w:gridSpan w:val="3"/>
            <w:vAlign w:val="center"/>
          </w:tcPr>
          <w:p w14:paraId="331EA485">
            <w:pPr>
              <w:pStyle w:val="296"/>
              <w:adjustRightInd w:val="0"/>
              <w:snapToGrid w:val="0"/>
              <w:rPr>
                <w:rFonts w:hint="eastAsia"/>
                <w:color w:val="auto"/>
              </w:rPr>
            </w:pPr>
            <w:r>
              <w:rPr>
                <w:rFonts w:hint="eastAsia"/>
                <w:color w:val="auto"/>
              </w:rPr>
              <w:t>位置</w:t>
            </w:r>
          </w:p>
        </w:tc>
        <w:tc>
          <w:tcPr>
            <w:tcW w:w="595" w:type="pct"/>
            <w:vMerge w:val="restart"/>
            <w:tcMar>
              <w:left w:w="0" w:type="dxa"/>
              <w:right w:w="0" w:type="dxa"/>
            </w:tcMar>
            <w:vAlign w:val="center"/>
          </w:tcPr>
          <w:p w14:paraId="399A424E">
            <w:pPr>
              <w:pStyle w:val="296"/>
              <w:adjustRightInd w:val="0"/>
              <w:snapToGrid w:val="0"/>
              <w:rPr>
                <w:rFonts w:hint="eastAsia"/>
                <w:color w:val="auto"/>
              </w:rPr>
            </w:pPr>
            <w:r>
              <w:rPr>
                <w:rFonts w:hint="eastAsia"/>
                <w:color w:val="auto"/>
              </w:rPr>
              <w:t>声源控制措施</w:t>
            </w:r>
          </w:p>
        </w:tc>
        <w:tc>
          <w:tcPr>
            <w:tcW w:w="446" w:type="pct"/>
            <w:vMerge w:val="restart"/>
            <w:tcMar>
              <w:left w:w="0" w:type="dxa"/>
              <w:right w:w="0" w:type="dxa"/>
            </w:tcMar>
            <w:vAlign w:val="center"/>
          </w:tcPr>
          <w:p w14:paraId="6DEE88D1">
            <w:pPr>
              <w:pStyle w:val="296"/>
              <w:adjustRightInd w:val="0"/>
              <w:snapToGrid w:val="0"/>
              <w:rPr>
                <w:rFonts w:hint="eastAsia"/>
                <w:color w:val="auto"/>
              </w:rPr>
            </w:pPr>
            <w:r>
              <w:rPr>
                <w:rFonts w:hint="eastAsia"/>
                <w:color w:val="auto"/>
              </w:rPr>
              <w:t>排放规律</w:t>
            </w:r>
          </w:p>
        </w:tc>
        <w:tc>
          <w:tcPr>
            <w:tcW w:w="448" w:type="pct"/>
            <w:vMerge w:val="restart"/>
            <w:tcMar>
              <w:left w:w="0" w:type="dxa"/>
              <w:right w:w="0" w:type="dxa"/>
            </w:tcMar>
            <w:vAlign w:val="center"/>
          </w:tcPr>
          <w:p w14:paraId="7303BC00">
            <w:pPr>
              <w:pStyle w:val="296"/>
              <w:adjustRightInd w:val="0"/>
              <w:snapToGrid w:val="0"/>
              <w:rPr>
                <w:rFonts w:hint="eastAsia"/>
                <w:color w:val="auto"/>
              </w:rPr>
            </w:pPr>
            <w:r>
              <w:rPr>
                <w:rFonts w:hint="eastAsia"/>
                <w:color w:val="auto"/>
              </w:rPr>
              <w:t>噪声特性</w:t>
            </w:r>
          </w:p>
        </w:tc>
      </w:tr>
      <w:tr w14:paraId="7A93BA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3" w:type="pct"/>
            <w:vMerge w:val="continue"/>
            <w:tcBorders>
              <w:right w:val="single" w:color="auto" w:sz="4" w:space="0"/>
            </w:tcBorders>
            <w:tcMar>
              <w:left w:w="0" w:type="dxa"/>
              <w:right w:w="0" w:type="dxa"/>
            </w:tcMar>
            <w:vAlign w:val="center"/>
          </w:tcPr>
          <w:p w14:paraId="2CAB6521">
            <w:pPr>
              <w:pStyle w:val="296"/>
              <w:adjustRightInd w:val="0"/>
              <w:snapToGrid w:val="0"/>
              <w:rPr>
                <w:rFonts w:hint="eastAsia"/>
                <w:color w:val="auto"/>
              </w:rPr>
            </w:pPr>
          </w:p>
        </w:tc>
        <w:tc>
          <w:tcPr>
            <w:tcW w:w="832" w:type="pct"/>
            <w:gridSpan w:val="2"/>
            <w:vMerge w:val="continue"/>
            <w:tcBorders>
              <w:left w:val="single" w:color="auto" w:sz="4" w:space="0"/>
              <w:right w:val="single" w:color="auto" w:sz="4" w:space="0"/>
            </w:tcBorders>
            <w:tcMar>
              <w:left w:w="0" w:type="dxa"/>
              <w:right w:w="0" w:type="dxa"/>
            </w:tcMar>
            <w:vAlign w:val="center"/>
          </w:tcPr>
          <w:p w14:paraId="46535B42">
            <w:pPr>
              <w:pStyle w:val="296"/>
              <w:adjustRightInd w:val="0"/>
              <w:snapToGrid w:val="0"/>
              <w:rPr>
                <w:rFonts w:hint="eastAsia"/>
                <w:color w:val="auto"/>
              </w:rPr>
            </w:pPr>
          </w:p>
        </w:tc>
        <w:tc>
          <w:tcPr>
            <w:tcW w:w="670" w:type="pct"/>
            <w:vMerge w:val="continue"/>
            <w:tcBorders>
              <w:left w:val="single" w:color="auto" w:sz="4" w:space="0"/>
            </w:tcBorders>
            <w:tcMar>
              <w:left w:w="0" w:type="dxa"/>
              <w:right w:w="0" w:type="dxa"/>
            </w:tcMar>
            <w:vAlign w:val="center"/>
          </w:tcPr>
          <w:p w14:paraId="06E0DCA1">
            <w:pPr>
              <w:pStyle w:val="296"/>
              <w:adjustRightInd w:val="0"/>
              <w:snapToGrid w:val="0"/>
              <w:rPr>
                <w:rFonts w:hint="eastAsia"/>
                <w:color w:val="auto"/>
              </w:rPr>
            </w:pPr>
          </w:p>
        </w:tc>
        <w:tc>
          <w:tcPr>
            <w:tcW w:w="595" w:type="pct"/>
            <w:vAlign w:val="center"/>
          </w:tcPr>
          <w:p w14:paraId="7B7CC44E">
            <w:pPr>
              <w:pStyle w:val="296"/>
              <w:adjustRightInd w:val="0"/>
              <w:snapToGrid w:val="0"/>
              <w:rPr>
                <w:rFonts w:hint="eastAsia"/>
                <w:color w:val="auto"/>
              </w:rPr>
            </w:pPr>
            <w:r>
              <w:rPr>
                <w:rFonts w:hint="eastAsia"/>
                <w:color w:val="auto"/>
              </w:rPr>
              <w:t>X</w:t>
            </w:r>
          </w:p>
        </w:tc>
        <w:tc>
          <w:tcPr>
            <w:tcW w:w="595" w:type="pct"/>
            <w:vAlign w:val="center"/>
          </w:tcPr>
          <w:p w14:paraId="7C83F0E6">
            <w:pPr>
              <w:pStyle w:val="296"/>
              <w:adjustRightInd w:val="0"/>
              <w:snapToGrid w:val="0"/>
              <w:rPr>
                <w:rFonts w:hint="eastAsia"/>
                <w:color w:val="auto"/>
              </w:rPr>
            </w:pPr>
            <w:r>
              <w:rPr>
                <w:rFonts w:hint="eastAsia"/>
                <w:color w:val="auto"/>
              </w:rPr>
              <w:t>Y</w:t>
            </w:r>
          </w:p>
        </w:tc>
        <w:tc>
          <w:tcPr>
            <w:tcW w:w="595" w:type="pct"/>
            <w:vAlign w:val="center"/>
          </w:tcPr>
          <w:p w14:paraId="6CBD9E77">
            <w:pPr>
              <w:pStyle w:val="296"/>
              <w:adjustRightInd w:val="0"/>
              <w:snapToGrid w:val="0"/>
              <w:rPr>
                <w:rFonts w:hint="eastAsia"/>
                <w:color w:val="auto"/>
              </w:rPr>
            </w:pPr>
            <w:r>
              <w:rPr>
                <w:rFonts w:hint="eastAsia"/>
                <w:color w:val="auto"/>
              </w:rPr>
              <w:t>Z</w:t>
            </w:r>
          </w:p>
        </w:tc>
        <w:tc>
          <w:tcPr>
            <w:tcW w:w="595" w:type="pct"/>
            <w:vMerge w:val="continue"/>
            <w:tcMar>
              <w:left w:w="0" w:type="dxa"/>
              <w:right w:w="0" w:type="dxa"/>
            </w:tcMar>
            <w:vAlign w:val="center"/>
          </w:tcPr>
          <w:p w14:paraId="41751F43">
            <w:pPr>
              <w:pStyle w:val="296"/>
              <w:adjustRightInd w:val="0"/>
              <w:snapToGrid w:val="0"/>
              <w:rPr>
                <w:rFonts w:hint="eastAsia"/>
                <w:color w:val="auto"/>
              </w:rPr>
            </w:pPr>
          </w:p>
        </w:tc>
        <w:tc>
          <w:tcPr>
            <w:tcW w:w="446" w:type="pct"/>
            <w:vMerge w:val="continue"/>
            <w:tcMar>
              <w:left w:w="0" w:type="dxa"/>
              <w:right w:w="0" w:type="dxa"/>
            </w:tcMar>
            <w:vAlign w:val="center"/>
          </w:tcPr>
          <w:p w14:paraId="453D13B3">
            <w:pPr>
              <w:pStyle w:val="296"/>
              <w:adjustRightInd w:val="0"/>
              <w:snapToGrid w:val="0"/>
              <w:rPr>
                <w:rFonts w:hint="eastAsia"/>
                <w:color w:val="auto"/>
              </w:rPr>
            </w:pPr>
          </w:p>
        </w:tc>
        <w:tc>
          <w:tcPr>
            <w:tcW w:w="448" w:type="pct"/>
            <w:vMerge w:val="continue"/>
            <w:tcMar>
              <w:left w:w="0" w:type="dxa"/>
              <w:right w:w="0" w:type="dxa"/>
            </w:tcMar>
            <w:vAlign w:val="center"/>
          </w:tcPr>
          <w:p w14:paraId="53298302">
            <w:pPr>
              <w:pStyle w:val="296"/>
              <w:adjustRightInd w:val="0"/>
              <w:snapToGrid w:val="0"/>
              <w:rPr>
                <w:rFonts w:hint="eastAsia"/>
                <w:color w:val="auto"/>
              </w:rPr>
            </w:pPr>
          </w:p>
        </w:tc>
      </w:tr>
      <w:tr w14:paraId="4A8615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42" w:hRule="atLeast"/>
          <w:jc w:val="center"/>
        </w:trPr>
        <w:tc>
          <w:tcPr>
            <w:tcW w:w="223" w:type="pct"/>
            <w:tcBorders>
              <w:right w:val="single" w:color="auto" w:sz="4" w:space="0"/>
            </w:tcBorders>
            <w:tcMar>
              <w:left w:w="0" w:type="dxa"/>
              <w:right w:w="0" w:type="dxa"/>
            </w:tcMar>
            <w:vAlign w:val="center"/>
          </w:tcPr>
          <w:p w14:paraId="10637AC8">
            <w:pPr>
              <w:pStyle w:val="296"/>
              <w:adjustRightInd w:val="0"/>
              <w:snapToGrid w:val="0"/>
              <w:rPr>
                <w:rFonts w:hint="eastAsia"/>
                <w:color w:val="auto"/>
              </w:rPr>
            </w:pPr>
            <w:r>
              <w:rPr>
                <w:rFonts w:hint="eastAsia"/>
                <w:color w:val="auto"/>
              </w:rPr>
              <w:t>1</w:t>
            </w:r>
          </w:p>
        </w:tc>
        <w:tc>
          <w:tcPr>
            <w:tcW w:w="426" w:type="pct"/>
            <w:tcBorders>
              <w:left w:val="single" w:color="auto" w:sz="4" w:space="0"/>
            </w:tcBorders>
            <w:tcMar>
              <w:left w:w="0" w:type="dxa"/>
              <w:right w:w="0" w:type="dxa"/>
            </w:tcMar>
            <w:vAlign w:val="center"/>
          </w:tcPr>
          <w:p w14:paraId="536A1150">
            <w:pPr>
              <w:pStyle w:val="296"/>
              <w:adjustRightInd w:val="0"/>
              <w:snapToGrid w:val="0"/>
              <w:rPr>
                <w:rFonts w:hint="eastAsia"/>
                <w:color w:val="auto"/>
              </w:rPr>
            </w:pPr>
            <w:r>
              <w:rPr>
                <w:rFonts w:hint="eastAsia"/>
                <w:color w:val="auto"/>
              </w:rPr>
              <w:t>莫27井场</w:t>
            </w:r>
          </w:p>
        </w:tc>
        <w:tc>
          <w:tcPr>
            <w:tcW w:w="406" w:type="pct"/>
            <w:tcMar>
              <w:left w:w="0" w:type="dxa"/>
              <w:right w:w="0" w:type="dxa"/>
            </w:tcMar>
            <w:vAlign w:val="center"/>
          </w:tcPr>
          <w:p w14:paraId="27270EEB">
            <w:pPr>
              <w:pStyle w:val="296"/>
              <w:adjustRightInd w:val="0"/>
              <w:snapToGrid w:val="0"/>
              <w:rPr>
                <w:rFonts w:hint="eastAsia"/>
                <w:color w:val="auto"/>
              </w:rPr>
            </w:pPr>
            <w:r>
              <w:rPr>
                <w:rFonts w:hint="eastAsia"/>
                <w:color w:val="auto"/>
              </w:rPr>
              <w:t>井下作业</w:t>
            </w:r>
          </w:p>
        </w:tc>
        <w:tc>
          <w:tcPr>
            <w:tcW w:w="670" w:type="pct"/>
            <w:tcMar>
              <w:left w:w="0" w:type="dxa"/>
              <w:right w:w="0" w:type="dxa"/>
            </w:tcMar>
            <w:vAlign w:val="center"/>
          </w:tcPr>
          <w:p w14:paraId="20741395">
            <w:pPr>
              <w:pStyle w:val="296"/>
              <w:adjustRightInd w:val="0"/>
              <w:snapToGrid w:val="0"/>
              <w:rPr>
                <w:rFonts w:hint="eastAsia"/>
                <w:color w:val="auto"/>
              </w:rPr>
            </w:pPr>
            <w:r>
              <w:rPr>
                <w:rFonts w:hint="eastAsia"/>
                <w:color w:val="auto"/>
              </w:rPr>
              <w:t>85～90</w:t>
            </w:r>
          </w:p>
        </w:tc>
        <w:tc>
          <w:tcPr>
            <w:tcW w:w="595" w:type="pct"/>
            <w:vAlign w:val="center"/>
          </w:tcPr>
          <w:p w14:paraId="201FF62D">
            <w:pPr>
              <w:pStyle w:val="296"/>
              <w:adjustRightInd w:val="0"/>
              <w:snapToGrid w:val="0"/>
              <w:rPr>
                <w:rFonts w:hint="eastAsia"/>
                <w:color w:val="auto"/>
              </w:rPr>
            </w:pPr>
            <w:r>
              <w:rPr>
                <w:rFonts w:hint="eastAsia"/>
                <w:color w:val="auto"/>
              </w:rPr>
              <w:t>15</w:t>
            </w:r>
          </w:p>
        </w:tc>
        <w:tc>
          <w:tcPr>
            <w:tcW w:w="595" w:type="pct"/>
            <w:vAlign w:val="center"/>
          </w:tcPr>
          <w:p w14:paraId="0533D4EC">
            <w:pPr>
              <w:pStyle w:val="296"/>
              <w:adjustRightInd w:val="0"/>
              <w:snapToGrid w:val="0"/>
              <w:rPr>
                <w:rFonts w:hint="eastAsia"/>
                <w:color w:val="auto"/>
              </w:rPr>
            </w:pPr>
            <w:r>
              <w:rPr>
                <w:rFonts w:hint="eastAsia"/>
                <w:color w:val="auto"/>
              </w:rPr>
              <w:t>12</w:t>
            </w:r>
          </w:p>
        </w:tc>
        <w:tc>
          <w:tcPr>
            <w:tcW w:w="595" w:type="pct"/>
            <w:vAlign w:val="center"/>
          </w:tcPr>
          <w:p w14:paraId="307C1A88">
            <w:pPr>
              <w:pStyle w:val="296"/>
              <w:adjustRightInd w:val="0"/>
              <w:snapToGrid w:val="0"/>
              <w:rPr>
                <w:rFonts w:hint="eastAsia"/>
                <w:color w:val="auto"/>
              </w:rPr>
            </w:pPr>
            <w:r>
              <w:rPr>
                <w:rFonts w:hint="eastAsia"/>
                <w:color w:val="auto"/>
              </w:rPr>
              <w:t>1</w:t>
            </w:r>
          </w:p>
        </w:tc>
        <w:tc>
          <w:tcPr>
            <w:tcW w:w="595" w:type="pct"/>
            <w:vMerge w:val="restart"/>
            <w:tcMar>
              <w:left w:w="0" w:type="dxa"/>
              <w:right w:w="0" w:type="dxa"/>
            </w:tcMar>
            <w:vAlign w:val="center"/>
          </w:tcPr>
          <w:p w14:paraId="2412A11C">
            <w:pPr>
              <w:pStyle w:val="296"/>
              <w:adjustRightInd w:val="0"/>
              <w:snapToGrid w:val="0"/>
              <w:rPr>
                <w:rFonts w:hint="eastAsia"/>
                <w:color w:val="auto"/>
              </w:rPr>
            </w:pPr>
            <w:r>
              <w:rPr>
                <w:rFonts w:hint="eastAsia"/>
                <w:color w:val="auto"/>
              </w:rPr>
              <w:t>选用低噪声设备、基础减振</w:t>
            </w:r>
          </w:p>
        </w:tc>
        <w:tc>
          <w:tcPr>
            <w:tcW w:w="446" w:type="pct"/>
            <w:tcMar>
              <w:left w:w="0" w:type="dxa"/>
              <w:right w:w="0" w:type="dxa"/>
            </w:tcMar>
            <w:vAlign w:val="center"/>
          </w:tcPr>
          <w:p w14:paraId="79BB7082">
            <w:pPr>
              <w:pStyle w:val="296"/>
              <w:adjustRightInd w:val="0"/>
              <w:snapToGrid w:val="0"/>
              <w:rPr>
                <w:rFonts w:hint="eastAsia"/>
                <w:color w:val="auto"/>
              </w:rPr>
            </w:pPr>
            <w:r>
              <w:rPr>
                <w:rFonts w:hint="eastAsia"/>
                <w:color w:val="auto"/>
              </w:rPr>
              <w:t>间歇</w:t>
            </w:r>
          </w:p>
        </w:tc>
        <w:tc>
          <w:tcPr>
            <w:tcW w:w="448" w:type="pct"/>
            <w:tcMar>
              <w:left w:w="0" w:type="dxa"/>
              <w:right w:w="0" w:type="dxa"/>
            </w:tcMar>
            <w:vAlign w:val="center"/>
          </w:tcPr>
          <w:p w14:paraId="26D8140E">
            <w:pPr>
              <w:pStyle w:val="296"/>
              <w:adjustRightInd w:val="0"/>
              <w:snapToGrid w:val="0"/>
              <w:rPr>
                <w:rFonts w:hint="eastAsia"/>
                <w:color w:val="auto"/>
              </w:rPr>
            </w:pPr>
            <w:r>
              <w:rPr>
                <w:color w:val="auto"/>
              </w:rPr>
              <w:t>机械</w:t>
            </w:r>
          </w:p>
        </w:tc>
      </w:tr>
      <w:tr w14:paraId="7F1AF7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3" w:type="pct"/>
            <w:vMerge w:val="restart"/>
            <w:tcBorders>
              <w:right w:val="single" w:color="auto" w:sz="4" w:space="0"/>
            </w:tcBorders>
            <w:tcMar>
              <w:left w:w="0" w:type="dxa"/>
              <w:right w:w="0" w:type="dxa"/>
            </w:tcMar>
            <w:vAlign w:val="center"/>
          </w:tcPr>
          <w:p w14:paraId="14E2AE3A">
            <w:pPr>
              <w:pStyle w:val="296"/>
              <w:adjustRightInd w:val="0"/>
              <w:snapToGrid w:val="0"/>
              <w:rPr>
                <w:rFonts w:hint="eastAsia"/>
                <w:color w:val="auto"/>
              </w:rPr>
            </w:pPr>
            <w:r>
              <w:rPr>
                <w:rFonts w:hint="eastAsia"/>
                <w:color w:val="auto"/>
              </w:rPr>
              <w:t>2</w:t>
            </w:r>
          </w:p>
        </w:tc>
        <w:tc>
          <w:tcPr>
            <w:tcW w:w="426" w:type="pct"/>
            <w:vMerge w:val="restart"/>
            <w:tcBorders>
              <w:left w:val="single" w:color="auto" w:sz="4" w:space="0"/>
            </w:tcBorders>
            <w:tcMar>
              <w:left w:w="0" w:type="dxa"/>
              <w:right w:w="0" w:type="dxa"/>
            </w:tcMar>
            <w:vAlign w:val="center"/>
          </w:tcPr>
          <w:p w14:paraId="5742AF60">
            <w:pPr>
              <w:pStyle w:val="296"/>
              <w:adjustRightInd w:val="0"/>
              <w:snapToGrid w:val="0"/>
              <w:rPr>
                <w:rFonts w:hint="eastAsia"/>
                <w:color w:val="auto"/>
              </w:rPr>
            </w:pPr>
            <w:r>
              <w:rPr>
                <w:rFonts w:hint="eastAsia"/>
                <w:color w:val="auto"/>
              </w:rPr>
              <w:t>莫172H井场（</w:t>
            </w:r>
            <w:r>
              <w:rPr>
                <w:rFonts w:hint="eastAsia"/>
                <w:snapToGrid w:val="0"/>
                <w:color w:val="auto"/>
              </w:rPr>
              <w:t>撬装天然气浅冷处理装置、充装区</w:t>
            </w:r>
            <w:r>
              <w:rPr>
                <w:rFonts w:hint="eastAsia"/>
                <w:color w:val="auto"/>
              </w:rPr>
              <w:t>）</w:t>
            </w:r>
          </w:p>
        </w:tc>
        <w:tc>
          <w:tcPr>
            <w:tcW w:w="406" w:type="pct"/>
            <w:tcMar>
              <w:left w:w="0" w:type="dxa"/>
              <w:right w:w="0" w:type="dxa"/>
            </w:tcMar>
            <w:vAlign w:val="center"/>
          </w:tcPr>
          <w:p w14:paraId="344EDA94">
            <w:pPr>
              <w:pStyle w:val="296"/>
              <w:adjustRightInd w:val="0"/>
              <w:snapToGrid w:val="0"/>
              <w:rPr>
                <w:rFonts w:hint="eastAsia"/>
                <w:color w:val="auto"/>
              </w:rPr>
            </w:pPr>
            <w:r>
              <w:rPr>
                <w:rFonts w:hint="eastAsia"/>
                <w:color w:val="auto"/>
              </w:rPr>
              <w:t>井下作业</w:t>
            </w:r>
          </w:p>
        </w:tc>
        <w:tc>
          <w:tcPr>
            <w:tcW w:w="670" w:type="pct"/>
            <w:tcMar>
              <w:left w:w="0" w:type="dxa"/>
              <w:right w:w="0" w:type="dxa"/>
            </w:tcMar>
            <w:vAlign w:val="center"/>
          </w:tcPr>
          <w:p w14:paraId="50243E66">
            <w:pPr>
              <w:pStyle w:val="296"/>
              <w:adjustRightInd w:val="0"/>
              <w:snapToGrid w:val="0"/>
              <w:rPr>
                <w:rFonts w:hint="eastAsia"/>
                <w:color w:val="auto"/>
              </w:rPr>
            </w:pPr>
            <w:r>
              <w:rPr>
                <w:rFonts w:hint="eastAsia"/>
                <w:color w:val="auto"/>
              </w:rPr>
              <w:t>85～90</w:t>
            </w:r>
          </w:p>
        </w:tc>
        <w:tc>
          <w:tcPr>
            <w:tcW w:w="595" w:type="pct"/>
            <w:vAlign w:val="center"/>
          </w:tcPr>
          <w:p w14:paraId="197AB8B5">
            <w:pPr>
              <w:pStyle w:val="296"/>
              <w:adjustRightInd w:val="0"/>
              <w:snapToGrid w:val="0"/>
              <w:rPr>
                <w:rFonts w:hint="eastAsia"/>
                <w:color w:val="auto"/>
              </w:rPr>
            </w:pPr>
            <w:r>
              <w:rPr>
                <w:rFonts w:hint="eastAsia"/>
                <w:color w:val="auto"/>
              </w:rPr>
              <w:t>12</w:t>
            </w:r>
          </w:p>
        </w:tc>
        <w:tc>
          <w:tcPr>
            <w:tcW w:w="595" w:type="pct"/>
            <w:vAlign w:val="center"/>
          </w:tcPr>
          <w:p w14:paraId="140CAF94">
            <w:pPr>
              <w:pStyle w:val="296"/>
              <w:adjustRightInd w:val="0"/>
              <w:snapToGrid w:val="0"/>
              <w:rPr>
                <w:rFonts w:hint="eastAsia"/>
                <w:color w:val="auto"/>
              </w:rPr>
            </w:pPr>
            <w:r>
              <w:rPr>
                <w:rFonts w:hint="eastAsia"/>
                <w:color w:val="auto"/>
              </w:rPr>
              <w:t>16</w:t>
            </w:r>
          </w:p>
        </w:tc>
        <w:tc>
          <w:tcPr>
            <w:tcW w:w="595" w:type="pct"/>
            <w:vAlign w:val="center"/>
          </w:tcPr>
          <w:p w14:paraId="45B8809B">
            <w:pPr>
              <w:pStyle w:val="296"/>
              <w:adjustRightInd w:val="0"/>
              <w:snapToGrid w:val="0"/>
              <w:rPr>
                <w:rFonts w:hint="eastAsia"/>
                <w:color w:val="auto"/>
              </w:rPr>
            </w:pPr>
            <w:r>
              <w:rPr>
                <w:rFonts w:hint="eastAsia"/>
                <w:color w:val="auto"/>
              </w:rPr>
              <w:t>1</w:t>
            </w:r>
          </w:p>
        </w:tc>
        <w:tc>
          <w:tcPr>
            <w:tcW w:w="595" w:type="pct"/>
            <w:vMerge w:val="continue"/>
            <w:tcMar>
              <w:left w:w="0" w:type="dxa"/>
              <w:right w:w="0" w:type="dxa"/>
            </w:tcMar>
            <w:vAlign w:val="center"/>
          </w:tcPr>
          <w:p w14:paraId="522A8ADB">
            <w:pPr>
              <w:pStyle w:val="296"/>
              <w:adjustRightInd w:val="0"/>
              <w:snapToGrid w:val="0"/>
              <w:rPr>
                <w:rFonts w:hint="eastAsia"/>
                <w:color w:val="auto"/>
              </w:rPr>
            </w:pPr>
          </w:p>
        </w:tc>
        <w:tc>
          <w:tcPr>
            <w:tcW w:w="446" w:type="pct"/>
            <w:tcMar>
              <w:left w:w="0" w:type="dxa"/>
              <w:right w:w="0" w:type="dxa"/>
            </w:tcMar>
            <w:vAlign w:val="center"/>
          </w:tcPr>
          <w:p w14:paraId="451DD783">
            <w:pPr>
              <w:pStyle w:val="296"/>
              <w:adjustRightInd w:val="0"/>
              <w:snapToGrid w:val="0"/>
              <w:rPr>
                <w:rFonts w:hint="eastAsia"/>
                <w:color w:val="auto"/>
              </w:rPr>
            </w:pPr>
            <w:r>
              <w:rPr>
                <w:rFonts w:hint="eastAsia"/>
                <w:color w:val="auto"/>
              </w:rPr>
              <w:t>间歇</w:t>
            </w:r>
          </w:p>
        </w:tc>
        <w:tc>
          <w:tcPr>
            <w:tcW w:w="448" w:type="pct"/>
            <w:tcMar>
              <w:left w:w="0" w:type="dxa"/>
              <w:right w:w="0" w:type="dxa"/>
            </w:tcMar>
            <w:vAlign w:val="center"/>
          </w:tcPr>
          <w:p w14:paraId="24E1A245">
            <w:pPr>
              <w:pStyle w:val="296"/>
              <w:adjustRightInd w:val="0"/>
              <w:snapToGrid w:val="0"/>
              <w:rPr>
                <w:rFonts w:hint="eastAsia"/>
                <w:color w:val="auto"/>
              </w:rPr>
            </w:pPr>
            <w:r>
              <w:rPr>
                <w:color w:val="auto"/>
              </w:rPr>
              <w:t>机械</w:t>
            </w:r>
          </w:p>
        </w:tc>
      </w:tr>
      <w:tr w14:paraId="4AA9FD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8" w:hRule="atLeast"/>
          <w:jc w:val="center"/>
        </w:trPr>
        <w:tc>
          <w:tcPr>
            <w:tcW w:w="223" w:type="pct"/>
            <w:vMerge w:val="continue"/>
            <w:tcBorders>
              <w:right w:val="single" w:color="auto" w:sz="4" w:space="0"/>
            </w:tcBorders>
            <w:tcMar>
              <w:left w:w="0" w:type="dxa"/>
              <w:right w:w="0" w:type="dxa"/>
            </w:tcMar>
            <w:vAlign w:val="center"/>
          </w:tcPr>
          <w:p w14:paraId="488A39F7">
            <w:pPr>
              <w:pStyle w:val="296"/>
              <w:adjustRightInd w:val="0"/>
              <w:snapToGrid w:val="0"/>
              <w:rPr>
                <w:rFonts w:hint="eastAsia"/>
                <w:color w:val="auto"/>
              </w:rPr>
            </w:pPr>
          </w:p>
        </w:tc>
        <w:tc>
          <w:tcPr>
            <w:tcW w:w="426" w:type="pct"/>
            <w:vMerge w:val="continue"/>
            <w:tcBorders>
              <w:left w:val="single" w:color="auto" w:sz="4" w:space="0"/>
            </w:tcBorders>
            <w:tcMar>
              <w:left w:w="0" w:type="dxa"/>
              <w:right w:w="0" w:type="dxa"/>
            </w:tcMar>
            <w:vAlign w:val="center"/>
          </w:tcPr>
          <w:p w14:paraId="79DE9BDB">
            <w:pPr>
              <w:pStyle w:val="296"/>
              <w:adjustRightInd w:val="0"/>
              <w:snapToGrid w:val="0"/>
              <w:rPr>
                <w:rFonts w:hint="eastAsia"/>
                <w:snapToGrid w:val="0"/>
                <w:color w:val="auto"/>
              </w:rPr>
            </w:pPr>
          </w:p>
        </w:tc>
        <w:tc>
          <w:tcPr>
            <w:tcW w:w="406" w:type="pct"/>
            <w:tcMar>
              <w:left w:w="0" w:type="dxa"/>
              <w:right w:w="0" w:type="dxa"/>
            </w:tcMar>
            <w:vAlign w:val="center"/>
          </w:tcPr>
          <w:p w14:paraId="6C0E2CAC">
            <w:pPr>
              <w:pStyle w:val="296"/>
              <w:adjustRightInd w:val="0"/>
              <w:snapToGrid w:val="0"/>
              <w:rPr>
                <w:rFonts w:hint="eastAsia"/>
                <w:snapToGrid w:val="0"/>
                <w:color w:val="auto"/>
              </w:rPr>
            </w:pPr>
            <w:r>
              <w:rPr>
                <w:rFonts w:hint="eastAsia"/>
                <w:snapToGrid w:val="0"/>
                <w:color w:val="auto"/>
              </w:rPr>
              <w:t>燃气发电机</w:t>
            </w:r>
          </w:p>
        </w:tc>
        <w:tc>
          <w:tcPr>
            <w:tcW w:w="670" w:type="pct"/>
            <w:tcMar>
              <w:left w:w="0" w:type="dxa"/>
              <w:right w:w="0" w:type="dxa"/>
            </w:tcMar>
            <w:vAlign w:val="center"/>
          </w:tcPr>
          <w:p w14:paraId="76D4B619">
            <w:pPr>
              <w:pStyle w:val="296"/>
              <w:adjustRightInd w:val="0"/>
              <w:snapToGrid w:val="0"/>
              <w:rPr>
                <w:rFonts w:hint="eastAsia"/>
                <w:color w:val="auto"/>
              </w:rPr>
            </w:pPr>
            <w:r>
              <w:rPr>
                <w:rFonts w:hint="eastAsia"/>
                <w:color w:val="auto"/>
              </w:rPr>
              <w:t>85～9</w:t>
            </w:r>
            <w:r>
              <w:rPr>
                <w:color w:val="auto"/>
              </w:rPr>
              <w:t>0</w:t>
            </w:r>
          </w:p>
        </w:tc>
        <w:tc>
          <w:tcPr>
            <w:tcW w:w="595" w:type="pct"/>
            <w:vAlign w:val="center"/>
          </w:tcPr>
          <w:p w14:paraId="595AC169">
            <w:pPr>
              <w:pStyle w:val="296"/>
              <w:adjustRightInd w:val="0"/>
              <w:snapToGrid w:val="0"/>
              <w:rPr>
                <w:rFonts w:hint="eastAsia"/>
                <w:color w:val="auto"/>
              </w:rPr>
            </w:pPr>
            <w:r>
              <w:rPr>
                <w:rFonts w:hint="eastAsia"/>
                <w:color w:val="auto"/>
              </w:rPr>
              <w:t>22</w:t>
            </w:r>
          </w:p>
        </w:tc>
        <w:tc>
          <w:tcPr>
            <w:tcW w:w="595" w:type="pct"/>
            <w:vAlign w:val="center"/>
          </w:tcPr>
          <w:p w14:paraId="09BABB61">
            <w:pPr>
              <w:pStyle w:val="296"/>
              <w:adjustRightInd w:val="0"/>
              <w:snapToGrid w:val="0"/>
              <w:rPr>
                <w:rFonts w:hint="eastAsia"/>
                <w:color w:val="auto"/>
              </w:rPr>
            </w:pPr>
            <w:r>
              <w:rPr>
                <w:rFonts w:hint="eastAsia"/>
                <w:color w:val="auto"/>
              </w:rPr>
              <w:t>48</w:t>
            </w:r>
          </w:p>
        </w:tc>
        <w:tc>
          <w:tcPr>
            <w:tcW w:w="595" w:type="pct"/>
            <w:vAlign w:val="center"/>
          </w:tcPr>
          <w:p w14:paraId="5BB330BC">
            <w:pPr>
              <w:pStyle w:val="296"/>
              <w:adjustRightInd w:val="0"/>
              <w:snapToGrid w:val="0"/>
              <w:rPr>
                <w:rFonts w:hint="eastAsia"/>
                <w:color w:val="auto"/>
              </w:rPr>
            </w:pPr>
            <w:r>
              <w:rPr>
                <w:rFonts w:hint="eastAsia"/>
                <w:color w:val="auto"/>
              </w:rPr>
              <w:t>0.5</w:t>
            </w:r>
          </w:p>
        </w:tc>
        <w:tc>
          <w:tcPr>
            <w:tcW w:w="595" w:type="pct"/>
            <w:vMerge w:val="continue"/>
            <w:tcMar>
              <w:left w:w="0" w:type="dxa"/>
              <w:right w:w="0" w:type="dxa"/>
            </w:tcMar>
            <w:vAlign w:val="center"/>
          </w:tcPr>
          <w:p w14:paraId="0461747E">
            <w:pPr>
              <w:pStyle w:val="296"/>
              <w:adjustRightInd w:val="0"/>
              <w:snapToGrid w:val="0"/>
              <w:rPr>
                <w:rFonts w:hint="eastAsia"/>
                <w:color w:val="auto"/>
              </w:rPr>
            </w:pPr>
          </w:p>
        </w:tc>
        <w:tc>
          <w:tcPr>
            <w:tcW w:w="446" w:type="pct"/>
            <w:tcMar>
              <w:left w:w="0" w:type="dxa"/>
              <w:right w:w="0" w:type="dxa"/>
            </w:tcMar>
            <w:vAlign w:val="center"/>
          </w:tcPr>
          <w:p w14:paraId="29BEB13C">
            <w:pPr>
              <w:pStyle w:val="296"/>
              <w:adjustRightInd w:val="0"/>
              <w:snapToGrid w:val="0"/>
              <w:rPr>
                <w:rFonts w:hint="eastAsia"/>
                <w:color w:val="auto"/>
              </w:rPr>
            </w:pPr>
            <w:r>
              <w:rPr>
                <w:rFonts w:hint="eastAsia"/>
                <w:color w:val="auto"/>
              </w:rPr>
              <w:t>连续</w:t>
            </w:r>
          </w:p>
        </w:tc>
        <w:tc>
          <w:tcPr>
            <w:tcW w:w="448" w:type="pct"/>
            <w:tcMar>
              <w:left w:w="0" w:type="dxa"/>
              <w:right w:w="0" w:type="dxa"/>
            </w:tcMar>
            <w:vAlign w:val="center"/>
          </w:tcPr>
          <w:p w14:paraId="13A20BC3">
            <w:pPr>
              <w:pStyle w:val="296"/>
              <w:adjustRightInd w:val="0"/>
              <w:snapToGrid w:val="0"/>
              <w:rPr>
                <w:rFonts w:hint="eastAsia"/>
                <w:color w:val="auto"/>
              </w:rPr>
            </w:pPr>
            <w:r>
              <w:rPr>
                <w:color w:val="auto"/>
              </w:rPr>
              <w:t>机械</w:t>
            </w:r>
          </w:p>
        </w:tc>
      </w:tr>
      <w:tr w14:paraId="3D5F8E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3" w:type="pct"/>
            <w:vMerge w:val="continue"/>
            <w:tcBorders>
              <w:right w:val="single" w:color="auto" w:sz="4" w:space="0"/>
            </w:tcBorders>
            <w:tcMar>
              <w:left w:w="0" w:type="dxa"/>
              <w:right w:w="0" w:type="dxa"/>
            </w:tcMar>
            <w:vAlign w:val="center"/>
          </w:tcPr>
          <w:p w14:paraId="767B5427">
            <w:pPr>
              <w:pStyle w:val="296"/>
              <w:adjustRightInd w:val="0"/>
              <w:snapToGrid w:val="0"/>
              <w:rPr>
                <w:rFonts w:hint="eastAsia"/>
                <w:color w:val="auto"/>
              </w:rPr>
            </w:pPr>
          </w:p>
        </w:tc>
        <w:tc>
          <w:tcPr>
            <w:tcW w:w="426" w:type="pct"/>
            <w:vMerge w:val="continue"/>
            <w:tcBorders>
              <w:left w:val="single" w:color="auto" w:sz="4" w:space="0"/>
            </w:tcBorders>
            <w:tcMar>
              <w:left w:w="0" w:type="dxa"/>
              <w:right w:w="0" w:type="dxa"/>
            </w:tcMar>
            <w:vAlign w:val="center"/>
          </w:tcPr>
          <w:p w14:paraId="74584776">
            <w:pPr>
              <w:pStyle w:val="296"/>
              <w:adjustRightInd w:val="0"/>
              <w:snapToGrid w:val="0"/>
              <w:rPr>
                <w:rFonts w:hint="eastAsia"/>
                <w:snapToGrid w:val="0"/>
                <w:color w:val="auto"/>
              </w:rPr>
            </w:pPr>
          </w:p>
        </w:tc>
        <w:tc>
          <w:tcPr>
            <w:tcW w:w="406" w:type="pct"/>
            <w:tcMar>
              <w:left w:w="0" w:type="dxa"/>
              <w:right w:w="0" w:type="dxa"/>
            </w:tcMar>
            <w:vAlign w:val="center"/>
          </w:tcPr>
          <w:p w14:paraId="79BA7E43">
            <w:pPr>
              <w:pStyle w:val="296"/>
              <w:adjustRightInd w:val="0"/>
              <w:snapToGrid w:val="0"/>
              <w:rPr>
                <w:rFonts w:hint="eastAsia"/>
                <w:snapToGrid w:val="0"/>
                <w:color w:val="auto"/>
              </w:rPr>
            </w:pPr>
            <w:r>
              <w:rPr>
                <w:rFonts w:hint="eastAsia"/>
                <w:snapToGrid w:val="0"/>
                <w:color w:val="auto"/>
              </w:rPr>
              <w:t>电加热炉</w:t>
            </w:r>
          </w:p>
        </w:tc>
        <w:tc>
          <w:tcPr>
            <w:tcW w:w="670" w:type="pct"/>
            <w:tcMar>
              <w:left w:w="0" w:type="dxa"/>
              <w:right w:w="0" w:type="dxa"/>
            </w:tcMar>
            <w:vAlign w:val="center"/>
          </w:tcPr>
          <w:p w14:paraId="028ACF0C">
            <w:pPr>
              <w:pStyle w:val="296"/>
              <w:adjustRightInd w:val="0"/>
              <w:snapToGrid w:val="0"/>
              <w:rPr>
                <w:rFonts w:hint="eastAsia"/>
                <w:color w:val="auto"/>
              </w:rPr>
            </w:pPr>
            <w:r>
              <w:rPr>
                <w:rFonts w:hint="eastAsia"/>
                <w:color w:val="auto"/>
              </w:rPr>
              <w:t>75～9</w:t>
            </w:r>
            <w:r>
              <w:rPr>
                <w:color w:val="auto"/>
              </w:rPr>
              <w:t>0</w:t>
            </w:r>
          </w:p>
        </w:tc>
        <w:tc>
          <w:tcPr>
            <w:tcW w:w="595" w:type="pct"/>
            <w:vAlign w:val="center"/>
          </w:tcPr>
          <w:p w14:paraId="2235B8D5">
            <w:pPr>
              <w:pStyle w:val="296"/>
              <w:adjustRightInd w:val="0"/>
              <w:snapToGrid w:val="0"/>
              <w:rPr>
                <w:rFonts w:hint="eastAsia"/>
                <w:color w:val="auto"/>
              </w:rPr>
            </w:pPr>
            <w:r>
              <w:rPr>
                <w:rFonts w:hint="eastAsia"/>
                <w:color w:val="auto"/>
              </w:rPr>
              <w:t>44</w:t>
            </w:r>
          </w:p>
        </w:tc>
        <w:tc>
          <w:tcPr>
            <w:tcW w:w="595" w:type="pct"/>
            <w:vAlign w:val="center"/>
          </w:tcPr>
          <w:p w14:paraId="02008313">
            <w:pPr>
              <w:pStyle w:val="296"/>
              <w:adjustRightInd w:val="0"/>
              <w:snapToGrid w:val="0"/>
              <w:rPr>
                <w:rFonts w:hint="eastAsia"/>
                <w:color w:val="auto"/>
              </w:rPr>
            </w:pPr>
            <w:r>
              <w:rPr>
                <w:rFonts w:hint="eastAsia"/>
                <w:color w:val="auto"/>
              </w:rPr>
              <w:t>83</w:t>
            </w:r>
          </w:p>
        </w:tc>
        <w:tc>
          <w:tcPr>
            <w:tcW w:w="595" w:type="pct"/>
            <w:vAlign w:val="center"/>
          </w:tcPr>
          <w:p w14:paraId="68B12327">
            <w:pPr>
              <w:pStyle w:val="296"/>
              <w:adjustRightInd w:val="0"/>
              <w:snapToGrid w:val="0"/>
              <w:rPr>
                <w:rFonts w:hint="eastAsia"/>
                <w:color w:val="auto"/>
              </w:rPr>
            </w:pPr>
            <w:r>
              <w:rPr>
                <w:rFonts w:hint="eastAsia"/>
                <w:color w:val="auto"/>
              </w:rPr>
              <w:t>0.5</w:t>
            </w:r>
          </w:p>
        </w:tc>
        <w:tc>
          <w:tcPr>
            <w:tcW w:w="595" w:type="pct"/>
            <w:vMerge w:val="continue"/>
            <w:tcMar>
              <w:left w:w="0" w:type="dxa"/>
              <w:right w:w="0" w:type="dxa"/>
            </w:tcMar>
            <w:vAlign w:val="center"/>
          </w:tcPr>
          <w:p w14:paraId="6E9E724C">
            <w:pPr>
              <w:pStyle w:val="296"/>
              <w:adjustRightInd w:val="0"/>
              <w:snapToGrid w:val="0"/>
              <w:rPr>
                <w:rFonts w:hint="eastAsia"/>
                <w:color w:val="auto"/>
              </w:rPr>
            </w:pPr>
          </w:p>
        </w:tc>
        <w:tc>
          <w:tcPr>
            <w:tcW w:w="446" w:type="pct"/>
            <w:tcMar>
              <w:left w:w="0" w:type="dxa"/>
              <w:right w:w="0" w:type="dxa"/>
            </w:tcMar>
            <w:vAlign w:val="center"/>
          </w:tcPr>
          <w:p w14:paraId="4F93CA5D">
            <w:pPr>
              <w:pStyle w:val="296"/>
              <w:adjustRightInd w:val="0"/>
              <w:snapToGrid w:val="0"/>
              <w:rPr>
                <w:rFonts w:hint="eastAsia"/>
                <w:color w:val="auto"/>
              </w:rPr>
            </w:pPr>
            <w:r>
              <w:rPr>
                <w:rFonts w:hint="eastAsia"/>
                <w:color w:val="auto"/>
              </w:rPr>
              <w:t>连续</w:t>
            </w:r>
          </w:p>
        </w:tc>
        <w:tc>
          <w:tcPr>
            <w:tcW w:w="448" w:type="pct"/>
            <w:tcMar>
              <w:left w:w="0" w:type="dxa"/>
              <w:right w:w="0" w:type="dxa"/>
            </w:tcMar>
            <w:vAlign w:val="center"/>
          </w:tcPr>
          <w:p w14:paraId="73C73C41">
            <w:pPr>
              <w:pStyle w:val="296"/>
              <w:adjustRightInd w:val="0"/>
              <w:snapToGrid w:val="0"/>
              <w:rPr>
                <w:rFonts w:hint="eastAsia"/>
                <w:color w:val="auto"/>
              </w:rPr>
            </w:pPr>
            <w:r>
              <w:rPr>
                <w:color w:val="auto"/>
              </w:rPr>
              <w:t>机械</w:t>
            </w:r>
          </w:p>
        </w:tc>
      </w:tr>
      <w:tr w14:paraId="438E8C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3" w:type="pct"/>
            <w:vMerge w:val="continue"/>
            <w:tcBorders>
              <w:right w:val="single" w:color="auto" w:sz="4" w:space="0"/>
            </w:tcBorders>
            <w:tcMar>
              <w:left w:w="0" w:type="dxa"/>
              <w:right w:w="0" w:type="dxa"/>
            </w:tcMar>
            <w:vAlign w:val="center"/>
          </w:tcPr>
          <w:p w14:paraId="15DAC13B">
            <w:pPr>
              <w:pStyle w:val="296"/>
              <w:adjustRightInd w:val="0"/>
              <w:snapToGrid w:val="0"/>
              <w:rPr>
                <w:rFonts w:hint="eastAsia"/>
                <w:color w:val="auto"/>
              </w:rPr>
            </w:pPr>
          </w:p>
        </w:tc>
        <w:tc>
          <w:tcPr>
            <w:tcW w:w="426" w:type="pct"/>
            <w:vMerge w:val="continue"/>
            <w:tcBorders>
              <w:left w:val="single" w:color="auto" w:sz="4" w:space="0"/>
            </w:tcBorders>
            <w:tcMar>
              <w:left w:w="0" w:type="dxa"/>
              <w:right w:w="0" w:type="dxa"/>
            </w:tcMar>
            <w:vAlign w:val="center"/>
          </w:tcPr>
          <w:p w14:paraId="0433A2BE">
            <w:pPr>
              <w:pStyle w:val="296"/>
              <w:adjustRightInd w:val="0"/>
              <w:snapToGrid w:val="0"/>
              <w:rPr>
                <w:rFonts w:hint="eastAsia"/>
                <w:snapToGrid w:val="0"/>
                <w:color w:val="auto"/>
              </w:rPr>
            </w:pPr>
          </w:p>
        </w:tc>
        <w:tc>
          <w:tcPr>
            <w:tcW w:w="406" w:type="pct"/>
            <w:tcMar>
              <w:left w:w="0" w:type="dxa"/>
              <w:right w:w="0" w:type="dxa"/>
            </w:tcMar>
            <w:vAlign w:val="center"/>
          </w:tcPr>
          <w:p w14:paraId="4BF7103D">
            <w:pPr>
              <w:pStyle w:val="296"/>
              <w:adjustRightInd w:val="0"/>
              <w:snapToGrid w:val="0"/>
              <w:rPr>
                <w:rFonts w:hint="eastAsia"/>
                <w:snapToGrid w:val="0"/>
                <w:color w:val="auto"/>
              </w:rPr>
            </w:pPr>
            <w:r>
              <w:rPr>
                <w:rFonts w:hint="eastAsia"/>
                <w:snapToGrid w:val="0"/>
                <w:color w:val="auto"/>
              </w:rPr>
              <w:t>机泵</w:t>
            </w:r>
          </w:p>
        </w:tc>
        <w:tc>
          <w:tcPr>
            <w:tcW w:w="670" w:type="pct"/>
            <w:tcMar>
              <w:left w:w="0" w:type="dxa"/>
              <w:right w:w="0" w:type="dxa"/>
            </w:tcMar>
            <w:vAlign w:val="center"/>
          </w:tcPr>
          <w:p w14:paraId="6036DD5C">
            <w:pPr>
              <w:pStyle w:val="296"/>
              <w:adjustRightInd w:val="0"/>
              <w:snapToGrid w:val="0"/>
              <w:rPr>
                <w:rFonts w:hint="eastAsia"/>
                <w:color w:val="auto"/>
              </w:rPr>
            </w:pPr>
            <w:r>
              <w:rPr>
                <w:rFonts w:hint="eastAsia"/>
                <w:color w:val="auto"/>
              </w:rPr>
              <w:t>85～9</w:t>
            </w:r>
            <w:r>
              <w:rPr>
                <w:color w:val="auto"/>
              </w:rPr>
              <w:t>0</w:t>
            </w:r>
          </w:p>
        </w:tc>
        <w:tc>
          <w:tcPr>
            <w:tcW w:w="595" w:type="pct"/>
            <w:vAlign w:val="center"/>
          </w:tcPr>
          <w:p w14:paraId="33D6ED29">
            <w:pPr>
              <w:pStyle w:val="296"/>
              <w:adjustRightInd w:val="0"/>
              <w:snapToGrid w:val="0"/>
              <w:rPr>
                <w:rFonts w:hint="eastAsia"/>
                <w:color w:val="auto"/>
              </w:rPr>
            </w:pPr>
            <w:r>
              <w:rPr>
                <w:rFonts w:hint="eastAsia"/>
                <w:color w:val="auto"/>
              </w:rPr>
              <w:t>5</w:t>
            </w:r>
          </w:p>
        </w:tc>
        <w:tc>
          <w:tcPr>
            <w:tcW w:w="595" w:type="pct"/>
            <w:vAlign w:val="center"/>
          </w:tcPr>
          <w:p w14:paraId="57551675">
            <w:pPr>
              <w:pStyle w:val="296"/>
              <w:adjustRightInd w:val="0"/>
              <w:snapToGrid w:val="0"/>
              <w:rPr>
                <w:rFonts w:hint="eastAsia"/>
                <w:color w:val="auto"/>
              </w:rPr>
            </w:pPr>
            <w:r>
              <w:rPr>
                <w:rFonts w:hint="eastAsia"/>
                <w:color w:val="auto"/>
              </w:rPr>
              <w:t>3</w:t>
            </w:r>
          </w:p>
        </w:tc>
        <w:tc>
          <w:tcPr>
            <w:tcW w:w="595" w:type="pct"/>
            <w:vAlign w:val="center"/>
          </w:tcPr>
          <w:p w14:paraId="764B7B2A">
            <w:pPr>
              <w:pStyle w:val="296"/>
              <w:adjustRightInd w:val="0"/>
              <w:snapToGrid w:val="0"/>
              <w:rPr>
                <w:rFonts w:hint="eastAsia"/>
                <w:color w:val="auto"/>
              </w:rPr>
            </w:pPr>
            <w:r>
              <w:rPr>
                <w:rFonts w:hint="eastAsia"/>
                <w:color w:val="auto"/>
              </w:rPr>
              <w:t>1</w:t>
            </w:r>
          </w:p>
        </w:tc>
        <w:tc>
          <w:tcPr>
            <w:tcW w:w="595" w:type="pct"/>
            <w:vMerge w:val="continue"/>
            <w:tcMar>
              <w:left w:w="0" w:type="dxa"/>
              <w:right w:w="0" w:type="dxa"/>
            </w:tcMar>
            <w:vAlign w:val="center"/>
          </w:tcPr>
          <w:p w14:paraId="48C0F357">
            <w:pPr>
              <w:pStyle w:val="296"/>
              <w:adjustRightInd w:val="0"/>
              <w:snapToGrid w:val="0"/>
              <w:rPr>
                <w:rFonts w:hint="eastAsia"/>
                <w:color w:val="auto"/>
              </w:rPr>
            </w:pPr>
          </w:p>
        </w:tc>
        <w:tc>
          <w:tcPr>
            <w:tcW w:w="446" w:type="pct"/>
            <w:tcMar>
              <w:left w:w="0" w:type="dxa"/>
              <w:right w:w="0" w:type="dxa"/>
            </w:tcMar>
            <w:vAlign w:val="center"/>
          </w:tcPr>
          <w:p w14:paraId="2D443ED4">
            <w:pPr>
              <w:pStyle w:val="296"/>
              <w:adjustRightInd w:val="0"/>
              <w:snapToGrid w:val="0"/>
              <w:rPr>
                <w:rFonts w:hint="eastAsia"/>
                <w:color w:val="auto"/>
              </w:rPr>
            </w:pPr>
            <w:r>
              <w:rPr>
                <w:rFonts w:hint="eastAsia"/>
                <w:color w:val="auto"/>
              </w:rPr>
              <w:t>连续</w:t>
            </w:r>
          </w:p>
        </w:tc>
        <w:tc>
          <w:tcPr>
            <w:tcW w:w="448" w:type="pct"/>
            <w:tcMar>
              <w:left w:w="0" w:type="dxa"/>
              <w:right w:w="0" w:type="dxa"/>
            </w:tcMar>
            <w:vAlign w:val="center"/>
          </w:tcPr>
          <w:p w14:paraId="2E2B05E9">
            <w:pPr>
              <w:pStyle w:val="296"/>
              <w:adjustRightInd w:val="0"/>
              <w:snapToGrid w:val="0"/>
              <w:rPr>
                <w:rFonts w:hint="eastAsia"/>
                <w:color w:val="auto"/>
              </w:rPr>
            </w:pPr>
            <w:r>
              <w:rPr>
                <w:rFonts w:hint="eastAsia"/>
                <w:color w:val="auto"/>
              </w:rPr>
              <w:t>机械</w:t>
            </w:r>
          </w:p>
        </w:tc>
      </w:tr>
      <w:tr w14:paraId="4217D1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3" w:type="pct"/>
            <w:vMerge w:val="continue"/>
            <w:tcBorders>
              <w:right w:val="single" w:color="auto" w:sz="4" w:space="0"/>
            </w:tcBorders>
            <w:tcMar>
              <w:left w:w="0" w:type="dxa"/>
              <w:right w:w="0" w:type="dxa"/>
            </w:tcMar>
            <w:vAlign w:val="center"/>
          </w:tcPr>
          <w:p w14:paraId="560E77AA">
            <w:pPr>
              <w:pStyle w:val="296"/>
              <w:adjustRightInd w:val="0"/>
              <w:snapToGrid w:val="0"/>
              <w:rPr>
                <w:rFonts w:hint="eastAsia"/>
                <w:color w:val="auto"/>
              </w:rPr>
            </w:pPr>
          </w:p>
        </w:tc>
        <w:tc>
          <w:tcPr>
            <w:tcW w:w="426" w:type="pct"/>
            <w:vMerge w:val="continue"/>
            <w:tcBorders>
              <w:left w:val="single" w:color="auto" w:sz="4" w:space="0"/>
            </w:tcBorders>
            <w:tcMar>
              <w:left w:w="0" w:type="dxa"/>
              <w:right w:w="0" w:type="dxa"/>
            </w:tcMar>
            <w:vAlign w:val="center"/>
          </w:tcPr>
          <w:p w14:paraId="04119438">
            <w:pPr>
              <w:pStyle w:val="296"/>
              <w:adjustRightInd w:val="0"/>
              <w:snapToGrid w:val="0"/>
              <w:rPr>
                <w:rFonts w:hint="eastAsia"/>
                <w:snapToGrid w:val="0"/>
                <w:color w:val="auto"/>
              </w:rPr>
            </w:pPr>
          </w:p>
        </w:tc>
        <w:tc>
          <w:tcPr>
            <w:tcW w:w="406" w:type="pct"/>
            <w:tcMar>
              <w:left w:w="0" w:type="dxa"/>
              <w:right w:w="0" w:type="dxa"/>
            </w:tcMar>
            <w:vAlign w:val="center"/>
          </w:tcPr>
          <w:p w14:paraId="316FEB8E">
            <w:pPr>
              <w:pStyle w:val="296"/>
              <w:adjustRightInd w:val="0"/>
              <w:snapToGrid w:val="0"/>
              <w:rPr>
                <w:rFonts w:hint="eastAsia"/>
                <w:snapToGrid w:val="0"/>
                <w:color w:val="auto"/>
              </w:rPr>
            </w:pPr>
            <w:r>
              <w:rPr>
                <w:rFonts w:hint="eastAsia"/>
                <w:snapToGrid w:val="0"/>
                <w:color w:val="auto"/>
              </w:rPr>
              <w:t>压缩机、机泵</w:t>
            </w:r>
          </w:p>
        </w:tc>
        <w:tc>
          <w:tcPr>
            <w:tcW w:w="670" w:type="pct"/>
            <w:tcMar>
              <w:left w:w="0" w:type="dxa"/>
              <w:right w:w="0" w:type="dxa"/>
            </w:tcMar>
            <w:vAlign w:val="center"/>
          </w:tcPr>
          <w:p w14:paraId="2DAC7DCE">
            <w:pPr>
              <w:pStyle w:val="296"/>
              <w:adjustRightInd w:val="0"/>
              <w:snapToGrid w:val="0"/>
              <w:rPr>
                <w:rFonts w:hint="eastAsia"/>
                <w:color w:val="auto"/>
              </w:rPr>
            </w:pPr>
            <w:r>
              <w:rPr>
                <w:rFonts w:hint="eastAsia"/>
                <w:snapToGrid w:val="0"/>
                <w:color w:val="auto"/>
              </w:rPr>
              <w:t>85～9</w:t>
            </w:r>
            <w:r>
              <w:rPr>
                <w:snapToGrid w:val="0"/>
                <w:color w:val="auto"/>
              </w:rPr>
              <w:t>0</w:t>
            </w:r>
          </w:p>
        </w:tc>
        <w:tc>
          <w:tcPr>
            <w:tcW w:w="595" w:type="pct"/>
            <w:vAlign w:val="center"/>
          </w:tcPr>
          <w:p w14:paraId="4D630BCC">
            <w:pPr>
              <w:pStyle w:val="296"/>
              <w:adjustRightInd w:val="0"/>
              <w:snapToGrid w:val="0"/>
              <w:rPr>
                <w:rFonts w:hint="eastAsia"/>
                <w:color w:val="auto"/>
              </w:rPr>
            </w:pPr>
            <w:r>
              <w:rPr>
                <w:rFonts w:hint="eastAsia"/>
                <w:color w:val="auto"/>
              </w:rPr>
              <w:t>3</w:t>
            </w:r>
          </w:p>
        </w:tc>
        <w:tc>
          <w:tcPr>
            <w:tcW w:w="595" w:type="pct"/>
            <w:vAlign w:val="center"/>
          </w:tcPr>
          <w:p w14:paraId="6BC86148">
            <w:pPr>
              <w:pStyle w:val="296"/>
              <w:adjustRightInd w:val="0"/>
              <w:snapToGrid w:val="0"/>
              <w:rPr>
                <w:rFonts w:hint="eastAsia"/>
                <w:color w:val="auto"/>
              </w:rPr>
            </w:pPr>
            <w:r>
              <w:rPr>
                <w:rFonts w:hint="eastAsia"/>
                <w:color w:val="auto"/>
              </w:rPr>
              <w:t>3</w:t>
            </w:r>
          </w:p>
        </w:tc>
        <w:tc>
          <w:tcPr>
            <w:tcW w:w="595" w:type="pct"/>
            <w:vAlign w:val="center"/>
          </w:tcPr>
          <w:p w14:paraId="0148EEA3">
            <w:pPr>
              <w:pStyle w:val="296"/>
              <w:adjustRightInd w:val="0"/>
              <w:snapToGrid w:val="0"/>
              <w:rPr>
                <w:rFonts w:hint="eastAsia"/>
                <w:color w:val="auto"/>
              </w:rPr>
            </w:pPr>
            <w:r>
              <w:rPr>
                <w:rFonts w:hint="eastAsia"/>
                <w:color w:val="auto"/>
              </w:rPr>
              <w:t>1</w:t>
            </w:r>
          </w:p>
        </w:tc>
        <w:tc>
          <w:tcPr>
            <w:tcW w:w="595" w:type="pct"/>
            <w:vMerge w:val="continue"/>
            <w:tcMar>
              <w:left w:w="0" w:type="dxa"/>
              <w:right w:w="0" w:type="dxa"/>
            </w:tcMar>
            <w:vAlign w:val="center"/>
          </w:tcPr>
          <w:p w14:paraId="65F790D8">
            <w:pPr>
              <w:pStyle w:val="296"/>
              <w:adjustRightInd w:val="0"/>
              <w:snapToGrid w:val="0"/>
              <w:rPr>
                <w:rFonts w:hint="eastAsia"/>
                <w:color w:val="auto"/>
              </w:rPr>
            </w:pPr>
          </w:p>
        </w:tc>
        <w:tc>
          <w:tcPr>
            <w:tcW w:w="446" w:type="pct"/>
            <w:tcMar>
              <w:left w:w="0" w:type="dxa"/>
              <w:right w:w="0" w:type="dxa"/>
            </w:tcMar>
            <w:vAlign w:val="center"/>
          </w:tcPr>
          <w:p w14:paraId="657CA00F">
            <w:pPr>
              <w:pStyle w:val="296"/>
              <w:adjustRightInd w:val="0"/>
              <w:snapToGrid w:val="0"/>
              <w:rPr>
                <w:rFonts w:hint="eastAsia"/>
                <w:color w:val="auto"/>
              </w:rPr>
            </w:pPr>
            <w:r>
              <w:rPr>
                <w:rFonts w:hint="eastAsia"/>
                <w:color w:val="auto"/>
              </w:rPr>
              <w:t>连续</w:t>
            </w:r>
          </w:p>
        </w:tc>
        <w:tc>
          <w:tcPr>
            <w:tcW w:w="448" w:type="pct"/>
            <w:tcMar>
              <w:left w:w="0" w:type="dxa"/>
              <w:right w:w="0" w:type="dxa"/>
            </w:tcMar>
            <w:vAlign w:val="center"/>
          </w:tcPr>
          <w:p w14:paraId="791552D6">
            <w:pPr>
              <w:pStyle w:val="296"/>
              <w:adjustRightInd w:val="0"/>
              <w:snapToGrid w:val="0"/>
              <w:rPr>
                <w:rFonts w:hint="eastAsia"/>
                <w:color w:val="auto"/>
              </w:rPr>
            </w:pPr>
            <w:r>
              <w:rPr>
                <w:rFonts w:hint="eastAsia"/>
                <w:color w:val="auto"/>
              </w:rPr>
              <w:t>机械</w:t>
            </w:r>
          </w:p>
        </w:tc>
      </w:tr>
      <w:tr w14:paraId="78EDE6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3" w:type="pct"/>
            <w:vMerge w:val="restart"/>
            <w:tcBorders>
              <w:right w:val="single" w:color="auto" w:sz="4" w:space="0"/>
            </w:tcBorders>
            <w:tcMar>
              <w:left w:w="0" w:type="dxa"/>
              <w:right w:w="0" w:type="dxa"/>
            </w:tcMar>
            <w:vAlign w:val="center"/>
          </w:tcPr>
          <w:p w14:paraId="4EB656FB">
            <w:pPr>
              <w:pStyle w:val="296"/>
              <w:adjustRightInd w:val="0"/>
              <w:snapToGrid w:val="0"/>
              <w:rPr>
                <w:rFonts w:hint="eastAsia"/>
                <w:color w:val="auto"/>
              </w:rPr>
            </w:pPr>
            <w:r>
              <w:rPr>
                <w:rFonts w:hint="eastAsia"/>
                <w:color w:val="auto"/>
              </w:rPr>
              <w:t>3</w:t>
            </w:r>
          </w:p>
        </w:tc>
        <w:tc>
          <w:tcPr>
            <w:tcW w:w="426" w:type="pct"/>
            <w:vMerge w:val="restart"/>
            <w:tcBorders>
              <w:left w:val="single" w:color="auto" w:sz="4" w:space="0"/>
            </w:tcBorders>
            <w:tcMar>
              <w:left w:w="0" w:type="dxa"/>
              <w:right w:w="0" w:type="dxa"/>
            </w:tcMar>
            <w:vAlign w:val="center"/>
          </w:tcPr>
          <w:p w14:paraId="4433A823">
            <w:pPr>
              <w:pStyle w:val="296"/>
              <w:adjustRightInd w:val="0"/>
              <w:snapToGrid w:val="0"/>
              <w:rPr>
                <w:rFonts w:hint="eastAsia"/>
                <w:snapToGrid w:val="0"/>
                <w:color w:val="auto"/>
              </w:rPr>
            </w:pPr>
            <w:r>
              <w:rPr>
                <w:rFonts w:hint="eastAsia"/>
                <w:snapToGrid w:val="0"/>
                <w:color w:val="auto"/>
              </w:rPr>
              <w:t>莫174H井场（撬装天然气浅冷处理装置）</w:t>
            </w:r>
          </w:p>
        </w:tc>
        <w:tc>
          <w:tcPr>
            <w:tcW w:w="406" w:type="pct"/>
            <w:tcMar>
              <w:left w:w="0" w:type="dxa"/>
              <w:right w:w="0" w:type="dxa"/>
            </w:tcMar>
            <w:vAlign w:val="center"/>
          </w:tcPr>
          <w:p w14:paraId="0CC60F19">
            <w:pPr>
              <w:pStyle w:val="296"/>
              <w:adjustRightInd w:val="0"/>
              <w:snapToGrid w:val="0"/>
              <w:rPr>
                <w:rFonts w:hint="eastAsia"/>
                <w:snapToGrid w:val="0"/>
                <w:color w:val="auto"/>
              </w:rPr>
            </w:pPr>
            <w:r>
              <w:rPr>
                <w:rFonts w:hint="eastAsia"/>
                <w:color w:val="auto"/>
              </w:rPr>
              <w:t>井下作业</w:t>
            </w:r>
          </w:p>
        </w:tc>
        <w:tc>
          <w:tcPr>
            <w:tcW w:w="670" w:type="pct"/>
            <w:tcMar>
              <w:left w:w="0" w:type="dxa"/>
              <w:right w:w="0" w:type="dxa"/>
            </w:tcMar>
            <w:vAlign w:val="center"/>
          </w:tcPr>
          <w:p w14:paraId="253DF765">
            <w:pPr>
              <w:pStyle w:val="296"/>
              <w:adjustRightInd w:val="0"/>
              <w:snapToGrid w:val="0"/>
              <w:rPr>
                <w:rFonts w:hint="eastAsia"/>
                <w:color w:val="auto"/>
              </w:rPr>
            </w:pPr>
            <w:r>
              <w:rPr>
                <w:rFonts w:hint="eastAsia"/>
                <w:color w:val="auto"/>
              </w:rPr>
              <w:t>85～90</w:t>
            </w:r>
          </w:p>
        </w:tc>
        <w:tc>
          <w:tcPr>
            <w:tcW w:w="595" w:type="pct"/>
            <w:vAlign w:val="center"/>
          </w:tcPr>
          <w:p w14:paraId="554891D7">
            <w:pPr>
              <w:pStyle w:val="296"/>
              <w:adjustRightInd w:val="0"/>
              <w:snapToGrid w:val="0"/>
              <w:rPr>
                <w:rFonts w:hint="eastAsia"/>
                <w:color w:val="auto"/>
              </w:rPr>
            </w:pPr>
            <w:r>
              <w:rPr>
                <w:rFonts w:hint="eastAsia"/>
                <w:color w:val="auto"/>
              </w:rPr>
              <w:t>9</w:t>
            </w:r>
          </w:p>
        </w:tc>
        <w:tc>
          <w:tcPr>
            <w:tcW w:w="595" w:type="pct"/>
            <w:vAlign w:val="center"/>
          </w:tcPr>
          <w:p w14:paraId="5C0FCF21">
            <w:pPr>
              <w:pStyle w:val="296"/>
              <w:adjustRightInd w:val="0"/>
              <w:snapToGrid w:val="0"/>
              <w:rPr>
                <w:rFonts w:hint="eastAsia"/>
                <w:color w:val="auto"/>
              </w:rPr>
            </w:pPr>
            <w:r>
              <w:rPr>
                <w:rFonts w:hint="eastAsia"/>
                <w:color w:val="auto"/>
              </w:rPr>
              <w:t>15</w:t>
            </w:r>
          </w:p>
        </w:tc>
        <w:tc>
          <w:tcPr>
            <w:tcW w:w="595" w:type="pct"/>
            <w:vAlign w:val="center"/>
          </w:tcPr>
          <w:p w14:paraId="6589FFA6">
            <w:pPr>
              <w:pStyle w:val="296"/>
              <w:adjustRightInd w:val="0"/>
              <w:snapToGrid w:val="0"/>
              <w:rPr>
                <w:rFonts w:hint="eastAsia"/>
                <w:color w:val="auto"/>
              </w:rPr>
            </w:pPr>
            <w:r>
              <w:rPr>
                <w:rFonts w:hint="eastAsia"/>
                <w:color w:val="auto"/>
              </w:rPr>
              <w:t>1</w:t>
            </w:r>
          </w:p>
        </w:tc>
        <w:tc>
          <w:tcPr>
            <w:tcW w:w="595" w:type="pct"/>
            <w:vMerge w:val="continue"/>
            <w:tcMar>
              <w:left w:w="0" w:type="dxa"/>
              <w:right w:w="0" w:type="dxa"/>
            </w:tcMar>
            <w:vAlign w:val="center"/>
          </w:tcPr>
          <w:p w14:paraId="7A217B43">
            <w:pPr>
              <w:pStyle w:val="296"/>
              <w:adjustRightInd w:val="0"/>
              <w:snapToGrid w:val="0"/>
              <w:rPr>
                <w:rFonts w:hint="eastAsia"/>
                <w:color w:val="auto"/>
              </w:rPr>
            </w:pPr>
          </w:p>
        </w:tc>
        <w:tc>
          <w:tcPr>
            <w:tcW w:w="446" w:type="pct"/>
            <w:tcMar>
              <w:left w:w="0" w:type="dxa"/>
              <w:right w:w="0" w:type="dxa"/>
            </w:tcMar>
            <w:vAlign w:val="center"/>
          </w:tcPr>
          <w:p w14:paraId="7182B21F">
            <w:pPr>
              <w:pStyle w:val="296"/>
              <w:adjustRightInd w:val="0"/>
              <w:snapToGrid w:val="0"/>
              <w:rPr>
                <w:rFonts w:hint="eastAsia"/>
                <w:color w:val="auto"/>
              </w:rPr>
            </w:pPr>
            <w:r>
              <w:rPr>
                <w:rFonts w:hint="eastAsia"/>
                <w:color w:val="auto"/>
              </w:rPr>
              <w:t>间歇</w:t>
            </w:r>
          </w:p>
        </w:tc>
        <w:tc>
          <w:tcPr>
            <w:tcW w:w="448" w:type="pct"/>
            <w:tcMar>
              <w:left w:w="0" w:type="dxa"/>
              <w:right w:w="0" w:type="dxa"/>
            </w:tcMar>
            <w:vAlign w:val="center"/>
          </w:tcPr>
          <w:p w14:paraId="3DF847F9">
            <w:pPr>
              <w:pStyle w:val="296"/>
              <w:adjustRightInd w:val="0"/>
              <w:snapToGrid w:val="0"/>
              <w:rPr>
                <w:rFonts w:hint="eastAsia"/>
                <w:color w:val="auto"/>
              </w:rPr>
            </w:pPr>
            <w:r>
              <w:rPr>
                <w:rFonts w:hint="eastAsia"/>
                <w:color w:val="auto"/>
              </w:rPr>
              <w:t>机械</w:t>
            </w:r>
          </w:p>
        </w:tc>
      </w:tr>
      <w:tr w14:paraId="3C21C7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3" w:type="pct"/>
            <w:vMerge w:val="continue"/>
            <w:tcBorders>
              <w:right w:val="single" w:color="auto" w:sz="4" w:space="0"/>
            </w:tcBorders>
            <w:tcMar>
              <w:left w:w="0" w:type="dxa"/>
              <w:right w:w="0" w:type="dxa"/>
            </w:tcMar>
            <w:vAlign w:val="center"/>
          </w:tcPr>
          <w:p w14:paraId="59C04F1C">
            <w:pPr>
              <w:pStyle w:val="296"/>
              <w:adjustRightInd w:val="0"/>
              <w:snapToGrid w:val="0"/>
              <w:rPr>
                <w:rFonts w:hint="eastAsia"/>
                <w:color w:val="auto"/>
              </w:rPr>
            </w:pPr>
          </w:p>
        </w:tc>
        <w:tc>
          <w:tcPr>
            <w:tcW w:w="426" w:type="pct"/>
            <w:vMerge w:val="continue"/>
            <w:tcBorders>
              <w:left w:val="single" w:color="auto" w:sz="4" w:space="0"/>
            </w:tcBorders>
            <w:tcMar>
              <w:left w:w="0" w:type="dxa"/>
              <w:right w:w="0" w:type="dxa"/>
            </w:tcMar>
            <w:vAlign w:val="center"/>
          </w:tcPr>
          <w:p w14:paraId="41A7D6B0">
            <w:pPr>
              <w:pStyle w:val="296"/>
              <w:adjustRightInd w:val="0"/>
              <w:snapToGrid w:val="0"/>
              <w:rPr>
                <w:rFonts w:hint="eastAsia"/>
                <w:color w:val="auto"/>
              </w:rPr>
            </w:pPr>
          </w:p>
        </w:tc>
        <w:tc>
          <w:tcPr>
            <w:tcW w:w="406" w:type="pct"/>
            <w:tcMar>
              <w:left w:w="0" w:type="dxa"/>
              <w:right w:w="0" w:type="dxa"/>
            </w:tcMar>
            <w:vAlign w:val="center"/>
          </w:tcPr>
          <w:p w14:paraId="5EE3FEE5">
            <w:pPr>
              <w:pStyle w:val="296"/>
              <w:adjustRightInd w:val="0"/>
              <w:snapToGrid w:val="0"/>
              <w:rPr>
                <w:rFonts w:hint="eastAsia"/>
                <w:snapToGrid w:val="0"/>
                <w:color w:val="auto"/>
              </w:rPr>
            </w:pPr>
            <w:r>
              <w:rPr>
                <w:rFonts w:hint="eastAsia"/>
                <w:snapToGrid w:val="0"/>
                <w:color w:val="auto"/>
              </w:rPr>
              <w:t>燃气发电机</w:t>
            </w:r>
          </w:p>
        </w:tc>
        <w:tc>
          <w:tcPr>
            <w:tcW w:w="670" w:type="pct"/>
            <w:tcMar>
              <w:left w:w="0" w:type="dxa"/>
              <w:right w:w="0" w:type="dxa"/>
            </w:tcMar>
            <w:vAlign w:val="center"/>
          </w:tcPr>
          <w:p w14:paraId="6BB672AD">
            <w:pPr>
              <w:pStyle w:val="296"/>
              <w:adjustRightInd w:val="0"/>
              <w:snapToGrid w:val="0"/>
              <w:rPr>
                <w:rFonts w:hint="eastAsia"/>
                <w:color w:val="auto"/>
              </w:rPr>
            </w:pPr>
            <w:r>
              <w:rPr>
                <w:rFonts w:hint="eastAsia"/>
                <w:color w:val="auto"/>
              </w:rPr>
              <w:t>85～9</w:t>
            </w:r>
            <w:r>
              <w:rPr>
                <w:color w:val="auto"/>
              </w:rPr>
              <w:t>0</w:t>
            </w:r>
          </w:p>
        </w:tc>
        <w:tc>
          <w:tcPr>
            <w:tcW w:w="595" w:type="pct"/>
            <w:vAlign w:val="center"/>
          </w:tcPr>
          <w:p w14:paraId="515A4EBB">
            <w:pPr>
              <w:pStyle w:val="296"/>
              <w:adjustRightInd w:val="0"/>
              <w:snapToGrid w:val="0"/>
              <w:rPr>
                <w:rFonts w:hint="eastAsia"/>
                <w:color w:val="auto"/>
              </w:rPr>
            </w:pPr>
            <w:r>
              <w:rPr>
                <w:rFonts w:hint="eastAsia"/>
                <w:color w:val="auto"/>
              </w:rPr>
              <w:t>68</w:t>
            </w:r>
          </w:p>
        </w:tc>
        <w:tc>
          <w:tcPr>
            <w:tcW w:w="595" w:type="pct"/>
            <w:vAlign w:val="center"/>
          </w:tcPr>
          <w:p w14:paraId="108B4DC1">
            <w:pPr>
              <w:pStyle w:val="296"/>
              <w:adjustRightInd w:val="0"/>
              <w:snapToGrid w:val="0"/>
              <w:rPr>
                <w:rFonts w:hint="eastAsia"/>
                <w:color w:val="auto"/>
              </w:rPr>
            </w:pPr>
            <w:r>
              <w:rPr>
                <w:rFonts w:hint="eastAsia"/>
                <w:color w:val="auto"/>
              </w:rPr>
              <w:t>23</w:t>
            </w:r>
          </w:p>
        </w:tc>
        <w:tc>
          <w:tcPr>
            <w:tcW w:w="595" w:type="pct"/>
            <w:vAlign w:val="center"/>
          </w:tcPr>
          <w:p w14:paraId="4B329538">
            <w:pPr>
              <w:pStyle w:val="296"/>
              <w:adjustRightInd w:val="0"/>
              <w:snapToGrid w:val="0"/>
              <w:rPr>
                <w:rFonts w:hint="eastAsia"/>
                <w:color w:val="auto"/>
              </w:rPr>
            </w:pPr>
            <w:r>
              <w:rPr>
                <w:rFonts w:hint="eastAsia"/>
                <w:color w:val="auto"/>
              </w:rPr>
              <w:t>0.5</w:t>
            </w:r>
          </w:p>
        </w:tc>
        <w:tc>
          <w:tcPr>
            <w:tcW w:w="595" w:type="pct"/>
            <w:vMerge w:val="continue"/>
            <w:tcMar>
              <w:left w:w="0" w:type="dxa"/>
              <w:right w:w="0" w:type="dxa"/>
            </w:tcMar>
            <w:vAlign w:val="center"/>
          </w:tcPr>
          <w:p w14:paraId="6E935058">
            <w:pPr>
              <w:pStyle w:val="296"/>
              <w:adjustRightInd w:val="0"/>
              <w:snapToGrid w:val="0"/>
              <w:rPr>
                <w:rFonts w:hint="eastAsia"/>
                <w:color w:val="auto"/>
              </w:rPr>
            </w:pPr>
          </w:p>
        </w:tc>
        <w:tc>
          <w:tcPr>
            <w:tcW w:w="446" w:type="pct"/>
            <w:tcMar>
              <w:left w:w="0" w:type="dxa"/>
              <w:right w:w="0" w:type="dxa"/>
            </w:tcMar>
            <w:vAlign w:val="center"/>
          </w:tcPr>
          <w:p w14:paraId="247E395B">
            <w:pPr>
              <w:pStyle w:val="296"/>
              <w:adjustRightInd w:val="0"/>
              <w:snapToGrid w:val="0"/>
              <w:rPr>
                <w:rFonts w:hint="eastAsia"/>
                <w:color w:val="auto"/>
              </w:rPr>
            </w:pPr>
            <w:r>
              <w:rPr>
                <w:rFonts w:hint="eastAsia"/>
                <w:color w:val="auto"/>
              </w:rPr>
              <w:t>连续</w:t>
            </w:r>
          </w:p>
        </w:tc>
        <w:tc>
          <w:tcPr>
            <w:tcW w:w="448" w:type="pct"/>
            <w:tcMar>
              <w:left w:w="0" w:type="dxa"/>
              <w:right w:w="0" w:type="dxa"/>
            </w:tcMar>
            <w:vAlign w:val="center"/>
          </w:tcPr>
          <w:p w14:paraId="196B156D">
            <w:pPr>
              <w:pStyle w:val="296"/>
              <w:adjustRightInd w:val="0"/>
              <w:snapToGrid w:val="0"/>
              <w:rPr>
                <w:rFonts w:hint="eastAsia"/>
                <w:color w:val="auto"/>
              </w:rPr>
            </w:pPr>
            <w:r>
              <w:rPr>
                <w:rFonts w:hint="eastAsia"/>
                <w:color w:val="auto"/>
              </w:rPr>
              <w:t>机械</w:t>
            </w:r>
          </w:p>
        </w:tc>
      </w:tr>
      <w:tr w14:paraId="7D8557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3" w:type="pct"/>
            <w:vMerge w:val="continue"/>
            <w:tcBorders>
              <w:right w:val="single" w:color="auto" w:sz="4" w:space="0"/>
            </w:tcBorders>
            <w:tcMar>
              <w:left w:w="0" w:type="dxa"/>
              <w:right w:w="0" w:type="dxa"/>
            </w:tcMar>
            <w:vAlign w:val="center"/>
          </w:tcPr>
          <w:p w14:paraId="76EA5A01">
            <w:pPr>
              <w:pStyle w:val="296"/>
              <w:adjustRightInd w:val="0"/>
              <w:snapToGrid w:val="0"/>
              <w:rPr>
                <w:rFonts w:hint="eastAsia"/>
                <w:color w:val="auto"/>
              </w:rPr>
            </w:pPr>
          </w:p>
        </w:tc>
        <w:tc>
          <w:tcPr>
            <w:tcW w:w="426" w:type="pct"/>
            <w:vMerge w:val="continue"/>
            <w:tcBorders>
              <w:left w:val="single" w:color="auto" w:sz="4" w:space="0"/>
            </w:tcBorders>
            <w:tcMar>
              <w:left w:w="0" w:type="dxa"/>
              <w:right w:w="0" w:type="dxa"/>
            </w:tcMar>
            <w:vAlign w:val="center"/>
          </w:tcPr>
          <w:p w14:paraId="178BD80B">
            <w:pPr>
              <w:pStyle w:val="296"/>
              <w:adjustRightInd w:val="0"/>
              <w:snapToGrid w:val="0"/>
              <w:rPr>
                <w:rFonts w:hint="eastAsia"/>
                <w:color w:val="auto"/>
              </w:rPr>
            </w:pPr>
          </w:p>
        </w:tc>
        <w:tc>
          <w:tcPr>
            <w:tcW w:w="406" w:type="pct"/>
            <w:tcMar>
              <w:left w:w="0" w:type="dxa"/>
              <w:right w:w="0" w:type="dxa"/>
            </w:tcMar>
            <w:vAlign w:val="center"/>
          </w:tcPr>
          <w:p w14:paraId="6AEBE540">
            <w:pPr>
              <w:pStyle w:val="296"/>
              <w:adjustRightInd w:val="0"/>
              <w:snapToGrid w:val="0"/>
              <w:rPr>
                <w:rFonts w:hint="eastAsia"/>
                <w:snapToGrid w:val="0"/>
                <w:color w:val="auto"/>
              </w:rPr>
            </w:pPr>
            <w:r>
              <w:rPr>
                <w:rFonts w:hint="eastAsia"/>
                <w:snapToGrid w:val="0"/>
                <w:color w:val="auto"/>
              </w:rPr>
              <w:t>电加热炉</w:t>
            </w:r>
          </w:p>
        </w:tc>
        <w:tc>
          <w:tcPr>
            <w:tcW w:w="670" w:type="pct"/>
            <w:tcMar>
              <w:left w:w="0" w:type="dxa"/>
              <w:right w:w="0" w:type="dxa"/>
            </w:tcMar>
            <w:vAlign w:val="center"/>
          </w:tcPr>
          <w:p w14:paraId="76C6BE7C">
            <w:pPr>
              <w:pStyle w:val="296"/>
              <w:adjustRightInd w:val="0"/>
              <w:snapToGrid w:val="0"/>
              <w:rPr>
                <w:rFonts w:hint="eastAsia"/>
                <w:color w:val="auto"/>
              </w:rPr>
            </w:pPr>
            <w:r>
              <w:rPr>
                <w:rFonts w:hint="eastAsia"/>
                <w:color w:val="auto"/>
              </w:rPr>
              <w:t>75～9</w:t>
            </w:r>
            <w:r>
              <w:rPr>
                <w:color w:val="auto"/>
              </w:rPr>
              <w:t>0</w:t>
            </w:r>
          </w:p>
        </w:tc>
        <w:tc>
          <w:tcPr>
            <w:tcW w:w="595" w:type="pct"/>
            <w:vAlign w:val="center"/>
          </w:tcPr>
          <w:p w14:paraId="41868D2A">
            <w:pPr>
              <w:pStyle w:val="296"/>
              <w:adjustRightInd w:val="0"/>
              <w:snapToGrid w:val="0"/>
              <w:rPr>
                <w:rFonts w:hint="eastAsia"/>
                <w:color w:val="auto"/>
              </w:rPr>
            </w:pPr>
            <w:r>
              <w:rPr>
                <w:rFonts w:hint="eastAsia"/>
                <w:color w:val="auto"/>
              </w:rPr>
              <w:t>67</w:t>
            </w:r>
          </w:p>
        </w:tc>
        <w:tc>
          <w:tcPr>
            <w:tcW w:w="595" w:type="pct"/>
            <w:vAlign w:val="center"/>
          </w:tcPr>
          <w:p w14:paraId="61E2504F">
            <w:pPr>
              <w:pStyle w:val="296"/>
              <w:adjustRightInd w:val="0"/>
              <w:snapToGrid w:val="0"/>
              <w:rPr>
                <w:rFonts w:hint="eastAsia"/>
                <w:color w:val="auto"/>
              </w:rPr>
            </w:pPr>
            <w:r>
              <w:rPr>
                <w:rFonts w:hint="eastAsia"/>
                <w:color w:val="auto"/>
              </w:rPr>
              <w:t>48</w:t>
            </w:r>
          </w:p>
        </w:tc>
        <w:tc>
          <w:tcPr>
            <w:tcW w:w="595" w:type="pct"/>
            <w:vAlign w:val="center"/>
          </w:tcPr>
          <w:p w14:paraId="422FCE8D">
            <w:pPr>
              <w:pStyle w:val="296"/>
              <w:adjustRightInd w:val="0"/>
              <w:snapToGrid w:val="0"/>
              <w:rPr>
                <w:rFonts w:hint="eastAsia"/>
                <w:color w:val="auto"/>
              </w:rPr>
            </w:pPr>
            <w:r>
              <w:rPr>
                <w:rFonts w:hint="eastAsia"/>
                <w:color w:val="auto"/>
              </w:rPr>
              <w:t>0.5</w:t>
            </w:r>
          </w:p>
        </w:tc>
        <w:tc>
          <w:tcPr>
            <w:tcW w:w="595" w:type="pct"/>
            <w:vMerge w:val="continue"/>
            <w:tcMar>
              <w:left w:w="0" w:type="dxa"/>
              <w:right w:w="0" w:type="dxa"/>
            </w:tcMar>
            <w:vAlign w:val="center"/>
          </w:tcPr>
          <w:p w14:paraId="3F13C79F">
            <w:pPr>
              <w:pStyle w:val="296"/>
              <w:adjustRightInd w:val="0"/>
              <w:snapToGrid w:val="0"/>
              <w:rPr>
                <w:rFonts w:hint="eastAsia"/>
                <w:color w:val="auto"/>
              </w:rPr>
            </w:pPr>
          </w:p>
        </w:tc>
        <w:tc>
          <w:tcPr>
            <w:tcW w:w="446" w:type="pct"/>
            <w:tcMar>
              <w:left w:w="0" w:type="dxa"/>
              <w:right w:w="0" w:type="dxa"/>
            </w:tcMar>
            <w:vAlign w:val="center"/>
          </w:tcPr>
          <w:p w14:paraId="74DDF4C7">
            <w:pPr>
              <w:pStyle w:val="296"/>
              <w:adjustRightInd w:val="0"/>
              <w:snapToGrid w:val="0"/>
              <w:rPr>
                <w:rFonts w:hint="eastAsia"/>
                <w:color w:val="auto"/>
              </w:rPr>
            </w:pPr>
            <w:r>
              <w:rPr>
                <w:rFonts w:hint="eastAsia"/>
                <w:color w:val="auto"/>
              </w:rPr>
              <w:t>连续</w:t>
            </w:r>
          </w:p>
        </w:tc>
        <w:tc>
          <w:tcPr>
            <w:tcW w:w="448" w:type="pct"/>
            <w:tcMar>
              <w:left w:w="0" w:type="dxa"/>
              <w:right w:w="0" w:type="dxa"/>
            </w:tcMar>
            <w:vAlign w:val="center"/>
          </w:tcPr>
          <w:p w14:paraId="02046438">
            <w:pPr>
              <w:pStyle w:val="296"/>
              <w:adjustRightInd w:val="0"/>
              <w:snapToGrid w:val="0"/>
              <w:rPr>
                <w:rFonts w:hint="eastAsia"/>
                <w:color w:val="auto"/>
              </w:rPr>
            </w:pPr>
            <w:r>
              <w:rPr>
                <w:rFonts w:hint="eastAsia"/>
                <w:color w:val="auto"/>
              </w:rPr>
              <w:t>机械</w:t>
            </w:r>
          </w:p>
        </w:tc>
      </w:tr>
      <w:tr w14:paraId="31D5A3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3" w:type="pct"/>
            <w:vMerge w:val="continue"/>
            <w:tcBorders>
              <w:right w:val="single" w:color="auto" w:sz="4" w:space="0"/>
            </w:tcBorders>
            <w:tcMar>
              <w:left w:w="0" w:type="dxa"/>
              <w:right w:w="0" w:type="dxa"/>
            </w:tcMar>
            <w:vAlign w:val="center"/>
          </w:tcPr>
          <w:p w14:paraId="7F784C23">
            <w:pPr>
              <w:pStyle w:val="296"/>
              <w:adjustRightInd w:val="0"/>
              <w:snapToGrid w:val="0"/>
              <w:rPr>
                <w:rFonts w:hint="eastAsia"/>
                <w:color w:val="auto"/>
              </w:rPr>
            </w:pPr>
          </w:p>
        </w:tc>
        <w:tc>
          <w:tcPr>
            <w:tcW w:w="426" w:type="pct"/>
            <w:vMerge w:val="continue"/>
            <w:tcBorders>
              <w:left w:val="single" w:color="auto" w:sz="4" w:space="0"/>
            </w:tcBorders>
            <w:tcMar>
              <w:left w:w="0" w:type="dxa"/>
              <w:right w:w="0" w:type="dxa"/>
            </w:tcMar>
            <w:vAlign w:val="center"/>
          </w:tcPr>
          <w:p w14:paraId="450DD393">
            <w:pPr>
              <w:pStyle w:val="296"/>
              <w:adjustRightInd w:val="0"/>
              <w:snapToGrid w:val="0"/>
              <w:rPr>
                <w:rFonts w:hint="eastAsia"/>
                <w:color w:val="auto"/>
              </w:rPr>
            </w:pPr>
          </w:p>
        </w:tc>
        <w:tc>
          <w:tcPr>
            <w:tcW w:w="406" w:type="pct"/>
            <w:vMerge w:val="restart"/>
            <w:tcMar>
              <w:left w:w="0" w:type="dxa"/>
              <w:right w:w="0" w:type="dxa"/>
            </w:tcMar>
            <w:vAlign w:val="center"/>
          </w:tcPr>
          <w:p w14:paraId="3E7A87CB">
            <w:pPr>
              <w:pStyle w:val="296"/>
              <w:adjustRightInd w:val="0"/>
              <w:snapToGrid w:val="0"/>
              <w:rPr>
                <w:rFonts w:hint="eastAsia"/>
                <w:color w:val="auto"/>
              </w:rPr>
            </w:pPr>
            <w:r>
              <w:rPr>
                <w:rFonts w:hint="eastAsia"/>
                <w:snapToGrid w:val="0"/>
                <w:color w:val="auto"/>
              </w:rPr>
              <w:t>压缩机、机泵</w:t>
            </w:r>
          </w:p>
        </w:tc>
        <w:tc>
          <w:tcPr>
            <w:tcW w:w="670" w:type="pct"/>
            <w:vMerge w:val="restart"/>
            <w:tcMar>
              <w:left w:w="0" w:type="dxa"/>
              <w:right w:w="0" w:type="dxa"/>
            </w:tcMar>
            <w:vAlign w:val="center"/>
          </w:tcPr>
          <w:p w14:paraId="7DB844F8">
            <w:pPr>
              <w:pStyle w:val="296"/>
              <w:adjustRightInd w:val="0"/>
              <w:snapToGrid w:val="0"/>
              <w:rPr>
                <w:rFonts w:hint="eastAsia"/>
                <w:color w:val="auto"/>
              </w:rPr>
            </w:pPr>
            <w:r>
              <w:rPr>
                <w:rFonts w:hint="eastAsia"/>
                <w:color w:val="auto"/>
              </w:rPr>
              <w:t>85～9</w:t>
            </w:r>
            <w:r>
              <w:rPr>
                <w:color w:val="auto"/>
              </w:rPr>
              <w:t>0</w:t>
            </w:r>
          </w:p>
        </w:tc>
        <w:tc>
          <w:tcPr>
            <w:tcW w:w="595" w:type="pct"/>
            <w:vAlign w:val="center"/>
          </w:tcPr>
          <w:p w14:paraId="213AD036">
            <w:pPr>
              <w:pStyle w:val="296"/>
              <w:adjustRightInd w:val="0"/>
              <w:snapToGrid w:val="0"/>
              <w:rPr>
                <w:rFonts w:hint="eastAsia"/>
                <w:color w:val="auto"/>
              </w:rPr>
            </w:pPr>
            <w:r>
              <w:rPr>
                <w:rFonts w:hint="eastAsia"/>
                <w:color w:val="auto"/>
              </w:rPr>
              <w:t>5</w:t>
            </w:r>
          </w:p>
        </w:tc>
        <w:tc>
          <w:tcPr>
            <w:tcW w:w="595" w:type="pct"/>
            <w:vAlign w:val="center"/>
          </w:tcPr>
          <w:p w14:paraId="685273AB">
            <w:pPr>
              <w:pStyle w:val="296"/>
              <w:adjustRightInd w:val="0"/>
              <w:snapToGrid w:val="0"/>
              <w:rPr>
                <w:rFonts w:hint="eastAsia"/>
                <w:color w:val="auto"/>
              </w:rPr>
            </w:pPr>
            <w:r>
              <w:rPr>
                <w:rFonts w:hint="eastAsia"/>
                <w:color w:val="auto"/>
              </w:rPr>
              <w:t>3</w:t>
            </w:r>
          </w:p>
        </w:tc>
        <w:tc>
          <w:tcPr>
            <w:tcW w:w="595" w:type="pct"/>
            <w:vAlign w:val="center"/>
          </w:tcPr>
          <w:p w14:paraId="3E2C4EF9">
            <w:pPr>
              <w:pStyle w:val="296"/>
              <w:adjustRightInd w:val="0"/>
              <w:snapToGrid w:val="0"/>
              <w:rPr>
                <w:rFonts w:hint="eastAsia"/>
                <w:color w:val="auto"/>
              </w:rPr>
            </w:pPr>
            <w:r>
              <w:rPr>
                <w:rFonts w:hint="eastAsia"/>
                <w:color w:val="auto"/>
              </w:rPr>
              <w:t>1</w:t>
            </w:r>
          </w:p>
        </w:tc>
        <w:tc>
          <w:tcPr>
            <w:tcW w:w="595" w:type="pct"/>
            <w:vMerge w:val="continue"/>
            <w:tcMar>
              <w:left w:w="0" w:type="dxa"/>
              <w:right w:w="0" w:type="dxa"/>
            </w:tcMar>
            <w:vAlign w:val="center"/>
          </w:tcPr>
          <w:p w14:paraId="44DE76DB">
            <w:pPr>
              <w:pStyle w:val="296"/>
              <w:adjustRightInd w:val="0"/>
              <w:snapToGrid w:val="0"/>
              <w:rPr>
                <w:rFonts w:hint="eastAsia"/>
                <w:color w:val="auto"/>
              </w:rPr>
            </w:pPr>
          </w:p>
        </w:tc>
        <w:tc>
          <w:tcPr>
            <w:tcW w:w="446" w:type="pct"/>
            <w:tcMar>
              <w:left w:w="0" w:type="dxa"/>
              <w:right w:w="0" w:type="dxa"/>
            </w:tcMar>
            <w:vAlign w:val="center"/>
          </w:tcPr>
          <w:p w14:paraId="25828594">
            <w:pPr>
              <w:pStyle w:val="296"/>
              <w:adjustRightInd w:val="0"/>
              <w:snapToGrid w:val="0"/>
              <w:rPr>
                <w:rFonts w:hint="eastAsia"/>
                <w:color w:val="auto"/>
              </w:rPr>
            </w:pPr>
            <w:r>
              <w:rPr>
                <w:rFonts w:hint="eastAsia"/>
                <w:color w:val="auto"/>
              </w:rPr>
              <w:t>连续</w:t>
            </w:r>
          </w:p>
        </w:tc>
        <w:tc>
          <w:tcPr>
            <w:tcW w:w="448" w:type="pct"/>
            <w:tcMar>
              <w:left w:w="0" w:type="dxa"/>
              <w:right w:w="0" w:type="dxa"/>
            </w:tcMar>
            <w:vAlign w:val="center"/>
          </w:tcPr>
          <w:p w14:paraId="1B4B4653">
            <w:pPr>
              <w:pStyle w:val="296"/>
              <w:adjustRightInd w:val="0"/>
              <w:snapToGrid w:val="0"/>
              <w:rPr>
                <w:rFonts w:hint="eastAsia"/>
                <w:color w:val="auto"/>
              </w:rPr>
            </w:pPr>
            <w:r>
              <w:rPr>
                <w:rFonts w:hint="eastAsia"/>
                <w:color w:val="auto"/>
              </w:rPr>
              <w:t>机械</w:t>
            </w:r>
          </w:p>
        </w:tc>
      </w:tr>
      <w:tr w14:paraId="5226BD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3" w:type="pct"/>
            <w:vMerge w:val="continue"/>
            <w:tcBorders>
              <w:right w:val="single" w:color="auto" w:sz="4" w:space="0"/>
            </w:tcBorders>
            <w:tcMar>
              <w:left w:w="0" w:type="dxa"/>
              <w:right w:w="0" w:type="dxa"/>
            </w:tcMar>
            <w:vAlign w:val="center"/>
          </w:tcPr>
          <w:p w14:paraId="6BEFA040">
            <w:pPr>
              <w:pStyle w:val="296"/>
              <w:adjustRightInd w:val="0"/>
              <w:snapToGrid w:val="0"/>
              <w:rPr>
                <w:rFonts w:hint="eastAsia"/>
                <w:color w:val="auto"/>
              </w:rPr>
            </w:pPr>
          </w:p>
        </w:tc>
        <w:tc>
          <w:tcPr>
            <w:tcW w:w="426" w:type="pct"/>
            <w:vMerge w:val="continue"/>
            <w:tcBorders>
              <w:left w:val="single" w:color="auto" w:sz="4" w:space="0"/>
            </w:tcBorders>
            <w:tcMar>
              <w:left w:w="0" w:type="dxa"/>
              <w:right w:w="0" w:type="dxa"/>
            </w:tcMar>
            <w:vAlign w:val="center"/>
          </w:tcPr>
          <w:p w14:paraId="62E39D27">
            <w:pPr>
              <w:pStyle w:val="296"/>
              <w:adjustRightInd w:val="0"/>
              <w:snapToGrid w:val="0"/>
              <w:rPr>
                <w:rFonts w:hint="eastAsia"/>
                <w:snapToGrid w:val="0"/>
                <w:color w:val="auto"/>
              </w:rPr>
            </w:pPr>
          </w:p>
        </w:tc>
        <w:tc>
          <w:tcPr>
            <w:tcW w:w="406" w:type="pct"/>
            <w:vMerge w:val="continue"/>
            <w:tcMar>
              <w:left w:w="0" w:type="dxa"/>
              <w:right w:w="0" w:type="dxa"/>
            </w:tcMar>
            <w:vAlign w:val="center"/>
          </w:tcPr>
          <w:p w14:paraId="5110BC35">
            <w:pPr>
              <w:pStyle w:val="296"/>
              <w:adjustRightInd w:val="0"/>
              <w:snapToGrid w:val="0"/>
              <w:rPr>
                <w:rFonts w:hint="eastAsia"/>
                <w:snapToGrid w:val="0"/>
                <w:color w:val="auto"/>
              </w:rPr>
            </w:pPr>
          </w:p>
        </w:tc>
        <w:tc>
          <w:tcPr>
            <w:tcW w:w="670" w:type="pct"/>
            <w:vMerge w:val="continue"/>
            <w:tcMar>
              <w:left w:w="0" w:type="dxa"/>
              <w:right w:w="0" w:type="dxa"/>
            </w:tcMar>
            <w:vAlign w:val="center"/>
          </w:tcPr>
          <w:p w14:paraId="0A110B55">
            <w:pPr>
              <w:pStyle w:val="296"/>
              <w:adjustRightInd w:val="0"/>
              <w:snapToGrid w:val="0"/>
              <w:rPr>
                <w:rFonts w:hint="eastAsia"/>
                <w:snapToGrid w:val="0"/>
                <w:color w:val="auto"/>
              </w:rPr>
            </w:pPr>
          </w:p>
        </w:tc>
        <w:tc>
          <w:tcPr>
            <w:tcW w:w="595" w:type="pct"/>
            <w:vAlign w:val="center"/>
          </w:tcPr>
          <w:p w14:paraId="4AEC79B2">
            <w:pPr>
              <w:pStyle w:val="296"/>
              <w:adjustRightInd w:val="0"/>
              <w:snapToGrid w:val="0"/>
              <w:rPr>
                <w:rFonts w:hint="eastAsia"/>
                <w:color w:val="auto"/>
              </w:rPr>
            </w:pPr>
            <w:r>
              <w:rPr>
                <w:rFonts w:hint="eastAsia"/>
                <w:color w:val="auto"/>
              </w:rPr>
              <w:t>4</w:t>
            </w:r>
          </w:p>
        </w:tc>
        <w:tc>
          <w:tcPr>
            <w:tcW w:w="595" w:type="pct"/>
            <w:vAlign w:val="center"/>
          </w:tcPr>
          <w:p w14:paraId="6D0575E2">
            <w:pPr>
              <w:pStyle w:val="296"/>
              <w:adjustRightInd w:val="0"/>
              <w:snapToGrid w:val="0"/>
              <w:rPr>
                <w:rFonts w:hint="eastAsia"/>
                <w:color w:val="auto"/>
              </w:rPr>
            </w:pPr>
            <w:r>
              <w:rPr>
                <w:rFonts w:hint="eastAsia"/>
                <w:color w:val="auto"/>
              </w:rPr>
              <w:t>6</w:t>
            </w:r>
          </w:p>
        </w:tc>
        <w:tc>
          <w:tcPr>
            <w:tcW w:w="595" w:type="pct"/>
            <w:vAlign w:val="center"/>
          </w:tcPr>
          <w:p w14:paraId="05883F3D">
            <w:pPr>
              <w:pStyle w:val="296"/>
              <w:adjustRightInd w:val="0"/>
              <w:snapToGrid w:val="0"/>
              <w:rPr>
                <w:rFonts w:hint="eastAsia"/>
                <w:color w:val="auto"/>
              </w:rPr>
            </w:pPr>
            <w:r>
              <w:rPr>
                <w:rFonts w:hint="eastAsia"/>
                <w:color w:val="auto"/>
              </w:rPr>
              <w:t>1</w:t>
            </w:r>
          </w:p>
        </w:tc>
        <w:tc>
          <w:tcPr>
            <w:tcW w:w="595" w:type="pct"/>
            <w:vMerge w:val="continue"/>
            <w:tcMar>
              <w:left w:w="0" w:type="dxa"/>
              <w:right w:w="0" w:type="dxa"/>
            </w:tcMar>
            <w:vAlign w:val="center"/>
          </w:tcPr>
          <w:p w14:paraId="56EEBC6F">
            <w:pPr>
              <w:pStyle w:val="296"/>
              <w:adjustRightInd w:val="0"/>
              <w:snapToGrid w:val="0"/>
              <w:rPr>
                <w:rFonts w:hint="eastAsia"/>
                <w:color w:val="auto"/>
              </w:rPr>
            </w:pPr>
          </w:p>
        </w:tc>
        <w:tc>
          <w:tcPr>
            <w:tcW w:w="446" w:type="pct"/>
            <w:tcMar>
              <w:left w:w="0" w:type="dxa"/>
              <w:right w:w="0" w:type="dxa"/>
            </w:tcMar>
            <w:vAlign w:val="center"/>
          </w:tcPr>
          <w:p w14:paraId="1FBFCDC9">
            <w:pPr>
              <w:pStyle w:val="296"/>
              <w:adjustRightInd w:val="0"/>
              <w:snapToGrid w:val="0"/>
              <w:rPr>
                <w:rFonts w:hint="eastAsia"/>
                <w:color w:val="auto"/>
              </w:rPr>
            </w:pPr>
            <w:r>
              <w:rPr>
                <w:rFonts w:hint="eastAsia"/>
                <w:color w:val="auto"/>
              </w:rPr>
              <w:t>连续</w:t>
            </w:r>
          </w:p>
        </w:tc>
        <w:tc>
          <w:tcPr>
            <w:tcW w:w="448" w:type="pct"/>
            <w:tcMar>
              <w:left w:w="0" w:type="dxa"/>
              <w:right w:w="0" w:type="dxa"/>
            </w:tcMar>
            <w:vAlign w:val="center"/>
          </w:tcPr>
          <w:p w14:paraId="1C465B3C">
            <w:pPr>
              <w:pStyle w:val="296"/>
              <w:adjustRightInd w:val="0"/>
              <w:snapToGrid w:val="0"/>
              <w:rPr>
                <w:rFonts w:hint="eastAsia"/>
                <w:color w:val="auto"/>
              </w:rPr>
            </w:pPr>
            <w:r>
              <w:rPr>
                <w:rFonts w:hint="eastAsia"/>
                <w:color w:val="auto"/>
              </w:rPr>
              <w:t>机械</w:t>
            </w:r>
          </w:p>
        </w:tc>
      </w:tr>
      <w:tr w14:paraId="12C665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3" w:type="pct"/>
            <w:tcBorders>
              <w:right w:val="single" w:color="auto" w:sz="4" w:space="0"/>
            </w:tcBorders>
            <w:tcMar>
              <w:left w:w="0" w:type="dxa"/>
              <w:right w:w="0" w:type="dxa"/>
            </w:tcMar>
            <w:vAlign w:val="center"/>
          </w:tcPr>
          <w:p w14:paraId="48BFFE4F">
            <w:pPr>
              <w:adjustRightInd w:val="0"/>
              <w:snapToGrid w:val="0"/>
              <w:spacing w:line="300" w:lineRule="atLeast"/>
              <w:jc w:val="center"/>
              <w:rPr>
                <w:rFonts w:hint="eastAsia" w:ascii="宋体" w:hAnsi="宋体"/>
                <w:color w:val="auto"/>
              </w:rPr>
            </w:pPr>
            <w:r>
              <w:rPr>
                <w:rFonts w:hint="eastAsia" w:ascii="宋体" w:hAnsi="宋体"/>
                <w:color w:val="auto"/>
              </w:rPr>
              <w:t>4</w:t>
            </w:r>
          </w:p>
        </w:tc>
        <w:tc>
          <w:tcPr>
            <w:tcW w:w="426" w:type="pct"/>
            <w:tcBorders>
              <w:left w:val="single" w:color="auto" w:sz="4" w:space="0"/>
            </w:tcBorders>
            <w:tcMar>
              <w:left w:w="0" w:type="dxa"/>
              <w:right w:w="0" w:type="dxa"/>
            </w:tcMar>
            <w:vAlign w:val="center"/>
          </w:tcPr>
          <w:p w14:paraId="088C06E0">
            <w:pPr>
              <w:adjustRightInd w:val="0"/>
              <w:snapToGrid w:val="0"/>
              <w:spacing w:line="300" w:lineRule="atLeast"/>
              <w:jc w:val="center"/>
              <w:rPr>
                <w:rFonts w:hint="eastAsia" w:ascii="宋体" w:hAnsi="宋体"/>
                <w:color w:val="auto"/>
              </w:rPr>
            </w:pPr>
            <w:r>
              <w:rPr>
                <w:rFonts w:hint="eastAsia" w:ascii="宋体" w:hAnsi="宋体"/>
                <w:color w:val="auto"/>
              </w:rPr>
              <w:t>巡检车辆</w:t>
            </w:r>
          </w:p>
        </w:tc>
        <w:tc>
          <w:tcPr>
            <w:tcW w:w="406" w:type="pct"/>
            <w:tcMar>
              <w:left w:w="0" w:type="dxa"/>
              <w:right w:w="0" w:type="dxa"/>
            </w:tcMar>
            <w:vAlign w:val="center"/>
          </w:tcPr>
          <w:p w14:paraId="7EF0819C">
            <w:pPr>
              <w:adjustRightInd w:val="0"/>
              <w:snapToGrid w:val="0"/>
              <w:spacing w:line="300" w:lineRule="atLeast"/>
              <w:jc w:val="center"/>
              <w:rPr>
                <w:rFonts w:hint="eastAsia" w:ascii="宋体" w:hAnsi="宋体"/>
                <w:color w:val="auto"/>
              </w:rPr>
            </w:pPr>
            <w:r>
              <w:rPr>
                <w:rFonts w:hint="eastAsia" w:ascii="宋体" w:hAnsi="宋体"/>
                <w:color w:val="auto"/>
              </w:rPr>
              <w:t>交通噪声</w:t>
            </w:r>
          </w:p>
        </w:tc>
        <w:tc>
          <w:tcPr>
            <w:tcW w:w="670" w:type="pct"/>
            <w:tcMar>
              <w:left w:w="0" w:type="dxa"/>
              <w:right w:w="0" w:type="dxa"/>
            </w:tcMar>
            <w:vAlign w:val="center"/>
          </w:tcPr>
          <w:p w14:paraId="6BA92D63">
            <w:pPr>
              <w:adjustRightInd w:val="0"/>
              <w:snapToGrid w:val="0"/>
              <w:spacing w:line="300" w:lineRule="atLeast"/>
              <w:jc w:val="center"/>
              <w:rPr>
                <w:rFonts w:hint="eastAsia" w:ascii="宋体" w:hAnsi="宋体"/>
                <w:color w:val="auto"/>
              </w:rPr>
            </w:pPr>
            <w:r>
              <w:rPr>
                <w:rFonts w:ascii="宋体" w:hAnsi="宋体"/>
                <w:color w:val="auto"/>
              </w:rPr>
              <w:t>60～90</w:t>
            </w:r>
          </w:p>
        </w:tc>
        <w:tc>
          <w:tcPr>
            <w:tcW w:w="1785" w:type="pct"/>
            <w:gridSpan w:val="3"/>
            <w:vAlign w:val="center"/>
          </w:tcPr>
          <w:p w14:paraId="543F2893">
            <w:pPr>
              <w:pStyle w:val="296"/>
              <w:adjustRightInd w:val="0"/>
              <w:snapToGrid w:val="0"/>
              <w:rPr>
                <w:rFonts w:hint="eastAsia"/>
                <w:color w:val="auto"/>
              </w:rPr>
            </w:pPr>
            <w:r>
              <w:rPr>
                <w:rFonts w:hint="eastAsia"/>
                <w:color w:val="auto"/>
              </w:rPr>
              <w:t>/</w:t>
            </w:r>
          </w:p>
        </w:tc>
        <w:tc>
          <w:tcPr>
            <w:tcW w:w="595" w:type="pct"/>
            <w:tcMar>
              <w:left w:w="0" w:type="dxa"/>
              <w:right w:w="0" w:type="dxa"/>
            </w:tcMar>
            <w:vAlign w:val="center"/>
          </w:tcPr>
          <w:p w14:paraId="160461C0">
            <w:pPr>
              <w:pStyle w:val="296"/>
              <w:adjustRightInd w:val="0"/>
              <w:snapToGrid w:val="0"/>
              <w:rPr>
                <w:rFonts w:hint="eastAsia"/>
                <w:color w:val="auto"/>
              </w:rPr>
            </w:pPr>
            <w:r>
              <w:rPr>
                <w:rFonts w:hint="eastAsia"/>
                <w:color w:val="auto"/>
              </w:rPr>
              <w:t>禁止随意鸣笛</w:t>
            </w:r>
          </w:p>
        </w:tc>
        <w:tc>
          <w:tcPr>
            <w:tcW w:w="446" w:type="pct"/>
            <w:tcMar>
              <w:left w:w="0" w:type="dxa"/>
              <w:right w:w="0" w:type="dxa"/>
            </w:tcMar>
            <w:vAlign w:val="center"/>
          </w:tcPr>
          <w:p w14:paraId="4126CE21">
            <w:pPr>
              <w:pStyle w:val="296"/>
              <w:adjustRightInd w:val="0"/>
              <w:snapToGrid w:val="0"/>
              <w:rPr>
                <w:rFonts w:hint="eastAsia"/>
                <w:color w:val="auto"/>
              </w:rPr>
            </w:pPr>
            <w:r>
              <w:rPr>
                <w:rFonts w:hint="eastAsia"/>
                <w:color w:val="auto"/>
              </w:rPr>
              <w:t>间歇</w:t>
            </w:r>
          </w:p>
        </w:tc>
        <w:tc>
          <w:tcPr>
            <w:tcW w:w="448" w:type="pct"/>
            <w:tcMar>
              <w:left w:w="0" w:type="dxa"/>
              <w:right w:w="0" w:type="dxa"/>
            </w:tcMar>
            <w:vAlign w:val="center"/>
          </w:tcPr>
          <w:p w14:paraId="08BE977E">
            <w:pPr>
              <w:pStyle w:val="296"/>
              <w:adjustRightInd w:val="0"/>
              <w:snapToGrid w:val="0"/>
              <w:rPr>
                <w:rFonts w:hint="eastAsia"/>
                <w:color w:val="auto"/>
              </w:rPr>
            </w:pPr>
            <w:r>
              <w:rPr>
                <w:rFonts w:hint="eastAsia"/>
                <w:color w:val="auto"/>
              </w:rPr>
              <w:t>机械</w:t>
            </w:r>
          </w:p>
        </w:tc>
      </w:tr>
      <w:bookmarkEnd w:id="305"/>
    </w:tbl>
    <w:p w14:paraId="60320B6A">
      <w:pPr>
        <w:adjustRightInd w:val="0"/>
        <w:snapToGrid w:val="0"/>
        <w:spacing w:line="500" w:lineRule="exact"/>
        <w:ind w:firstLine="480" w:firstLineChars="200"/>
        <w:jc w:val="left"/>
        <w:textAlignment w:val="baseline"/>
        <w:rPr>
          <w:rFonts w:hint="eastAsia" w:ascii="宋体" w:hAnsi="宋体"/>
          <w:color w:val="auto"/>
          <w:kern w:val="0"/>
          <w:sz w:val="24"/>
        </w:rPr>
      </w:pPr>
      <w:r>
        <w:rPr>
          <w:rFonts w:hint="eastAsia" w:ascii="宋体" w:hAnsi="宋体"/>
          <w:color w:val="auto"/>
          <w:kern w:val="0"/>
          <w:sz w:val="24"/>
        </w:rPr>
        <w:t>（4）固体废物</w:t>
      </w:r>
    </w:p>
    <w:p w14:paraId="7AECC8C1">
      <w:pPr>
        <w:pStyle w:val="86"/>
        <w:ind w:firstLine="480"/>
        <w:rPr>
          <w:rFonts w:hint="eastAsia" w:cs="宋体"/>
          <w:color w:val="auto"/>
          <w:lang w:val="zh-CN"/>
        </w:rPr>
      </w:pPr>
      <w:r>
        <w:rPr>
          <w:rFonts w:hint="eastAsia" w:cs="宋体"/>
          <w:color w:val="auto"/>
          <w:lang w:val="zh-CN"/>
        </w:rPr>
        <w:t>运营期无一般工业固体废物产生，固体废物主要为危险废物（清罐底泥、废分子筛、废滤料、废润滑油、废润滑油桶、沾油废防渗材料、废含油抹布及劳保用品）和生活垃圾。</w:t>
      </w:r>
    </w:p>
    <w:p w14:paraId="68DE9FDA">
      <w:pPr>
        <w:pStyle w:val="86"/>
        <w:ind w:firstLine="480"/>
        <w:rPr>
          <w:rFonts w:hint="eastAsia" w:cs="宋体"/>
          <w:color w:val="auto"/>
          <w:lang w:val="zh-CN"/>
        </w:rPr>
      </w:pPr>
      <w:bookmarkStart w:id="306" w:name="_Hlk129333126"/>
      <w:r>
        <w:rPr>
          <w:rFonts w:hint="eastAsia" w:cs="宋体"/>
          <w:color w:val="auto"/>
          <w:lang w:val="zh-CN"/>
        </w:rPr>
        <w:t>①清罐底泥</w:t>
      </w:r>
    </w:p>
    <w:p w14:paraId="3FA76542">
      <w:pPr>
        <w:pStyle w:val="86"/>
        <w:ind w:firstLine="480"/>
        <w:rPr>
          <w:rFonts w:hint="eastAsia" w:cs="宋体"/>
          <w:color w:val="auto"/>
          <w:lang w:val="zh-CN"/>
        </w:rPr>
      </w:pPr>
      <w:r>
        <w:rPr>
          <w:rFonts w:hint="eastAsia" w:cs="宋体"/>
          <w:color w:val="auto"/>
          <w:lang w:val="zh-CN"/>
        </w:rPr>
        <w:t>储油罐需定期清罐，清罐过程中会产生一定的清罐底泥，目前无相应的源强核算技术指南，本次参照《排放源统计调查产排污核算方法和系数手册》（2021年第24号）中的《工业源产排污核算方法和系数手册》-07石油和天然气开采行业系数手册——非稠油检修清罐、管线刺漏、晒水隔油池等清淤环节含油污泥产污系数（90.76t/10</w:t>
      </w:r>
      <w:r>
        <w:rPr>
          <w:rFonts w:hint="eastAsia" w:cs="宋体"/>
          <w:color w:val="auto"/>
          <w:vertAlign w:val="superscript"/>
          <w:lang w:val="zh-CN"/>
        </w:rPr>
        <w:t>4</w:t>
      </w:r>
      <w:r>
        <w:rPr>
          <w:rFonts w:hint="eastAsia" w:cs="宋体"/>
          <w:color w:val="auto"/>
          <w:lang w:val="zh-CN"/>
        </w:rPr>
        <w:t>t产品）来核算清罐底泥的产生量，原油产量为</w:t>
      </w:r>
      <w:r>
        <w:rPr>
          <w:rFonts w:hint="eastAsia" w:cs="宋体"/>
          <w:color w:val="auto"/>
        </w:rPr>
        <w:t>22770</w:t>
      </w:r>
      <w:r>
        <w:rPr>
          <w:rFonts w:hint="eastAsia" w:cs="宋体"/>
          <w:color w:val="auto"/>
          <w:lang w:val="zh-CN"/>
        </w:rPr>
        <w:t>t/a，据此计算清罐底泥产生量为</w:t>
      </w:r>
      <w:r>
        <w:rPr>
          <w:rFonts w:hint="eastAsia" w:cs="宋体"/>
          <w:color w:val="auto"/>
        </w:rPr>
        <w:t>206.7</w:t>
      </w:r>
      <w:r>
        <w:rPr>
          <w:rFonts w:hint="eastAsia" w:cs="宋体"/>
          <w:color w:val="auto"/>
          <w:lang w:val="zh-CN"/>
        </w:rPr>
        <w:t>t/a。清罐底泥属于《国家危险废物名录（202</w:t>
      </w:r>
      <w:r>
        <w:rPr>
          <w:rFonts w:hint="eastAsia" w:cs="宋体"/>
          <w:color w:val="auto"/>
        </w:rPr>
        <w:t>5</w:t>
      </w:r>
      <w:r>
        <w:rPr>
          <w:rFonts w:hint="eastAsia" w:cs="宋体"/>
          <w:color w:val="auto"/>
          <w:lang w:val="zh-CN"/>
        </w:rPr>
        <w:t>版）》HW08废矿物油和含矿物油废物（废物代码071-001-08，危险特性为T、I），直接交由有相应危险废物处置资质的单位进行回收、处置，不贮存。</w:t>
      </w:r>
    </w:p>
    <w:p w14:paraId="13E46082">
      <w:pPr>
        <w:pStyle w:val="86"/>
        <w:ind w:firstLine="480"/>
        <w:rPr>
          <w:rFonts w:hint="eastAsia" w:cs="宋体"/>
          <w:color w:val="auto"/>
          <w:lang w:val="zh-CN"/>
        </w:rPr>
      </w:pPr>
      <w:r>
        <w:rPr>
          <w:rFonts w:hint="eastAsia" w:cs="宋体"/>
          <w:color w:val="auto"/>
          <w:lang w:val="zh-CN"/>
        </w:rPr>
        <w:t>②废分子筛</w:t>
      </w:r>
    </w:p>
    <w:p w14:paraId="3B57124D">
      <w:pPr>
        <w:pStyle w:val="86"/>
        <w:ind w:firstLine="480"/>
        <w:rPr>
          <w:rFonts w:hint="eastAsia" w:cs="宋体"/>
          <w:color w:val="auto"/>
          <w:lang w:val="zh-CN"/>
        </w:rPr>
      </w:pPr>
      <w:r>
        <w:rPr>
          <w:rFonts w:hint="eastAsia" w:cs="宋体"/>
          <w:color w:val="auto"/>
          <w:lang w:val="zh-CN"/>
        </w:rPr>
        <w:t>天然气处理脱水装置中的分子筛需定期更换，更换频率为</w:t>
      </w:r>
      <w:r>
        <w:rPr>
          <w:rFonts w:cs="宋体"/>
          <w:color w:val="auto"/>
          <w:lang w:val="zh-CN"/>
        </w:rPr>
        <w:t>1</w:t>
      </w:r>
      <w:r>
        <w:rPr>
          <w:rFonts w:hint="eastAsia" w:cs="宋体"/>
          <w:color w:val="auto"/>
          <w:lang w:val="zh-CN"/>
        </w:rPr>
        <w:t>年更换1次，每次更换量为0.2t</w:t>
      </w:r>
      <w:r>
        <w:rPr>
          <w:rFonts w:cs="宋体"/>
          <w:color w:val="auto"/>
          <w:lang w:val="zh-CN"/>
        </w:rPr>
        <w:t>/a</w:t>
      </w:r>
      <w:r>
        <w:rPr>
          <w:rFonts w:hint="eastAsia" w:cs="宋体"/>
          <w:color w:val="auto"/>
          <w:lang w:val="zh-CN"/>
        </w:rPr>
        <w:t>，更换下来的废分子筛属于《国家危险废物名录（2</w:t>
      </w:r>
      <w:r>
        <w:rPr>
          <w:rFonts w:cs="宋体"/>
          <w:color w:val="auto"/>
          <w:lang w:val="zh-CN"/>
        </w:rPr>
        <w:t>02</w:t>
      </w:r>
      <w:r>
        <w:rPr>
          <w:rFonts w:hint="eastAsia" w:cs="宋体"/>
          <w:color w:val="auto"/>
        </w:rPr>
        <w:t>5</w:t>
      </w:r>
      <w:r>
        <w:rPr>
          <w:rFonts w:hint="eastAsia" w:cs="宋体"/>
          <w:color w:val="auto"/>
          <w:lang w:val="zh-CN"/>
        </w:rPr>
        <w:t>年版）》中H</w:t>
      </w:r>
      <w:r>
        <w:rPr>
          <w:rFonts w:cs="宋体"/>
          <w:color w:val="auto"/>
          <w:lang w:val="zh-CN"/>
        </w:rPr>
        <w:t>W49</w:t>
      </w:r>
      <w:r>
        <w:rPr>
          <w:rFonts w:hint="eastAsia" w:cs="宋体"/>
          <w:color w:val="auto"/>
          <w:lang w:val="zh-CN"/>
        </w:rPr>
        <w:t>其他废物（废物代码9</w:t>
      </w:r>
      <w:r>
        <w:rPr>
          <w:rFonts w:cs="宋体"/>
          <w:color w:val="auto"/>
          <w:lang w:val="zh-CN"/>
        </w:rPr>
        <w:t>00</w:t>
      </w:r>
      <w:r>
        <w:rPr>
          <w:rFonts w:hint="eastAsia" w:cs="宋体"/>
          <w:color w:val="auto"/>
          <w:lang w:val="zh-CN"/>
        </w:rPr>
        <w:t>-</w:t>
      </w:r>
      <w:r>
        <w:rPr>
          <w:rFonts w:cs="宋体"/>
          <w:color w:val="auto"/>
          <w:lang w:val="zh-CN"/>
        </w:rPr>
        <w:t>041</w:t>
      </w:r>
      <w:r>
        <w:rPr>
          <w:rFonts w:hint="eastAsia" w:cs="宋体"/>
          <w:color w:val="auto"/>
          <w:lang w:val="zh-CN"/>
        </w:rPr>
        <w:t>-</w:t>
      </w:r>
      <w:r>
        <w:rPr>
          <w:rFonts w:cs="宋体"/>
          <w:color w:val="auto"/>
          <w:lang w:val="zh-CN"/>
        </w:rPr>
        <w:t>49</w:t>
      </w:r>
      <w:r>
        <w:rPr>
          <w:rFonts w:hint="eastAsia" w:cs="宋体"/>
          <w:color w:val="auto"/>
          <w:lang w:val="zh-CN"/>
        </w:rPr>
        <w:t>，危险特性为T</w:t>
      </w:r>
      <w:r>
        <w:rPr>
          <w:rFonts w:cs="宋体"/>
          <w:color w:val="auto"/>
          <w:lang w:val="zh-CN"/>
        </w:rPr>
        <w:t>/In</w:t>
      </w:r>
      <w:r>
        <w:rPr>
          <w:rFonts w:hint="eastAsia" w:cs="宋体"/>
          <w:color w:val="auto"/>
          <w:lang w:val="zh-CN"/>
        </w:rPr>
        <w:t>），集中收集后临时贮存在石西油田作业区危险废物临时</w:t>
      </w:r>
      <w:r>
        <w:rPr>
          <w:rFonts w:hint="eastAsia"/>
          <w:color w:val="auto"/>
        </w:rPr>
        <w:t>储存场所，</w:t>
      </w:r>
      <w:r>
        <w:rPr>
          <w:rFonts w:hint="eastAsia" w:cs="宋体"/>
          <w:color w:val="auto"/>
          <w:lang w:val="zh-CN"/>
        </w:rPr>
        <w:t>交由有相应危险废物处理资质的单位回收处置。</w:t>
      </w:r>
    </w:p>
    <w:p w14:paraId="1665DADC">
      <w:pPr>
        <w:pStyle w:val="86"/>
        <w:ind w:firstLine="480"/>
        <w:rPr>
          <w:rFonts w:hint="eastAsia" w:cs="宋体"/>
          <w:color w:val="auto"/>
          <w:lang w:val="zh-CN"/>
        </w:rPr>
      </w:pPr>
      <w:r>
        <w:rPr>
          <w:rFonts w:hint="eastAsia" w:cs="宋体"/>
          <w:color w:val="auto"/>
          <w:lang w:val="zh-CN"/>
        </w:rPr>
        <w:t>③废滤料</w:t>
      </w:r>
    </w:p>
    <w:p w14:paraId="5C89D6F4">
      <w:pPr>
        <w:pStyle w:val="86"/>
        <w:ind w:firstLine="480"/>
        <w:rPr>
          <w:rFonts w:hint="eastAsia" w:cs="宋体"/>
          <w:color w:val="auto"/>
          <w:lang w:val="zh-CN"/>
        </w:rPr>
      </w:pPr>
      <w:r>
        <w:rPr>
          <w:rFonts w:hint="eastAsia" w:cs="宋体"/>
          <w:color w:val="auto"/>
          <w:lang w:val="zh-CN"/>
        </w:rPr>
        <w:t>天然气处理脱水装置过滤器中的滤料需定期更换，更换频率为每年更换1次，每次更换产生量为</w:t>
      </w:r>
      <w:r>
        <w:rPr>
          <w:rFonts w:cs="宋体"/>
          <w:color w:val="auto"/>
          <w:lang w:val="zh-CN"/>
        </w:rPr>
        <w:t>0.1</w:t>
      </w:r>
      <w:r>
        <w:rPr>
          <w:rFonts w:hint="eastAsia" w:cs="宋体"/>
          <w:color w:val="auto"/>
          <w:lang w:val="zh-CN"/>
        </w:rPr>
        <w:t>t</w:t>
      </w:r>
      <w:r>
        <w:rPr>
          <w:rFonts w:cs="宋体"/>
          <w:color w:val="auto"/>
          <w:lang w:val="zh-CN"/>
        </w:rPr>
        <w:t>/a</w:t>
      </w:r>
      <w:r>
        <w:rPr>
          <w:rFonts w:hint="eastAsia" w:cs="宋体"/>
          <w:color w:val="auto"/>
          <w:lang w:val="zh-CN"/>
        </w:rPr>
        <w:t>，更换下来的废滤料属于《国家危险废物名录（2</w:t>
      </w:r>
      <w:r>
        <w:rPr>
          <w:rFonts w:cs="宋体"/>
          <w:color w:val="auto"/>
          <w:lang w:val="zh-CN"/>
        </w:rPr>
        <w:t>02</w:t>
      </w:r>
      <w:r>
        <w:rPr>
          <w:rFonts w:hint="eastAsia" w:cs="宋体"/>
          <w:color w:val="auto"/>
          <w:lang w:val="zh-CN"/>
        </w:rPr>
        <w:t>5年版）》中H</w:t>
      </w:r>
      <w:r>
        <w:rPr>
          <w:rFonts w:cs="宋体"/>
          <w:color w:val="auto"/>
          <w:lang w:val="zh-CN"/>
        </w:rPr>
        <w:t>W49</w:t>
      </w:r>
      <w:r>
        <w:rPr>
          <w:rFonts w:hint="eastAsia" w:cs="宋体"/>
          <w:color w:val="auto"/>
          <w:lang w:val="zh-CN"/>
        </w:rPr>
        <w:t>其他废物（废物代码9</w:t>
      </w:r>
      <w:r>
        <w:rPr>
          <w:rFonts w:cs="宋体"/>
          <w:color w:val="auto"/>
          <w:lang w:val="zh-CN"/>
        </w:rPr>
        <w:t>00</w:t>
      </w:r>
      <w:r>
        <w:rPr>
          <w:rFonts w:hint="eastAsia" w:cs="宋体"/>
          <w:color w:val="auto"/>
          <w:lang w:val="zh-CN"/>
        </w:rPr>
        <w:t>-</w:t>
      </w:r>
      <w:r>
        <w:rPr>
          <w:rFonts w:cs="宋体"/>
          <w:color w:val="auto"/>
          <w:lang w:val="zh-CN"/>
        </w:rPr>
        <w:t>041</w:t>
      </w:r>
      <w:r>
        <w:rPr>
          <w:rFonts w:hint="eastAsia" w:cs="宋体"/>
          <w:color w:val="auto"/>
          <w:lang w:val="zh-CN"/>
        </w:rPr>
        <w:t>-</w:t>
      </w:r>
      <w:r>
        <w:rPr>
          <w:rFonts w:cs="宋体"/>
          <w:color w:val="auto"/>
          <w:lang w:val="zh-CN"/>
        </w:rPr>
        <w:t>49</w:t>
      </w:r>
      <w:r>
        <w:rPr>
          <w:rFonts w:hint="eastAsia" w:cs="宋体"/>
          <w:color w:val="auto"/>
          <w:lang w:val="zh-CN"/>
        </w:rPr>
        <w:t>，危险特性为T</w:t>
      </w:r>
      <w:r>
        <w:rPr>
          <w:rFonts w:cs="宋体"/>
          <w:color w:val="auto"/>
          <w:lang w:val="zh-CN"/>
        </w:rPr>
        <w:t>/In</w:t>
      </w:r>
      <w:r>
        <w:rPr>
          <w:rFonts w:hint="eastAsia" w:cs="宋体"/>
          <w:color w:val="auto"/>
          <w:lang w:val="zh-CN"/>
        </w:rPr>
        <w:t>），集中收集后</w:t>
      </w:r>
      <w:r>
        <w:rPr>
          <w:rFonts w:hint="eastAsia"/>
          <w:color w:val="auto"/>
        </w:rPr>
        <w:t>临时贮存</w:t>
      </w:r>
      <w:r>
        <w:rPr>
          <w:rFonts w:hint="eastAsia" w:cs="宋体"/>
          <w:color w:val="auto"/>
          <w:lang w:val="zh-CN"/>
        </w:rPr>
        <w:t>在石西油田作业区危险</w:t>
      </w:r>
      <w:r>
        <w:rPr>
          <w:rFonts w:hint="eastAsia"/>
          <w:color w:val="auto"/>
        </w:rPr>
        <w:t>废物临时储存场所，</w:t>
      </w:r>
      <w:r>
        <w:rPr>
          <w:rFonts w:hint="eastAsia" w:cs="宋体"/>
          <w:color w:val="auto"/>
          <w:lang w:val="zh-CN"/>
        </w:rPr>
        <w:t>交有相应危险废物处理资质的单位回收处置。</w:t>
      </w:r>
    </w:p>
    <w:p w14:paraId="2F082EDA">
      <w:pPr>
        <w:pStyle w:val="86"/>
        <w:ind w:firstLine="480"/>
        <w:rPr>
          <w:rFonts w:hint="eastAsia" w:cs="宋体"/>
          <w:color w:val="auto"/>
          <w:lang w:val="zh-CN"/>
        </w:rPr>
      </w:pPr>
      <w:r>
        <w:rPr>
          <w:rFonts w:hint="eastAsia" w:cs="宋体"/>
          <w:color w:val="auto"/>
          <w:lang w:val="zh-CN"/>
        </w:rPr>
        <w:t>④废润滑油</w:t>
      </w:r>
    </w:p>
    <w:p w14:paraId="67FA1D5C">
      <w:pPr>
        <w:pStyle w:val="86"/>
        <w:ind w:firstLine="480"/>
        <w:rPr>
          <w:rFonts w:hint="eastAsia" w:cs="宋体"/>
          <w:color w:val="auto"/>
          <w:lang w:val="zh-CN"/>
        </w:rPr>
      </w:pPr>
      <w:r>
        <w:rPr>
          <w:rFonts w:hint="eastAsia" w:cs="宋体"/>
          <w:color w:val="auto"/>
          <w:kern w:val="0"/>
        </w:rPr>
        <w:t>采油井场和橇装天然气处理装置中的设备维修及井下作业时会产生废润滑油，产生量约为0.2t/a，属于《国家危险废物名录（2025年版）》HW08废矿物油和含矿物油废物（废物</w:t>
      </w:r>
      <w:r>
        <w:rPr>
          <w:rFonts w:hint="eastAsia" w:cs="宋体"/>
          <w:color w:val="auto"/>
          <w:lang w:val="zh-CN"/>
        </w:rPr>
        <w:t>代码为900-214-08，危险特性为T、I），直接交由有相应危险废物处置资质的单位进行回收、处置，不贮存。</w:t>
      </w:r>
    </w:p>
    <w:p w14:paraId="01454D29">
      <w:pPr>
        <w:adjustRightInd w:val="0"/>
        <w:snapToGrid w:val="0"/>
        <w:spacing w:line="500" w:lineRule="exact"/>
        <w:ind w:firstLine="480" w:firstLineChars="200"/>
        <w:textAlignment w:val="bottom"/>
        <w:rPr>
          <w:rFonts w:hint="eastAsia" w:ascii="宋体" w:hAnsi="宋体" w:cs="宋体"/>
          <w:color w:val="auto"/>
          <w:kern w:val="0"/>
          <w:sz w:val="24"/>
          <w:szCs w:val="24"/>
        </w:rPr>
      </w:pPr>
      <w:r>
        <w:rPr>
          <w:rFonts w:hint="eastAsia" w:ascii="宋体" w:hAnsi="宋体" w:cs="宋体"/>
          <w:color w:val="auto"/>
          <w:kern w:val="0"/>
          <w:sz w:val="24"/>
          <w:szCs w:val="24"/>
        </w:rPr>
        <w:t>⑤废润滑油桶</w:t>
      </w:r>
    </w:p>
    <w:p w14:paraId="5AADBF3C">
      <w:pPr>
        <w:adjustRightInd w:val="0"/>
        <w:snapToGrid w:val="0"/>
        <w:spacing w:line="500" w:lineRule="exact"/>
        <w:ind w:firstLine="480" w:firstLineChars="200"/>
        <w:textAlignment w:val="bottom"/>
        <w:rPr>
          <w:rFonts w:hint="eastAsia" w:ascii="宋体" w:hAnsi="宋体" w:cs="宋体"/>
          <w:color w:val="auto"/>
          <w:kern w:val="0"/>
          <w:sz w:val="24"/>
          <w:szCs w:val="24"/>
        </w:rPr>
      </w:pPr>
      <w:r>
        <w:rPr>
          <w:rFonts w:hint="eastAsia" w:ascii="宋体" w:hAnsi="宋体" w:cs="宋体"/>
          <w:color w:val="auto"/>
          <w:kern w:val="0"/>
          <w:sz w:val="24"/>
          <w:szCs w:val="24"/>
        </w:rPr>
        <w:t>根据采油井场、橇装天然气处理装置维修时使用润滑油的情况可知，废润滑油桶产生量为0.02t/a，废润滑油桶《国家危险废物名录（2025年版）》HW08废矿物油和含矿物油废物，废物代码为</w:t>
      </w:r>
      <w:bookmarkStart w:id="307" w:name="_Hlk165764707"/>
      <w:r>
        <w:rPr>
          <w:rFonts w:hint="eastAsia" w:ascii="宋体" w:hAnsi="宋体" w:cs="宋体"/>
          <w:color w:val="auto"/>
          <w:kern w:val="0"/>
          <w:sz w:val="24"/>
          <w:szCs w:val="24"/>
        </w:rPr>
        <w:t>900-249-08</w:t>
      </w:r>
      <w:bookmarkEnd w:id="307"/>
      <w:r>
        <w:rPr>
          <w:rFonts w:hint="eastAsia" w:ascii="宋体" w:hAnsi="宋体" w:cs="宋体"/>
          <w:color w:val="auto"/>
          <w:kern w:val="0"/>
          <w:sz w:val="24"/>
          <w:szCs w:val="24"/>
        </w:rPr>
        <w:t>（危险特性为</w:t>
      </w:r>
      <w:r>
        <w:rPr>
          <w:rFonts w:ascii="宋体" w:hAnsi="宋体" w:cs="宋体"/>
          <w:color w:val="auto"/>
          <w:kern w:val="0"/>
          <w:sz w:val="24"/>
          <w:szCs w:val="24"/>
        </w:rPr>
        <w:t>T</w:t>
      </w:r>
      <w:r>
        <w:rPr>
          <w:rFonts w:hint="eastAsia" w:ascii="宋体" w:hAnsi="宋体" w:cs="宋体"/>
          <w:color w:val="auto"/>
          <w:kern w:val="0"/>
          <w:sz w:val="24"/>
          <w:szCs w:val="24"/>
        </w:rPr>
        <w:t>，</w:t>
      </w:r>
      <w:r>
        <w:rPr>
          <w:rFonts w:ascii="宋体" w:hAnsi="宋体" w:cs="宋体"/>
          <w:color w:val="auto"/>
          <w:kern w:val="0"/>
          <w:sz w:val="24"/>
          <w:szCs w:val="24"/>
        </w:rPr>
        <w:t>I</w:t>
      </w:r>
      <w:r>
        <w:rPr>
          <w:rFonts w:hint="eastAsia" w:ascii="宋体" w:hAnsi="宋体" w:cs="宋体"/>
          <w:color w:val="auto"/>
          <w:kern w:val="0"/>
          <w:sz w:val="24"/>
          <w:szCs w:val="24"/>
        </w:rPr>
        <w:t>）。废润滑油油桶均临</w:t>
      </w:r>
      <w:r>
        <w:rPr>
          <w:rFonts w:hint="eastAsia" w:ascii="宋体" w:hAnsi="宋体" w:cs="宋体"/>
          <w:color w:val="auto"/>
          <w:sz w:val="24"/>
          <w:szCs w:val="24"/>
          <w:lang w:val="zh-CN"/>
        </w:rPr>
        <w:t>时贮存在石西油田作业区危险废物临时储存</w:t>
      </w:r>
      <w:r>
        <w:rPr>
          <w:rFonts w:hint="eastAsia" w:ascii="宋体" w:hAnsi="宋体" w:cs="宋体"/>
          <w:color w:val="auto"/>
          <w:kern w:val="0"/>
          <w:sz w:val="24"/>
          <w:szCs w:val="24"/>
        </w:rPr>
        <w:t>场所，集中收集后交由有相应危险废物处置资质的单位进行回收处置。</w:t>
      </w:r>
    </w:p>
    <w:p w14:paraId="568E5A7B">
      <w:pPr>
        <w:pStyle w:val="86"/>
        <w:ind w:firstLine="480"/>
        <w:rPr>
          <w:rFonts w:hint="eastAsia" w:cs="宋体"/>
          <w:color w:val="auto"/>
          <w:lang w:val="zh-CN"/>
        </w:rPr>
      </w:pPr>
      <w:r>
        <w:rPr>
          <w:rFonts w:hint="eastAsia" w:cs="宋体"/>
          <w:color w:val="auto"/>
          <w:lang w:val="zh-CN"/>
        </w:rPr>
        <w:t>⑥沾油废防渗材料</w:t>
      </w:r>
    </w:p>
    <w:p w14:paraId="2E320563">
      <w:pPr>
        <w:pStyle w:val="86"/>
        <w:ind w:firstLine="480"/>
        <w:rPr>
          <w:rFonts w:hint="eastAsia" w:cs="宋体"/>
          <w:color w:val="auto"/>
          <w:lang w:val="zh-CN"/>
        </w:rPr>
      </w:pPr>
      <w:r>
        <w:rPr>
          <w:rFonts w:hint="eastAsia" w:cs="宋体"/>
          <w:color w:val="auto"/>
          <w:kern w:val="0"/>
        </w:rPr>
        <w:t>采油井场日</w:t>
      </w:r>
      <w:r>
        <w:rPr>
          <w:rFonts w:hint="eastAsia" w:cs="宋体"/>
          <w:color w:val="auto"/>
          <w:lang w:val="zh-CN"/>
        </w:rPr>
        <w:t>常巡检、检修过程中会产生一定的废防渗材料，废防渗材料属于</w:t>
      </w:r>
      <w:r>
        <w:rPr>
          <w:rFonts w:cs="宋体"/>
          <w:color w:val="auto"/>
          <w:lang w:val="zh-CN"/>
        </w:rPr>
        <w:t>HW08类危险废物（废物代码900-249-08</w:t>
      </w:r>
      <w:r>
        <w:rPr>
          <w:rFonts w:hint="eastAsia" w:cs="宋体"/>
          <w:color w:val="auto"/>
          <w:lang w:val="zh-CN"/>
        </w:rPr>
        <w:t>，危险特性为T、I</w:t>
      </w:r>
      <w:r>
        <w:rPr>
          <w:rFonts w:cs="宋体"/>
          <w:color w:val="auto"/>
          <w:lang w:val="zh-CN"/>
        </w:rPr>
        <w:t>），</w:t>
      </w:r>
      <w:r>
        <w:rPr>
          <w:rFonts w:hint="eastAsia" w:cs="宋体"/>
          <w:color w:val="auto"/>
          <w:lang w:val="zh-CN"/>
        </w:rPr>
        <w:t>根据</w:t>
      </w:r>
      <w:r>
        <w:rPr>
          <w:rFonts w:cs="宋体"/>
          <w:color w:val="auto"/>
          <w:lang w:val="zh-CN"/>
        </w:rPr>
        <w:t>作业区</w:t>
      </w:r>
      <w:r>
        <w:rPr>
          <w:rFonts w:hint="eastAsia" w:cs="宋体"/>
          <w:color w:val="auto"/>
          <w:lang w:val="zh-CN"/>
        </w:rPr>
        <w:t>采</w:t>
      </w:r>
      <w:r>
        <w:rPr>
          <w:rFonts w:hint="eastAsia" w:cs="宋体"/>
          <w:color w:val="auto"/>
        </w:rPr>
        <w:t>油</w:t>
      </w:r>
      <w:r>
        <w:rPr>
          <w:rFonts w:cs="宋体"/>
          <w:color w:val="auto"/>
          <w:lang w:val="zh-CN"/>
        </w:rPr>
        <w:t>井场实际产生情况</w:t>
      </w:r>
      <w:r>
        <w:rPr>
          <w:rFonts w:hint="eastAsia" w:cs="宋体"/>
          <w:color w:val="auto"/>
          <w:lang w:val="zh-CN"/>
        </w:rPr>
        <w:t>估算</w:t>
      </w:r>
      <w:r>
        <w:rPr>
          <w:rFonts w:cs="宋体"/>
          <w:color w:val="auto"/>
          <w:lang w:val="zh-CN"/>
        </w:rPr>
        <w:t>，</w:t>
      </w:r>
      <w:r>
        <w:rPr>
          <w:rFonts w:hint="eastAsia" w:cs="宋体"/>
          <w:color w:val="auto"/>
          <w:lang w:val="zh-CN"/>
        </w:rPr>
        <w:t>其单井</w:t>
      </w:r>
      <w:r>
        <w:rPr>
          <w:rFonts w:cs="宋体"/>
          <w:color w:val="auto"/>
          <w:lang w:val="zh-CN"/>
        </w:rPr>
        <w:t>产生量约0.07t/a</w:t>
      </w:r>
      <w:r>
        <w:rPr>
          <w:rFonts w:hint="eastAsia" w:cs="宋体"/>
          <w:color w:val="auto"/>
          <w:lang w:val="zh-CN"/>
        </w:rPr>
        <w:t>，则3口井废防渗材料产生量约为</w:t>
      </w:r>
      <w:r>
        <w:rPr>
          <w:rFonts w:cs="宋体"/>
          <w:color w:val="auto"/>
          <w:lang w:val="zh-CN"/>
        </w:rPr>
        <w:t>0.</w:t>
      </w:r>
      <w:r>
        <w:rPr>
          <w:rFonts w:hint="eastAsia" w:cs="宋体"/>
          <w:color w:val="auto"/>
          <w:lang w:val="zh-CN"/>
        </w:rPr>
        <w:t>21</w:t>
      </w:r>
      <w:r>
        <w:rPr>
          <w:rFonts w:cs="宋体"/>
          <w:color w:val="auto"/>
          <w:lang w:val="zh-CN"/>
        </w:rPr>
        <w:t>t/a。</w:t>
      </w:r>
      <w:r>
        <w:rPr>
          <w:rFonts w:hint="eastAsia" w:cs="宋体"/>
          <w:color w:val="auto"/>
          <w:lang w:val="zh-CN"/>
        </w:rPr>
        <w:t>沾油废防渗材料临时贮存在</w:t>
      </w:r>
      <w:r>
        <w:rPr>
          <w:rFonts w:hint="eastAsia"/>
          <w:color w:val="auto"/>
        </w:rPr>
        <w:t>石西油田作业区</w:t>
      </w:r>
      <w:r>
        <w:rPr>
          <w:rFonts w:hint="eastAsia" w:cs="宋体"/>
          <w:color w:val="auto"/>
          <w:kern w:val="0"/>
        </w:rPr>
        <w:t>危险废物临时储存场所</w:t>
      </w:r>
      <w:r>
        <w:rPr>
          <w:rFonts w:hint="eastAsia" w:cs="宋体"/>
          <w:color w:val="auto"/>
          <w:lang w:val="zh-CN"/>
        </w:rPr>
        <w:t>，最终交由有相应危险废物处理资质的单位处理。</w:t>
      </w:r>
    </w:p>
    <w:p w14:paraId="50058599">
      <w:pPr>
        <w:pStyle w:val="86"/>
        <w:ind w:firstLine="480"/>
        <w:rPr>
          <w:rFonts w:hint="eastAsia" w:cs="宋体"/>
          <w:color w:val="auto"/>
          <w:lang w:val="zh-CN"/>
        </w:rPr>
      </w:pPr>
      <w:r>
        <w:rPr>
          <w:rFonts w:hint="eastAsia" w:cs="宋体"/>
          <w:color w:val="auto"/>
          <w:lang w:val="zh-CN"/>
        </w:rPr>
        <w:t>⑦废含油抹布及劳保用品</w:t>
      </w:r>
    </w:p>
    <w:p w14:paraId="7EE3283A">
      <w:pPr>
        <w:pStyle w:val="86"/>
        <w:ind w:firstLine="480"/>
        <w:rPr>
          <w:rFonts w:hint="eastAsia"/>
          <w:color w:val="auto"/>
          <w:kern w:val="0"/>
        </w:rPr>
      </w:pPr>
      <w:r>
        <w:rPr>
          <w:rFonts w:hint="eastAsia" w:cs="宋体"/>
          <w:color w:val="auto"/>
          <w:lang w:val="zh-CN"/>
        </w:rPr>
        <w:t>设备检维修过程中会产生一定的废含油抹布、劳保用品，3口井合计产生量约为0.15t/a。废含油抹布和劳保用品属于《国家危险废物名录（</w:t>
      </w:r>
      <w:r>
        <w:rPr>
          <w:rFonts w:cs="宋体"/>
          <w:color w:val="auto"/>
          <w:lang w:val="zh-CN"/>
        </w:rPr>
        <w:t>202</w:t>
      </w:r>
      <w:r>
        <w:rPr>
          <w:rFonts w:hint="eastAsia" w:cs="宋体"/>
          <w:color w:val="auto"/>
          <w:lang w:val="zh-CN"/>
        </w:rPr>
        <w:t>5年版）》HW49其他废物，废物代码为</w:t>
      </w:r>
      <w:bookmarkStart w:id="308" w:name="OLE_LINK135"/>
      <w:r>
        <w:rPr>
          <w:rFonts w:hint="eastAsia" w:cs="宋体"/>
          <w:color w:val="auto"/>
          <w:lang w:val="zh-CN"/>
        </w:rPr>
        <w:t>900-041-49</w:t>
      </w:r>
      <w:bookmarkEnd w:id="308"/>
      <w:r>
        <w:rPr>
          <w:rFonts w:hint="eastAsia" w:cs="宋体"/>
          <w:color w:val="auto"/>
          <w:lang w:val="zh-CN"/>
        </w:rPr>
        <w:t>，危险特性为T/In，废含油抹布和劳保用品单独收集后临时贮存在石西油田作业区危险废物临时储</w:t>
      </w:r>
      <w:r>
        <w:rPr>
          <w:rFonts w:hint="eastAsia" w:cs="宋体"/>
          <w:color w:val="auto"/>
          <w:kern w:val="0"/>
        </w:rPr>
        <w:t>存场所</w:t>
      </w:r>
      <w:r>
        <w:rPr>
          <w:rFonts w:hint="eastAsia" w:cs="宋体"/>
          <w:color w:val="auto"/>
          <w:lang w:val="zh-CN"/>
        </w:rPr>
        <w:t>，最终交由有相应危险废物处理资质的单位处理。</w:t>
      </w:r>
      <w:r>
        <w:rPr>
          <w:rFonts w:hint="eastAsia"/>
          <w:color w:val="auto"/>
          <w:kern w:val="0"/>
        </w:rPr>
        <w:t>各类危险废物汇总情况见表</w:t>
      </w:r>
      <w:r>
        <w:rPr>
          <w:color w:val="auto"/>
          <w:kern w:val="0"/>
        </w:rPr>
        <w:t>3.3-</w:t>
      </w:r>
      <w:r>
        <w:rPr>
          <w:rFonts w:hint="eastAsia"/>
          <w:color w:val="auto"/>
          <w:kern w:val="0"/>
        </w:rPr>
        <w:t>13。</w:t>
      </w:r>
    </w:p>
    <w:p w14:paraId="6B8B3D9E">
      <w:pPr>
        <w:adjustRightInd w:val="0"/>
        <w:snapToGrid w:val="0"/>
        <w:spacing w:line="500" w:lineRule="exact"/>
        <w:jc w:val="center"/>
        <w:textAlignment w:val="baseline"/>
        <w:rPr>
          <w:rFonts w:hint="eastAsia" w:ascii="黑体" w:hAnsi="黑体" w:eastAsia="黑体"/>
          <w:color w:val="auto"/>
          <w:kern w:val="0"/>
          <w:szCs w:val="21"/>
        </w:rPr>
      </w:pPr>
      <w:r>
        <w:rPr>
          <w:rFonts w:hint="eastAsia" w:ascii="黑体" w:hAnsi="黑体" w:eastAsia="黑体"/>
          <w:color w:val="auto"/>
          <w:kern w:val="0"/>
          <w:szCs w:val="21"/>
        </w:rPr>
        <w:t>表3</w:t>
      </w:r>
      <w:r>
        <w:rPr>
          <w:rFonts w:ascii="黑体" w:hAnsi="黑体" w:eastAsia="黑体"/>
          <w:color w:val="auto"/>
          <w:kern w:val="0"/>
          <w:szCs w:val="21"/>
        </w:rPr>
        <w:t>.3-</w:t>
      </w:r>
      <w:r>
        <w:rPr>
          <w:rFonts w:hint="eastAsia" w:ascii="黑体" w:hAnsi="黑体" w:eastAsia="黑体"/>
          <w:color w:val="auto"/>
          <w:kern w:val="0"/>
          <w:szCs w:val="21"/>
        </w:rPr>
        <w:t xml:space="preserve">13 </w:t>
      </w:r>
      <w:r>
        <w:rPr>
          <w:rFonts w:ascii="黑体" w:hAnsi="黑体" w:eastAsia="黑体"/>
          <w:color w:val="auto"/>
          <w:kern w:val="0"/>
          <w:szCs w:val="21"/>
        </w:rPr>
        <w:t xml:space="preserve"> </w:t>
      </w:r>
      <w:r>
        <w:rPr>
          <w:rFonts w:hint="eastAsia" w:ascii="黑体" w:hAnsi="黑体" w:eastAsia="黑体"/>
          <w:color w:val="auto"/>
          <w:kern w:val="0"/>
          <w:szCs w:val="21"/>
        </w:rPr>
        <w:t>危险废物汇总情况一览表</w:t>
      </w:r>
    </w:p>
    <w:tbl>
      <w:tblPr>
        <w:tblStyle w:val="4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40"/>
        <w:gridCol w:w="734"/>
        <w:gridCol w:w="741"/>
        <w:gridCol w:w="875"/>
        <w:gridCol w:w="1079"/>
        <w:gridCol w:w="1043"/>
        <w:gridCol w:w="573"/>
        <w:gridCol w:w="616"/>
        <w:gridCol w:w="616"/>
        <w:gridCol w:w="651"/>
        <w:gridCol w:w="651"/>
        <w:gridCol w:w="927"/>
      </w:tblGrid>
      <w:tr w14:paraId="212929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021" w:hRule="atLeast"/>
          <w:jc w:val="center"/>
        </w:trPr>
        <w:tc>
          <w:tcPr>
            <w:tcW w:w="246" w:type="pct"/>
            <w:vAlign w:val="center"/>
          </w:tcPr>
          <w:p w14:paraId="57C7BCAD">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序号</w:t>
            </w:r>
          </w:p>
        </w:tc>
        <w:tc>
          <w:tcPr>
            <w:tcW w:w="410" w:type="pct"/>
            <w:vAlign w:val="center"/>
          </w:tcPr>
          <w:p w14:paraId="249E1071">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危险废物名称</w:t>
            </w:r>
          </w:p>
        </w:tc>
        <w:tc>
          <w:tcPr>
            <w:tcW w:w="414" w:type="pct"/>
            <w:vAlign w:val="center"/>
          </w:tcPr>
          <w:p w14:paraId="5EE97F7D">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危险废物类别</w:t>
            </w:r>
          </w:p>
        </w:tc>
        <w:tc>
          <w:tcPr>
            <w:tcW w:w="489" w:type="pct"/>
            <w:vAlign w:val="center"/>
          </w:tcPr>
          <w:p w14:paraId="3ECCC058">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危险废物代码</w:t>
            </w:r>
          </w:p>
        </w:tc>
        <w:tc>
          <w:tcPr>
            <w:tcW w:w="603" w:type="pct"/>
            <w:vAlign w:val="center"/>
          </w:tcPr>
          <w:p w14:paraId="4FFBB2F4">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产生量</w:t>
            </w:r>
          </w:p>
        </w:tc>
        <w:tc>
          <w:tcPr>
            <w:tcW w:w="583" w:type="pct"/>
            <w:vAlign w:val="center"/>
          </w:tcPr>
          <w:p w14:paraId="060D2352">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产生工序及装置</w:t>
            </w:r>
          </w:p>
        </w:tc>
        <w:tc>
          <w:tcPr>
            <w:tcW w:w="320" w:type="pct"/>
            <w:vAlign w:val="center"/>
          </w:tcPr>
          <w:p w14:paraId="4110AAC0">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形态</w:t>
            </w:r>
          </w:p>
        </w:tc>
        <w:tc>
          <w:tcPr>
            <w:tcW w:w="344" w:type="pct"/>
            <w:vAlign w:val="center"/>
          </w:tcPr>
          <w:p w14:paraId="377356CD">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主要成分</w:t>
            </w:r>
          </w:p>
        </w:tc>
        <w:tc>
          <w:tcPr>
            <w:tcW w:w="344" w:type="pct"/>
            <w:vAlign w:val="center"/>
          </w:tcPr>
          <w:p w14:paraId="5ED5C226">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有害成分</w:t>
            </w:r>
          </w:p>
        </w:tc>
        <w:tc>
          <w:tcPr>
            <w:tcW w:w="364" w:type="pct"/>
            <w:vAlign w:val="center"/>
          </w:tcPr>
          <w:p w14:paraId="4986172D">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产废周期</w:t>
            </w:r>
          </w:p>
        </w:tc>
        <w:tc>
          <w:tcPr>
            <w:tcW w:w="364" w:type="pct"/>
            <w:vAlign w:val="center"/>
          </w:tcPr>
          <w:p w14:paraId="3833FE5A">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危险</w:t>
            </w:r>
          </w:p>
          <w:p w14:paraId="3DB196D7">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特性</w:t>
            </w:r>
          </w:p>
        </w:tc>
        <w:tc>
          <w:tcPr>
            <w:tcW w:w="518" w:type="pct"/>
            <w:vAlign w:val="center"/>
          </w:tcPr>
          <w:p w14:paraId="60F48F45">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污染防治措施</w:t>
            </w:r>
          </w:p>
        </w:tc>
      </w:tr>
      <w:tr w14:paraId="71518D0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021" w:hRule="atLeast"/>
          <w:jc w:val="center"/>
        </w:trPr>
        <w:tc>
          <w:tcPr>
            <w:tcW w:w="246" w:type="pct"/>
            <w:vAlign w:val="center"/>
          </w:tcPr>
          <w:p w14:paraId="433382DE">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1</w:t>
            </w:r>
          </w:p>
        </w:tc>
        <w:tc>
          <w:tcPr>
            <w:tcW w:w="410" w:type="pct"/>
            <w:vAlign w:val="center"/>
          </w:tcPr>
          <w:p w14:paraId="2A304981">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清罐底泥</w:t>
            </w:r>
          </w:p>
        </w:tc>
        <w:tc>
          <w:tcPr>
            <w:tcW w:w="414" w:type="pct"/>
            <w:vAlign w:val="center"/>
          </w:tcPr>
          <w:p w14:paraId="19809EF3">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HW08</w:t>
            </w:r>
          </w:p>
        </w:tc>
        <w:tc>
          <w:tcPr>
            <w:tcW w:w="489" w:type="pct"/>
            <w:vAlign w:val="center"/>
          </w:tcPr>
          <w:p w14:paraId="765E95E2">
            <w:pPr>
              <w:topLinePunct/>
              <w:adjustRightInd w:val="0"/>
              <w:snapToGrid w:val="0"/>
              <w:spacing w:line="300" w:lineRule="exact"/>
              <w:jc w:val="center"/>
              <w:rPr>
                <w:rFonts w:hint="eastAsia" w:ascii="宋体" w:hAnsi="宋体"/>
                <w:color w:val="auto"/>
                <w:kern w:val="0"/>
                <w:szCs w:val="21"/>
              </w:rPr>
            </w:pPr>
            <w:bookmarkStart w:id="309" w:name="_Hlk177511478"/>
            <w:r>
              <w:rPr>
                <w:rFonts w:hint="eastAsia" w:ascii="宋体" w:hAnsi="宋体"/>
                <w:color w:val="auto"/>
                <w:kern w:val="0"/>
                <w:szCs w:val="21"/>
              </w:rPr>
              <w:t>0</w:t>
            </w:r>
            <w:r>
              <w:rPr>
                <w:rFonts w:ascii="宋体" w:hAnsi="宋体"/>
                <w:color w:val="auto"/>
                <w:kern w:val="0"/>
                <w:szCs w:val="21"/>
              </w:rPr>
              <w:t>71</w:t>
            </w:r>
            <w:r>
              <w:rPr>
                <w:rFonts w:hint="eastAsia" w:ascii="宋体" w:hAnsi="宋体"/>
                <w:color w:val="auto"/>
                <w:kern w:val="0"/>
                <w:szCs w:val="21"/>
              </w:rPr>
              <w:t>-</w:t>
            </w:r>
            <w:r>
              <w:rPr>
                <w:rFonts w:ascii="宋体" w:hAnsi="宋体"/>
                <w:color w:val="auto"/>
                <w:kern w:val="0"/>
                <w:szCs w:val="21"/>
              </w:rPr>
              <w:t>001</w:t>
            </w:r>
            <w:r>
              <w:rPr>
                <w:rFonts w:hint="eastAsia" w:ascii="宋体" w:hAnsi="宋体"/>
                <w:color w:val="auto"/>
                <w:kern w:val="0"/>
                <w:szCs w:val="21"/>
              </w:rPr>
              <w:t>-</w:t>
            </w:r>
            <w:r>
              <w:rPr>
                <w:rFonts w:ascii="宋体" w:hAnsi="宋体"/>
                <w:color w:val="auto"/>
                <w:kern w:val="0"/>
                <w:szCs w:val="21"/>
              </w:rPr>
              <w:t>08</w:t>
            </w:r>
            <w:bookmarkEnd w:id="309"/>
          </w:p>
        </w:tc>
        <w:tc>
          <w:tcPr>
            <w:tcW w:w="603" w:type="pct"/>
            <w:vAlign w:val="center"/>
          </w:tcPr>
          <w:p w14:paraId="25A8F57D">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206.7t/a</w:t>
            </w:r>
          </w:p>
        </w:tc>
        <w:tc>
          <w:tcPr>
            <w:tcW w:w="583" w:type="pct"/>
            <w:vAlign w:val="center"/>
          </w:tcPr>
          <w:p w14:paraId="5DDE95F3">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储油罐清罐</w:t>
            </w:r>
          </w:p>
        </w:tc>
        <w:tc>
          <w:tcPr>
            <w:tcW w:w="320" w:type="pct"/>
            <w:vAlign w:val="center"/>
          </w:tcPr>
          <w:p w14:paraId="3F2B6771">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液态</w:t>
            </w:r>
          </w:p>
        </w:tc>
        <w:tc>
          <w:tcPr>
            <w:tcW w:w="344" w:type="pct"/>
            <w:vAlign w:val="center"/>
          </w:tcPr>
          <w:p w14:paraId="7F2C1D8F">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油类</w:t>
            </w:r>
          </w:p>
        </w:tc>
        <w:tc>
          <w:tcPr>
            <w:tcW w:w="344" w:type="pct"/>
            <w:vAlign w:val="center"/>
          </w:tcPr>
          <w:p w14:paraId="5A76EA0A">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油类</w:t>
            </w:r>
          </w:p>
        </w:tc>
        <w:tc>
          <w:tcPr>
            <w:tcW w:w="364" w:type="pct"/>
            <w:vAlign w:val="center"/>
          </w:tcPr>
          <w:p w14:paraId="1EFD5B79">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每年1次</w:t>
            </w:r>
          </w:p>
        </w:tc>
        <w:tc>
          <w:tcPr>
            <w:tcW w:w="364" w:type="pct"/>
            <w:vAlign w:val="center"/>
          </w:tcPr>
          <w:p w14:paraId="78AB02A0">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T、I</w:t>
            </w:r>
          </w:p>
        </w:tc>
        <w:tc>
          <w:tcPr>
            <w:tcW w:w="518" w:type="pct"/>
            <w:vMerge w:val="restart"/>
            <w:vAlign w:val="center"/>
          </w:tcPr>
          <w:p w14:paraId="5390B3E0">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集中收集后交由有相应危险废物处理资质的单位处理</w:t>
            </w:r>
          </w:p>
        </w:tc>
      </w:tr>
      <w:tr w14:paraId="1C8CC0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021" w:hRule="atLeast"/>
          <w:jc w:val="center"/>
        </w:trPr>
        <w:tc>
          <w:tcPr>
            <w:tcW w:w="246" w:type="pct"/>
            <w:vAlign w:val="center"/>
          </w:tcPr>
          <w:p w14:paraId="609C8B5A">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2</w:t>
            </w:r>
          </w:p>
        </w:tc>
        <w:tc>
          <w:tcPr>
            <w:tcW w:w="410" w:type="pct"/>
            <w:vAlign w:val="center"/>
          </w:tcPr>
          <w:p w14:paraId="709AE9EA">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废分子筛</w:t>
            </w:r>
          </w:p>
        </w:tc>
        <w:tc>
          <w:tcPr>
            <w:tcW w:w="414" w:type="pct"/>
            <w:vAlign w:val="center"/>
          </w:tcPr>
          <w:p w14:paraId="020C9745">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H</w:t>
            </w:r>
            <w:r>
              <w:rPr>
                <w:rFonts w:ascii="宋体" w:hAnsi="宋体"/>
                <w:color w:val="auto"/>
                <w:kern w:val="0"/>
                <w:szCs w:val="21"/>
              </w:rPr>
              <w:t>W49</w:t>
            </w:r>
          </w:p>
        </w:tc>
        <w:tc>
          <w:tcPr>
            <w:tcW w:w="489" w:type="pct"/>
            <w:vAlign w:val="center"/>
          </w:tcPr>
          <w:p w14:paraId="3813DCDA">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9</w:t>
            </w:r>
            <w:r>
              <w:rPr>
                <w:rFonts w:ascii="宋体" w:hAnsi="宋体"/>
                <w:color w:val="auto"/>
                <w:kern w:val="0"/>
                <w:szCs w:val="21"/>
              </w:rPr>
              <w:t>00-</w:t>
            </w:r>
            <w:r>
              <w:rPr>
                <w:rFonts w:hint="eastAsia" w:ascii="宋体" w:hAnsi="宋体"/>
                <w:color w:val="auto"/>
                <w:kern w:val="0"/>
                <w:szCs w:val="21"/>
              </w:rPr>
              <w:t>0</w:t>
            </w:r>
            <w:r>
              <w:rPr>
                <w:rFonts w:ascii="宋体" w:hAnsi="宋体"/>
                <w:color w:val="auto"/>
                <w:kern w:val="0"/>
                <w:szCs w:val="21"/>
              </w:rPr>
              <w:t>41-49</w:t>
            </w:r>
          </w:p>
        </w:tc>
        <w:tc>
          <w:tcPr>
            <w:tcW w:w="603" w:type="pct"/>
            <w:vAlign w:val="center"/>
          </w:tcPr>
          <w:p w14:paraId="6D0C662B">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0.2t/a</w:t>
            </w:r>
          </w:p>
        </w:tc>
        <w:tc>
          <w:tcPr>
            <w:tcW w:w="583" w:type="pct"/>
            <w:vAlign w:val="center"/>
          </w:tcPr>
          <w:p w14:paraId="0FB881B3">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脱水装置</w:t>
            </w:r>
          </w:p>
        </w:tc>
        <w:tc>
          <w:tcPr>
            <w:tcW w:w="320" w:type="pct"/>
            <w:vAlign w:val="center"/>
          </w:tcPr>
          <w:p w14:paraId="34547018">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固态</w:t>
            </w:r>
          </w:p>
        </w:tc>
        <w:tc>
          <w:tcPr>
            <w:tcW w:w="344" w:type="pct"/>
            <w:vAlign w:val="center"/>
          </w:tcPr>
          <w:p w14:paraId="265D07CF">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油类</w:t>
            </w:r>
          </w:p>
        </w:tc>
        <w:tc>
          <w:tcPr>
            <w:tcW w:w="344" w:type="pct"/>
            <w:vAlign w:val="center"/>
          </w:tcPr>
          <w:p w14:paraId="5A0167CA">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油类</w:t>
            </w:r>
          </w:p>
        </w:tc>
        <w:tc>
          <w:tcPr>
            <w:tcW w:w="364" w:type="pct"/>
            <w:vAlign w:val="center"/>
          </w:tcPr>
          <w:p w14:paraId="02F79730">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每年1次</w:t>
            </w:r>
          </w:p>
        </w:tc>
        <w:tc>
          <w:tcPr>
            <w:tcW w:w="364" w:type="pct"/>
            <w:vAlign w:val="center"/>
          </w:tcPr>
          <w:p w14:paraId="6F6FC801">
            <w:pPr>
              <w:topLinePunct/>
              <w:adjustRightInd w:val="0"/>
              <w:snapToGrid w:val="0"/>
              <w:spacing w:line="300" w:lineRule="exact"/>
              <w:jc w:val="center"/>
              <w:rPr>
                <w:rFonts w:hint="eastAsia" w:ascii="宋体" w:hAnsi="宋体"/>
                <w:color w:val="auto"/>
                <w:kern w:val="0"/>
                <w:szCs w:val="21"/>
              </w:rPr>
            </w:pPr>
            <w:r>
              <w:rPr>
                <w:rFonts w:hint="eastAsia" w:ascii="宋体" w:hAnsi="宋体" w:cs="宋体"/>
                <w:color w:val="auto"/>
                <w:kern w:val="0"/>
                <w:szCs w:val="21"/>
                <w:lang w:val="zh-CN"/>
              </w:rPr>
              <w:t>T</w:t>
            </w:r>
            <w:r>
              <w:rPr>
                <w:rFonts w:ascii="宋体" w:hAnsi="宋体" w:cs="宋体"/>
                <w:color w:val="auto"/>
                <w:kern w:val="0"/>
                <w:szCs w:val="21"/>
                <w:lang w:val="zh-CN"/>
              </w:rPr>
              <w:t>/In</w:t>
            </w:r>
          </w:p>
        </w:tc>
        <w:tc>
          <w:tcPr>
            <w:tcW w:w="518" w:type="pct"/>
            <w:vMerge w:val="continue"/>
            <w:vAlign w:val="center"/>
          </w:tcPr>
          <w:p w14:paraId="2E58B7B7">
            <w:pPr>
              <w:topLinePunct/>
              <w:adjustRightInd w:val="0"/>
              <w:snapToGrid w:val="0"/>
              <w:spacing w:line="300" w:lineRule="exact"/>
              <w:jc w:val="center"/>
              <w:rPr>
                <w:rFonts w:hint="eastAsia" w:ascii="宋体" w:hAnsi="宋体"/>
                <w:color w:val="auto"/>
                <w:kern w:val="0"/>
                <w:szCs w:val="21"/>
              </w:rPr>
            </w:pPr>
          </w:p>
        </w:tc>
      </w:tr>
      <w:tr w14:paraId="4AE43E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246" w:type="pct"/>
            <w:vAlign w:val="center"/>
          </w:tcPr>
          <w:p w14:paraId="5ECFF93C">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3</w:t>
            </w:r>
          </w:p>
        </w:tc>
        <w:tc>
          <w:tcPr>
            <w:tcW w:w="410" w:type="pct"/>
            <w:vAlign w:val="center"/>
          </w:tcPr>
          <w:p w14:paraId="6B9964E9">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废滤料</w:t>
            </w:r>
          </w:p>
        </w:tc>
        <w:tc>
          <w:tcPr>
            <w:tcW w:w="414" w:type="pct"/>
            <w:vAlign w:val="center"/>
          </w:tcPr>
          <w:p w14:paraId="76C130FB">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H</w:t>
            </w:r>
            <w:r>
              <w:rPr>
                <w:rFonts w:ascii="宋体" w:hAnsi="宋体"/>
                <w:color w:val="auto"/>
                <w:kern w:val="0"/>
                <w:szCs w:val="21"/>
              </w:rPr>
              <w:t>W49</w:t>
            </w:r>
          </w:p>
        </w:tc>
        <w:tc>
          <w:tcPr>
            <w:tcW w:w="489" w:type="pct"/>
            <w:vAlign w:val="center"/>
          </w:tcPr>
          <w:p w14:paraId="6C811494">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9</w:t>
            </w:r>
            <w:r>
              <w:rPr>
                <w:rFonts w:ascii="宋体" w:hAnsi="宋体"/>
                <w:color w:val="auto"/>
                <w:kern w:val="0"/>
                <w:szCs w:val="21"/>
              </w:rPr>
              <w:t>00-</w:t>
            </w:r>
            <w:r>
              <w:rPr>
                <w:rFonts w:hint="eastAsia" w:ascii="宋体" w:hAnsi="宋体"/>
                <w:color w:val="auto"/>
                <w:kern w:val="0"/>
                <w:szCs w:val="21"/>
              </w:rPr>
              <w:t>0</w:t>
            </w:r>
            <w:r>
              <w:rPr>
                <w:rFonts w:ascii="宋体" w:hAnsi="宋体"/>
                <w:color w:val="auto"/>
                <w:kern w:val="0"/>
                <w:szCs w:val="21"/>
              </w:rPr>
              <w:t>41-49</w:t>
            </w:r>
          </w:p>
        </w:tc>
        <w:tc>
          <w:tcPr>
            <w:tcW w:w="603" w:type="pct"/>
            <w:vAlign w:val="center"/>
          </w:tcPr>
          <w:p w14:paraId="2EFF544C">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0.1t/a</w:t>
            </w:r>
          </w:p>
        </w:tc>
        <w:tc>
          <w:tcPr>
            <w:tcW w:w="583" w:type="pct"/>
            <w:vAlign w:val="center"/>
          </w:tcPr>
          <w:p w14:paraId="1451BC0E">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脱水装置</w:t>
            </w:r>
          </w:p>
        </w:tc>
        <w:tc>
          <w:tcPr>
            <w:tcW w:w="320" w:type="pct"/>
            <w:vAlign w:val="center"/>
          </w:tcPr>
          <w:p w14:paraId="1EA833C3">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固态</w:t>
            </w:r>
          </w:p>
        </w:tc>
        <w:tc>
          <w:tcPr>
            <w:tcW w:w="344" w:type="pct"/>
            <w:vAlign w:val="center"/>
          </w:tcPr>
          <w:p w14:paraId="35D68F0A">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油类</w:t>
            </w:r>
          </w:p>
        </w:tc>
        <w:tc>
          <w:tcPr>
            <w:tcW w:w="344" w:type="pct"/>
            <w:vAlign w:val="center"/>
          </w:tcPr>
          <w:p w14:paraId="033A4C40">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油类</w:t>
            </w:r>
          </w:p>
        </w:tc>
        <w:tc>
          <w:tcPr>
            <w:tcW w:w="364" w:type="pct"/>
            <w:vAlign w:val="center"/>
          </w:tcPr>
          <w:p w14:paraId="6E8BF004">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每年1次</w:t>
            </w:r>
          </w:p>
        </w:tc>
        <w:tc>
          <w:tcPr>
            <w:tcW w:w="364" w:type="pct"/>
            <w:vAlign w:val="center"/>
          </w:tcPr>
          <w:p w14:paraId="0983AF36">
            <w:pPr>
              <w:topLinePunct/>
              <w:adjustRightInd w:val="0"/>
              <w:snapToGrid w:val="0"/>
              <w:spacing w:line="300" w:lineRule="exact"/>
              <w:jc w:val="center"/>
              <w:rPr>
                <w:rFonts w:hint="eastAsia" w:ascii="宋体" w:hAnsi="宋体"/>
                <w:color w:val="auto"/>
                <w:kern w:val="0"/>
                <w:szCs w:val="21"/>
              </w:rPr>
            </w:pPr>
            <w:r>
              <w:rPr>
                <w:rFonts w:hint="eastAsia" w:ascii="宋体" w:hAnsi="宋体" w:cs="宋体"/>
                <w:color w:val="auto"/>
                <w:kern w:val="0"/>
                <w:szCs w:val="21"/>
                <w:lang w:val="zh-CN"/>
              </w:rPr>
              <w:t>T</w:t>
            </w:r>
            <w:r>
              <w:rPr>
                <w:rFonts w:ascii="宋体" w:hAnsi="宋体" w:cs="宋体"/>
                <w:color w:val="auto"/>
                <w:kern w:val="0"/>
                <w:szCs w:val="21"/>
                <w:lang w:val="zh-CN"/>
              </w:rPr>
              <w:t>/In</w:t>
            </w:r>
          </w:p>
        </w:tc>
        <w:tc>
          <w:tcPr>
            <w:tcW w:w="518" w:type="pct"/>
            <w:vMerge w:val="continue"/>
            <w:vAlign w:val="center"/>
          </w:tcPr>
          <w:p w14:paraId="1BE56870">
            <w:pPr>
              <w:topLinePunct/>
              <w:adjustRightInd w:val="0"/>
              <w:snapToGrid w:val="0"/>
              <w:spacing w:line="300" w:lineRule="exact"/>
              <w:jc w:val="center"/>
              <w:rPr>
                <w:rFonts w:hint="eastAsia" w:ascii="宋体" w:hAnsi="宋体"/>
                <w:color w:val="auto"/>
                <w:kern w:val="0"/>
                <w:szCs w:val="21"/>
              </w:rPr>
            </w:pPr>
          </w:p>
        </w:tc>
      </w:tr>
      <w:tr w14:paraId="4F1FA5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246" w:type="pct"/>
            <w:vAlign w:val="center"/>
          </w:tcPr>
          <w:p w14:paraId="31403AA1">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w:t>
            </w:r>
          </w:p>
        </w:tc>
        <w:tc>
          <w:tcPr>
            <w:tcW w:w="410" w:type="pct"/>
            <w:vAlign w:val="center"/>
          </w:tcPr>
          <w:p w14:paraId="08160E0E">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废润滑油</w:t>
            </w:r>
          </w:p>
        </w:tc>
        <w:tc>
          <w:tcPr>
            <w:tcW w:w="414" w:type="pct"/>
            <w:vAlign w:val="center"/>
          </w:tcPr>
          <w:p w14:paraId="5125E136">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H</w:t>
            </w:r>
            <w:r>
              <w:rPr>
                <w:rFonts w:ascii="宋体" w:hAnsi="宋体"/>
                <w:color w:val="auto"/>
                <w:kern w:val="0"/>
                <w:szCs w:val="21"/>
              </w:rPr>
              <w:t>W08</w:t>
            </w:r>
          </w:p>
        </w:tc>
        <w:tc>
          <w:tcPr>
            <w:tcW w:w="489" w:type="pct"/>
            <w:vAlign w:val="center"/>
          </w:tcPr>
          <w:p w14:paraId="353DC250">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9</w:t>
            </w:r>
            <w:r>
              <w:rPr>
                <w:rFonts w:ascii="宋体" w:hAnsi="宋体"/>
                <w:color w:val="auto"/>
                <w:kern w:val="0"/>
                <w:szCs w:val="21"/>
              </w:rPr>
              <w:t>00</w:t>
            </w:r>
            <w:r>
              <w:rPr>
                <w:rFonts w:hint="eastAsia" w:ascii="宋体" w:hAnsi="宋体"/>
                <w:color w:val="auto"/>
                <w:kern w:val="0"/>
                <w:szCs w:val="21"/>
              </w:rPr>
              <w:t>-</w:t>
            </w:r>
            <w:r>
              <w:rPr>
                <w:rFonts w:ascii="宋体" w:hAnsi="宋体"/>
                <w:color w:val="auto"/>
                <w:kern w:val="0"/>
                <w:szCs w:val="21"/>
              </w:rPr>
              <w:t>214</w:t>
            </w:r>
            <w:r>
              <w:rPr>
                <w:rFonts w:hint="eastAsia" w:ascii="宋体" w:hAnsi="宋体"/>
                <w:color w:val="auto"/>
                <w:kern w:val="0"/>
                <w:szCs w:val="21"/>
              </w:rPr>
              <w:t>-</w:t>
            </w:r>
            <w:r>
              <w:rPr>
                <w:rFonts w:ascii="宋体" w:hAnsi="宋体"/>
                <w:color w:val="auto"/>
                <w:kern w:val="0"/>
                <w:szCs w:val="21"/>
              </w:rPr>
              <w:t>08</w:t>
            </w:r>
          </w:p>
        </w:tc>
        <w:tc>
          <w:tcPr>
            <w:tcW w:w="603" w:type="pct"/>
            <w:vAlign w:val="center"/>
          </w:tcPr>
          <w:p w14:paraId="1D544DE8">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0.2t/a</w:t>
            </w:r>
          </w:p>
        </w:tc>
        <w:tc>
          <w:tcPr>
            <w:tcW w:w="583" w:type="pct"/>
            <w:vAlign w:val="center"/>
          </w:tcPr>
          <w:p w14:paraId="463D84C3">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设备检维修</w:t>
            </w:r>
          </w:p>
        </w:tc>
        <w:tc>
          <w:tcPr>
            <w:tcW w:w="320" w:type="pct"/>
            <w:vAlign w:val="center"/>
          </w:tcPr>
          <w:p w14:paraId="411B119E">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液态</w:t>
            </w:r>
          </w:p>
        </w:tc>
        <w:tc>
          <w:tcPr>
            <w:tcW w:w="344" w:type="pct"/>
            <w:vAlign w:val="center"/>
          </w:tcPr>
          <w:p w14:paraId="467FC000">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油类</w:t>
            </w:r>
          </w:p>
        </w:tc>
        <w:tc>
          <w:tcPr>
            <w:tcW w:w="344" w:type="pct"/>
            <w:vAlign w:val="center"/>
          </w:tcPr>
          <w:p w14:paraId="2DF5A587">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油类</w:t>
            </w:r>
          </w:p>
        </w:tc>
        <w:tc>
          <w:tcPr>
            <w:tcW w:w="364" w:type="pct"/>
            <w:vAlign w:val="center"/>
          </w:tcPr>
          <w:p w14:paraId="43DC0A9A">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w:t>
            </w:r>
          </w:p>
        </w:tc>
        <w:tc>
          <w:tcPr>
            <w:tcW w:w="364" w:type="pct"/>
            <w:vAlign w:val="center"/>
          </w:tcPr>
          <w:p w14:paraId="6B8F98A0">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T，I</w:t>
            </w:r>
          </w:p>
        </w:tc>
        <w:tc>
          <w:tcPr>
            <w:tcW w:w="518" w:type="pct"/>
            <w:vMerge w:val="continue"/>
            <w:vAlign w:val="center"/>
          </w:tcPr>
          <w:p w14:paraId="7EDF146D">
            <w:pPr>
              <w:topLinePunct/>
              <w:adjustRightInd w:val="0"/>
              <w:snapToGrid w:val="0"/>
              <w:spacing w:line="300" w:lineRule="exact"/>
              <w:jc w:val="center"/>
              <w:rPr>
                <w:rFonts w:hint="eastAsia" w:ascii="宋体" w:hAnsi="宋体"/>
                <w:color w:val="auto"/>
                <w:kern w:val="0"/>
                <w:szCs w:val="21"/>
              </w:rPr>
            </w:pPr>
          </w:p>
        </w:tc>
      </w:tr>
      <w:tr w14:paraId="2E96A3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246" w:type="pct"/>
            <w:vAlign w:val="center"/>
          </w:tcPr>
          <w:p w14:paraId="0C280A88">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5</w:t>
            </w:r>
          </w:p>
        </w:tc>
        <w:tc>
          <w:tcPr>
            <w:tcW w:w="410" w:type="pct"/>
            <w:vAlign w:val="center"/>
          </w:tcPr>
          <w:p w14:paraId="7728B634">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废润滑油桶</w:t>
            </w:r>
          </w:p>
        </w:tc>
        <w:tc>
          <w:tcPr>
            <w:tcW w:w="414" w:type="pct"/>
            <w:vAlign w:val="center"/>
          </w:tcPr>
          <w:p w14:paraId="6FE2EEEF">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HW08</w:t>
            </w:r>
          </w:p>
        </w:tc>
        <w:tc>
          <w:tcPr>
            <w:tcW w:w="489" w:type="pct"/>
            <w:vAlign w:val="center"/>
          </w:tcPr>
          <w:p w14:paraId="6FF54560">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900-249-08</w:t>
            </w:r>
          </w:p>
        </w:tc>
        <w:tc>
          <w:tcPr>
            <w:tcW w:w="603" w:type="pct"/>
            <w:vAlign w:val="center"/>
          </w:tcPr>
          <w:p w14:paraId="2F736C23">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0.02t/a</w:t>
            </w:r>
          </w:p>
        </w:tc>
        <w:tc>
          <w:tcPr>
            <w:tcW w:w="583" w:type="pct"/>
            <w:vAlign w:val="center"/>
          </w:tcPr>
          <w:p w14:paraId="7A0842B8">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设备检维修</w:t>
            </w:r>
          </w:p>
        </w:tc>
        <w:tc>
          <w:tcPr>
            <w:tcW w:w="320" w:type="pct"/>
            <w:vAlign w:val="center"/>
          </w:tcPr>
          <w:p w14:paraId="29F47C0A">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固态</w:t>
            </w:r>
          </w:p>
        </w:tc>
        <w:tc>
          <w:tcPr>
            <w:tcW w:w="344" w:type="pct"/>
            <w:vAlign w:val="center"/>
          </w:tcPr>
          <w:p w14:paraId="23475464">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油类</w:t>
            </w:r>
          </w:p>
        </w:tc>
        <w:tc>
          <w:tcPr>
            <w:tcW w:w="344" w:type="pct"/>
            <w:vAlign w:val="center"/>
          </w:tcPr>
          <w:p w14:paraId="027D421F">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油类</w:t>
            </w:r>
          </w:p>
        </w:tc>
        <w:tc>
          <w:tcPr>
            <w:tcW w:w="364" w:type="pct"/>
            <w:vAlign w:val="center"/>
          </w:tcPr>
          <w:p w14:paraId="1A5E3ECF">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w:t>
            </w:r>
          </w:p>
        </w:tc>
        <w:tc>
          <w:tcPr>
            <w:tcW w:w="364" w:type="pct"/>
            <w:vAlign w:val="center"/>
          </w:tcPr>
          <w:p w14:paraId="2C9C50BD">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T，I</w:t>
            </w:r>
          </w:p>
        </w:tc>
        <w:tc>
          <w:tcPr>
            <w:tcW w:w="518" w:type="pct"/>
            <w:vMerge w:val="continue"/>
            <w:vAlign w:val="center"/>
          </w:tcPr>
          <w:p w14:paraId="03D21C5C">
            <w:pPr>
              <w:topLinePunct/>
              <w:adjustRightInd w:val="0"/>
              <w:snapToGrid w:val="0"/>
              <w:spacing w:line="300" w:lineRule="exact"/>
              <w:jc w:val="center"/>
              <w:rPr>
                <w:rFonts w:hint="eastAsia" w:ascii="宋体" w:hAnsi="宋体"/>
                <w:color w:val="auto"/>
                <w:kern w:val="0"/>
                <w:szCs w:val="21"/>
              </w:rPr>
            </w:pPr>
          </w:p>
        </w:tc>
      </w:tr>
      <w:tr w14:paraId="286042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246" w:type="pct"/>
            <w:vAlign w:val="center"/>
          </w:tcPr>
          <w:p w14:paraId="64111A47">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6</w:t>
            </w:r>
          </w:p>
        </w:tc>
        <w:tc>
          <w:tcPr>
            <w:tcW w:w="410" w:type="pct"/>
            <w:vAlign w:val="center"/>
          </w:tcPr>
          <w:p w14:paraId="7F2A031C">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沾油废防渗材料</w:t>
            </w:r>
          </w:p>
        </w:tc>
        <w:tc>
          <w:tcPr>
            <w:tcW w:w="414" w:type="pct"/>
            <w:vAlign w:val="center"/>
          </w:tcPr>
          <w:p w14:paraId="09C649E7">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HW08</w:t>
            </w:r>
          </w:p>
        </w:tc>
        <w:tc>
          <w:tcPr>
            <w:tcW w:w="489" w:type="pct"/>
            <w:vAlign w:val="center"/>
          </w:tcPr>
          <w:p w14:paraId="170DD8CB">
            <w:pPr>
              <w:topLinePunct/>
              <w:adjustRightInd w:val="0"/>
              <w:snapToGrid w:val="0"/>
              <w:spacing w:line="300" w:lineRule="exact"/>
              <w:jc w:val="center"/>
              <w:rPr>
                <w:rFonts w:hint="eastAsia" w:ascii="宋体" w:hAnsi="宋体"/>
                <w:color w:val="auto"/>
                <w:kern w:val="0"/>
                <w:szCs w:val="21"/>
              </w:rPr>
            </w:pPr>
            <w:bookmarkStart w:id="310" w:name="_Hlk177511582"/>
            <w:r>
              <w:rPr>
                <w:rFonts w:ascii="宋体" w:hAnsi="宋体" w:cs="宋体"/>
                <w:color w:val="auto"/>
                <w:kern w:val="0"/>
                <w:szCs w:val="21"/>
                <w:lang w:val="zh-CN"/>
              </w:rPr>
              <w:t>900-249-08</w:t>
            </w:r>
            <w:bookmarkEnd w:id="310"/>
          </w:p>
        </w:tc>
        <w:tc>
          <w:tcPr>
            <w:tcW w:w="603" w:type="pct"/>
            <w:vAlign w:val="center"/>
          </w:tcPr>
          <w:p w14:paraId="0942AE3A">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0.21t/a</w:t>
            </w:r>
          </w:p>
        </w:tc>
        <w:tc>
          <w:tcPr>
            <w:tcW w:w="583" w:type="pct"/>
            <w:vAlign w:val="center"/>
          </w:tcPr>
          <w:p w14:paraId="5E22AFAD">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井下作业</w:t>
            </w:r>
          </w:p>
        </w:tc>
        <w:tc>
          <w:tcPr>
            <w:tcW w:w="320" w:type="pct"/>
            <w:vAlign w:val="center"/>
          </w:tcPr>
          <w:p w14:paraId="73BA5A0F">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固态</w:t>
            </w:r>
          </w:p>
        </w:tc>
        <w:tc>
          <w:tcPr>
            <w:tcW w:w="344" w:type="pct"/>
            <w:vAlign w:val="center"/>
          </w:tcPr>
          <w:p w14:paraId="4F1DE5F6">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油类</w:t>
            </w:r>
          </w:p>
        </w:tc>
        <w:tc>
          <w:tcPr>
            <w:tcW w:w="344" w:type="pct"/>
            <w:vAlign w:val="center"/>
          </w:tcPr>
          <w:p w14:paraId="490BF997">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油类</w:t>
            </w:r>
          </w:p>
        </w:tc>
        <w:tc>
          <w:tcPr>
            <w:tcW w:w="364" w:type="pct"/>
            <w:vAlign w:val="center"/>
          </w:tcPr>
          <w:p w14:paraId="6B72ECEB">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w:t>
            </w:r>
          </w:p>
        </w:tc>
        <w:tc>
          <w:tcPr>
            <w:tcW w:w="364" w:type="pct"/>
            <w:vAlign w:val="center"/>
          </w:tcPr>
          <w:p w14:paraId="32F7F61F">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T，I</w:t>
            </w:r>
          </w:p>
        </w:tc>
        <w:tc>
          <w:tcPr>
            <w:tcW w:w="518" w:type="pct"/>
            <w:vMerge w:val="continue"/>
            <w:vAlign w:val="center"/>
          </w:tcPr>
          <w:p w14:paraId="6DA9DBC0">
            <w:pPr>
              <w:topLinePunct/>
              <w:adjustRightInd w:val="0"/>
              <w:snapToGrid w:val="0"/>
              <w:spacing w:line="300" w:lineRule="exact"/>
              <w:jc w:val="center"/>
              <w:rPr>
                <w:rFonts w:hint="eastAsia" w:ascii="宋体" w:hAnsi="宋体"/>
                <w:color w:val="auto"/>
                <w:kern w:val="0"/>
                <w:szCs w:val="21"/>
              </w:rPr>
            </w:pPr>
          </w:p>
        </w:tc>
      </w:tr>
      <w:tr w14:paraId="5C9B959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246" w:type="pct"/>
            <w:vAlign w:val="center"/>
          </w:tcPr>
          <w:p w14:paraId="0FE1E642">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7</w:t>
            </w:r>
          </w:p>
        </w:tc>
        <w:tc>
          <w:tcPr>
            <w:tcW w:w="410" w:type="pct"/>
            <w:vAlign w:val="center"/>
          </w:tcPr>
          <w:p w14:paraId="684B3975">
            <w:pPr>
              <w:topLinePunct/>
              <w:adjustRightInd w:val="0"/>
              <w:snapToGrid w:val="0"/>
              <w:spacing w:line="300" w:lineRule="exact"/>
              <w:jc w:val="center"/>
              <w:rPr>
                <w:rFonts w:hint="eastAsia" w:ascii="宋体" w:hAnsi="宋体"/>
                <w:color w:val="auto"/>
                <w:kern w:val="0"/>
                <w:szCs w:val="21"/>
              </w:rPr>
            </w:pPr>
            <w:r>
              <w:rPr>
                <w:rFonts w:hint="eastAsia" w:ascii="宋体" w:hAnsi="宋体" w:cs="宋体"/>
                <w:color w:val="auto"/>
                <w:kern w:val="0"/>
                <w:szCs w:val="21"/>
                <w:lang w:val="zh-CN"/>
              </w:rPr>
              <w:t>废含油抹布及劳保用品</w:t>
            </w:r>
          </w:p>
        </w:tc>
        <w:tc>
          <w:tcPr>
            <w:tcW w:w="414" w:type="pct"/>
            <w:vAlign w:val="center"/>
          </w:tcPr>
          <w:p w14:paraId="28E82249">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HW49</w:t>
            </w:r>
          </w:p>
        </w:tc>
        <w:tc>
          <w:tcPr>
            <w:tcW w:w="489" w:type="pct"/>
            <w:vAlign w:val="center"/>
          </w:tcPr>
          <w:p w14:paraId="6C7809C2">
            <w:pPr>
              <w:topLinePunct/>
              <w:adjustRightInd w:val="0"/>
              <w:snapToGrid w:val="0"/>
              <w:spacing w:line="300" w:lineRule="exact"/>
              <w:jc w:val="center"/>
              <w:rPr>
                <w:rFonts w:hint="eastAsia" w:ascii="宋体" w:hAnsi="宋体" w:cs="宋体"/>
                <w:color w:val="auto"/>
                <w:kern w:val="0"/>
                <w:szCs w:val="21"/>
                <w:lang w:val="zh-CN"/>
              </w:rPr>
            </w:pPr>
            <w:bookmarkStart w:id="311" w:name="_Hlk177511618"/>
            <w:r>
              <w:rPr>
                <w:rFonts w:hint="eastAsia" w:ascii="宋体" w:hAnsi="宋体" w:cs="宋体"/>
                <w:color w:val="auto"/>
                <w:kern w:val="0"/>
                <w:szCs w:val="21"/>
                <w:lang w:val="zh-CN"/>
              </w:rPr>
              <w:t>900-041-49</w:t>
            </w:r>
            <w:bookmarkEnd w:id="311"/>
          </w:p>
        </w:tc>
        <w:tc>
          <w:tcPr>
            <w:tcW w:w="603" w:type="pct"/>
            <w:vAlign w:val="center"/>
          </w:tcPr>
          <w:p w14:paraId="541B3D01">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0.15t/a</w:t>
            </w:r>
          </w:p>
        </w:tc>
        <w:tc>
          <w:tcPr>
            <w:tcW w:w="583" w:type="pct"/>
            <w:vAlign w:val="center"/>
          </w:tcPr>
          <w:p w14:paraId="34002E00">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设备检维修</w:t>
            </w:r>
          </w:p>
        </w:tc>
        <w:tc>
          <w:tcPr>
            <w:tcW w:w="320" w:type="pct"/>
            <w:vAlign w:val="center"/>
          </w:tcPr>
          <w:p w14:paraId="05F1794A">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固态</w:t>
            </w:r>
          </w:p>
        </w:tc>
        <w:tc>
          <w:tcPr>
            <w:tcW w:w="344" w:type="pct"/>
            <w:vAlign w:val="center"/>
          </w:tcPr>
          <w:p w14:paraId="1BC6C3B5">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油类</w:t>
            </w:r>
          </w:p>
        </w:tc>
        <w:tc>
          <w:tcPr>
            <w:tcW w:w="344" w:type="pct"/>
            <w:vAlign w:val="center"/>
          </w:tcPr>
          <w:p w14:paraId="334EB698">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油类</w:t>
            </w:r>
          </w:p>
        </w:tc>
        <w:tc>
          <w:tcPr>
            <w:tcW w:w="364" w:type="pct"/>
            <w:vAlign w:val="center"/>
          </w:tcPr>
          <w:p w14:paraId="6DBFB5C4">
            <w:pPr>
              <w:topLinePunct/>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w:t>
            </w:r>
          </w:p>
        </w:tc>
        <w:tc>
          <w:tcPr>
            <w:tcW w:w="364" w:type="pct"/>
            <w:vAlign w:val="center"/>
          </w:tcPr>
          <w:p w14:paraId="6EAD0428">
            <w:pPr>
              <w:topLinePunct/>
              <w:adjustRightInd w:val="0"/>
              <w:snapToGrid w:val="0"/>
              <w:spacing w:line="300" w:lineRule="exact"/>
              <w:jc w:val="center"/>
              <w:rPr>
                <w:rFonts w:hint="eastAsia" w:ascii="宋体" w:hAnsi="宋体"/>
                <w:color w:val="auto"/>
                <w:kern w:val="0"/>
                <w:szCs w:val="21"/>
              </w:rPr>
            </w:pPr>
            <w:r>
              <w:rPr>
                <w:rFonts w:hint="eastAsia" w:ascii="宋体" w:hAnsi="宋体" w:cs="宋体"/>
                <w:color w:val="auto"/>
                <w:kern w:val="0"/>
                <w:szCs w:val="21"/>
                <w:lang w:val="zh-CN"/>
              </w:rPr>
              <w:t>T/In</w:t>
            </w:r>
          </w:p>
        </w:tc>
        <w:tc>
          <w:tcPr>
            <w:tcW w:w="518" w:type="pct"/>
            <w:vMerge w:val="continue"/>
            <w:vAlign w:val="center"/>
          </w:tcPr>
          <w:p w14:paraId="7E85585B">
            <w:pPr>
              <w:topLinePunct/>
              <w:adjustRightInd w:val="0"/>
              <w:snapToGrid w:val="0"/>
              <w:spacing w:line="300" w:lineRule="exact"/>
              <w:jc w:val="center"/>
              <w:rPr>
                <w:rFonts w:hint="eastAsia" w:ascii="宋体" w:hAnsi="宋体"/>
                <w:color w:val="auto"/>
                <w:kern w:val="0"/>
                <w:szCs w:val="21"/>
              </w:rPr>
            </w:pPr>
          </w:p>
        </w:tc>
      </w:tr>
      <w:bookmarkEnd w:id="306"/>
    </w:tbl>
    <w:p w14:paraId="57C5B4EA">
      <w:pPr>
        <w:adjustRightInd w:val="0"/>
        <w:snapToGrid w:val="0"/>
        <w:spacing w:line="480" w:lineRule="exact"/>
        <w:ind w:firstLine="480" w:firstLineChars="200"/>
        <w:textAlignment w:val="bottom"/>
        <w:rPr>
          <w:rFonts w:hint="eastAsia" w:ascii="宋体" w:hAnsi="宋体" w:cs="宋体"/>
          <w:color w:val="auto"/>
          <w:kern w:val="0"/>
          <w:sz w:val="24"/>
          <w:szCs w:val="24"/>
        </w:rPr>
      </w:pPr>
      <w:bookmarkStart w:id="312" w:name="_Toc445996370"/>
      <w:bookmarkStart w:id="313" w:name="_Toc26588"/>
      <w:bookmarkStart w:id="314" w:name="_Toc445842047"/>
      <w:r>
        <w:rPr>
          <w:rFonts w:hint="eastAsia" w:ascii="宋体" w:hAnsi="宋体" w:cs="宋体"/>
          <w:color w:val="auto"/>
          <w:kern w:val="0"/>
          <w:sz w:val="24"/>
          <w:szCs w:val="24"/>
        </w:rPr>
        <w:t>⑧生活垃圾</w:t>
      </w:r>
    </w:p>
    <w:p w14:paraId="56BA5BA9">
      <w:pPr>
        <w:pStyle w:val="86"/>
        <w:ind w:firstLine="480"/>
        <w:rPr>
          <w:rFonts w:hint="eastAsia"/>
          <w:color w:val="auto"/>
        </w:rPr>
      </w:pPr>
      <w:r>
        <w:rPr>
          <w:rFonts w:hint="eastAsia"/>
          <w:color w:val="auto"/>
        </w:rPr>
        <w:t>橇装天然气处理装置处共设8名工作人员，按每人每日0</w:t>
      </w:r>
      <w:r>
        <w:rPr>
          <w:color w:val="auto"/>
        </w:rPr>
        <w:t>.8</w:t>
      </w:r>
      <w:r>
        <w:rPr>
          <w:rFonts w:hint="eastAsia"/>
          <w:color w:val="auto"/>
        </w:rPr>
        <w:t>kg计算生活垃圾的产生量，则生活垃圾产生量为2.1t</w:t>
      </w:r>
      <w:r>
        <w:rPr>
          <w:color w:val="auto"/>
        </w:rPr>
        <w:t>/a</w:t>
      </w:r>
      <w:r>
        <w:rPr>
          <w:rFonts w:hint="eastAsia"/>
          <w:color w:val="auto"/>
        </w:rPr>
        <w:t>，集中收集后送至玛纳斯县生活垃圾填埋场处理。</w:t>
      </w:r>
    </w:p>
    <w:p w14:paraId="465B3664">
      <w:pPr>
        <w:adjustRightInd w:val="0"/>
        <w:snapToGrid w:val="0"/>
        <w:spacing w:line="480" w:lineRule="exact"/>
        <w:ind w:firstLine="480" w:firstLineChars="200"/>
        <w:textAlignment w:val="bottom"/>
        <w:rPr>
          <w:rFonts w:hint="eastAsia" w:ascii="宋体" w:hAnsi="宋体" w:cs="宋体"/>
          <w:color w:val="auto"/>
          <w:kern w:val="0"/>
          <w:sz w:val="24"/>
          <w:szCs w:val="24"/>
        </w:rPr>
      </w:pPr>
      <w:r>
        <w:rPr>
          <w:rFonts w:hint="eastAsia" w:ascii="宋体" w:hAnsi="宋体" w:cs="宋体"/>
          <w:color w:val="auto"/>
          <w:kern w:val="0"/>
          <w:sz w:val="24"/>
          <w:szCs w:val="24"/>
        </w:rPr>
        <w:t>（</w:t>
      </w:r>
      <w:r>
        <w:rPr>
          <w:rFonts w:ascii="宋体" w:hAnsi="宋体" w:cs="宋体"/>
          <w:color w:val="auto"/>
          <w:kern w:val="0"/>
          <w:sz w:val="24"/>
          <w:szCs w:val="24"/>
        </w:rPr>
        <w:t>5</w:t>
      </w:r>
      <w:r>
        <w:rPr>
          <w:rFonts w:hint="eastAsia" w:ascii="宋体" w:hAnsi="宋体" w:cs="宋体"/>
          <w:color w:val="auto"/>
          <w:kern w:val="0"/>
          <w:sz w:val="24"/>
          <w:szCs w:val="24"/>
        </w:rPr>
        <w:t>）生态影响</w:t>
      </w:r>
    </w:p>
    <w:p w14:paraId="3442658F">
      <w:pPr>
        <w:adjustRightInd w:val="0"/>
        <w:snapToGrid w:val="0"/>
        <w:spacing w:line="480" w:lineRule="exact"/>
        <w:ind w:firstLine="480" w:firstLineChars="200"/>
        <w:textAlignment w:val="bottom"/>
        <w:rPr>
          <w:rFonts w:hint="eastAsia" w:ascii="宋体" w:hAnsi="宋体" w:cs="宋体"/>
          <w:color w:val="auto"/>
          <w:kern w:val="0"/>
          <w:sz w:val="24"/>
          <w:szCs w:val="24"/>
        </w:rPr>
      </w:pPr>
      <w:r>
        <w:rPr>
          <w:rFonts w:hint="eastAsia" w:ascii="宋体" w:hAnsi="宋体" w:cs="宋体"/>
          <w:color w:val="auto"/>
          <w:kern w:val="0"/>
          <w:sz w:val="24"/>
          <w:szCs w:val="24"/>
        </w:rPr>
        <w:t>运营期不新增占地，采油井场、单井采油管线、输电线路临时占地植被进行自然恢复，人类活动及巡检车辆可能对项目区及周边野生动物产生一定的影响。</w:t>
      </w:r>
    </w:p>
    <w:bookmarkEnd w:id="273"/>
    <w:p w14:paraId="723EE082">
      <w:pPr>
        <w:adjustRightInd w:val="0"/>
        <w:snapToGrid w:val="0"/>
        <w:spacing w:line="480" w:lineRule="exact"/>
        <w:ind w:firstLine="480" w:firstLineChars="200"/>
        <w:textAlignment w:val="bottom"/>
        <w:rPr>
          <w:rFonts w:hint="eastAsia" w:ascii="宋体" w:hAnsi="宋体" w:cs="宋体"/>
          <w:color w:val="auto"/>
          <w:kern w:val="0"/>
          <w:sz w:val="24"/>
          <w:szCs w:val="24"/>
        </w:rPr>
      </w:pPr>
      <w:bookmarkStart w:id="315" w:name="_Hlk165554438"/>
      <w:r>
        <w:rPr>
          <w:rFonts w:hint="eastAsia" w:ascii="宋体" w:hAnsi="宋体" w:cs="宋体"/>
          <w:color w:val="auto"/>
          <w:kern w:val="0"/>
          <w:sz w:val="24"/>
          <w:szCs w:val="24"/>
        </w:rPr>
        <w:t>（</w:t>
      </w:r>
      <w:r>
        <w:rPr>
          <w:rFonts w:ascii="宋体" w:hAnsi="宋体" w:cs="宋体"/>
          <w:color w:val="auto"/>
          <w:kern w:val="0"/>
          <w:sz w:val="24"/>
          <w:szCs w:val="24"/>
        </w:rPr>
        <w:t>6</w:t>
      </w:r>
      <w:r>
        <w:rPr>
          <w:rFonts w:hint="eastAsia" w:ascii="宋体" w:hAnsi="宋体" w:cs="宋体"/>
          <w:color w:val="auto"/>
          <w:kern w:val="0"/>
          <w:sz w:val="24"/>
          <w:szCs w:val="24"/>
        </w:rPr>
        <w:t>）污染物排放量汇总</w:t>
      </w:r>
    </w:p>
    <w:bookmarkEnd w:id="275"/>
    <w:p w14:paraId="7137D8F4">
      <w:pPr>
        <w:adjustRightInd w:val="0"/>
        <w:snapToGrid w:val="0"/>
        <w:spacing w:line="480" w:lineRule="exact"/>
        <w:ind w:firstLine="480" w:firstLineChars="200"/>
        <w:textAlignment w:val="bottom"/>
        <w:rPr>
          <w:rFonts w:hint="eastAsia" w:ascii="宋体" w:hAnsi="宋体" w:cs="宋体"/>
          <w:color w:val="auto"/>
          <w:kern w:val="0"/>
          <w:sz w:val="24"/>
          <w:szCs w:val="24"/>
        </w:rPr>
      </w:pPr>
      <w:r>
        <w:rPr>
          <w:rFonts w:hint="eastAsia" w:ascii="宋体" w:hAnsi="宋体" w:cs="宋体"/>
          <w:color w:val="auto"/>
          <w:kern w:val="0"/>
          <w:sz w:val="24"/>
          <w:szCs w:val="24"/>
        </w:rPr>
        <w:t>运营期污染物排放情况见表</w:t>
      </w:r>
      <w:r>
        <w:rPr>
          <w:rFonts w:ascii="宋体" w:hAnsi="宋体" w:cs="宋体"/>
          <w:color w:val="auto"/>
          <w:kern w:val="0"/>
          <w:sz w:val="24"/>
          <w:szCs w:val="24"/>
        </w:rPr>
        <w:t>3.3</w:t>
      </w:r>
      <w:r>
        <w:rPr>
          <w:rFonts w:hint="eastAsia" w:ascii="宋体" w:hAnsi="宋体" w:cs="宋体"/>
          <w:color w:val="auto"/>
          <w:kern w:val="0"/>
          <w:sz w:val="24"/>
          <w:szCs w:val="24"/>
        </w:rPr>
        <w:t>-14。</w:t>
      </w:r>
      <w:bookmarkEnd w:id="315"/>
      <w:bookmarkStart w:id="316" w:name="_Hlk177302515"/>
    </w:p>
    <w:bookmarkEnd w:id="316"/>
    <w:p w14:paraId="068B010E">
      <w:pPr>
        <w:pStyle w:val="15"/>
        <w:rPr>
          <w:rFonts w:hint="eastAsia"/>
          <w:color w:val="auto"/>
        </w:rPr>
      </w:pPr>
      <w:r>
        <w:rPr>
          <w:rFonts w:hint="eastAsia"/>
          <w:color w:val="auto"/>
        </w:rPr>
        <w:t>表</w:t>
      </w:r>
      <w:r>
        <w:rPr>
          <w:color w:val="auto"/>
        </w:rPr>
        <w:t>3.3</w:t>
      </w:r>
      <w:r>
        <w:rPr>
          <w:rFonts w:hint="eastAsia"/>
          <w:color w:val="auto"/>
        </w:rPr>
        <w:t>-14</w:t>
      </w:r>
      <w:r>
        <w:rPr>
          <w:color w:val="auto"/>
        </w:rPr>
        <w:t xml:space="preserve"> </w:t>
      </w:r>
      <w:r>
        <w:rPr>
          <w:rFonts w:hint="eastAsia"/>
          <w:color w:val="auto"/>
        </w:rPr>
        <w:t xml:space="preserve"> 运营期污染物产生及排放一览表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5"/>
        <w:gridCol w:w="1554"/>
        <w:gridCol w:w="1260"/>
        <w:gridCol w:w="1115"/>
        <w:gridCol w:w="1267"/>
        <w:gridCol w:w="1267"/>
        <w:gridCol w:w="1948"/>
      </w:tblGrid>
      <w:tr w14:paraId="7D1692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Align w:val="center"/>
          </w:tcPr>
          <w:p w14:paraId="1DB425AB">
            <w:pPr>
              <w:pStyle w:val="288"/>
              <w:adjustRightInd w:val="0"/>
              <w:snapToGrid w:val="0"/>
              <w:spacing w:line="300" w:lineRule="exact"/>
              <w:rPr>
                <w:rFonts w:hint="eastAsia" w:eastAsia="宋体"/>
                <w:color w:val="auto"/>
              </w:rPr>
            </w:pPr>
            <w:bookmarkStart w:id="317" w:name="_Hlk95306113"/>
            <w:bookmarkStart w:id="318" w:name="_Hlk128561292"/>
            <w:r>
              <w:rPr>
                <w:rFonts w:hint="eastAsia" w:eastAsia="宋体"/>
                <w:color w:val="auto"/>
              </w:rPr>
              <w:t>类别</w:t>
            </w:r>
          </w:p>
        </w:tc>
        <w:tc>
          <w:tcPr>
            <w:tcW w:w="879" w:type="pct"/>
            <w:vAlign w:val="center"/>
          </w:tcPr>
          <w:p w14:paraId="2315D1B6">
            <w:pPr>
              <w:pStyle w:val="288"/>
              <w:adjustRightInd w:val="0"/>
              <w:snapToGrid w:val="0"/>
              <w:spacing w:line="300" w:lineRule="exact"/>
              <w:rPr>
                <w:rFonts w:hint="eastAsia" w:eastAsia="宋体"/>
                <w:color w:val="auto"/>
              </w:rPr>
            </w:pPr>
            <w:r>
              <w:rPr>
                <w:rFonts w:hint="eastAsia" w:eastAsia="宋体"/>
                <w:color w:val="auto"/>
              </w:rPr>
              <w:t>污染源</w:t>
            </w:r>
          </w:p>
        </w:tc>
        <w:tc>
          <w:tcPr>
            <w:tcW w:w="715" w:type="pct"/>
            <w:vAlign w:val="center"/>
          </w:tcPr>
          <w:p w14:paraId="171AFCA0">
            <w:pPr>
              <w:pStyle w:val="288"/>
              <w:adjustRightInd w:val="0"/>
              <w:snapToGrid w:val="0"/>
              <w:spacing w:line="300" w:lineRule="exact"/>
              <w:rPr>
                <w:rFonts w:hint="eastAsia" w:eastAsia="宋体"/>
                <w:color w:val="auto"/>
              </w:rPr>
            </w:pPr>
            <w:r>
              <w:rPr>
                <w:rFonts w:hint="eastAsia" w:eastAsia="宋体"/>
                <w:color w:val="auto"/>
              </w:rPr>
              <w:t>污染物名称</w:t>
            </w:r>
          </w:p>
        </w:tc>
        <w:tc>
          <w:tcPr>
            <w:tcW w:w="634" w:type="pct"/>
            <w:vAlign w:val="center"/>
          </w:tcPr>
          <w:p w14:paraId="015A40DF">
            <w:pPr>
              <w:pStyle w:val="288"/>
              <w:adjustRightInd w:val="0"/>
              <w:snapToGrid w:val="0"/>
              <w:spacing w:line="300" w:lineRule="exact"/>
              <w:rPr>
                <w:rFonts w:hint="eastAsia" w:eastAsia="宋体"/>
                <w:color w:val="auto"/>
              </w:rPr>
            </w:pPr>
            <w:r>
              <w:rPr>
                <w:rFonts w:hint="eastAsia" w:eastAsia="宋体"/>
                <w:color w:val="auto"/>
              </w:rPr>
              <w:t>污染因子</w:t>
            </w:r>
          </w:p>
        </w:tc>
        <w:tc>
          <w:tcPr>
            <w:tcW w:w="695" w:type="pct"/>
            <w:vAlign w:val="center"/>
          </w:tcPr>
          <w:p w14:paraId="7E776E12">
            <w:pPr>
              <w:pStyle w:val="288"/>
              <w:adjustRightInd w:val="0"/>
              <w:snapToGrid w:val="0"/>
              <w:spacing w:line="300" w:lineRule="exact"/>
              <w:rPr>
                <w:rFonts w:hint="eastAsia" w:eastAsia="宋体"/>
                <w:color w:val="auto"/>
              </w:rPr>
            </w:pPr>
            <w:r>
              <w:rPr>
                <w:rFonts w:hint="eastAsia" w:eastAsia="宋体"/>
                <w:color w:val="auto"/>
              </w:rPr>
              <w:t>产生量</w:t>
            </w:r>
          </w:p>
        </w:tc>
        <w:tc>
          <w:tcPr>
            <w:tcW w:w="665" w:type="pct"/>
            <w:vAlign w:val="center"/>
          </w:tcPr>
          <w:p w14:paraId="46C6982F">
            <w:pPr>
              <w:pStyle w:val="288"/>
              <w:adjustRightInd w:val="0"/>
              <w:snapToGrid w:val="0"/>
              <w:spacing w:line="300" w:lineRule="exact"/>
              <w:rPr>
                <w:rFonts w:hint="eastAsia" w:eastAsia="宋体"/>
                <w:color w:val="auto"/>
              </w:rPr>
            </w:pPr>
            <w:r>
              <w:rPr>
                <w:rFonts w:hint="eastAsia" w:eastAsia="宋体"/>
                <w:color w:val="auto"/>
              </w:rPr>
              <w:t>排放量</w:t>
            </w:r>
          </w:p>
        </w:tc>
        <w:tc>
          <w:tcPr>
            <w:tcW w:w="1099" w:type="pct"/>
            <w:vAlign w:val="center"/>
          </w:tcPr>
          <w:p w14:paraId="4BC91AD1">
            <w:pPr>
              <w:pStyle w:val="288"/>
              <w:adjustRightInd w:val="0"/>
              <w:snapToGrid w:val="0"/>
              <w:spacing w:line="300" w:lineRule="exact"/>
              <w:rPr>
                <w:rFonts w:hint="eastAsia" w:eastAsia="宋体"/>
                <w:color w:val="auto"/>
              </w:rPr>
            </w:pPr>
            <w:r>
              <w:rPr>
                <w:rFonts w:hint="eastAsia" w:eastAsia="宋体"/>
                <w:color w:val="auto"/>
              </w:rPr>
              <w:t>处理措施及排放去向</w:t>
            </w:r>
          </w:p>
        </w:tc>
      </w:tr>
      <w:tr w14:paraId="2F14C5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restart"/>
            <w:vAlign w:val="center"/>
          </w:tcPr>
          <w:p w14:paraId="65F76DA9">
            <w:pPr>
              <w:pStyle w:val="288"/>
              <w:adjustRightInd w:val="0"/>
              <w:snapToGrid w:val="0"/>
              <w:spacing w:line="300" w:lineRule="exact"/>
              <w:rPr>
                <w:rFonts w:hint="eastAsia" w:eastAsia="宋体"/>
                <w:color w:val="auto"/>
              </w:rPr>
            </w:pPr>
            <w:r>
              <w:rPr>
                <w:rFonts w:hint="eastAsia" w:eastAsia="宋体"/>
                <w:color w:val="auto"/>
              </w:rPr>
              <w:t>无组织废气</w:t>
            </w:r>
          </w:p>
        </w:tc>
        <w:tc>
          <w:tcPr>
            <w:tcW w:w="879" w:type="pct"/>
            <w:vMerge w:val="restart"/>
            <w:vAlign w:val="center"/>
          </w:tcPr>
          <w:p w14:paraId="6036D691">
            <w:pPr>
              <w:pStyle w:val="288"/>
              <w:adjustRightInd w:val="0"/>
              <w:snapToGrid w:val="0"/>
              <w:spacing w:line="300" w:lineRule="exact"/>
              <w:rPr>
                <w:rFonts w:hint="eastAsia" w:eastAsia="宋体"/>
                <w:color w:val="auto"/>
              </w:rPr>
            </w:pPr>
            <w:r>
              <w:rPr>
                <w:rFonts w:hint="eastAsia" w:eastAsia="宋体"/>
                <w:color w:val="auto"/>
              </w:rPr>
              <w:t>燃气发电机</w:t>
            </w:r>
          </w:p>
        </w:tc>
        <w:tc>
          <w:tcPr>
            <w:tcW w:w="715" w:type="pct"/>
            <w:vMerge w:val="restart"/>
            <w:vAlign w:val="center"/>
          </w:tcPr>
          <w:p w14:paraId="32D26147">
            <w:pPr>
              <w:pStyle w:val="288"/>
              <w:adjustRightInd w:val="0"/>
              <w:snapToGrid w:val="0"/>
              <w:spacing w:line="300" w:lineRule="exact"/>
              <w:rPr>
                <w:rFonts w:hint="eastAsia" w:eastAsia="宋体"/>
                <w:color w:val="auto"/>
              </w:rPr>
            </w:pPr>
            <w:r>
              <w:rPr>
                <w:rFonts w:hint="eastAsia" w:eastAsia="宋体"/>
                <w:color w:val="auto"/>
              </w:rPr>
              <w:t>燃气发电机燃烧烟气</w:t>
            </w:r>
          </w:p>
        </w:tc>
        <w:tc>
          <w:tcPr>
            <w:tcW w:w="634" w:type="pct"/>
            <w:vAlign w:val="center"/>
          </w:tcPr>
          <w:p w14:paraId="4BEAAA26">
            <w:pPr>
              <w:pStyle w:val="288"/>
              <w:adjustRightInd w:val="0"/>
              <w:snapToGrid w:val="0"/>
              <w:spacing w:line="300" w:lineRule="exact"/>
              <w:rPr>
                <w:rFonts w:hint="eastAsia" w:eastAsia="宋体"/>
                <w:color w:val="auto"/>
              </w:rPr>
            </w:pPr>
            <w:r>
              <w:rPr>
                <w:rFonts w:hint="eastAsia" w:eastAsia="宋体"/>
                <w:color w:val="auto"/>
              </w:rPr>
              <w:t>氮氧化物</w:t>
            </w:r>
          </w:p>
        </w:tc>
        <w:tc>
          <w:tcPr>
            <w:tcW w:w="695" w:type="pct"/>
            <w:vAlign w:val="center"/>
          </w:tcPr>
          <w:p w14:paraId="048E46FB">
            <w:pPr>
              <w:pStyle w:val="288"/>
              <w:adjustRightInd w:val="0"/>
              <w:snapToGrid w:val="0"/>
              <w:spacing w:line="300" w:lineRule="exact"/>
              <w:rPr>
                <w:rFonts w:hint="eastAsia" w:eastAsia="宋体"/>
                <w:color w:val="auto"/>
              </w:rPr>
            </w:pPr>
            <w:r>
              <w:rPr>
                <w:rFonts w:eastAsia="宋体"/>
                <w:color w:val="auto"/>
              </w:rPr>
              <w:t>1.56816</w:t>
            </w:r>
            <w:r>
              <w:rPr>
                <w:rFonts w:hint="eastAsia" w:eastAsia="宋体"/>
                <w:color w:val="auto"/>
              </w:rPr>
              <w:t>t/a</w:t>
            </w:r>
          </w:p>
        </w:tc>
        <w:tc>
          <w:tcPr>
            <w:tcW w:w="665" w:type="pct"/>
            <w:vAlign w:val="center"/>
          </w:tcPr>
          <w:p w14:paraId="6145B01F">
            <w:pPr>
              <w:pStyle w:val="288"/>
              <w:adjustRightInd w:val="0"/>
              <w:snapToGrid w:val="0"/>
              <w:spacing w:line="300" w:lineRule="exact"/>
              <w:rPr>
                <w:rFonts w:hint="eastAsia" w:eastAsia="宋体"/>
                <w:color w:val="auto"/>
              </w:rPr>
            </w:pPr>
            <w:r>
              <w:rPr>
                <w:rFonts w:eastAsia="宋体"/>
                <w:color w:val="auto"/>
              </w:rPr>
              <w:t>1.56816</w:t>
            </w:r>
            <w:r>
              <w:rPr>
                <w:rFonts w:hint="eastAsia" w:eastAsia="宋体"/>
                <w:color w:val="auto"/>
              </w:rPr>
              <w:t>t/a</w:t>
            </w:r>
          </w:p>
        </w:tc>
        <w:tc>
          <w:tcPr>
            <w:tcW w:w="1099" w:type="pct"/>
            <w:vMerge w:val="restart"/>
            <w:vAlign w:val="center"/>
          </w:tcPr>
          <w:p w14:paraId="49828428">
            <w:pPr>
              <w:pStyle w:val="288"/>
              <w:adjustRightInd w:val="0"/>
              <w:snapToGrid w:val="0"/>
              <w:spacing w:line="300" w:lineRule="exact"/>
              <w:rPr>
                <w:rFonts w:hint="eastAsia" w:eastAsia="宋体" w:cs="宋体"/>
                <w:bCs/>
                <w:snapToGrid w:val="0"/>
                <w:color w:val="auto"/>
              </w:rPr>
            </w:pPr>
            <w:r>
              <w:rPr>
                <w:rFonts w:hint="eastAsia" w:eastAsia="宋体" w:cs="宋体"/>
                <w:bCs/>
                <w:snapToGrid w:val="0"/>
                <w:color w:val="auto"/>
              </w:rPr>
              <w:t>采用清洁燃烧，加强设备检维修，废气排放至大气环境</w:t>
            </w:r>
          </w:p>
        </w:tc>
      </w:tr>
      <w:tr w14:paraId="44A775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continue"/>
            <w:vAlign w:val="center"/>
          </w:tcPr>
          <w:p w14:paraId="4AF43590">
            <w:pPr>
              <w:pStyle w:val="288"/>
              <w:adjustRightInd w:val="0"/>
              <w:snapToGrid w:val="0"/>
              <w:spacing w:line="300" w:lineRule="exact"/>
              <w:rPr>
                <w:rFonts w:hint="eastAsia" w:eastAsia="宋体"/>
                <w:color w:val="auto"/>
              </w:rPr>
            </w:pPr>
          </w:p>
        </w:tc>
        <w:tc>
          <w:tcPr>
            <w:tcW w:w="879" w:type="pct"/>
            <w:vMerge w:val="continue"/>
            <w:vAlign w:val="center"/>
          </w:tcPr>
          <w:p w14:paraId="15B7C017">
            <w:pPr>
              <w:pStyle w:val="288"/>
              <w:adjustRightInd w:val="0"/>
              <w:snapToGrid w:val="0"/>
              <w:spacing w:line="300" w:lineRule="exact"/>
              <w:rPr>
                <w:rFonts w:hint="eastAsia" w:eastAsia="宋体"/>
                <w:color w:val="auto"/>
              </w:rPr>
            </w:pPr>
          </w:p>
        </w:tc>
        <w:tc>
          <w:tcPr>
            <w:tcW w:w="715" w:type="pct"/>
            <w:vMerge w:val="continue"/>
            <w:vAlign w:val="center"/>
          </w:tcPr>
          <w:p w14:paraId="4550DF9D">
            <w:pPr>
              <w:pStyle w:val="288"/>
              <w:adjustRightInd w:val="0"/>
              <w:snapToGrid w:val="0"/>
              <w:spacing w:line="300" w:lineRule="exact"/>
              <w:rPr>
                <w:rFonts w:hint="eastAsia" w:eastAsia="宋体"/>
                <w:color w:val="auto"/>
              </w:rPr>
            </w:pPr>
          </w:p>
        </w:tc>
        <w:tc>
          <w:tcPr>
            <w:tcW w:w="634" w:type="pct"/>
            <w:vAlign w:val="center"/>
          </w:tcPr>
          <w:p w14:paraId="4A9F58C9">
            <w:pPr>
              <w:pStyle w:val="288"/>
              <w:adjustRightInd w:val="0"/>
              <w:snapToGrid w:val="0"/>
              <w:spacing w:line="300" w:lineRule="exact"/>
              <w:rPr>
                <w:rFonts w:hint="eastAsia" w:eastAsia="宋体"/>
                <w:color w:val="auto"/>
              </w:rPr>
            </w:pPr>
            <w:r>
              <w:rPr>
                <w:rFonts w:hint="eastAsia" w:eastAsia="宋体"/>
                <w:color w:val="auto"/>
              </w:rPr>
              <w:t>二氧化硫</w:t>
            </w:r>
          </w:p>
        </w:tc>
        <w:tc>
          <w:tcPr>
            <w:tcW w:w="695" w:type="pct"/>
            <w:vAlign w:val="center"/>
          </w:tcPr>
          <w:p w14:paraId="5E1DED30">
            <w:pPr>
              <w:pStyle w:val="288"/>
              <w:adjustRightInd w:val="0"/>
              <w:snapToGrid w:val="0"/>
              <w:spacing w:line="300" w:lineRule="exact"/>
              <w:rPr>
                <w:rFonts w:hint="eastAsia" w:eastAsia="宋体"/>
                <w:color w:val="auto"/>
              </w:rPr>
            </w:pPr>
            <w:r>
              <w:rPr>
                <w:rFonts w:eastAsia="宋体"/>
                <w:color w:val="auto"/>
              </w:rPr>
              <w:t>0.16038</w:t>
            </w:r>
            <w:r>
              <w:rPr>
                <w:rFonts w:hint="eastAsia" w:eastAsia="宋体"/>
                <w:color w:val="auto"/>
              </w:rPr>
              <w:t>t/a</w:t>
            </w:r>
          </w:p>
        </w:tc>
        <w:tc>
          <w:tcPr>
            <w:tcW w:w="665" w:type="pct"/>
            <w:vAlign w:val="center"/>
          </w:tcPr>
          <w:p w14:paraId="3D211FEE">
            <w:pPr>
              <w:pStyle w:val="288"/>
              <w:adjustRightInd w:val="0"/>
              <w:snapToGrid w:val="0"/>
              <w:spacing w:line="300" w:lineRule="exact"/>
              <w:rPr>
                <w:rFonts w:hint="eastAsia" w:eastAsia="宋体"/>
                <w:color w:val="auto"/>
              </w:rPr>
            </w:pPr>
            <w:r>
              <w:rPr>
                <w:rFonts w:eastAsia="宋体"/>
                <w:color w:val="auto"/>
              </w:rPr>
              <w:t>0.16038</w:t>
            </w:r>
            <w:r>
              <w:rPr>
                <w:rFonts w:hint="eastAsia" w:eastAsia="宋体"/>
                <w:color w:val="auto"/>
              </w:rPr>
              <w:t>t/a</w:t>
            </w:r>
          </w:p>
        </w:tc>
        <w:tc>
          <w:tcPr>
            <w:tcW w:w="1099" w:type="pct"/>
            <w:vMerge w:val="continue"/>
            <w:vAlign w:val="center"/>
          </w:tcPr>
          <w:p w14:paraId="3AD2D0F7">
            <w:pPr>
              <w:pStyle w:val="288"/>
              <w:adjustRightInd w:val="0"/>
              <w:snapToGrid w:val="0"/>
              <w:spacing w:line="300" w:lineRule="exact"/>
              <w:rPr>
                <w:rFonts w:hint="eastAsia" w:eastAsia="宋体" w:cs="宋体"/>
                <w:bCs/>
                <w:snapToGrid w:val="0"/>
                <w:color w:val="auto"/>
              </w:rPr>
            </w:pPr>
          </w:p>
        </w:tc>
      </w:tr>
      <w:tr w14:paraId="4E3066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continue"/>
            <w:vAlign w:val="center"/>
          </w:tcPr>
          <w:p w14:paraId="67653D39">
            <w:pPr>
              <w:pStyle w:val="288"/>
              <w:adjustRightInd w:val="0"/>
              <w:snapToGrid w:val="0"/>
              <w:spacing w:line="300" w:lineRule="exact"/>
              <w:rPr>
                <w:rFonts w:hint="eastAsia" w:eastAsia="宋体"/>
                <w:color w:val="auto"/>
              </w:rPr>
            </w:pPr>
          </w:p>
        </w:tc>
        <w:tc>
          <w:tcPr>
            <w:tcW w:w="879" w:type="pct"/>
            <w:vMerge w:val="continue"/>
            <w:vAlign w:val="center"/>
          </w:tcPr>
          <w:p w14:paraId="31EAB243">
            <w:pPr>
              <w:pStyle w:val="288"/>
              <w:adjustRightInd w:val="0"/>
              <w:snapToGrid w:val="0"/>
              <w:spacing w:line="300" w:lineRule="exact"/>
              <w:rPr>
                <w:rFonts w:hint="eastAsia" w:eastAsia="宋体"/>
                <w:color w:val="auto"/>
              </w:rPr>
            </w:pPr>
          </w:p>
        </w:tc>
        <w:tc>
          <w:tcPr>
            <w:tcW w:w="715" w:type="pct"/>
            <w:vMerge w:val="continue"/>
            <w:vAlign w:val="center"/>
          </w:tcPr>
          <w:p w14:paraId="13C5862A">
            <w:pPr>
              <w:pStyle w:val="288"/>
              <w:adjustRightInd w:val="0"/>
              <w:snapToGrid w:val="0"/>
              <w:spacing w:line="300" w:lineRule="exact"/>
              <w:rPr>
                <w:rFonts w:hint="eastAsia" w:eastAsia="宋体"/>
                <w:color w:val="auto"/>
              </w:rPr>
            </w:pPr>
          </w:p>
        </w:tc>
        <w:tc>
          <w:tcPr>
            <w:tcW w:w="634" w:type="pct"/>
            <w:vAlign w:val="center"/>
          </w:tcPr>
          <w:p w14:paraId="1BB8BA39">
            <w:pPr>
              <w:pStyle w:val="288"/>
              <w:adjustRightInd w:val="0"/>
              <w:snapToGrid w:val="0"/>
              <w:spacing w:line="300" w:lineRule="exact"/>
              <w:rPr>
                <w:rFonts w:hint="eastAsia" w:eastAsia="宋体"/>
                <w:color w:val="auto"/>
              </w:rPr>
            </w:pPr>
            <w:r>
              <w:rPr>
                <w:rFonts w:hint="eastAsia" w:eastAsia="宋体"/>
                <w:color w:val="auto"/>
              </w:rPr>
              <w:t>颗粒物</w:t>
            </w:r>
          </w:p>
        </w:tc>
        <w:tc>
          <w:tcPr>
            <w:tcW w:w="695" w:type="pct"/>
            <w:vAlign w:val="center"/>
          </w:tcPr>
          <w:p w14:paraId="18CCE2B1">
            <w:pPr>
              <w:pStyle w:val="288"/>
              <w:adjustRightInd w:val="0"/>
              <w:snapToGrid w:val="0"/>
              <w:spacing w:line="300" w:lineRule="exact"/>
              <w:rPr>
                <w:rFonts w:hint="eastAsia" w:eastAsia="宋体"/>
                <w:color w:val="auto"/>
              </w:rPr>
            </w:pPr>
            <w:r>
              <w:rPr>
                <w:rFonts w:eastAsia="宋体"/>
                <w:color w:val="auto"/>
              </w:rPr>
              <w:t>0.12474</w:t>
            </w:r>
            <w:r>
              <w:rPr>
                <w:rFonts w:hint="eastAsia" w:eastAsia="宋体"/>
                <w:color w:val="auto"/>
              </w:rPr>
              <w:t>t/a</w:t>
            </w:r>
          </w:p>
        </w:tc>
        <w:tc>
          <w:tcPr>
            <w:tcW w:w="665" w:type="pct"/>
            <w:vAlign w:val="center"/>
          </w:tcPr>
          <w:p w14:paraId="07216CCE">
            <w:pPr>
              <w:pStyle w:val="288"/>
              <w:adjustRightInd w:val="0"/>
              <w:snapToGrid w:val="0"/>
              <w:spacing w:line="300" w:lineRule="exact"/>
              <w:rPr>
                <w:rFonts w:hint="eastAsia" w:eastAsia="宋体"/>
                <w:color w:val="auto"/>
              </w:rPr>
            </w:pPr>
            <w:r>
              <w:rPr>
                <w:rFonts w:eastAsia="宋体"/>
                <w:color w:val="auto"/>
              </w:rPr>
              <w:t>0.12474</w:t>
            </w:r>
            <w:r>
              <w:rPr>
                <w:rFonts w:hint="eastAsia" w:eastAsia="宋体"/>
                <w:color w:val="auto"/>
              </w:rPr>
              <w:t>t/a</w:t>
            </w:r>
          </w:p>
        </w:tc>
        <w:tc>
          <w:tcPr>
            <w:tcW w:w="1099" w:type="pct"/>
            <w:vMerge w:val="continue"/>
            <w:vAlign w:val="center"/>
          </w:tcPr>
          <w:p w14:paraId="2857DFC6">
            <w:pPr>
              <w:pStyle w:val="288"/>
              <w:adjustRightInd w:val="0"/>
              <w:snapToGrid w:val="0"/>
              <w:spacing w:line="300" w:lineRule="exact"/>
              <w:rPr>
                <w:rFonts w:hint="eastAsia" w:eastAsia="宋体" w:cs="宋体"/>
                <w:bCs/>
                <w:snapToGrid w:val="0"/>
                <w:color w:val="auto"/>
              </w:rPr>
            </w:pPr>
          </w:p>
        </w:tc>
      </w:tr>
      <w:tr w14:paraId="0FFAAC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continue"/>
            <w:vAlign w:val="center"/>
          </w:tcPr>
          <w:p w14:paraId="31DCFA36">
            <w:pPr>
              <w:pStyle w:val="288"/>
              <w:adjustRightInd w:val="0"/>
              <w:snapToGrid w:val="0"/>
              <w:spacing w:line="300" w:lineRule="exact"/>
              <w:rPr>
                <w:rFonts w:hint="eastAsia" w:eastAsia="宋体"/>
                <w:color w:val="auto"/>
              </w:rPr>
            </w:pPr>
          </w:p>
        </w:tc>
        <w:tc>
          <w:tcPr>
            <w:tcW w:w="879" w:type="pct"/>
            <w:vAlign w:val="center"/>
          </w:tcPr>
          <w:p w14:paraId="0577C269">
            <w:pPr>
              <w:pStyle w:val="288"/>
              <w:adjustRightInd w:val="0"/>
              <w:snapToGrid w:val="0"/>
              <w:spacing w:line="300" w:lineRule="exact"/>
              <w:rPr>
                <w:rFonts w:hint="eastAsia" w:eastAsia="宋体"/>
                <w:color w:val="auto"/>
              </w:rPr>
            </w:pPr>
            <w:r>
              <w:rPr>
                <w:rFonts w:hint="eastAsia" w:eastAsia="宋体"/>
                <w:color w:val="auto"/>
              </w:rPr>
              <w:t>气体集输处理、过程中的阀门、法兰等</w:t>
            </w:r>
          </w:p>
        </w:tc>
        <w:tc>
          <w:tcPr>
            <w:tcW w:w="715" w:type="pct"/>
            <w:vAlign w:val="center"/>
          </w:tcPr>
          <w:p w14:paraId="5E69F2FC">
            <w:pPr>
              <w:pStyle w:val="288"/>
              <w:adjustRightInd w:val="0"/>
              <w:snapToGrid w:val="0"/>
              <w:spacing w:line="300" w:lineRule="exact"/>
              <w:rPr>
                <w:rFonts w:hint="eastAsia" w:eastAsia="宋体"/>
                <w:color w:val="auto"/>
              </w:rPr>
            </w:pPr>
            <w:r>
              <w:rPr>
                <w:rFonts w:hint="eastAsia" w:eastAsia="宋体"/>
                <w:color w:val="auto"/>
              </w:rPr>
              <w:t>无组织挥发性有机物</w:t>
            </w:r>
          </w:p>
        </w:tc>
        <w:tc>
          <w:tcPr>
            <w:tcW w:w="634" w:type="pct"/>
            <w:vAlign w:val="center"/>
          </w:tcPr>
          <w:p w14:paraId="219B9A45">
            <w:pPr>
              <w:pStyle w:val="288"/>
              <w:adjustRightInd w:val="0"/>
              <w:snapToGrid w:val="0"/>
              <w:spacing w:line="300" w:lineRule="exact"/>
              <w:rPr>
                <w:rFonts w:hint="eastAsia" w:eastAsia="宋体"/>
                <w:color w:val="auto"/>
              </w:rPr>
            </w:pPr>
            <w:r>
              <w:rPr>
                <w:rFonts w:hint="eastAsia" w:eastAsia="宋体"/>
                <w:color w:val="auto"/>
              </w:rPr>
              <w:t>非甲烷</w:t>
            </w:r>
            <w:r>
              <w:rPr>
                <w:rFonts w:eastAsia="宋体"/>
                <w:color w:val="auto"/>
              </w:rPr>
              <w:t>总烃</w:t>
            </w:r>
          </w:p>
        </w:tc>
        <w:tc>
          <w:tcPr>
            <w:tcW w:w="695" w:type="pct"/>
            <w:vAlign w:val="center"/>
          </w:tcPr>
          <w:p w14:paraId="697A120B">
            <w:pPr>
              <w:pStyle w:val="288"/>
              <w:adjustRightInd w:val="0"/>
              <w:snapToGrid w:val="0"/>
              <w:spacing w:line="300" w:lineRule="exact"/>
              <w:rPr>
                <w:rFonts w:hint="eastAsia" w:eastAsia="宋体"/>
                <w:color w:val="auto"/>
              </w:rPr>
            </w:pPr>
            <w:r>
              <w:rPr>
                <w:rFonts w:hint="eastAsia" w:eastAsia="宋体"/>
                <w:color w:val="auto"/>
              </w:rPr>
              <w:t>1.5553t/a</w:t>
            </w:r>
          </w:p>
        </w:tc>
        <w:tc>
          <w:tcPr>
            <w:tcW w:w="665" w:type="pct"/>
            <w:vAlign w:val="center"/>
          </w:tcPr>
          <w:p w14:paraId="0B132D0E">
            <w:pPr>
              <w:pStyle w:val="288"/>
              <w:adjustRightInd w:val="0"/>
              <w:snapToGrid w:val="0"/>
              <w:spacing w:line="300" w:lineRule="exact"/>
              <w:rPr>
                <w:rFonts w:hint="eastAsia" w:eastAsia="宋体"/>
                <w:color w:val="auto"/>
              </w:rPr>
            </w:pPr>
            <w:r>
              <w:rPr>
                <w:rFonts w:hint="eastAsia" w:eastAsia="宋体"/>
                <w:color w:val="auto"/>
              </w:rPr>
              <w:t>1.5553t/a</w:t>
            </w:r>
          </w:p>
        </w:tc>
        <w:tc>
          <w:tcPr>
            <w:tcW w:w="1099" w:type="pct"/>
            <w:vAlign w:val="center"/>
          </w:tcPr>
          <w:p w14:paraId="79B42BA1">
            <w:pPr>
              <w:pStyle w:val="288"/>
              <w:adjustRightInd w:val="0"/>
              <w:snapToGrid w:val="0"/>
              <w:spacing w:line="300" w:lineRule="exact"/>
              <w:rPr>
                <w:rFonts w:hint="eastAsia" w:eastAsia="宋体"/>
                <w:color w:val="auto"/>
              </w:rPr>
            </w:pPr>
            <w:r>
              <w:rPr>
                <w:rFonts w:hint="eastAsia" w:eastAsia="宋体" w:cs="宋体"/>
                <w:bCs/>
                <w:snapToGrid w:val="0"/>
                <w:color w:val="auto"/>
              </w:rPr>
              <w:t>选用质量可靠的设备、仪表、阀门等；定期对站场的设备、阀门等检查，排放至</w:t>
            </w:r>
            <w:r>
              <w:rPr>
                <w:rFonts w:hint="eastAsia" w:eastAsia="宋体"/>
                <w:color w:val="auto"/>
              </w:rPr>
              <w:t>大气环境</w:t>
            </w:r>
          </w:p>
        </w:tc>
      </w:tr>
      <w:tr w14:paraId="0E2D8B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restart"/>
            <w:vAlign w:val="center"/>
          </w:tcPr>
          <w:p w14:paraId="1EB8DC28">
            <w:pPr>
              <w:pStyle w:val="288"/>
              <w:adjustRightInd w:val="0"/>
              <w:snapToGrid w:val="0"/>
              <w:spacing w:line="300" w:lineRule="exact"/>
              <w:rPr>
                <w:rFonts w:hint="eastAsia" w:eastAsia="宋体"/>
                <w:color w:val="auto"/>
              </w:rPr>
            </w:pPr>
            <w:r>
              <w:rPr>
                <w:rFonts w:hint="eastAsia" w:eastAsia="宋体"/>
                <w:color w:val="auto"/>
              </w:rPr>
              <w:t>废水</w:t>
            </w:r>
          </w:p>
        </w:tc>
        <w:tc>
          <w:tcPr>
            <w:tcW w:w="879" w:type="pct"/>
            <w:vAlign w:val="center"/>
          </w:tcPr>
          <w:p w14:paraId="34E2B7B5">
            <w:pPr>
              <w:pStyle w:val="288"/>
              <w:adjustRightInd w:val="0"/>
              <w:snapToGrid w:val="0"/>
              <w:spacing w:line="300" w:lineRule="exact"/>
              <w:rPr>
                <w:rFonts w:hint="eastAsia" w:eastAsia="宋体"/>
                <w:color w:val="auto"/>
              </w:rPr>
            </w:pPr>
            <w:r>
              <w:rPr>
                <w:rFonts w:hint="eastAsia" w:eastAsia="宋体"/>
                <w:color w:val="auto"/>
              </w:rPr>
              <w:t>井下作业</w:t>
            </w:r>
          </w:p>
        </w:tc>
        <w:tc>
          <w:tcPr>
            <w:tcW w:w="715" w:type="pct"/>
            <w:vAlign w:val="center"/>
          </w:tcPr>
          <w:p w14:paraId="78AE7809">
            <w:pPr>
              <w:pStyle w:val="288"/>
              <w:adjustRightInd w:val="0"/>
              <w:snapToGrid w:val="0"/>
              <w:spacing w:line="300" w:lineRule="exact"/>
              <w:rPr>
                <w:rFonts w:hint="eastAsia" w:eastAsia="宋体"/>
                <w:color w:val="auto"/>
              </w:rPr>
            </w:pPr>
            <w:r>
              <w:rPr>
                <w:rFonts w:hint="eastAsia" w:eastAsia="宋体"/>
                <w:color w:val="auto"/>
              </w:rPr>
              <w:t>压裂返排液</w:t>
            </w:r>
          </w:p>
        </w:tc>
        <w:tc>
          <w:tcPr>
            <w:tcW w:w="634" w:type="pct"/>
            <w:vAlign w:val="center"/>
          </w:tcPr>
          <w:p w14:paraId="583FF6F1">
            <w:pPr>
              <w:pStyle w:val="288"/>
              <w:adjustRightInd w:val="0"/>
              <w:snapToGrid w:val="0"/>
              <w:spacing w:line="300" w:lineRule="exact"/>
              <w:rPr>
                <w:rFonts w:hint="eastAsia" w:eastAsia="宋体"/>
                <w:color w:val="auto"/>
              </w:rPr>
            </w:pPr>
            <w:r>
              <w:rPr>
                <w:rFonts w:hint="eastAsia" w:eastAsia="宋体"/>
                <w:color w:val="auto"/>
              </w:rPr>
              <w:t>石油类、悬浮物</w:t>
            </w:r>
          </w:p>
        </w:tc>
        <w:tc>
          <w:tcPr>
            <w:tcW w:w="695" w:type="pct"/>
            <w:vAlign w:val="center"/>
          </w:tcPr>
          <w:p w14:paraId="28F15731">
            <w:pPr>
              <w:pStyle w:val="288"/>
              <w:adjustRightInd w:val="0"/>
              <w:snapToGrid w:val="0"/>
              <w:spacing w:line="300" w:lineRule="exact"/>
              <w:rPr>
                <w:rFonts w:hint="eastAsia" w:eastAsia="宋体"/>
                <w:color w:val="auto"/>
              </w:rPr>
            </w:pPr>
            <w:r>
              <w:rPr>
                <w:rFonts w:hint="eastAsia" w:eastAsia="宋体" w:cs="宋体"/>
                <w:color w:val="auto"/>
              </w:rPr>
              <w:t>791.94m</w:t>
            </w:r>
            <w:r>
              <w:rPr>
                <w:rFonts w:hint="eastAsia" w:eastAsia="宋体" w:cs="宋体"/>
                <w:color w:val="auto"/>
                <w:vertAlign w:val="superscript"/>
              </w:rPr>
              <w:t>3</w:t>
            </w:r>
            <w:r>
              <w:rPr>
                <w:rFonts w:hint="eastAsia" w:eastAsia="宋体" w:cs="宋体"/>
                <w:color w:val="auto"/>
              </w:rPr>
              <w:t>/a</w:t>
            </w:r>
          </w:p>
        </w:tc>
        <w:tc>
          <w:tcPr>
            <w:tcW w:w="665" w:type="pct"/>
            <w:vAlign w:val="center"/>
          </w:tcPr>
          <w:p w14:paraId="4DAAABE5">
            <w:pPr>
              <w:pStyle w:val="288"/>
              <w:adjustRightInd w:val="0"/>
              <w:snapToGrid w:val="0"/>
              <w:spacing w:line="300" w:lineRule="exact"/>
              <w:rPr>
                <w:rFonts w:hint="eastAsia" w:eastAsia="宋体"/>
                <w:color w:val="auto"/>
              </w:rPr>
            </w:pPr>
            <w:r>
              <w:rPr>
                <w:rFonts w:hint="eastAsia" w:eastAsia="宋体"/>
                <w:color w:val="auto"/>
              </w:rPr>
              <w:t>0</w:t>
            </w:r>
          </w:p>
        </w:tc>
        <w:tc>
          <w:tcPr>
            <w:tcW w:w="1099" w:type="pct"/>
            <w:vMerge w:val="restart"/>
            <w:tcBorders>
              <w:top w:val="single" w:color="auto" w:sz="4" w:space="0"/>
            </w:tcBorders>
            <w:vAlign w:val="center"/>
          </w:tcPr>
          <w:p w14:paraId="279159C4">
            <w:pPr>
              <w:pStyle w:val="288"/>
              <w:adjustRightInd w:val="0"/>
              <w:snapToGrid w:val="0"/>
              <w:spacing w:line="300" w:lineRule="exact"/>
              <w:rPr>
                <w:rFonts w:hint="eastAsia" w:eastAsia="宋体"/>
                <w:color w:val="auto"/>
              </w:rPr>
            </w:pPr>
            <w:r>
              <w:rPr>
                <w:rFonts w:hint="eastAsia" w:eastAsia="宋体"/>
                <w:color w:val="auto"/>
              </w:rPr>
              <w:t>送至莫北转油站采出水处理系统处理</w:t>
            </w:r>
          </w:p>
        </w:tc>
      </w:tr>
      <w:tr w14:paraId="18F060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continue"/>
            <w:vAlign w:val="center"/>
          </w:tcPr>
          <w:p w14:paraId="044A7233">
            <w:pPr>
              <w:pStyle w:val="288"/>
              <w:adjustRightInd w:val="0"/>
              <w:snapToGrid w:val="0"/>
              <w:spacing w:line="300" w:lineRule="exact"/>
              <w:rPr>
                <w:rFonts w:hint="eastAsia" w:eastAsia="宋体"/>
                <w:color w:val="auto"/>
              </w:rPr>
            </w:pPr>
          </w:p>
        </w:tc>
        <w:tc>
          <w:tcPr>
            <w:tcW w:w="879" w:type="pct"/>
            <w:vAlign w:val="center"/>
          </w:tcPr>
          <w:p w14:paraId="370BB857">
            <w:pPr>
              <w:pStyle w:val="288"/>
              <w:adjustRightInd w:val="0"/>
              <w:snapToGrid w:val="0"/>
              <w:spacing w:line="300" w:lineRule="exact"/>
              <w:rPr>
                <w:rFonts w:hint="eastAsia" w:eastAsia="宋体"/>
                <w:color w:val="auto"/>
              </w:rPr>
            </w:pPr>
            <w:r>
              <w:rPr>
                <w:rFonts w:hint="eastAsia" w:eastAsia="宋体"/>
                <w:color w:val="auto"/>
              </w:rPr>
              <w:t>井下作业</w:t>
            </w:r>
          </w:p>
        </w:tc>
        <w:tc>
          <w:tcPr>
            <w:tcW w:w="715" w:type="pct"/>
            <w:vAlign w:val="center"/>
          </w:tcPr>
          <w:p w14:paraId="57ABA2B8">
            <w:pPr>
              <w:pStyle w:val="288"/>
              <w:adjustRightInd w:val="0"/>
              <w:snapToGrid w:val="0"/>
              <w:spacing w:line="300" w:lineRule="exact"/>
              <w:rPr>
                <w:rFonts w:hint="eastAsia" w:eastAsia="宋体"/>
                <w:color w:val="auto"/>
              </w:rPr>
            </w:pPr>
            <w:r>
              <w:rPr>
                <w:rFonts w:hint="eastAsia" w:eastAsia="宋体"/>
                <w:color w:val="auto"/>
              </w:rPr>
              <w:t>废洗井液</w:t>
            </w:r>
          </w:p>
        </w:tc>
        <w:tc>
          <w:tcPr>
            <w:tcW w:w="634" w:type="pct"/>
            <w:vAlign w:val="center"/>
          </w:tcPr>
          <w:p w14:paraId="6E8E40C3">
            <w:pPr>
              <w:pStyle w:val="288"/>
              <w:adjustRightInd w:val="0"/>
              <w:snapToGrid w:val="0"/>
              <w:spacing w:line="300" w:lineRule="exact"/>
              <w:rPr>
                <w:rFonts w:hint="eastAsia" w:eastAsia="宋体"/>
                <w:color w:val="auto"/>
              </w:rPr>
            </w:pPr>
            <w:r>
              <w:rPr>
                <w:rFonts w:hint="eastAsia" w:eastAsia="宋体"/>
                <w:color w:val="auto"/>
              </w:rPr>
              <w:t>石油类、悬浮物</w:t>
            </w:r>
          </w:p>
        </w:tc>
        <w:tc>
          <w:tcPr>
            <w:tcW w:w="695" w:type="pct"/>
            <w:vAlign w:val="center"/>
          </w:tcPr>
          <w:p w14:paraId="62576376">
            <w:pPr>
              <w:pStyle w:val="288"/>
              <w:adjustRightInd w:val="0"/>
              <w:snapToGrid w:val="0"/>
              <w:spacing w:line="300" w:lineRule="exact"/>
              <w:rPr>
                <w:rFonts w:hint="eastAsia" w:eastAsia="宋体" w:cs="宋体"/>
                <w:color w:val="auto"/>
              </w:rPr>
            </w:pPr>
            <w:r>
              <w:rPr>
                <w:rFonts w:hint="eastAsia" w:eastAsia="宋体" w:cs="宋体"/>
                <w:color w:val="auto"/>
              </w:rPr>
              <w:t>75.87m</w:t>
            </w:r>
            <w:r>
              <w:rPr>
                <w:rFonts w:hint="eastAsia" w:eastAsia="宋体" w:cs="宋体"/>
                <w:color w:val="auto"/>
                <w:vertAlign w:val="superscript"/>
              </w:rPr>
              <w:t>3</w:t>
            </w:r>
            <w:r>
              <w:rPr>
                <w:rFonts w:hint="eastAsia" w:eastAsia="宋体" w:cs="宋体"/>
                <w:color w:val="auto"/>
              </w:rPr>
              <w:t>/a</w:t>
            </w:r>
          </w:p>
        </w:tc>
        <w:tc>
          <w:tcPr>
            <w:tcW w:w="665" w:type="pct"/>
            <w:vAlign w:val="center"/>
          </w:tcPr>
          <w:p w14:paraId="4D8F91FD">
            <w:pPr>
              <w:pStyle w:val="288"/>
              <w:adjustRightInd w:val="0"/>
              <w:snapToGrid w:val="0"/>
              <w:spacing w:line="300" w:lineRule="exact"/>
              <w:rPr>
                <w:rFonts w:hint="eastAsia" w:eastAsia="宋体"/>
                <w:color w:val="auto"/>
              </w:rPr>
            </w:pPr>
            <w:r>
              <w:rPr>
                <w:rFonts w:hint="eastAsia" w:eastAsia="宋体"/>
                <w:color w:val="auto"/>
              </w:rPr>
              <w:t>0</w:t>
            </w:r>
          </w:p>
        </w:tc>
        <w:tc>
          <w:tcPr>
            <w:tcW w:w="1099" w:type="pct"/>
            <w:vMerge w:val="continue"/>
            <w:vAlign w:val="center"/>
          </w:tcPr>
          <w:p w14:paraId="17E074DF">
            <w:pPr>
              <w:pStyle w:val="288"/>
              <w:adjustRightInd w:val="0"/>
              <w:snapToGrid w:val="0"/>
              <w:spacing w:line="300" w:lineRule="exact"/>
              <w:rPr>
                <w:rFonts w:hint="eastAsia" w:eastAsia="宋体"/>
                <w:color w:val="auto"/>
              </w:rPr>
            </w:pPr>
          </w:p>
        </w:tc>
      </w:tr>
      <w:tr w14:paraId="762050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continue"/>
            <w:vAlign w:val="center"/>
          </w:tcPr>
          <w:p w14:paraId="58AB939C">
            <w:pPr>
              <w:pStyle w:val="288"/>
              <w:adjustRightInd w:val="0"/>
              <w:snapToGrid w:val="0"/>
              <w:spacing w:line="300" w:lineRule="exact"/>
              <w:rPr>
                <w:rFonts w:hint="eastAsia" w:eastAsia="宋体"/>
                <w:color w:val="auto"/>
              </w:rPr>
            </w:pPr>
          </w:p>
        </w:tc>
        <w:tc>
          <w:tcPr>
            <w:tcW w:w="879" w:type="pct"/>
            <w:vAlign w:val="center"/>
          </w:tcPr>
          <w:p w14:paraId="494AAA81">
            <w:pPr>
              <w:pStyle w:val="288"/>
              <w:adjustRightInd w:val="0"/>
              <w:snapToGrid w:val="0"/>
              <w:spacing w:line="300" w:lineRule="exact"/>
              <w:rPr>
                <w:rFonts w:hint="eastAsia" w:eastAsia="宋体"/>
                <w:color w:val="auto"/>
              </w:rPr>
            </w:pPr>
            <w:r>
              <w:rPr>
                <w:rFonts w:hint="eastAsia" w:eastAsia="宋体"/>
                <w:color w:val="auto"/>
              </w:rPr>
              <w:t>三相分离器</w:t>
            </w:r>
          </w:p>
        </w:tc>
        <w:tc>
          <w:tcPr>
            <w:tcW w:w="715" w:type="pct"/>
            <w:vAlign w:val="center"/>
          </w:tcPr>
          <w:p w14:paraId="507BE0BE">
            <w:pPr>
              <w:pStyle w:val="288"/>
              <w:adjustRightInd w:val="0"/>
              <w:snapToGrid w:val="0"/>
              <w:spacing w:line="300" w:lineRule="exact"/>
              <w:rPr>
                <w:rFonts w:hint="eastAsia" w:eastAsia="宋体"/>
                <w:color w:val="auto"/>
              </w:rPr>
            </w:pPr>
            <w:r>
              <w:rPr>
                <w:rFonts w:hint="eastAsia" w:eastAsia="宋体"/>
                <w:color w:val="auto"/>
              </w:rPr>
              <w:t>采出水</w:t>
            </w:r>
          </w:p>
        </w:tc>
        <w:tc>
          <w:tcPr>
            <w:tcW w:w="634" w:type="pct"/>
            <w:vAlign w:val="center"/>
          </w:tcPr>
          <w:p w14:paraId="3B69B69C">
            <w:pPr>
              <w:pStyle w:val="288"/>
              <w:adjustRightInd w:val="0"/>
              <w:snapToGrid w:val="0"/>
              <w:spacing w:line="300" w:lineRule="exact"/>
              <w:rPr>
                <w:rFonts w:hint="eastAsia" w:eastAsia="宋体"/>
                <w:color w:val="auto"/>
              </w:rPr>
            </w:pPr>
            <w:r>
              <w:rPr>
                <w:rFonts w:hint="eastAsia" w:eastAsia="宋体"/>
                <w:color w:val="auto"/>
              </w:rPr>
              <w:t>石油类、悬浮物</w:t>
            </w:r>
          </w:p>
        </w:tc>
        <w:tc>
          <w:tcPr>
            <w:tcW w:w="695" w:type="pct"/>
            <w:vAlign w:val="center"/>
          </w:tcPr>
          <w:p w14:paraId="618F537D">
            <w:pPr>
              <w:pStyle w:val="288"/>
              <w:adjustRightInd w:val="0"/>
              <w:snapToGrid w:val="0"/>
              <w:spacing w:line="300" w:lineRule="exact"/>
              <w:rPr>
                <w:rFonts w:hint="eastAsia" w:eastAsia="宋体" w:cs="宋体"/>
                <w:color w:val="auto"/>
                <w:lang w:bidi="ar"/>
              </w:rPr>
            </w:pPr>
            <w:r>
              <w:rPr>
                <w:rFonts w:hint="eastAsia"/>
                <w:color w:val="auto"/>
              </w:rPr>
              <w:t>244</w:t>
            </w:r>
            <w:r>
              <w:rPr>
                <w:rFonts w:hint="eastAsia" w:eastAsia="宋体"/>
                <w:color w:val="auto"/>
              </w:rPr>
              <w:t>20m</w:t>
            </w:r>
            <w:r>
              <w:rPr>
                <w:rFonts w:hint="eastAsia" w:eastAsia="宋体"/>
                <w:color w:val="auto"/>
                <w:vertAlign w:val="superscript"/>
              </w:rPr>
              <w:t>3</w:t>
            </w:r>
            <w:r>
              <w:rPr>
                <w:rFonts w:hint="eastAsia" w:eastAsia="宋体"/>
                <w:color w:val="auto"/>
              </w:rPr>
              <w:t>/a</w:t>
            </w:r>
          </w:p>
        </w:tc>
        <w:tc>
          <w:tcPr>
            <w:tcW w:w="665" w:type="pct"/>
            <w:vAlign w:val="center"/>
          </w:tcPr>
          <w:p w14:paraId="5282D3ED">
            <w:pPr>
              <w:pStyle w:val="288"/>
              <w:adjustRightInd w:val="0"/>
              <w:snapToGrid w:val="0"/>
              <w:spacing w:line="300" w:lineRule="exact"/>
              <w:rPr>
                <w:rFonts w:hint="eastAsia" w:eastAsia="宋体"/>
                <w:color w:val="auto"/>
              </w:rPr>
            </w:pPr>
            <w:r>
              <w:rPr>
                <w:rFonts w:hint="eastAsia"/>
                <w:color w:val="auto"/>
              </w:rPr>
              <w:t>0</w:t>
            </w:r>
          </w:p>
        </w:tc>
        <w:tc>
          <w:tcPr>
            <w:tcW w:w="1099" w:type="pct"/>
            <w:vMerge w:val="continue"/>
            <w:vAlign w:val="center"/>
          </w:tcPr>
          <w:p w14:paraId="00090C0F">
            <w:pPr>
              <w:pStyle w:val="288"/>
              <w:adjustRightInd w:val="0"/>
              <w:snapToGrid w:val="0"/>
              <w:spacing w:line="300" w:lineRule="exact"/>
              <w:rPr>
                <w:rFonts w:hint="eastAsia" w:eastAsia="宋体"/>
                <w:color w:val="auto"/>
              </w:rPr>
            </w:pPr>
          </w:p>
        </w:tc>
      </w:tr>
      <w:tr w14:paraId="170DBD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continue"/>
            <w:vAlign w:val="center"/>
          </w:tcPr>
          <w:p w14:paraId="50BFE8ED">
            <w:pPr>
              <w:pStyle w:val="288"/>
              <w:adjustRightInd w:val="0"/>
              <w:snapToGrid w:val="0"/>
              <w:spacing w:line="300" w:lineRule="exact"/>
              <w:rPr>
                <w:rFonts w:hint="eastAsia" w:eastAsia="宋体"/>
                <w:color w:val="auto"/>
              </w:rPr>
            </w:pPr>
            <w:bookmarkStart w:id="319" w:name="_Hlk221287040"/>
          </w:p>
        </w:tc>
        <w:tc>
          <w:tcPr>
            <w:tcW w:w="879" w:type="pct"/>
            <w:vAlign w:val="center"/>
          </w:tcPr>
          <w:p w14:paraId="6D57A556">
            <w:pPr>
              <w:pStyle w:val="288"/>
              <w:adjustRightInd w:val="0"/>
              <w:snapToGrid w:val="0"/>
              <w:spacing w:line="300" w:lineRule="exact"/>
              <w:rPr>
                <w:rFonts w:hint="eastAsia" w:eastAsia="宋体"/>
                <w:color w:val="auto"/>
              </w:rPr>
            </w:pPr>
            <w:r>
              <w:rPr>
                <w:rFonts w:hint="eastAsia" w:eastAsia="宋体"/>
                <w:color w:val="auto"/>
              </w:rPr>
              <w:t>天然气处理装置</w:t>
            </w:r>
          </w:p>
        </w:tc>
        <w:tc>
          <w:tcPr>
            <w:tcW w:w="715" w:type="pct"/>
            <w:vAlign w:val="center"/>
          </w:tcPr>
          <w:p w14:paraId="566EBAE5">
            <w:pPr>
              <w:pStyle w:val="288"/>
              <w:adjustRightInd w:val="0"/>
              <w:snapToGrid w:val="0"/>
              <w:spacing w:line="300" w:lineRule="exact"/>
              <w:rPr>
                <w:rFonts w:hint="eastAsia" w:eastAsia="宋体"/>
                <w:color w:val="auto"/>
              </w:rPr>
            </w:pPr>
            <w:r>
              <w:rPr>
                <w:rFonts w:hint="eastAsia" w:eastAsia="宋体"/>
                <w:color w:val="auto"/>
              </w:rPr>
              <w:t>装置排污水</w:t>
            </w:r>
          </w:p>
        </w:tc>
        <w:tc>
          <w:tcPr>
            <w:tcW w:w="634" w:type="pct"/>
            <w:vAlign w:val="center"/>
          </w:tcPr>
          <w:p w14:paraId="7104B755">
            <w:pPr>
              <w:pStyle w:val="288"/>
              <w:adjustRightInd w:val="0"/>
              <w:snapToGrid w:val="0"/>
              <w:spacing w:line="300" w:lineRule="exact"/>
              <w:rPr>
                <w:rFonts w:hint="eastAsia" w:eastAsia="宋体"/>
                <w:color w:val="auto"/>
              </w:rPr>
            </w:pPr>
            <w:r>
              <w:rPr>
                <w:rFonts w:hint="eastAsia" w:eastAsia="宋体"/>
                <w:color w:val="auto"/>
              </w:rPr>
              <w:t>石油类、悬浮物</w:t>
            </w:r>
          </w:p>
        </w:tc>
        <w:tc>
          <w:tcPr>
            <w:tcW w:w="695" w:type="pct"/>
            <w:vAlign w:val="center"/>
          </w:tcPr>
          <w:p w14:paraId="5CFA3768">
            <w:pPr>
              <w:pStyle w:val="288"/>
              <w:adjustRightInd w:val="0"/>
              <w:snapToGrid w:val="0"/>
              <w:spacing w:line="300" w:lineRule="exact"/>
              <w:rPr>
                <w:rFonts w:hint="eastAsia" w:eastAsia="宋体" w:cs="宋体"/>
                <w:color w:val="auto"/>
                <w:lang w:bidi="ar"/>
              </w:rPr>
            </w:pPr>
            <w:r>
              <w:rPr>
                <w:rFonts w:hint="eastAsia" w:cs="宋体"/>
                <w:color w:val="auto"/>
              </w:rPr>
              <w:t>100m</w:t>
            </w:r>
            <w:r>
              <w:rPr>
                <w:rFonts w:hint="eastAsia" w:cs="宋体"/>
                <w:color w:val="auto"/>
                <w:vertAlign w:val="superscript"/>
              </w:rPr>
              <w:t>3</w:t>
            </w:r>
            <w:r>
              <w:rPr>
                <w:rFonts w:hint="eastAsia" w:cs="宋体"/>
                <w:color w:val="auto"/>
              </w:rPr>
              <w:t>/a</w:t>
            </w:r>
          </w:p>
        </w:tc>
        <w:tc>
          <w:tcPr>
            <w:tcW w:w="665" w:type="pct"/>
            <w:vAlign w:val="center"/>
          </w:tcPr>
          <w:p w14:paraId="062C709E">
            <w:pPr>
              <w:pStyle w:val="288"/>
              <w:adjustRightInd w:val="0"/>
              <w:snapToGrid w:val="0"/>
              <w:spacing w:line="300" w:lineRule="exact"/>
              <w:rPr>
                <w:rFonts w:hint="eastAsia" w:eastAsia="宋体"/>
                <w:color w:val="auto"/>
              </w:rPr>
            </w:pPr>
            <w:r>
              <w:rPr>
                <w:rFonts w:hint="eastAsia"/>
                <w:color w:val="auto"/>
              </w:rPr>
              <w:t>0</w:t>
            </w:r>
          </w:p>
        </w:tc>
        <w:tc>
          <w:tcPr>
            <w:tcW w:w="1099" w:type="pct"/>
            <w:vMerge w:val="continue"/>
            <w:vAlign w:val="center"/>
          </w:tcPr>
          <w:p w14:paraId="71E91D16">
            <w:pPr>
              <w:pStyle w:val="288"/>
              <w:adjustRightInd w:val="0"/>
              <w:snapToGrid w:val="0"/>
              <w:spacing w:line="300" w:lineRule="exact"/>
              <w:rPr>
                <w:rFonts w:hint="eastAsia" w:eastAsia="宋体"/>
                <w:color w:val="auto"/>
              </w:rPr>
            </w:pPr>
          </w:p>
        </w:tc>
      </w:tr>
      <w:bookmarkEnd w:id="319"/>
      <w:tr w14:paraId="7ED9DA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continue"/>
            <w:vAlign w:val="center"/>
          </w:tcPr>
          <w:p w14:paraId="053D9901">
            <w:pPr>
              <w:pStyle w:val="288"/>
              <w:adjustRightInd w:val="0"/>
              <w:snapToGrid w:val="0"/>
              <w:spacing w:line="300" w:lineRule="exact"/>
              <w:rPr>
                <w:rFonts w:hint="eastAsia" w:eastAsia="宋体"/>
                <w:color w:val="auto"/>
              </w:rPr>
            </w:pPr>
          </w:p>
        </w:tc>
        <w:tc>
          <w:tcPr>
            <w:tcW w:w="879" w:type="pct"/>
            <w:vAlign w:val="center"/>
          </w:tcPr>
          <w:p w14:paraId="272380E6">
            <w:pPr>
              <w:pStyle w:val="288"/>
              <w:adjustRightInd w:val="0"/>
              <w:snapToGrid w:val="0"/>
              <w:spacing w:line="300" w:lineRule="exact"/>
              <w:rPr>
                <w:rFonts w:hint="eastAsia" w:eastAsia="宋体"/>
                <w:color w:val="auto"/>
              </w:rPr>
            </w:pPr>
            <w:r>
              <w:rPr>
                <w:rFonts w:hint="eastAsia" w:eastAsia="宋体"/>
                <w:color w:val="auto"/>
              </w:rPr>
              <w:t>生活污水</w:t>
            </w:r>
          </w:p>
        </w:tc>
        <w:tc>
          <w:tcPr>
            <w:tcW w:w="715" w:type="pct"/>
            <w:vAlign w:val="center"/>
          </w:tcPr>
          <w:p w14:paraId="1814C09D">
            <w:pPr>
              <w:pStyle w:val="288"/>
              <w:adjustRightInd w:val="0"/>
              <w:snapToGrid w:val="0"/>
              <w:spacing w:line="300" w:lineRule="exact"/>
              <w:rPr>
                <w:rFonts w:hint="eastAsia" w:eastAsia="宋体"/>
                <w:color w:val="auto"/>
              </w:rPr>
            </w:pPr>
            <w:r>
              <w:rPr>
                <w:rFonts w:hint="eastAsia" w:eastAsia="宋体"/>
                <w:color w:val="auto"/>
              </w:rPr>
              <w:t>生活污水</w:t>
            </w:r>
          </w:p>
        </w:tc>
        <w:tc>
          <w:tcPr>
            <w:tcW w:w="634" w:type="pct"/>
            <w:vAlign w:val="center"/>
          </w:tcPr>
          <w:p w14:paraId="6F2DFE54">
            <w:pPr>
              <w:pStyle w:val="288"/>
              <w:adjustRightInd w:val="0"/>
              <w:snapToGrid w:val="0"/>
              <w:spacing w:line="300" w:lineRule="exact"/>
              <w:rPr>
                <w:rFonts w:hint="eastAsia" w:eastAsia="宋体"/>
                <w:color w:val="auto"/>
              </w:rPr>
            </w:pPr>
            <w:r>
              <w:rPr>
                <w:rFonts w:hint="eastAsia" w:eastAsia="宋体"/>
                <w:color w:val="auto"/>
              </w:rPr>
              <w:t>COD、SS</w:t>
            </w:r>
          </w:p>
        </w:tc>
        <w:tc>
          <w:tcPr>
            <w:tcW w:w="695" w:type="pct"/>
            <w:vAlign w:val="center"/>
          </w:tcPr>
          <w:p w14:paraId="5282DEAA">
            <w:pPr>
              <w:pStyle w:val="288"/>
              <w:adjustRightInd w:val="0"/>
              <w:snapToGrid w:val="0"/>
              <w:spacing w:line="300" w:lineRule="exact"/>
              <w:rPr>
                <w:rFonts w:hint="eastAsia" w:eastAsia="宋体" w:cs="宋体"/>
                <w:color w:val="auto"/>
              </w:rPr>
            </w:pPr>
            <w:r>
              <w:rPr>
                <w:rFonts w:hint="eastAsia" w:eastAsia="宋体" w:cs="宋体"/>
                <w:color w:val="auto"/>
              </w:rPr>
              <w:t>42.2m</w:t>
            </w:r>
            <w:r>
              <w:rPr>
                <w:rFonts w:hint="eastAsia" w:eastAsia="宋体" w:cs="宋体"/>
                <w:color w:val="auto"/>
                <w:vertAlign w:val="superscript"/>
              </w:rPr>
              <w:t>3</w:t>
            </w:r>
            <w:r>
              <w:rPr>
                <w:rFonts w:hint="eastAsia" w:eastAsia="宋体" w:cs="宋体"/>
                <w:color w:val="auto"/>
              </w:rPr>
              <w:t>/a</w:t>
            </w:r>
          </w:p>
        </w:tc>
        <w:tc>
          <w:tcPr>
            <w:tcW w:w="665" w:type="pct"/>
            <w:vAlign w:val="center"/>
          </w:tcPr>
          <w:p w14:paraId="01A50D3B">
            <w:pPr>
              <w:pStyle w:val="288"/>
              <w:adjustRightInd w:val="0"/>
              <w:snapToGrid w:val="0"/>
              <w:spacing w:line="300" w:lineRule="exact"/>
              <w:rPr>
                <w:rFonts w:hint="eastAsia" w:eastAsia="宋体"/>
                <w:color w:val="auto"/>
              </w:rPr>
            </w:pPr>
            <w:r>
              <w:rPr>
                <w:rFonts w:hint="eastAsia" w:eastAsia="宋体"/>
                <w:color w:val="auto"/>
              </w:rPr>
              <w:t>0</w:t>
            </w:r>
          </w:p>
        </w:tc>
        <w:tc>
          <w:tcPr>
            <w:tcW w:w="1099" w:type="pct"/>
            <w:vAlign w:val="center"/>
          </w:tcPr>
          <w:p w14:paraId="33F9525F">
            <w:pPr>
              <w:pStyle w:val="288"/>
              <w:adjustRightInd w:val="0"/>
              <w:snapToGrid w:val="0"/>
              <w:spacing w:line="300" w:lineRule="exact"/>
              <w:rPr>
                <w:rFonts w:hint="eastAsia" w:eastAsia="宋体"/>
                <w:color w:val="auto"/>
              </w:rPr>
            </w:pPr>
            <w:r>
              <w:rPr>
                <w:rFonts w:hint="eastAsia" w:eastAsia="宋体"/>
                <w:color w:val="auto"/>
              </w:rPr>
              <w:t>送至玛纳斯县生活污水处理厂处理</w:t>
            </w:r>
          </w:p>
        </w:tc>
      </w:tr>
      <w:tr w14:paraId="520F8C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Align w:val="center"/>
          </w:tcPr>
          <w:p w14:paraId="069AC438">
            <w:pPr>
              <w:pStyle w:val="288"/>
              <w:adjustRightInd w:val="0"/>
              <w:snapToGrid w:val="0"/>
              <w:spacing w:line="300" w:lineRule="exact"/>
              <w:rPr>
                <w:rFonts w:hint="eastAsia" w:eastAsia="宋体"/>
                <w:color w:val="auto"/>
              </w:rPr>
            </w:pPr>
            <w:r>
              <w:rPr>
                <w:rFonts w:hint="eastAsia" w:eastAsia="宋体"/>
                <w:color w:val="auto"/>
              </w:rPr>
              <w:t>噪声</w:t>
            </w:r>
          </w:p>
        </w:tc>
        <w:tc>
          <w:tcPr>
            <w:tcW w:w="879" w:type="pct"/>
            <w:vAlign w:val="center"/>
          </w:tcPr>
          <w:p w14:paraId="7A664A78">
            <w:pPr>
              <w:pStyle w:val="288"/>
              <w:adjustRightInd w:val="0"/>
              <w:snapToGrid w:val="0"/>
              <w:spacing w:line="300" w:lineRule="exact"/>
              <w:rPr>
                <w:rFonts w:hint="eastAsia" w:eastAsia="宋体" w:cs="宋体"/>
                <w:color w:val="auto"/>
              </w:rPr>
            </w:pPr>
            <w:r>
              <w:rPr>
                <w:rFonts w:hint="eastAsia" w:eastAsia="宋体"/>
                <w:color w:val="auto"/>
              </w:rPr>
              <w:t>各类机泵及巡检车辆</w:t>
            </w:r>
          </w:p>
        </w:tc>
        <w:tc>
          <w:tcPr>
            <w:tcW w:w="715" w:type="pct"/>
            <w:vAlign w:val="center"/>
          </w:tcPr>
          <w:p w14:paraId="4143CB4A">
            <w:pPr>
              <w:pStyle w:val="288"/>
              <w:adjustRightInd w:val="0"/>
              <w:snapToGrid w:val="0"/>
              <w:spacing w:line="300" w:lineRule="exact"/>
              <w:rPr>
                <w:rFonts w:hint="eastAsia" w:eastAsia="宋体"/>
                <w:color w:val="auto"/>
              </w:rPr>
            </w:pPr>
            <w:r>
              <w:rPr>
                <w:rFonts w:hint="eastAsia" w:eastAsia="宋体"/>
                <w:color w:val="auto"/>
              </w:rPr>
              <w:t>噪声</w:t>
            </w:r>
          </w:p>
        </w:tc>
        <w:tc>
          <w:tcPr>
            <w:tcW w:w="634" w:type="pct"/>
            <w:vAlign w:val="center"/>
          </w:tcPr>
          <w:p w14:paraId="60DAACB9">
            <w:pPr>
              <w:pStyle w:val="288"/>
              <w:adjustRightInd w:val="0"/>
              <w:snapToGrid w:val="0"/>
              <w:spacing w:line="300" w:lineRule="exact"/>
              <w:rPr>
                <w:rFonts w:hint="eastAsia" w:eastAsia="宋体"/>
                <w:color w:val="auto"/>
              </w:rPr>
            </w:pPr>
            <w:r>
              <w:rPr>
                <w:rFonts w:hint="eastAsia" w:eastAsia="宋体"/>
                <w:color w:val="auto"/>
              </w:rPr>
              <w:t>连续等效A声级</w:t>
            </w:r>
          </w:p>
        </w:tc>
        <w:tc>
          <w:tcPr>
            <w:tcW w:w="695" w:type="pct"/>
            <w:vAlign w:val="center"/>
          </w:tcPr>
          <w:p w14:paraId="4021230D">
            <w:pPr>
              <w:pStyle w:val="288"/>
              <w:adjustRightInd w:val="0"/>
              <w:snapToGrid w:val="0"/>
              <w:spacing w:line="300" w:lineRule="exact"/>
              <w:rPr>
                <w:rFonts w:hint="eastAsia" w:eastAsia="宋体"/>
                <w:color w:val="auto"/>
              </w:rPr>
            </w:pPr>
            <w:r>
              <w:rPr>
                <w:rFonts w:hint="eastAsia" w:eastAsia="宋体"/>
                <w:color w:val="auto"/>
              </w:rPr>
              <w:t>/</w:t>
            </w:r>
          </w:p>
        </w:tc>
        <w:tc>
          <w:tcPr>
            <w:tcW w:w="665" w:type="pct"/>
            <w:vAlign w:val="center"/>
          </w:tcPr>
          <w:p w14:paraId="524A8E80">
            <w:pPr>
              <w:pStyle w:val="288"/>
              <w:adjustRightInd w:val="0"/>
              <w:snapToGrid w:val="0"/>
              <w:spacing w:line="300" w:lineRule="exact"/>
              <w:rPr>
                <w:rFonts w:hint="eastAsia" w:eastAsia="宋体"/>
                <w:color w:val="auto"/>
              </w:rPr>
            </w:pPr>
            <w:r>
              <w:rPr>
                <w:rFonts w:hint="eastAsia" w:eastAsia="宋体"/>
                <w:color w:val="auto"/>
              </w:rPr>
              <w:t>/</w:t>
            </w:r>
          </w:p>
        </w:tc>
        <w:tc>
          <w:tcPr>
            <w:tcW w:w="1099" w:type="pct"/>
            <w:vAlign w:val="center"/>
          </w:tcPr>
          <w:p w14:paraId="1149AA1B">
            <w:pPr>
              <w:pStyle w:val="288"/>
              <w:adjustRightInd w:val="0"/>
              <w:snapToGrid w:val="0"/>
              <w:spacing w:line="300" w:lineRule="exact"/>
              <w:rPr>
                <w:rFonts w:hint="eastAsia" w:eastAsia="宋体"/>
                <w:color w:val="auto"/>
              </w:rPr>
            </w:pPr>
            <w:r>
              <w:rPr>
                <w:rFonts w:hint="eastAsia" w:eastAsia="宋体"/>
                <w:color w:val="auto"/>
              </w:rPr>
              <w:t>采用低噪声设备、基础减振</w:t>
            </w:r>
          </w:p>
        </w:tc>
      </w:tr>
      <w:tr w14:paraId="40DDB3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restart"/>
            <w:vAlign w:val="center"/>
          </w:tcPr>
          <w:p w14:paraId="39A00B04">
            <w:pPr>
              <w:pStyle w:val="288"/>
              <w:adjustRightInd w:val="0"/>
              <w:snapToGrid w:val="0"/>
              <w:spacing w:line="300" w:lineRule="exact"/>
              <w:rPr>
                <w:rFonts w:hint="eastAsia" w:eastAsia="宋体"/>
                <w:color w:val="auto"/>
              </w:rPr>
            </w:pPr>
            <w:r>
              <w:rPr>
                <w:rFonts w:hint="eastAsia" w:eastAsia="宋体"/>
                <w:color w:val="auto"/>
              </w:rPr>
              <w:t>固体废物</w:t>
            </w:r>
          </w:p>
        </w:tc>
        <w:tc>
          <w:tcPr>
            <w:tcW w:w="879" w:type="pct"/>
            <w:vAlign w:val="center"/>
          </w:tcPr>
          <w:p w14:paraId="4BD37B22">
            <w:pPr>
              <w:pStyle w:val="288"/>
              <w:adjustRightInd w:val="0"/>
              <w:snapToGrid w:val="0"/>
              <w:spacing w:line="300" w:lineRule="exact"/>
              <w:rPr>
                <w:rFonts w:hint="eastAsia" w:eastAsia="宋体"/>
                <w:color w:val="auto"/>
              </w:rPr>
            </w:pPr>
            <w:r>
              <w:rPr>
                <w:rFonts w:hint="eastAsia" w:eastAsia="宋体"/>
                <w:color w:val="auto"/>
              </w:rPr>
              <w:t>储油罐</w:t>
            </w:r>
          </w:p>
        </w:tc>
        <w:tc>
          <w:tcPr>
            <w:tcW w:w="715" w:type="pct"/>
            <w:vAlign w:val="center"/>
          </w:tcPr>
          <w:p w14:paraId="0B27A9A9">
            <w:pPr>
              <w:pStyle w:val="288"/>
              <w:adjustRightInd w:val="0"/>
              <w:snapToGrid w:val="0"/>
              <w:spacing w:line="300" w:lineRule="exact"/>
              <w:rPr>
                <w:rFonts w:hint="eastAsia" w:eastAsia="宋体"/>
                <w:color w:val="auto"/>
              </w:rPr>
            </w:pPr>
            <w:r>
              <w:rPr>
                <w:rFonts w:hint="eastAsia" w:eastAsia="宋体"/>
                <w:color w:val="auto"/>
              </w:rPr>
              <w:t>清罐底泥</w:t>
            </w:r>
          </w:p>
        </w:tc>
        <w:tc>
          <w:tcPr>
            <w:tcW w:w="634" w:type="pct"/>
            <w:vAlign w:val="center"/>
          </w:tcPr>
          <w:p w14:paraId="0BA477DD">
            <w:pPr>
              <w:pStyle w:val="288"/>
              <w:adjustRightInd w:val="0"/>
              <w:snapToGrid w:val="0"/>
              <w:spacing w:line="300" w:lineRule="exact"/>
              <w:rPr>
                <w:rFonts w:hint="eastAsia" w:eastAsia="宋体"/>
                <w:color w:val="auto"/>
              </w:rPr>
            </w:pPr>
            <w:r>
              <w:rPr>
                <w:rFonts w:hint="eastAsia" w:eastAsia="宋体"/>
                <w:color w:val="auto"/>
              </w:rPr>
              <w:t>清罐底泥</w:t>
            </w:r>
          </w:p>
        </w:tc>
        <w:tc>
          <w:tcPr>
            <w:tcW w:w="695" w:type="pct"/>
            <w:vAlign w:val="center"/>
          </w:tcPr>
          <w:p w14:paraId="3F9706FE">
            <w:pPr>
              <w:pStyle w:val="288"/>
              <w:adjustRightInd w:val="0"/>
              <w:snapToGrid w:val="0"/>
              <w:spacing w:line="300" w:lineRule="exact"/>
              <w:rPr>
                <w:rFonts w:hint="eastAsia" w:eastAsia="宋体"/>
                <w:color w:val="auto"/>
              </w:rPr>
            </w:pPr>
            <w:r>
              <w:rPr>
                <w:rFonts w:hint="eastAsia" w:eastAsia="宋体"/>
                <w:color w:val="auto"/>
              </w:rPr>
              <w:t>206.7t/a</w:t>
            </w:r>
          </w:p>
        </w:tc>
        <w:tc>
          <w:tcPr>
            <w:tcW w:w="665" w:type="pct"/>
            <w:vAlign w:val="center"/>
          </w:tcPr>
          <w:p w14:paraId="1FF41079">
            <w:pPr>
              <w:pStyle w:val="288"/>
              <w:adjustRightInd w:val="0"/>
              <w:snapToGrid w:val="0"/>
              <w:spacing w:line="300" w:lineRule="exact"/>
              <w:rPr>
                <w:rFonts w:hint="eastAsia" w:eastAsia="宋体"/>
                <w:color w:val="auto"/>
              </w:rPr>
            </w:pPr>
            <w:r>
              <w:rPr>
                <w:rFonts w:hint="eastAsia" w:eastAsia="宋体"/>
                <w:color w:val="auto"/>
              </w:rPr>
              <w:t>0</w:t>
            </w:r>
          </w:p>
        </w:tc>
        <w:tc>
          <w:tcPr>
            <w:tcW w:w="1099" w:type="pct"/>
            <w:vMerge w:val="restart"/>
            <w:vAlign w:val="center"/>
          </w:tcPr>
          <w:p w14:paraId="7128AF65">
            <w:pPr>
              <w:pStyle w:val="288"/>
              <w:adjustRightInd w:val="0"/>
              <w:snapToGrid w:val="0"/>
              <w:spacing w:line="300" w:lineRule="exact"/>
              <w:rPr>
                <w:rFonts w:hint="eastAsia" w:eastAsia="宋体"/>
                <w:color w:val="auto"/>
              </w:rPr>
            </w:pPr>
            <w:r>
              <w:rPr>
                <w:rFonts w:hint="eastAsia" w:eastAsia="宋体"/>
                <w:color w:val="auto"/>
              </w:rPr>
              <w:t>集中收集后交由有相应危险废物处理资质的单位回收处置</w:t>
            </w:r>
          </w:p>
        </w:tc>
      </w:tr>
      <w:tr w14:paraId="6376EC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continue"/>
            <w:vAlign w:val="center"/>
          </w:tcPr>
          <w:p w14:paraId="14476790">
            <w:pPr>
              <w:pStyle w:val="288"/>
              <w:adjustRightInd w:val="0"/>
              <w:snapToGrid w:val="0"/>
              <w:spacing w:line="300" w:lineRule="exact"/>
              <w:rPr>
                <w:rFonts w:hint="eastAsia" w:eastAsia="宋体"/>
                <w:color w:val="auto"/>
              </w:rPr>
            </w:pPr>
          </w:p>
        </w:tc>
        <w:tc>
          <w:tcPr>
            <w:tcW w:w="879" w:type="pct"/>
            <w:vMerge w:val="restart"/>
            <w:vAlign w:val="center"/>
          </w:tcPr>
          <w:p w14:paraId="125CB99C">
            <w:pPr>
              <w:pStyle w:val="288"/>
              <w:adjustRightInd w:val="0"/>
              <w:snapToGrid w:val="0"/>
              <w:spacing w:line="300" w:lineRule="exact"/>
              <w:rPr>
                <w:rFonts w:hint="eastAsia" w:eastAsia="宋体"/>
                <w:color w:val="auto"/>
              </w:rPr>
            </w:pPr>
            <w:r>
              <w:rPr>
                <w:rFonts w:hint="eastAsia" w:eastAsia="宋体"/>
                <w:color w:val="auto"/>
              </w:rPr>
              <w:t>CNG橇装天然气处理装置</w:t>
            </w:r>
          </w:p>
        </w:tc>
        <w:tc>
          <w:tcPr>
            <w:tcW w:w="715" w:type="pct"/>
            <w:vAlign w:val="center"/>
          </w:tcPr>
          <w:p w14:paraId="0A49554A">
            <w:pPr>
              <w:pStyle w:val="288"/>
              <w:adjustRightInd w:val="0"/>
              <w:snapToGrid w:val="0"/>
              <w:spacing w:line="300" w:lineRule="exact"/>
              <w:rPr>
                <w:rFonts w:hint="eastAsia" w:eastAsia="宋体"/>
                <w:color w:val="auto"/>
              </w:rPr>
            </w:pPr>
            <w:r>
              <w:rPr>
                <w:rFonts w:hint="eastAsia" w:eastAsia="宋体"/>
                <w:color w:val="auto"/>
              </w:rPr>
              <w:t>废分子筛</w:t>
            </w:r>
          </w:p>
        </w:tc>
        <w:tc>
          <w:tcPr>
            <w:tcW w:w="634" w:type="pct"/>
            <w:vAlign w:val="center"/>
          </w:tcPr>
          <w:p w14:paraId="3A59B387">
            <w:pPr>
              <w:pStyle w:val="288"/>
              <w:adjustRightInd w:val="0"/>
              <w:snapToGrid w:val="0"/>
              <w:spacing w:line="300" w:lineRule="exact"/>
              <w:rPr>
                <w:rFonts w:hint="eastAsia" w:eastAsia="宋体"/>
                <w:color w:val="auto"/>
              </w:rPr>
            </w:pPr>
            <w:r>
              <w:rPr>
                <w:rFonts w:hint="eastAsia" w:eastAsia="宋体"/>
                <w:color w:val="auto"/>
              </w:rPr>
              <w:t>废分子筛</w:t>
            </w:r>
          </w:p>
        </w:tc>
        <w:tc>
          <w:tcPr>
            <w:tcW w:w="695" w:type="pct"/>
            <w:vAlign w:val="center"/>
          </w:tcPr>
          <w:p w14:paraId="1E490C00">
            <w:pPr>
              <w:pStyle w:val="288"/>
              <w:adjustRightInd w:val="0"/>
              <w:snapToGrid w:val="0"/>
              <w:spacing w:line="300" w:lineRule="exact"/>
              <w:rPr>
                <w:rFonts w:hint="eastAsia" w:eastAsia="宋体"/>
                <w:color w:val="auto"/>
              </w:rPr>
            </w:pPr>
            <w:r>
              <w:rPr>
                <w:rFonts w:hint="eastAsia" w:eastAsia="宋体"/>
                <w:color w:val="auto"/>
              </w:rPr>
              <w:t>0.2t/a</w:t>
            </w:r>
          </w:p>
        </w:tc>
        <w:tc>
          <w:tcPr>
            <w:tcW w:w="665" w:type="pct"/>
            <w:vAlign w:val="center"/>
          </w:tcPr>
          <w:p w14:paraId="735E1A30">
            <w:pPr>
              <w:pStyle w:val="288"/>
              <w:adjustRightInd w:val="0"/>
              <w:snapToGrid w:val="0"/>
              <w:spacing w:line="300" w:lineRule="exact"/>
              <w:rPr>
                <w:rFonts w:hint="eastAsia" w:eastAsia="宋体"/>
                <w:color w:val="auto"/>
              </w:rPr>
            </w:pPr>
            <w:r>
              <w:rPr>
                <w:rFonts w:hint="eastAsia" w:eastAsia="宋体"/>
                <w:color w:val="auto"/>
              </w:rPr>
              <w:t>0</w:t>
            </w:r>
          </w:p>
        </w:tc>
        <w:tc>
          <w:tcPr>
            <w:tcW w:w="1099" w:type="pct"/>
            <w:vMerge w:val="continue"/>
            <w:vAlign w:val="center"/>
          </w:tcPr>
          <w:p w14:paraId="7C1F9A7F">
            <w:pPr>
              <w:pStyle w:val="288"/>
              <w:adjustRightInd w:val="0"/>
              <w:snapToGrid w:val="0"/>
              <w:spacing w:line="300" w:lineRule="exact"/>
              <w:rPr>
                <w:rFonts w:hint="eastAsia" w:eastAsia="宋体"/>
                <w:color w:val="auto"/>
              </w:rPr>
            </w:pPr>
          </w:p>
        </w:tc>
      </w:tr>
      <w:tr w14:paraId="2673BC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continue"/>
            <w:vAlign w:val="center"/>
          </w:tcPr>
          <w:p w14:paraId="644C85EC">
            <w:pPr>
              <w:pStyle w:val="288"/>
              <w:adjustRightInd w:val="0"/>
              <w:snapToGrid w:val="0"/>
              <w:spacing w:line="300" w:lineRule="exact"/>
              <w:rPr>
                <w:rFonts w:hint="eastAsia" w:eastAsia="宋体"/>
                <w:color w:val="auto"/>
              </w:rPr>
            </w:pPr>
          </w:p>
        </w:tc>
        <w:tc>
          <w:tcPr>
            <w:tcW w:w="879" w:type="pct"/>
            <w:vMerge w:val="continue"/>
            <w:vAlign w:val="center"/>
          </w:tcPr>
          <w:p w14:paraId="66BA9ED3">
            <w:pPr>
              <w:pStyle w:val="288"/>
              <w:adjustRightInd w:val="0"/>
              <w:snapToGrid w:val="0"/>
              <w:spacing w:line="300" w:lineRule="exact"/>
              <w:rPr>
                <w:rFonts w:hint="eastAsia" w:eastAsia="宋体"/>
                <w:color w:val="auto"/>
              </w:rPr>
            </w:pPr>
          </w:p>
        </w:tc>
        <w:tc>
          <w:tcPr>
            <w:tcW w:w="715" w:type="pct"/>
            <w:vAlign w:val="center"/>
          </w:tcPr>
          <w:p w14:paraId="206BFAAB">
            <w:pPr>
              <w:pStyle w:val="288"/>
              <w:adjustRightInd w:val="0"/>
              <w:snapToGrid w:val="0"/>
              <w:spacing w:line="300" w:lineRule="exact"/>
              <w:rPr>
                <w:rFonts w:hint="eastAsia" w:eastAsia="宋体"/>
                <w:color w:val="auto"/>
              </w:rPr>
            </w:pPr>
            <w:r>
              <w:rPr>
                <w:rFonts w:hint="eastAsia" w:eastAsia="宋体"/>
                <w:color w:val="auto"/>
              </w:rPr>
              <w:t>废滤料</w:t>
            </w:r>
          </w:p>
        </w:tc>
        <w:tc>
          <w:tcPr>
            <w:tcW w:w="634" w:type="pct"/>
            <w:vAlign w:val="center"/>
          </w:tcPr>
          <w:p w14:paraId="697C28D1">
            <w:pPr>
              <w:pStyle w:val="288"/>
              <w:adjustRightInd w:val="0"/>
              <w:snapToGrid w:val="0"/>
              <w:spacing w:line="300" w:lineRule="exact"/>
              <w:rPr>
                <w:rFonts w:hint="eastAsia" w:eastAsia="宋体"/>
                <w:color w:val="auto"/>
              </w:rPr>
            </w:pPr>
            <w:r>
              <w:rPr>
                <w:rFonts w:hint="eastAsia" w:eastAsia="宋体"/>
                <w:color w:val="auto"/>
              </w:rPr>
              <w:t>废滤料</w:t>
            </w:r>
          </w:p>
        </w:tc>
        <w:tc>
          <w:tcPr>
            <w:tcW w:w="695" w:type="pct"/>
            <w:vAlign w:val="center"/>
          </w:tcPr>
          <w:p w14:paraId="5B36CAB1">
            <w:pPr>
              <w:pStyle w:val="288"/>
              <w:adjustRightInd w:val="0"/>
              <w:snapToGrid w:val="0"/>
              <w:spacing w:line="300" w:lineRule="exact"/>
              <w:rPr>
                <w:rFonts w:hint="eastAsia" w:eastAsia="宋体"/>
                <w:color w:val="auto"/>
              </w:rPr>
            </w:pPr>
            <w:r>
              <w:rPr>
                <w:rFonts w:hint="eastAsia" w:eastAsia="宋体"/>
                <w:color w:val="auto"/>
              </w:rPr>
              <w:t>0.1t/a</w:t>
            </w:r>
          </w:p>
        </w:tc>
        <w:tc>
          <w:tcPr>
            <w:tcW w:w="665" w:type="pct"/>
            <w:vAlign w:val="center"/>
          </w:tcPr>
          <w:p w14:paraId="600AD04D">
            <w:pPr>
              <w:pStyle w:val="288"/>
              <w:adjustRightInd w:val="0"/>
              <w:snapToGrid w:val="0"/>
              <w:spacing w:line="300" w:lineRule="exact"/>
              <w:rPr>
                <w:rFonts w:hint="eastAsia" w:eastAsia="宋体"/>
                <w:color w:val="auto"/>
              </w:rPr>
            </w:pPr>
          </w:p>
        </w:tc>
        <w:tc>
          <w:tcPr>
            <w:tcW w:w="1099" w:type="pct"/>
            <w:vMerge w:val="continue"/>
            <w:vAlign w:val="center"/>
          </w:tcPr>
          <w:p w14:paraId="19E5F84F">
            <w:pPr>
              <w:pStyle w:val="288"/>
              <w:adjustRightInd w:val="0"/>
              <w:snapToGrid w:val="0"/>
              <w:spacing w:line="300" w:lineRule="exact"/>
              <w:rPr>
                <w:rFonts w:hint="eastAsia" w:eastAsia="宋体"/>
                <w:color w:val="auto"/>
              </w:rPr>
            </w:pPr>
          </w:p>
        </w:tc>
      </w:tr>
      <w:tr w14:paraId="703EA5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continue"/>
            <w:vAlign w:val="center"/>
          </w:tcPr>
          <w:p w14:paraId="41125CA0">
            <w:pPr>
              <w:pStyle w:val="288"/>
              <w:adjustRightInd w:val="0"/>
              <w:snapToGrid w:val="0"/>
              <w:spacing w:line="300" w:lineRule="exact"/>
              <w:rPr>
                <w:rFonts w:hint="eastAsia" w:eastAsia="宋体"/>
                <w:color w:val="auto"/>
              </w:rPr>
            </w:pPr>
          </w:p>
        </w:tc>
        <w:tc>
          <w:tcPr>
            <w:tcW w:w="879" w:type="pct"/>
            <w:vAlign w:val="center"/>
          </w:tcPr>
          <w:p w14:paraId="78784AD3">
            <w:pPr>
              <w:pStyle w:val="288"/>
              <w:adjustRightInd w:val="0"/>
              <w:snapToGrid w:val="0"/>
              <w:spacing w:line="300" w:lineRule="exact"/>
              <w:rPr>
                <w:rFonts w:hint="eastAsia" w:eastAsia="宋体"/>
                <w:color w:val="auto"/>
              </w:rPr>
            </w:pPr>
            <w:r>
              <w:rPr>
                <w:rFonts w:hint="eastAsia" w:eastAsia="宋体"/>
                <w:color w:val="auto"/>
              </w:rPr>
              <w:t>设备维修</w:t>
            </w:r>
          </w:p>
        </w:tc>
        <w:tc>
          <w:tcPr>
            <w:tcW w:w="715" w:type="pct"/>
            <w:vAlign w:val="center"/>
          </w:tcPr>
          <w:p w14:paraId="39DB85A7">
            <w:pPr>
              <w:pStyle w:val="288"/>
              <w:adjustRightInd w:val="0"/>
              <w:snapToGrid w:val="0"/>
              <w:spacing w:line="300" w:lineRule="exact"/>
              <w:rPr>
                <w:rFonts w:hint="eastAsia" w:eastAsia="宋体"/>
                <w:color w:val="auto"/>
              </w:rPr>
            </w:pPr>
            <w:r>
              <w:rPr>
                <w:rFonts w:hint="eastAsia" w:eastAsia="宋体"/>
                <w:color w:val="auto"/>
              </w:rPr>
              <w:t>废润滑油</w:t>
            </w:r>
          </w:p>
        </w:tc>
        <w:tc>
          <w:tcPr>
            <w:tcW w:w="634" w:type="pct"/>
            <w:vAlign w:val="center"/>
          </w:tcPr>
          <w:p w14:paraId="35A31B08">
            <w:pPr>
              <w:pStyle w:val="288"/>
              <w:adjustRightInd w:val="0"/>
              <w:snapToGrid w:val="0"/>
              <w:spacing w:line="300" w:lineRule="exact"/>
              <w:rPr>
                <w:rFonts w:hint="eastAsia" w:eastAsia="宋体"/>
                <w:color w:val="auto"/>
              </w:rPr>
            </w:pPr>
            <w:r>
              <w:rPr>
                <w:rFonts w:hint="eastAsia" w:eastAsia="宋体"/>
                <w:color w:val="auto"/>
              </w:rPr>
              <w:t>废润滑油</w:t>
            </w:r>
          </w:p>
        </w:tc>
        <w:tc>
          <w:tcPr>
            <w:tcW w:w="695" w:type="pct"/>
            <w:vAlign w:val="center"/>
          </w:tcPr>
          <w:p w14:paraId="4D50C0B2">
            <w:pPr>
              <w:pStyle w:val="288"/>
              <w:adjustRightInd w:val="0"/>
              <w:snapToGrid w:val="0"/>
              <w:spacing w:line="300" w:lineRule="exact"/>
              <w:rPr>
                <w:rFonts w:hint="eastAsia" w:eastAsia="宋体"/>
                <w:color w:val="auto"/>
              </w:rPr>
            </w:pPr>
            <w:r>
              <w:rPr>
                <w:rFonts w:hint="eastAsia" w:eastAsia="宋体"/>
                <w:color w:val="auto"/>
              </w:rPr>
              <w:t>0.2t/a</w:t>
            </w:r>
          </w:p>
        </w:tc>
        <w:tc>
          <w:tcPr>
            <w:tcW w:w="665" w:type="pct"/>
            <w:vAlign w:val="center"/>
          </w:tcPr>
          <w:p w14:paraId="2DFD4EBF">
            <w:pPr>
              <w:pStyle w:val="288"/>
              <w:adjustRightInd w:val="0"/>
              <w:snapToGrid w:val="0"/>
              <w:spacing w:line="300" w:lineRule="exact"/>
              <w:rPr>
                <w:rFonts w:hint="eastAsia" w:eastAsia="宋体"/>
                <w:color w:val="auto"/>
              </w:rPr>
            </w:pPr>
            <w:r>
              <w:rPr>
                <w:rFonts w:hint="eastAsia" w:eastAsia="宋体"/>
                <w:color w:val="auto"/>
              </w:rPr>
              <w:t>0</w:t>
            </w:r>
          </w:p>
        </w:tc>
        <w:tc>
          <w:tcPr>
            <w:tcW w:w="1099" w:type="pct"/>
            <w:vMerge w:val="continue"/>
            <w:vAlign w:val="center"/>
          </w:tcPr>
          <w:p w14:paraId="69C2C64F">
            <w:pPr>
              <w:pStyle w:val="288"/>
              <w:adjustRightInd w:val="0"/>
              <w:snapToGrid w:val="0"/>
              <w:spacing w:line="300" w:lineRule="exact"/>
              <w:rPr>
                <w:rFonts w:hint="eastAsia" w:eastAsia="宋体"/>
                <w:color w:val="auto"/>
              </w:rPr>
            </w:pPr>
          </w:p>
        </w:tc>
      </w:tr>
      <w:tr w14:paraId="054647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continue"/>
            <w:vAlign w:val="center"/>
          </w:tcPr>
          <w:p w14:paraId="2E51DA6D">
            <w:pPr>
              <w:pStyle w:val="288"/>
              <w:adjustRightInd w:val="0"/>
              <w:snapToGrid w:val="0"/>
              <w:spacing w:line="300" w:lineRule="exact"/>
              <w:rPr>
                <w:rFonts w:hint="eastAsia" w:eastAsia="宋体"/>
                <w:color w:val="auto"/>
              </w:rPr>
            </w:pPr>
          </w:p>
        </w:tc>
        <w:tc>
          <w:tcPr>
            <w:tcW w:w="879" w:type="pct"/>
            <w:vAlign w:val="center"/>
          </w:tcPr>
          <w:p w14:paraId="15354FC2">
            <w:pPr>
              <w:pStyle w:val="288"/>
              <w:adjustRightInd w:val="0"/>
              <w:snapToGrid w:val="0"/>
              <w:spacing w:line="300" w:lineRule="exact"/>
              <w:rPr>
                <w:rFonts w:hint="eastAsia" w:eastAsia="宋体"/>
                <w:color w:val="auto"/>
              </w:rPr>
            </w:pPr>
            <w:r>
              <w:rPr>
                <w:rFonts w:hint="eastAsia" w:eastAsia="宋体"/>
                <w:color w:val="auto"/>
              </w:rPr>
              <w:t>设备维修</w:t>
            </w:r>
          </w:p>
        </w:tc>
        <w:tc>
          <w:tcPr>
            <w:tcW w:w="715" w:type="pct"/>
            <w:vAlign w:val="center"/>
          </w:tcPr>
          <w:p w14:paraId="394175E2">
            <w:pPr>
              <w:pStyle w:val="288"/>
              <w:adjustRightInd w:val="0"/>
              <w:snapToGrid w:val="0"/>
              <w:spacing w:line="300" w:lineRule="exact"/>
              <w:rPr>
                <w:rFonts w:hint="eastAsia" w:eastAsia="宋体"/>
                <w:color w:val="auto"/>
              </w:rPr>
            </w:pPr>
            <w:r>
              <w:rPr>
                <w:rFonts w:hint="eastAsia" w:eastAsia="宋体"/>
                <w:color w:val="auto"/>
              </w:rPr>
              <w:t>废润滑油桶</w:t>
            </w:r>
          </w:p>
        </w:tc>
        <w:tc>
          <w:tcPr>
            <w:tcW w:w="634" w:type="pct"/>
            <w:vAlign w:val="center"/>
          </w:tcPr>
          <w:p w14:paraId="1F541F9E">
            <w:pPr>
              <w:pStyle w:val="288"/>
              <w:adjustRightInd w:val="0"/>
              <w:snapToGrid w:val="0"/>
              <w:spacing w:line="300" w:lineRule="exact"/>
              <w:rPr>
                <w:rFonts w:hint="eastAsia" w:eastAsia="宋体"/>
                <w:color w:val="auto"/>
              </w:rPr>
            </w:pPr>
            <w:r>
              <w:rPr>
                <w:rFonts w:hint="eastAsia" w:eastAsia="宋体"/>
                <w:color w:val="auto"/>
              </w:rPr>
              <w:t>废润滑油桶</w:t>
            </w:r>
          </w:p>
        </w:tc>
        <w:tc>
          <w:tcPr>
            <w:tcW w:w="695" w:type="pct"/>
            <w:vAlign w:val="center"/>
          </w:tcPr>
          <w:p w14:paraId="794DB2EE">
            <w:pPr>
              <w:pStyle w:val="288"/>
              <w:adjustRightInd w:val="0"/>
              <w:snapToGrid w:val="0"/>
              <w:spacing w:line="300" w:lineRule="exact"/>
              <w:rPr>
                <w:rFonts w:hint="eastAsia" w:eastAsia="宋体"/>
                <w:color w:val="auto"/>
              </w:rPr>
            </w:pPr>
            <w:r>
              <w:rPr>
                <w:rFonts w:hint="eastAsia" w:eastAsia="宋体"/>
                <w:color w:val="auto"/>
              </w:rPr>
              <w:t>0.02t/a</w:t>
            </w:r>
          </w:p>
        </w:tc>
        <w:tc>
          <w:tcPr>
            <w:tcW w:w="665" w:type="pct"/>
            <w:vAlign w:val="center"/>
          </w:tcPr>
          <w:p w14:paraId="34D6600E">
            <w:pPr>
              <w:pStyle w:val="288"/>
              <w:adjustRightInd w:val="0"/>
              <w:snapToGrid w:val="0"/>
              <w:spacing w:line="300" w:lineRule="exact"/>
              <w:rPr>
                <w:rFonts w:hint="eastAsia" w:eastAsia="宋体"/>
                <w:color w:val="auto"/>
              </w:rPr>
            </w:pPr>
            <w:r>
              <w:rPr>
                <w:rFonts w:hint="eastAsia" w:eastAsia="宋体"/>
                <w:color w:val="auto"/>
              </w:rPr>
              <w:t>0</w:t>
            </w:r>
          </w:p>
        </w:tc>
        <w:tc>
          <w:tcPr>
            <w:tcW w:w="1099" w:type="pct"/>
            <w:vMerge w:val="continue"/>
            <w:vAlign w:val="center"/>
          </w:tcPr>
          <w:p w14:paraId="1F2FBBD9">
            <w:pPr>
              <w:pStyle w:val="288"/>
              <w:adjustRightInd w:val="0"/>
              <w:snapToGrid w:val="0"/>
              <w:spacing w:line="300" w:lineRule="exact"/>
              <w:rPr>
                <w:rFonts w:hint="eastAsia" w:eastAsia="宋体"/>
                <w:color w:val="auto"/>
              </w:rPr>
            </w:pPr>
          </w:p>
        </w:tc>
      </w:tr>
      <w:tr w14:paraId="303207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continue"/>
            <w:vAlign w:val="center"/>
          </w:tcPr>
          <w:p w14:paraId="7435BBA1">
            <w:pPr>
              <w:pStyle w:val="288"/>
              <w:adjustRightInd w:val="0"/>
              <w:snapToGrid w:val="0"/>
              <w:spacing w:line="300" w:lineRule="exact"/>
              <w:rPr>
                <w:rFonts w:hint="eastAsia" w:eastAsia="宋体"/>
                <w:color w:val="auto"/>
              </w:rPr>
            </w:pPr>
          </w:p>
        </w:tc>
        <w:tc>
          <w:tcPr>
            <w:tcW w:w="879" w:type="pct"/>
            <w:vAlign w:val="center"/>
          </w:tcPr>
          <w:p w14:paraId="4C6C03C7">
            <w:pPr>
              <w:pStyle w:val="288"/>
              <w:adjustRightInd w:val="0"/>
              <w:snapToGrid w:val="0"/>
              <w:spacing w:line="300" w:lineRule="exact"/>
              <w:rPr>
                <w:rFonts w:hint="eastAsia" w:eastAsia="宋体"/>
                <w:color w:val="auto"/>
              </w:rPr>
            </w:pPr>
            <w:r>
              <w:rPr>
                <w:rFonts w:hint="eastAsia" w:eastAsia="宋体"/>
                <w:color w:val="auto"/>
              </w:rPr>
              <w:t>井下作业</w:t>
            </w:r>
          </w:p>
        </w:tc>
        <w:tc>
          <w:tcPr>
            <w:tcW w:w="715" w:type="pct"/>
            <w:vAlign w:val="center"/>
          </w:tcPr>
          <w:p w14:paraId="66D9BF89">
            <w:pPr>
              <w:pStyle w:val="288"/>
              <w:adjustRightInd w:val="0"/>
              <w:snapToGrid w:val="0"/>
              <w:spacing w:line="300" w:lineRule="exact"/>
              <w:rPr>
                <w:rFonts w:hint="eastAsia" w:eastAsia="宋体"/>
                <w:color w:val="auto"/>
              </w:rPr>
            </w:pPr>
            <w:r>
              <w:rPr>
                <w:rFonts w:hint="eastAsia" w:eastAsia="宋体"/>
                <w:color w:val="auto"/>
              </w:rPr>
              <w:t>沾油废防渗材料</w:t>
            </w:r>
          </w:p>
        </w:tc>
        <w:tc>
          <w:tcPr>
            <w:tcW w:w="634" w:type="pct"/>
            <w:vAlign w:val="center"/>
          </w:tcPr>
          <w:p w14:paraId="4A95C73B">
            <w:pPr>
              <w:pStyle w:val="288"/>
              <w:adjustRightInd w:val="0"/>
              <w:snapToGrid w:val="0"/>
              <w:spacing w:line="300" w:lineRule="exact"/>
              <w:rPr>
                <w:rFonts w:hint="eastAsia" w:eastAsia="宋体"/>
                <w:color w:val="auto"/>
              </w:rPr>
            </w:pPr>
            <w:r>
              <w:rPr>
                <w:rFonts w:hint="eastAsia" w:eastAsia="宋体"/>
                <w:color w:val="auto"/>
              </w:rPr>
              <w:t>沾油废防渗材料</w:t>
            </w:r>
          </w:p>
        </w:tc>
        <w:tc>
          <w:tcPr>
            <w:tcW w:w="695" w:type="pct"/>
            <w:vAlign w:val="center"/>
          </w:tcPr>
          <w:p w14:paraId="6F0901D1">
            <w:pPr>
              <w:pStyle w:val="288"/>
              <w:adjustRightInd w:val="0"/>
              <w:snapToGrid w:val="0"/>
              <w:spacing w:line="300" w:lineRule="exact"/>
              <w:rPr>
                <w:rFonts w:hint="eastAsia" w:eastAsia="宋体"/>
                <w:color w:val="auto"/>
              </w:rPr>
            </w:pPr>
            <w:r>
              <w:rPr>
                <w:rFonts w:hint="eastAsia" w:eastAsia="宋体"/>
                <w:color w:val="auto"/>
              </w:rPr>
              <w:t>0.21t/a</w:t>
            </w:r>
          </w:p>
        </w:tc>
        <w:tc>
          <w:tcPr>
            <w:tcW w:w="665" w:type="pct"/>
            <w:vAlign w:val="center"/>
          </w:tcPr>
          <w:p w14:paraId="47979188">
            <w:pPr>
              <w:pStyle w:val="288"/>
              <w:adjustRightInd w:val="0"/>
              <w:snapToGrid w:val="0"/>
              <w:spacing w:line="300" w:lineRule="exact"/>
              <w:rPr>
                <w:rFonts w:hint="eastAsia" w:eastAsia="宋体"/>
                <w:color w:val="auto"/>
              </w:rPr>
            </w:pPr>
            <w:r>
              <w:rPr>
                <w:rFonts w:hint="eastAsia" w:eastAsia="宋体"/>
                <w:color w:val="auto"/>
              </w:rPr>
              <w:t>0</w:t>
            </w:r>
          </w:p>
        </w:tc>
        <w:tc>
          <w:tcPr>
            <w:tcW w:w="1099" w:type="pct"/>
            <w:vMerge w:val="continue"/>
            <w:vAlign w:val="center"/>
          </w:tcPr>
          <w:p w14:paraId="1CB6E9BF">
            <w:pPr>
              <w:pStyle w:val="288"/>
              <w:adjustRightInd w:val="0"/>
              <w:snapToGrid w:val="0"/>
              <w:spacing w:line="300" w:lineRule="exact"/>
              <w:rPr>
                <w:rFonts w:hint="eastAsia" w:eastAsia="宋体"/>
                <w:color w:val="auto"/>
              </w:rPr>
            </w:pPr>
          </w:p>
        </w:tc>
      </w:tr>
      <w:tr w14:paraId="5214F4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continue"/>
            <w:vAlign w:val="center"/>
          </w:tcPr>
          <w:p w14:paraId="0A68AF28">
            <w:pPr>
              <w:pStyle w:val="288"/>
              <w:adjustRightInd w:val="0"/>
              <w:snapToGrid w:val="0"/>
              <w:spacing w:line="300" w:lineRule="exact"/>
              <w:rPr>
                <w:rFonts w:hint="eastAsia" w:eastAsia="宋体"/>
                <w:color w:val="auto"/>
              </w:rPr>
            </w:pPr>
          </w:p>
        </w:tc>
        <w:tc>
          <w:tcPr>
            <w:tcW w:w="879" w:type="pct"/>
            <w:vAlign w:val="center"/>
          </w:tcPr>
          <w:p w14:paraId="6D1440E2">
            <w:pPr>
              <w:pStyle w:val="288"/>
              <w:adjustRightInd w:val="0"/>
              <w:snapToGrid w:val="0"/>
              <w:spacing w:line="300" w:lineRule="exact"/>
              <w:rPr>
                <w:rFonts w:hint="eastAsia" w:eastAsia="宋体"/>
                <w:color w:val="auto"/>
              </w:rPr>
            </w:pPr>
            <w:r>
              <w:rPr>
                <w:rFonts w:hint="eastAsia" w:eastAsia="宋体"/>
                <w:color w:val="auto"/>
              </w:rPr>
              <w:t>设备维修</w:t>
            </w:r>
          </w:p>
        </w:tc>
        <w:tc>
          <w:tcPr>
            <w:tcW w:w="715" w:type="pct"/>
          </w:tcPr>
          <w:p w14:paraId="3D0A1683">
            <w:pPr>
              <w:pStyle w:val="288"/>
              <w:adjustRightInd w:val="0"/>
              <w:snapToGrid w:val="0"/>
              <w:spacing w:line="300" w:lineRule="exact"/>
              <w:rPr>
                <w:rFonts w:hint="eastAsia" w:eastAsia="宋体"/>
                <w:color w:val="auto"/>
              </w:rPr>
            </w:pPr>
            <w:r>
              <w:rPr>
                <w:rFonts w:hint="eastAsia" w:eastAsia="宋体" w:cs="宋体"/>
                <w:color w:val="auto"/>
                <w:lang w:val="zh-CN"/>
              </w:rPr>
              <w:t>废含油抹布及劳保用品</w:t>
            </w:r>
          </w:p>
        </w:tc>
        <w:tc>
          <w:tcPr>
            <w:tcW w:w="634" w:type="pct"/>
          </w:tcPr>
          <w:p w14:paraId="470E7588">
            <w:pPr>
              <w:pStyle w:val="288"/>
              <w:adjustRightInd w:val="0"/>
              <w:snapToGrid w:val="0"/>
              <w:spacing w:line="300" w:lineRule="exact"/>
              <w:rPr>
                <w:rFonts w:hint="eastAsia" w:eastAsia="宋体"/>
                <w:color w:val="auto"/>
              </w:rPr>
            </w:pPr>
            <w:r>
              <w:rPr>
                <w:rFonts w:hint="eastAsia" w:eastAsia="宋体" w:cs="宋体"/>
                <w:color w:val="auto"/>
                <w:lang w:val="zh-CN"/>
              </w:rPr>
              <w:t>废含油抹布及劳保用品</w:t>
            </w:r>
          </w:p>
        </w:tc>
        <w:tc>
          <w:tcPr>
            <w:tcW w:w="695" w:type="pct"/>
            <w:vAlign w:val="center"/>
          </w:tcPr>
          <w:p w14:paraId="10BFC95C">
            <w:pPr>
              <w:pStyle w:val="288"/>
              <w:adjustRightInd w:val="0"/>
              <w:snapToGrid w:val="0"/>
              <w:spacing w:line="300" w:lineRule="exact"/>
              <w:rPr>
                <w:rFonts w:hint="eastAsia" w:eastAsia="宋体"/>
                <w:color w:val="auto"/>
              </w:rPr>
            </w:pPr>
            <w:r>
              <w:rPr>
                <w:rFonts w:hint="eastAsia" w:eastAsia="宋体"/>
                <w:color w:val="auto"/>
              </w:rPr>
              <w:t>0.15t/a</w:t>
            </w:r>
          </w:p>
        </w:tc>
        <w:tc>
          <w:tcPr>
            <w:tcW w:w="665" w:type="pct"/>
            <w:vAlign w:val="center"/>
          </w:tcPr>
          <w:p w14:paraId="289C97EE">
            <w:pPr>
              <w:pStyle w:val="288"/>
              <w:adjustRightInd w:val="0"/>
              <w:snapToGrid w:val="0"/>
              <w:spacing w:line="300" w:lineRule="exact"/>
              <w:rPr>
                <w:rFonts w:hint="eastAsia" w:eastAsia="宋体"/>
                <w:color w:val="auto"/>
              </w:rPr>
            </w:pPr>
            <w:r>
              <w:rPr>
                <w:rFonts w:hint="eastAsia" w:eastAsia="宋体"/>
                <w:color w:val="auto"/>
              </w:rPr>
              <w:t>0</w:t>
            </w:r>
          </w:p>
        </w:tc>
        <w:tc>
          <w:tcPr>
            <w:tcW w:w="1099" w:type="pct"/>
            <w:vMerge w:val="continue"/>
            <w:vAlign w:val="center"/>
          </w:tcPr>
          <w:p w14:paraId="1A7D4035">
            <w:pPr>
              <w:pStyle w:val="288"/>
              <w:adjustRightInd w:val="0"/>
              <w:snapToGrid w:val="0"/>
              <w:spacing w:line="300" w:lineRule="exact"/>
              <w:rPr>
                <w:rFonts w:hint="eastAsia" w:eastAsia="宋体"/>
                <w:color w:val="auto"/>
              </w:rPr>
            </w:pPr>
          </w:p>
        </w:tc>
      </w:tr>
      <w:tr w14:paraId="0039CF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0" w:type="pct"/>
            <w:vMerge w:val="continue"/>
            <w:vAlign w:val="center"/>
          </w:tcPr>
          <w:p w14:paraId="08ED90B6">
            <w:pPr>
              <w:pStyle w:val="288"/>
              <w:adjustRightInd w:val="0"/>
              <w:snapToGrid w:val="0"/>
              <w:spacing w:line="300" w:lineRule="exact"/>
              <w:rPr>
                <w:rFonts w:hint="eastAsia" w:eastAsia="宋体"/>
                <w:color w:val="auto"/>
              </w:rPr>
            </w:pPr>
          </w:p>
        </w:tc>
        <w:tc>
          <w:tcPr>
            <w:tcW w:w="879" w:type="pct"/>
            <w:vAlign w:val="center"/>
          </w:tcPr>
          <w:p w14:paraId="1CD53BF5">
            <w:pPr>
              <w:pStyle w:val="288"/>
              <w:adjustRightInd w:val="0"/>
              <w:snapToGrid w:val="0"/>
              <w:spacing w:line="300" w:lineRule="exact"/>
              <w:rPr>
                <w:rFonts w:hint="eastAsia" w:eastAsia="宋体"/>
                <w:color w:val="auto"/>
              </w:rPr>
            </w:pPr>
            <w:r>
              <w:rPr>
                <w:rFonts w:hint="eastAsia" w:eastAsia="宋体"/>
                <w:color w:val="auto"/>
              </w:rPr>
              <w:t>生活垃圾</w:t>
            </w:r>
          </w:p>
        </w:tc>
        <w:tc>
          <w:tcPr>
            <w:tcW w:w="715" w:type="pct"/>
            <w:vAlign w:val="center"/>
          </w:tcPr>
          <w:p w14:paraId="3B69F56E">
            <w:pPr>
              <w:pStyle w:val="288"/>
              <w:adjustRightInd w:val="0"/>
              <w:snapToGrid w:val="0"/>
              <w:spacing w:line="300" w:lineRule="exact"/>
              <w:rPr>
                <w:rFonts w:hint="eastAsia" w:eastAsia="宋体"/>
                <w:color w:val="auto"/>
              </w:rPr>
            </w:pPr>
            <w:r>
              <w:rPr>
                <w:rFonts w:hint="eastAsia" w:eastAsia="宋体"/>
                <w:color w:val="auto"/>
              </w:rPr>
              <w:t>生活垃圾</w:t>
            </w:r>
          </w:p>
        </w:tc>
        <w:tc>
          <w:tcPr>
            <w:tcW w:w="634" w:type="pct"/>
            <w:vAlign w:val="center"/>
          </w:tcPr>
          <w:p w14:paraId="6AF9451D">
            <w:pPr>
              <w:pStyle w:val="288"/>
              <w:adjustRightInd w:val="0"/>
              <w:snapToGrid w:val="0"/>
              <w:spacing w:line="300" w:lineRule="exact"/>
              <w:rPr>
                <w:rFonts w:hint="eastAsia" w:eastAsia="宋体"/>
                <w:color w:val="auto"/>
              </w:rPr>
            </w:pPr>
            <w:r>
              <w:rPr>
                <w:rFonts w:hint="eastAsia" w:eastAsia="宋体"/>
                <w:color w:val="auto"/>
              </w:rPr>
              <w:t>生活垃圾</w:t>
            </w:r>
          </w:p>
        </w:tc>
        <w:tc>
          <w:tcPr>
            <w:tcW w:w="695" w:type="pct"/>
            <w:vAlign w:val="center"/>
          </w:tcPr>
          <w:p w14:paraId="77DD66AA">
            <w:pPr>
              <w:pStyle w:val="288"/>
              <w:adjustRightInd w:val="0"/>
              <w:snapToGrid w:val="0"/>
              <w:spacing w:line="300" w:lineRule="exact"/>
              <w:rPr>
                <w:rFonts w:hint="eastAsia" w:eastAsia="宋体"/>
                <w:color w:val="auto"/>
              </w:rPr>
            </w:pPr>
            <w:r>
              <w:rPr>
                <w:rFonts w:hint="eastAsia" w:eastAsia="宋体"/>
                <w:color w:val="auto"/>
              </w:rPr>
              <w:t>2.1t/a</w:t>
            </w:r>
          </w:p>
        </w:tc>
        <w:tc>
          <w:tcPr>
            <w:tcW w:w="665" w:type="pct"/>
            <w:vAlign w:val="center"/>
          </w:tcPr>
          <w:p w14:paraId="03B86ECA">
            <w:pPr>
              <w:pStyle w:val="288"/>
              <w:adjustRightInd w:val="0"/>
              <w:snapToGrid w:val="0"/>
              <w:spacing w:line="300" w:lineRule="exact"/>
              <w:rPr>
                <w:rFonts w:hint="eastAsia" w:eastAsia="宋体"/>
                <w:color w:val="auto"/>
              </w:rPr>
            </w:pPr>
            <w:r>
              <w:rPr>
                <w:rFonts w:hint="eastAsia" w:eastAsia="宋体"/>
                <w:color w:val="auto"/>
              </w:rPr>
              <w:t>0</w:t>
            </w:r>
          </w:p>
        </w:tc>
        <w:tc>
          <w:tcPr>
            <w:tcW w:w="1099" w:type="pct"/>
            <w:vAlign w:val="center"/>
          </w:tcPr>
          <w:p w14:paraId="557EE591">
            <w:pPr>
              <w:pStyle w:val="288"/>
              <w:adjustRightInd w:val="0"/>
              <w:snapToGrid w:val="0"/>
              <w:spacing w:line="300" w:lineRule="exact"/>
              <w:rPr>
                <w:rFonts w:hint="eastAsia" w:eastAsia="宋体"/>
                <w:color w:val="auto"/>
              </w:rPr>
            </w:pPr>
            <w:r>
              <w:rPr>
                <w:rFonts w:hint="eastAsia" w:eastAsia="宋体"/>
                <w:color w:val="auto"/>
              </w:rPr>
              <w:t>送至玛纳斯县生活垃圾填埋场</w:t>
            </w:r>
          </w:p>
        </w:tc>
      </w:tr>
      <w:bookmarkEnd w:id="276"/>
      <w:bookmarkEnd w:id="277"/>
      <w:bookmarkEnd w:id="278"/>
      <w:bookmarkEnd w:id="312"/>
      <w:bookmarkEnd w:id="313"/>
      <w:bookmarkEnd w:id="314"/>
      <w:bookmarkEnd w:id="317"/>
      <w:bookmarkEnd w:id="318"/>
    </w:tbl>
    <w:p w14:paraId="44DF392A">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320" w:name="_Hlk17367467"/>
      <w:bookmarkStart w:id="321" w:name="_Toc475624471"/>
      <w:r>
        <w:rPr>
          <w:rFonts w:hint="eastAsia" w:ascii="黑体" w:hAnsi="黑体" w:eastAsia="黑体" w:cs="Times New Roman"/>
          <w:color w:val="auto"/>
          <w:sz w:val="24"/>
          <w:szCs w:val="21"/>
          <w:lang w:val="zh-CN"/>
          <w14:ligatures w14:val="none"/>
        </w:rPr>
        <w:t>退役期污染源分析</w:t>
      </w:r>
    </w:p>
    <w:p w14:paraId="42A0ECC1">
      <w:pPr>
        <w:pStyle w:val="86"/>
        <w:ind w:firstLine="480"/>
        <w:rPr>
          <w:rFonts w:hint="eastAsia"/>
          <w:color w:val="auto"/>
        </w:rPr>
      </w:pPr>
      <w:bookmarkStart w:id="322" w:name="_Hlk165554588"/>
      <w:r>
        <w:rPr>
          <w:rFonts w:hint="eastAsia"/>
          <w:color w:val="auto"/>
        </w:rPr>
        <w:t>退役期拆除的设备和管线回收利用，施工过程中会产生少量的扬尘、废弃管线、清扫废水、建筑垃圾等。</w:t>
      </w:r>
    </w:p>
    <w:bookmarkEnd w:id="322"/>
    <w:p w14:paraId="32A790F0">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323" w:name="_Hlk92205310"/>
      <w:r>
        <w:rPr>
          <w:rFonts w:hint="eastAsia" w:ascii="黑体" w:hAnsi="黑体" w:eastAsia="黑体" w:cs="Times New Roman"/>
          <w:color w:val="auto"/>
          <w:sz w:val="24"/>
          <w:szCs w:val="21"/>
          <w:lang w:val="zh-CN"/>
          <w14:ligatures w14:val="none"/>
        </w:rPr>
        <w:t>事故状态环境影响分析</w:t>
      </w:r>
    </w:p>
    <w:bookmarkEnd w:id="323"/>
    <w:p w14:paraId="61702572">
      <w:pPr>
        <w:pStyle w:val="86"/>
        <w:spacing w:line="480" w:lineRule="exact"/>
        <w:ind w:firstLine="480"/>
        <w:rPr>
          <w:rFonts w:hint="eastAsia"/>
          <w:color w:val="auto"/>
        </w:rPr>
      </w:pPr>
      <w:r>
        <w:rPr>
          <w:rFonts w:hint="eastAsia"/>
          <w:color w:val="auto"/>
        </w:rPr>
        <w:t>本项目可能出现的事故主要有井喷、井漏、管线泄漏事故。</w:t>
      </w:r>
    </w:p>
    <w:p w14:paraId="26597396">
      <w:pPr>
        <w:pStyle w:val="86"/>
        <w:spacing w:line="480" w:lineRule="exact"/>
        <w:ind w:firstLine="480"/>
        <w:rPr>
          <w:rFonts w:hint="eastAsia"/>
          <w:color w:val="auto"/>
        </w:rPr>
      </w:pPr>
      <w:r>
        <w:rPr>
          <w:rFonts w:hint="eastAsia"/>
          <w:color w:val="auto"/>
        </w:rPr>
        <w:t>（1）井喷事故</w:t>
      </w:r>
    </w:p>
    <w:p w14:paraId="50B40DEB">
      <w:pPr>
        <w:pStyle w:val="86"/>
        <w:ind w:firstLine="476"/>
        <w:rPr>
          <w:rFonts w:hint="eastAsia"/>
          <w:color w:val="auto"/>
        </w:rPr>
      </w:pPr>
      <w:r>
        <w:rPr>
          <w:rFonts w:hint="eastAsia"/>
          <w:color w:val="auto"/>
          <w:spacing w:val="-2"/>
        </w:rPr>
        <w:t>井喷主要是在井下作业过程中发生的事故。</w:t>
      </w:r>
      <w:r>
        <w:rPr>
          <w:rFonts w:hint="eastAsia"/>
          <w:color w:val="auto"/>
        </w:rPr>
        <w:t>在钻井井下作业过程中由于地层压力不稳、封井不严或者井控设备失灵，均可能发生井喷事故。发生井喷事故时，伴生气、采出水、原油和钻井液一同冲出井口，很容易发生爆炸和火灾事故。</w:t>
      </w:r>
    </w:p>
    <w:p w14:paraId="2686D4B4">
      <w:pPr>
        <w:pStyle w:val="86"/>
        <w:spacing w:line="480" w:lineRule="exact"/>
        <w:ind w:firstLine="480"/>
        <w:rPr>
          <w:rFonts w:hint="eastAsia"/>
          <w:color w:val="auto"/>
        </w:rPr>
      </w:pPr>
      <w:r>
        <w:rPr>
          <w:rFonts w:hint="eastAsia"/>
          <w:color w:val="auto"/>
        </w:rPr>
        <w:t>（2）井漏事故</w:t>
      </w:r>
    </w:p>
    <w:p w14:paraId="1D9AB930">
      <w:pPr>
        <w:pStyle w:val="86"/>
        <w:ind w:firstLine="480"/>
        <w:rPr>
          <w:rFonts w:hint="eastAsia"/>
          <w:color w:val="auto"/>
        </w:rPr>
      </w:pPr>
      <w:r>
        <w:rPr>
          <w:rFonts w:hint="eastAsia"/>
          <w:color w:val="auto"/>
        </w:rPr>
        <w:t>本项目井漏事故一般发生在井下作业修井过程中，通常是由于套管破损或者固井质量不好，导致修井液漏入地层。漏层的类型、井漏的严重程度，因漏失层位各不相同，变化很大，一旦发生井漏，使大量修井液漏失，除造成经济损失外，还可能对地下含水层造成一定的污染和危害。</w:t>
      </w:r>
    </w:p>
    <w:p w14:paraId="53BF17F7">
      <w:pPr>
        <w:pStyle w:val="86"/>
        <w:spacing w:line="480" w:lineRule="exact"/>
        <w:ind w:firstLine="480"/>
        <w:rPr>
          <w:rFonts w:hint="eastAsia"/>
          <w:color w:val="auto"/>
        </w:rPr>
      </w:pPr>
      <w:bookmarkStart w:id="324" w:name="_Hlk86975819"/>
      <w:r>
        <w:rPr>
          <w:rFonts w:hint="eastAsia"/>
          <w:color w:val="auto"/>
        </w:rPr>
        <w:t>（</w:t>
      </w:r>
      <w:r>
        <w:rPr>
          <w:color w:val="auto"/>
        </w:rPr>
        <w:t>3</w:t>
      </w:r>
      <w:r>
        <w:rPr>
          <w:rFonts w:hint="eastAsia"/>
          <w:color w:val="auto"/>
        </w:rPr>
        <w:t>）非正常工况污染物核算</w:t>
      </w:r>
    </w:p>
    <w:p w14:paraId="65073B0A">
      <w:pPr>
        <w:pStyle w:val="86"/>
        <w:spacing w:line="480" w:lineRule="exact"/>
        <w:ind w:firstLine="480"/>
        <w:rPr>
          <w:rFonts w:hint="eastAsia"/>
          <w:color w:val="auto"/>
        </w:rPr>
      </w:pPr>
      <w:bookmarkStart w:id="325" w:name="_Hlk205825679"/>
      <w:r>
        <w:rPr>
          <w:rFonts w:hint="eastAsia"/>
          <w:color w:val="auto"/>
        </w:rPr>
        <w:t>非正常工况主要为天然气处理装置设备检维修，检维修时产生的天然气送至火炬燃烧放空。根据设计方案可知，事故状态下莫172H井天然气处理站放空量为3125m</w:t>
      </w:r>
      <w:r>
        <w:rPr>
          <w:rFonts w:hint="eastAsia"/>
          <w:color w:val="auto"/>
          <w:vertAlign w:val="superscript"/>
        </w:rPr>
        <w:t>3</w:t>
      </w:r>
      <w:r>
        <w:rPr>
          <w:rFonts w:hint="eastAsia"/>
          <w:color w:val="auto"/>
        </w:rPr>
        <w:t>/h，莫174H井天然气处理站放空量为625m</w:t>
      </w:r>
      <w:r>
        <w:rPr>
          <w:rFonts w:hint="eastAsia"/>
          <w:color w:val="auto"/>
          <w:vertAlign w:val="superscript"/>
        </w:rPr>
        <w:t>3</w:t>
      </w:r>
      <w:r>
        <w:rPr>
          <w:rFonts w:hint="eastAsia"/>
          <w:color w:val="auto"/>
        </w:rPr>
        <w:t>/h，单次放空最大时长均为6h，直径为2</w:t>
      </w:r>
      <w:r>
        <w:rPr>
          <w:color w:val="auto"/>
        </w:rPr>
        <w:t>00mm</w:t>
      </w:r>
      <w:r>
        <w:rPr>
          <w:rFonts w:hint="eastAsia"/>
          <w:color w:val="auto"/>
        </w:rPr>
        <w:t>。参照</w:t>
      </w:r>
      <w:r>
        <w:rPr>
          <w:color w:val="auto"/>
        </w:rPr>
        <w:t>《</w:t>
      </w:r>
      <w:r>
        <w:rPr>
          <w:rFonts w:hint="eastAsia"/>
          <w:color w:val="auto"/>
        </w:rPr>
        <w:t>污染源源强核算技术指南 石油炼制工业</w:t>
      </w:r>
      <w:r>
        <w:rPr>
          <w:color w:val="auto"/>
        </w:rPr>
        <w:t>》</w:t>
      </w:r>
      <w:r>
        <w:rPr>
          <w:rFonts w:hint="eastAsia"/>
          <w:color w:val="auto"/>
        </w:rPr>
        <w:t>（H</w:t>
      </w:r>
      <w:r>
        <w:rPr>
          <w:color w:val="auto"/>
        </w:rPr>
        <w:t>J982-2018</w:t>
      </w:r>
      <w:r>
        <w:rPr>
          <w:rFonts w:hint="eastAsia"/>
          <w:color w:val="auto"/>
        </w:rPr>
        <w:t>）中火炬焚烧排放废气产污系数法进行核算：</w:t>
      </w:r>
    </w:p>
    <w:p w14:paraId="6170E671">
      <w:pPr>
        <w:pStyle w:val="86"/>
        <w:spacing w:line="480" w:lineRule="exact"/>
        <w:ind w:firstLine="480"/>
        <w:rPr>
          <w:rFonts w:hint="eastAsia"/>
          <w:bCs/>
          <w:color w:val="auto"/>
        </w:rPr>
      </w:pPr>
      <w:r>
        <w:rPr>
          <w:color w:val="auto"/>
        </w:rPr>
        <w:drawing>
          <wp:anchor distT="0" distB="0" distL="114300" distR="114300" simplePos="0" relativeHeight="251669504" behindDoc="0" locked="0" layoutInCell="1" allowOverlap="1">
            <wp:simplePos x="0" y="0"/>
            <wp:positionH relativeFrom="margin">
              <wp:posOffset>1601470</wp:posOffset>
            </wp:positionH>
            <wp:positionV relativeFrom="paragraph">
              <wp:posOffset>20320</wp:posOffset>
            </wp:positionV>
            <wp:extent cx="2339340" cy="669925"/>
            <wp:effectExtent l="0" t="0" r="381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2341958" cy="670415"/>
                    </a:xfrm>
                    <a:prstGeom prst="rect">
                      <a:avLst/>
                    </a:prstGeom>
                    <a:noFill/>
                    <a:ln>
                      <a:noFill/>
                    </a:ln>
                  </pic:spPr>
                </pic:pic>
              </a:graphicData>
            </a:graphic>
          </wp:anchor>
        </w:drawing>
      </w:r>
    </w:p>
    <w:p w14:paraId="434567E6">
      <w:pPr>
        <w:pStyle w:val="86"/>
        <w:spacing w:line="480" w:lineRule="exact"/>
        <w:ind w:firstLine="480"/>
        <w:rPr>
          <w:rFonts w:hint="eastAsia"/>
          <w:bCs/>
          <w:color w:val="auto"/>
        </w:rPr>
      </w:pPr>
    </w:p>
    <w:p w14:paraId="58AFBD24">
      <w:pPr>
        <w:pStyle w:val="86"/>
        <w:spacing w:line="480" w:lineRule="exact"/>
        <w:ind w:firstLine="480"/>
        <w:rPr>
          <w:rFonts w:hint="eastAsia"/>
          <w:bCs/>
          <w:color w:val="auto"/>
        </w:rPr>
      </w:pPr>
      <w:r>
        <w:rPr>
          <w:rFonts w:hint="eastAsia"/>
          <w:bCs/>
          <w:color w:val="auto"/>
        </w:rPr>
        <w:t>式中：</w:t>
      </w:r>
      <w:r>
        <w:rPr>
          <w:bCs/>
          <w:color w:val="auto"/>
        </w:rPr>
        <w:t>D</w:t>
      </w:r>
      <w:r>
        <w:rPr>
          <w:rFonts w:hint="eastAsia"/>
          <w:bCs/>
          <w:color w:val="auto"/>
        </w:rPr>
        <w:t>—核算时段内火炬排放废气中某种污染物产生量，kg；</w:t>
      </w:r>
    </w:p>
    <w:p w14:paraId="68F7FF11">
      <w:pPr>
        <w:pStyle w:val="86"/>
        <w:spacing w:line="480" w:lineRule="exact"/>
        <w:ind w:firstLine="480"/>
        <w:rPr>
          <w:rFonts w:hint="eastAsia"/>
          <w:bCs/>
          <w:color w:val="auto"/>
        </w:rPr>
      </w:pPr>
      <w:r>
        <w:rPr>
          <w:rFonts w:hint="eastAsia"/>
          <w:bCs/>
          <w:color w:val="auto"/>
        </w:rPr>
        <w:t xml:space="preserve"> </w:t>
      </w:r>
      <w:r>
        <w:rPr>
          <w:bCs/>
          <w:color w:val="auto"/>
        </w:rPr>
        <w:t xml:space="preserve">     </w:t>
      </w:r>
      <w:r>
        <w:rPr>
          <w:rFonts w:hint="eastAsia"/>
          <w:bCs/>
          <w:color w:val="auto"/>
        </w:rPr>
        <w:t>n—火炬个数，量纲一的量；</w:t>
      </w:r>
    </w:p>
    <w:p w14:paraId="0D012C16">
      <w:pPr>
        <w:pStyle w:val="86"/>
        <w:spacing w:line="480" w:lineRule="exact"/>
        <w:ind w:firstLine="480"/>
        <w:rPr>
          <w:rFonts w:hint="eastAsia"/>
          <w:bCs/>
          <w:color w:val="auto"/>
        </w:rPr>
      </w:pPr>
      <w:r>
        <w:rPr>
          <w:rFonts w:hint="eastAsia"/>
          <w:bCs/>
          <w:color w:val="auto"/>
        </w:rPr>
        <w:t xml:space="preserve"> </w:t>
      </w:r>
      <w:r>
        <w:rPr>
          <w:bCs/>
          <w:color w:val="auto"/>
        </w:rPr>
        <w:t xml:space="preserve">     </w:t>
      </w:r>
      <w:r>
        <w:rPr>
          <w:rFonts w:hint="eastAsia"/>
          <w:bCs/>
          <w:color w:val="auto"/>
        </w:rPr>
        <w:t>S</w:t>
      </w:r>
      <w:r>
        <w:rPr>
          <w:rFonts w:hint="eastAsia"/>
          <w:bCs/>
          <w:color w:val="auto"/>
          <w:vertAlign w:val="subscript"/>
        </w:rPr>
        <w:t>i</w:t>
      </w:r>
      <w:r>
        <w:rPr>
          <w:rFonts w:hint="eastAsia"/>
          <w:bCs/>
          <w:color w:val="auto"/>
        </w:rPr>
        <w:t>—核算时段内火炬气中的硫含量，kg</w:t>
      </w:r>
      <w:r>
        <w:rPr>
          <w:bCs/>
          <w:color w:val="auto"/>
        </w:rPr>
        <w:t>/</w:t>
      </w:r>
      <w:r>
        <w:rPr>
          <w:rFonts w:hint="eastAsia"/>
          <w:bCs/>
          <w:color w:val="auto"/>
        </w:rPr>
        <w:t>m</w:t>
      </w:r>
      <w:r>
        <w:rPr>
          <w:bCs/>
          <w:color w:val="auto"/>
          <w:vertAlign w:val="superscript"/>
        </w:rPr>
        <w:t>3</w:t>
      </w:r>
      <w:r>
        <w:rPr>
          <w:rFonts w:hint="eastAsia"/>
          <w:bCs/>
          <w:color w:val="auto"/>
        </w:rPr>
        <w:t>；</w:t>
      </w:r>
    </w:p>
    <w:p w14:paraId="0104F39B">
      <w:pPr>
        <w:pStyle w:val="86"/>
        <w:spacing w:line="480" w:lineRule="exact"/>
        <w:ind w:firstLine="480"/>
        <w:rPr>
          <w:rFonts w:hint="eastAsia"/>
          <w:bCs/>
          <w:color w:val="auto"/>
        </w:rPr>
      </w:pPr>
      <w:r>
        <w:rPr>
          <w:bCs/>
          <w:color w:val="auto"/>
        </w:rPr>
        <w:t xml:space="preserve">      Q</w:t>
      </w:r>
      <w:r>
        <w:rPr>
          <w:rFonts w:hint="eastAsia"/>
          <w:bCs/>
          <w:color w:val="auto"/>
          <w:vertAlign w:val="subscript"/>
        </w:rPr>
        <w:t>i</w:t>
      </w:r>
      <w:r>
        <w:rPr>
          <w:rFonts w:hint="eastAsia"/>
          <w:bCs/>
          <w:color w:val="auto"/>
        </w:rPr>
        <w:t>—核算时段内火炬气流量，m</w:t>
      </w:r>
      <w:r>
        <w:rPr>
          <w:bCs/>
          <w:color w:val="auto"/>
          <w:vertAlign w:val="superscript"/>
        </w:rPr>
        <w:t>3</w:t>
      </w:r>
      <w:r>
        <w:rPr>
          <w:bCs/>
          <w:color w:val="auto"/>
        </w:rPr>
        <w:t>/</w:t>
      </w:r>
      <w:r>
        <w:rPr>
          <w:rFonts w:hint="eastAsia"/>
          <w:bCs/>
          <w:color w:val="auto"/>
        </w:rPr>
        <w:t>h；</w:t>
      </w:r>
    </w:p>
    <w:p w14:paraId="360229D9">
      <w:pPr>
        <w:pStyle w:val="86"/>
        <w:spacing w:line="480" w:lineRule="exact"/>
        <w:ind w:firstLine="480"/>
        <w:rPr>
          <w:rFonts w:hint="eastAsia"/>
          <w:bCs/>
          <w:color w:val="auto"/>
        </w:rPr>
      </w:pPr>
      <w:r>
        <w:rPr>
          <w:rFonts w:hint="eastAsia"/>
          <w:bCs/>
          <w:color w:val="auto"/>
        </w:rPr>
        <w:t xml:space="preserve"> </w:t>
      </w:r>
      <w:r>
        <w:rPr>
          <w:bCs/>
          <w:color w:val="auto"/>
        </w:rPr>
        <w:t xml:space="preserve">     </w:t>
      </w:r>
      <w:r>
        <w:rPr>
          <w:rFonts w:hint="eastAsia"/>
          <w:bCs/>
          <w:color w:val="auto"/>
        </w:rPr>
        <w:t>t</w:t>
      </w:r>
      <w:r>
        <w:rPr>
          <w:rFonts w:hint="eastAsia"/>
          <w:bCs/>
          <w:color w:val="auto"/>
          <w:vertAlign w:val="subscript"/>
        </w:rPr>
        <w:t>i</w:t>
      </w:r>
      <w:r>
        <w:rPr>
          <w:rFonts w:hint="eastAsia"/>
          <w:bCs/>
          <w:color w:val="auto"/>
        </w:rPr>
        <w:t>—火炬年运行时间，h；</w:t>
      </w:r>
    </w:p>
    <w:p w14:paraId="0C0C2794">
      <w:pPr>
        <w:pStyle w:val="86"/>
        <w:spacing w:line="480" w:lineRule="exact"/>
        <w:ind w:firstLine="480"/>
        <w:rPr>
          <w:rFonts w:hint="eastAsia"/>
          <w:bCs/>
          <w:color w:val="auto"/>
        </w:rPr>
      </w:pPr>
      <w:r>
        <w:rPr>
          <w:rFonts w:hint="eastAsia"/>
          <w:bCs/>
          <w:color w:val="auto"/>
        </w:rPr>
        <w:t xml:space="preserve"> </w:t>
      </w:r>
      <w:r>
        <w:rPr>
          <w:bCs/>
          <w:color w:val="auto"/>
        </w:rPr>
        <w:t xml:space="preserve">     </w:t>
      </w:r>
      <w:r>
        <w:rPr>
          <w:rFonts w:hint="eastAsia"/>
          <w:bCs/>
          <w:color w:val="auto"/>
        </w:rPr>
        <w:t>α—排放系数，kg</w:t>
      </w:r>
      <w:r>
        <w:rPr>
          <w:bCs/>
          <w:color w:val="auto"/>
        </w:rPr>
        <w:t>/</w:t>
      </w:r>
      <w:r>
        <w:rPr>
          <w:rFonts w:hint="eastAsia"/>
          <w:bCs/>
          <w:color w:val="auto"/>
        </w:rPr>
        <w:t>m</w:t>
      </w:r>
      <w:r>
        <w:rPr>
          <w:bCs/>
          <w:color w:val="auto"/>
          <w:vertAlign w:val="superscript"/>
        </w:rPr>
        <w:t>3</w:t>
      </w:r>
      <w:r>
        <w:rPr>
          <w:rFonts w:hint="eastAsia"/>
          <w:bCs/>
          <w:color w:val="auto"/>
        </w:rPr>
        <w:t>，氮氧化物取0</w:t>
      </w:r>
      <w:r>
        <w:rPr>
          <w:bCs/>
          <w:color w:val="auto"/>
        </w:rPr>
        <w:t>.054</w:t>
      </w:r>
      <w:r>
        <w:rPr>
          <w:rFonts w:hint="eastAsia"/>
          <w:bCs/>
          <w:color w:val="auto"/>
        </w:rPr>
        <w:t>。</w:t>
      </w:r>
    </w:p>
    <w:p w14:paraId="49570B1E">
      <w:pPr>
        <w:pStyle w:val="86"/>
        <w:spacing w:line="480" w:lineRule="exact"/>
        <w:ind w:firstLine="480"/>
        <w:rPr>
          <w:rFonts w:hint="eastAsia"/>
          <w:bCs/>
          <w:color w:val="auto"/>
        </w:rPr>
      </w:pPr>
      <w:r>
        <w:rPr>
          <w:rFonts w:hint="eastAsia"/>
          <w:bCs/>
          <w:color w:val="auto"/>
        </w:rPr>
        <w:t>本项目天然气中不含硫，放空废气污染物主要为氮氧化物，各天然气处理装置非正常工况下氮氧化物排放量见表3.3-15。</w:t>
      </w:r>
    </w:p>
    <w:p w14:paraId="2B525A23">
      <w:pPr>
        <w:pStyle w:val="86"/>
        <w:spacing w:line="480" w:lineRule="exact"/>
        <w:ind w:firstLine="420"/>
        <w:jc w:val="center"/>
        <w:rPr>
          <w:rFonts w:hint="eastAsia" w:ascii="黑体" w:hAnsi="黑体" w:eastAsia="黑体"/>
          <w:color w:val="auto"/>
          <w:sz w:val="21"/>
          <w:szCs w:val="21"/>
        </w:rPr>
      </w:pPr>
      <w:r>
        <w:rPr>
          <w:rFonts w:ascii="黑体" w:hAnsi="黑体" w:eastAsia="黑体"/>
          <w:color w:val="auto"/>
          <w:sz w:val="21"/>
          <w:szCs w:val="21"/>
        </w:rPr>
        <w:t>表</w:t>
      </w:r>
      <w:r>
        <w:rPr>
          <w:rFonts w:hint="eastAsia" w:ascii="黑体" w:hAnsi="黑体" w:eastAsia="黑体"/>
          <w:color w:val="auto"/>
          <w:sz w:val="21"/>
          <w:szCs w:val="21"/>
        </w:rPr>
        <w:t xml:space="preserve">3.3-15  </w:t>
      </w:r>
      <w:bookmarkStart w:id="326" w:name="_Hlk80643008"/>
      <w:r>
        <w:rPr>
          <w:rFonts w:hint="eastAsia" w:ascii="黑体" w:hAnsi="黑体" w:eastAsia="黑体"/>
          <w:color w:val="auto"/>
          <w:sz w:val="21"/>
          <w:szCs w:val="21"/>
        </w:rPr>
        <w:t>事故状态下氮氧化物排放量核算表</w:t>
      </w:r>
    </w:p>
    <w:bookmarkEnd w:id="325"/>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41"/>
        <w:gridCol w:w="946"/>
        <w:gridCol w:w="1130"/>
        <w:gridCol w:w="1069"/>
        <w:gridCol w:w="1418"/>
        <w:gridCol w:w="1007"/>
        <w:gridCol w:w="1358"/>
        <w:gridCol w:w="1261"/>
      </w:tblGrid>
      <w:tr w14:paraId="1B34EF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0" w:type="pct"/>
            <w:vAlign w:val="center"/>
          </w:tcPr>
          <w:p w14:paraId="1158BB32">
            <w:pPr>
              <w:pStyle w:val="288"/>
              <w:adjustRightInd w:val="0"/>
              <w:snapToGrid w:val="0"/>
              <w:spacing w:line="300" w:lineRule="exact"/>
              <w:rPr>
                <w:rFonts w:hint="eastAsia" w:eastAsia="宋体"/>
                <w:snapToGrid w:val="0"/>
                <w:color w:val="auto"/>
              </w:rPr>
            </w:pPr>
            <w:r>
              <w:rPr>
                <w:rFonts w:hint="eastAsia" w:eastAsia="宋体"/>
                <w:snapToGrid w:val="0"/>
                <w:color w:val="auto"/>
              </w:rPr>
              <w:t>序号</w:t>
            </w:r>
          </w:p>
        </w:tc>
        <w:tc>
          <w:tcPr>
            <w:tcW w:w="542" w:type="pct"/>
            <w:vAlign w:val="center"/>
          </w:tcPr>
          <w:p w14:paraId="141235C6">
            <w:pPr>
              <w:pStyle w:val="288"/>
              <w:adjustRightInd w:val="0"/>
              <w:snapToGrid w:val="0"/>
              <w:spacing w:line="300" w:lineRule="exact"/>
              <w:rPr>
                <w:rFonts w:hint="eastAsia" w:eastAsia="宋体"/>
                <w:snapToGrid w:val="0"/>
                <w:color w:val="auto"/>
              </w:rPr>
            </w:pPr>
            <w:r>
              <w:rPr>
                <w:rFonts w:hint="eastAsia" w:eastAsia="宋体"/>
                <w:snapToGrid w:val="0"/>
                <w:color w:val="auto"/>
              </w:rPr>
              <w:t>污染源</w:t>
            </w:r>
          </w:p>
        </w:tc>
        <w:tc>
          <w:tcPr>
            <w:tcW w:w="647" w:type="pct"/>
            <w:vAlign w:val="center"/>
          </w:tcPr>
          <w:p w14:paraId="19A5A0C8">
            <w:pPr>
              <w:pStyle w:val="288"/>
              <w:adjustRightInd w:val="0"/>
              <w:snapToGrid w:val="0"/>
              <w:spacing w:line="300" w:lineRule="exact"/>
              <w:rPr>
                <w:rFonts w:hint="eastAsia" w:eastAsia="宋体"/>
                <w:snapToGrid w:val="0"/>
                <w:color w:val="auto"/>
              </w:rPr>
            </w:pPr>
            <w:r>
              <w:rPr>
                <w:rFonts w:hint="eastAsia" w:eastAsia="宋体"/>
                <w:snapToGrid w:val="0"/>
                <w:color w:val="auto"/>
              </w:rPr>
              <w:t>事故排放原因</w:t>
            </w:r>
          </w:p>
        </w:tc>
        <w:tc>
          <w:tcPr>
            <w:tcW w:w="612" w:type="pct"/>
            <w:vAlign w:val="center"/>
          </w:tcPr>
          <w:p w14:paraId="0215E6D0">
            <w:pPr>
              <w:pStyle w:val="288"/>
              <w:adjustRightInd w:val="0"/>
              <w:snapToGrid w:val="0"/>
              <w:spacing w:line="300" w:lineRule="exact"/>
              <w:rPr>
                <w:rFonts w:hint="eastAsia" w:eastAsia="宋体"/>
                <w:snapToGrid w:val="0"/>
                <w:color w:val="auto"/>
              </w:rPr>
            </w:pPr>
            <w:r>
              <w:rPr>
                <w:rFonts w:hint="eastAsia" w:eastAsia="宋体"/>
                <w:snapToGrid w:val="0"/>
                <w:color w:val="auto"/>
              </w:rPr>
              <w:t>污染物</w:t>
            </w:r>
          </w:p>
        </w:tc>
        <w:tc>
          <w:tcPr>
            <w:tcW w:w="812" w:type="pct"/>
            <w:vAlign w:val="center"/>
          </w:tcPr>
          <w:p w14:paraId="1D4457FC">
            <w:pPr>
              <w:pStyle w:val="288"/>
              <w:adjustRightInd w:val="0"/>
              <w:snapToGrid w:val="0"/>
              <w:spacing w:line="300" w:lineRule="exact"/>
              <w:rPr>
                <w:rFonts w:hint="eastAsia" w:eastAsia="宋体"/>
                <w:snapToGrid w:val="0"/>
                <w:color w:val="auto"/>
              </w:rPr>
            </w:pPr>
            <w:r>
              <w:rPr>
                <w:rFonts w:hint="eastAsia" w:eastAsia="宋体"/>
                <w:snapToGrid w:val="0"/>
                <w:color w:val="auto"/>
              </w:rPr>
              <w:t>火炬气流量（</w:t>
            </w:r>
            <w:r>
              <w:rPr>
                <w:rFonts w:hint="eastAsia"/>
                <w:color w:val="auto"/>
              </w:rPr>
              <w:t>m</w:t>
            </w:r>
            <w:r>
              <w:rPr>
                <w:rFonts w:hint="eastAsia"/>
                <w:color w:val="auto"/>
                <w:vertAlign w:val="superscript"/>
              </w:rPr>
              <w:t>3</w:t>
            </w:r>
            <w:r>
              <w:rPr>
                <w:rFonts w:hint="eastAsia"/>
                <w:color w:val="auto"/>
              </w:rPr>
              <w:t>/h</w:t>
            </w:r>
            <w:r>
              <w:rPr>
                <w:rFonts w:hint="eastAsia" w:eastAsia="宋体"/>
                <w:snapToGrid w:val="0"/>
                <w:color w:val="auto"/>
              </w:rPr>
              <w:t>）</w:t>
            </w:r>
          </w:p>
        </w:tc>
        <w:tc>
          <w:tcPr>
            <w:tcW w:w="577" w:type="pct"/>
            <w:vAlign w:val="center"/>
          </w:tcPr>
          <w:p w14:paraId="61F02EA5">
            <w:pPr>
              <w:pStyle w:val="288"/>
              <w:adjustRightInd w:val="0"/>
              <w:snapToGrid w:val="0"/>
              <w:spacing w:line="300" w:lineRule="exact"/>
              <w:rPr>
                <w:rFonts w:hint="eastAsia" w:eastAsia="宋体"/>
                <w:snapToGrid w:val="0"/>
                <w:color w:val="auto"/>
              </w:rPr>
            </w:pPr>
            <w:r>
              <w:rPr>
                <w:rFonts w:hint="eastAsia" w:eastAsia="宋体"/>
                <w:snapToGrid w:val="0"/>
                <w:color w:val="auto"/>
              </w:rPr>
              <w:t>单次持续时间（h）</w:t>
            </w:r>
          </w:p>
        </w:tc>
        <w:tc>
          <w:tcPr>
            <w:tcW w:w="778" w:type="pct"/>
            <w:vAlign w:val="center"/>
          </w:tcPr>
          <w:p w14:paraId="563A6773">
            <w:pPr>
              <w:pStyle w:val="288"/>
              <w:adjustRightInd w:val="0"/>
              <w:snapToGrid w:val="0"/>
              <w:spacing w:line="300" w:lineRule="exact"/>
              <w:rPr>
                <w:rFonts w:hint="eastAsia" w:eastAsia="宋体"/>
                <w:snapToGrid w:val="0"/>
                <w:color w:val="auto"/>
              </w:rPr>
            </w:pPr>
            <w:r>
              <w:rPr>
                <w:rFonts w:hint="eastAsia" w:eastAsia="宋体"/>
                <w:snapToGrid w:val="0"/>
                <w:color w:val="auto"/>
              </w:rPr>
              <w:t>非正常排放量（t）</w:t>
            </w:r>
          </w:p>
        </w:tc>
        <w:tc>
          <w:tcPr>
            <w:tcW w:w="722" w:type="pct"/>
            <w:vAlign w:val="center"/>
          </w:tcPr>
          <w:p w14:paraId="199F9C1E">
            <w:pPr>
              <w:pStyle w:val="288"/>
              <w:adjustRightInd w:val="0"/>
              <w:snapToGrid w:val="0"/>
              <w:spacing w:line="300" w:lineRule="exact"/>
              <w:rPr>
                <w:rFonts w:hint="eastAsia" w:eastAsia="宋体"/>
                <w:snapToGrid w:val="0"/>
                <w:color w:val="auto"/>
              </w:rPr>
            </w:pPr>
            <w:r>
              <w:rPr>
                <w:rFonts w:hint="eastAsia" w:eastAsia="宋体"/>
                <w:snapToGrid w:val="0"/>
                <w:color w:val="auto"/>
              </w:rPr>
              <w:t>应对措施</w:t>
            </w:r>
          </w:p>
        </w:tc>
      </w:tr>
      <w:tr w14:paraId="4F3276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0" w:type="pct"/>
            <w:vAlign w:val="center"/>
          </w:tcPr>
          <w:p w14:paraId="58D8FCCD">
            <w:pPr>
              <w:pStyle w:val="288"/>
              <w:adjustRightInd w:val="0"/>
              <w:snapToGrid w:val="0"/>
              <w:spacing w:line="300" w:lineRule="exact"/>
              <w:rPr>
                <w:rFonts w:hint="eastAsia" w:eastAsia="宋体"/>
                <w:snapToGrid w:val="0"/>
                <w:color w:val="auto"/>
              </w:rPr>
            </w:pPr>
            <w:bookmarkStart w:id="327" w:name="_Hlk171938821"/>
            <w:r>
              <w:rPr>
                <w:rFonts w:hint="eastAsia" w:eastAsia="宋体"/>
                <w:snapToGrid w:val="0"/>
                <w:color w:val="auto"/>
              </w:rPr>
              <w:t>1</w:t>
            </w:r>
          </w:p>
        </w:tc>
        <w:tc>
          <w:tcPr>
            <w:tcW w:w="542" w:type="pct"/>
            <w:vAlign w:val="center"/>
          </w:tcPr>
          <w:p w14:paraId="1767291B">
            <w:pPr>
              <w:pStyle w:val="288"/>
              <w:adjustRightInd w:val="0"/>
              <w:snapToGrid w:val="0"/>
              <w:spacing w:line="300" w:lineRule="exact"/>
              <w:rPr>
                <w:rFonts w:hint="eastAsia" w:eastAsia="宋体"/>
                <w:snapToGrid w:val="0"/>
                <w:color w:val="auto"/>
              </w:rPr>
            </w:pPr>
            <w:r>
              <w:rPr>
                <w:rFonts w:hint="eastAsia" w:eastAsia="宋体"/>
                <w:snapToGrid w:val="0"/>
                <w:color w:val="auto"/>
              </w:rPr>
              <w:t>莫172H井天然气处理装置</w:t>
            </w:r>
          </w:p>
        </w:tc>
        <w:tc>
          <w:tcPr>
            <w:tcW w:w="647" w:type="pct"/>
            <w:vAlign w:val="center"/>
          </w:tcPr>
          <w:p w14:paraId="6BA0A21C">
            <w:pPr>
              <w:pStyle w:val="288"/>
              <w:adjustRightInd w:val="0"/>
              <w:snapToGrid w:val="0"/>
              <w:spacing w:line="300" w:lineRule="exact"/>
              <w:rPr>
                <w:rFonts w:hint="eastAsia" w:eastAsia="宋体"/>
                <w:color w:val="auto"/>
              </w:rPr>
            </w:pPr>
            <w:r>
              <w:rPr>
                <w:rFonts w:hint="eastAsia" w:eastAsia="宋体"/>
                <w:color w:val="auto"/>
              </w:rPr>
              <w:t>设备检维修</w:t>
            </w:r>
          </w:p>
        </w:tc>
        <w:tc>
          <w:tcPr>
            <w:tcW w:w="612" w:type="pct"/>
            <w:vAlign w:val="center"/>
          </w:tcPr>
          <w:p w14:paraId="0C77F9F2">
            <w:pPr>
              <w:pStyle w:val="288"/>
              <w:adjustRightInd w:val="0"/>
              <w:snapToGrid w:val="0"/>
              <w:spacing w:line="300" w:lineRule="exact"/>
              <w:rPr>
                <w:rFonts w:hint="eastAsia" w:eastAsia="宋体"/>
                <w:color w:val="auto"/>
              </w:rPr>
            </w:pPr>
            <w:r>
              <w:rPr>
                <w:rFonts w:hint="eastAsia" w:eastAsia="宋体"/>
                <w:color w:val="auto"/>
              </w:rPr>
              <w:t>氮氧化物</w:t>
            </w:r>
          </w:p>
        </w:tc>
        <w:tc>
          <w:tcPr>
            <w:tcW w:w="812" w:type="pct"/>
            <w:vAlign w:val="center"/>
          </w:tcPr>
          <w:p w14:paraId="71BC706F">
            <w:pPr>
              <w:pStyle w:val="288"/>
              <w:adjustRightInd w:val="0"/>
              <w:snapToGrid w:val="0"/>
              <w:spacing w:line="300" w:lineRule="exact"/>
              <w:rPr>
                <w:rFonts w:hint="eastAsia" w:eastAsia="宋体"/>
                <w:color w:val="auto"/>
              </w:rPr>
            </w:pPr>
            <w:r>
              <w:rPr>
                <w:rFonts w:hint="eastAsia" w:eastAsia="宋体"/>
                <w:color w:val="auto"/>
              </w:rPr>
              <w:t>3125</w:t>
            </w:r>
          </w:p>
        </w:tc>
        <w:tc>
          <w:tcPr>
            <w:tcW w:w="577" w:type="pct"/>
            <w:vAlign w:val="center"/>
          </w:tcPr>
          <w:p w14:paraId="65324304">
            <w:pPr>
              <w:pStyle w:val="288"/>
              <w:adjustRightInd w:val="0"/>
              <w:snapToGrid w:val="0"/>
              <w:spacing w:line="300" w:lineRule="exact"/>
              <w:rPr>
                <w:rFonts w:hint="eastAsia" w:eastAsia="宋体"/>
                <w:color w:val="auto"/>
              </w:rPr>
            </w:pPr>
            <w:r>
              <w:rPr>
                <w:rFonts w:eastAsia="宋体"/>
                <w:color w:val="auto"/>
              </w:rPr>
              <w:t>6</w:t>
            </w:r>
          </w:p>
        </w:tc>
        <w:tc>
          <w:tcPr>
            <w:tcW w:w="778" w:type="pct"/>
            <w:vAlign w:val="center"/>
          </w:tcPr>
          <w:p w14:paraId="5441D17C">
            <w:pPr>
              <w:pStyle w:val="288"/>
              <w:adjustRightInd w:val="0"/>
              <w:snapToGrid w:val="0"/>
              <w:spacing w:line="300" w:lineRule="exact"/>
              <w:rPr>
                <w:rFonts w:hint="eastAsia" w:eastAsia="宋体"/>
                <w:color w:val="auto"/>
              </w:rPr>
            </w:pPr>
            <w:r>
              <w:rPr>
                <w:rFonts w:hint="eastAsia" w:eastAsia="宋体"/>
                <w:color w:val="auto"/>
              </w:rPr>
              <w:t>1.0125</w:t>
            </w:r>
          </w:p>
        </w:tc>
        <w:tc>
          <w:tcPr>
            <w:tcW w:w="722" w:type="pct"/>
            <w:vAlign w:val="center"/>
          </w:tcPr>
          <w:p w14:paraId="7C0E6480">
            <w:pPr>
              <w:pStyle w:val="288"/>
              <w:adjustRightInd w:val="0"/>
              <w:snapToGrid w:val="0"/>
              <w:spacing w:line="300" w:lineRule="exact"/>
              <w:rPr>
                <w:rFonts w:hint="eastAsia" w:eastAsia="宋体"/>
                <w:snapToGrid w:val="0"/>
                <w:color w:val="auto"/>
              </w:rPr>
            </w:pPr>
            <w:r>
              <w:rPr>
                <w:rFonts w:hint="eastAsia" w:eastAsia="宋体"/>
                <w:snapToGrid w:val="0"/>
                <w:color w:val="auto"/>
              </w:rPr>
              <w:t>通过火炬点燃放空</w:t>
            </w:r>
          </w:p>
        </w:tc>
      </w:tr>
      <w:bookmarkEnd w:id="327"/>
      <w:tr w14:paraId="67F555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0" w:type="pct"/>
            <w:vAlign w:val="center"/>
          </w:tcPr>
          <w:p w14:paraId="5DEFDA9B">
            <w:pPr>
              <w:pStyle w:val="288"/>
              <w:adjustRightInd w:val="0"/>
              <w:snapToGrid w:val="0"/>
              <w:spacing w:line="300" w:lineRule="exact"/>
              <w:rPr>
                <w:rFonts w:hint="eastAsia" w:eastAsia="宋体"/>
                <w:snapToGrid w:val="0"/>
                <w:color w:val="auto"/>
              </w:rPr>
            </w:pPr>
            <w:r>
              <w:rPr>
                <w:rFonts w:hint="eastAsia" w:eastAsia="宋体"/>
                <w:snapToGrid w:val="0"/>
                <w:color w:val="auto"/>
              </w:rPr>
              <w:t>2</w:t>
            </w:r>
          </w:p>
        </w:tc>
        <w:tc>
          <w:tcPr>
            <w:tcW w:w="542" w:type="pct"/>
            <w:vAlign w:val="center"/>
          </w:tcPr>
          <w:p w14:paraId="55A24639">
            <w:pPr>
              <w:pStyle w:val="288"/>
              <w:adjustRightInd w:val="0"/>
              <w:snapToGrid w:val="0"/>
              <w:spacing w:line="300" w:lineRule="exact"/>
              <w:rPr>
                <w:rFonts w:hint="eastAsia" w:eastAsia="宋体"/>
                <w:snapToGrid w:val="0"/>
                <w:color w:val="auto"/>
              </w:rPr>
            </w:pPr>
            <w:r>
              <w:rPr>
                <w:rFonts w:hint="eastAsia" w:eastAsia="宋体"/>
                <w:snapToGrid w:val="0"/>
                <w:color w:val="auto"/>
              </w:rPr>
              <w:t>莫174H井天然气处理装置</w:t>
            </w:r>
          </w:p>
        </w:tc>
        <w:tc>
          <w:tcPr>
            <w:tcW w:w="647" w:type="pct"/>
            <w:vAlign w:val="center"/>
          </w:tcPr>
          <w:p w14:paraId="4D6CD159">
            <w:pPr>
              <w:pStyle w:val="288"/>
              <w:adjustRightInd w:val="0"/>
              <w:snapToGrid w:val="0"/>
              <w:spacing w:line="300" w:lineRule="exact"/>
              <w:rPr>
                <w:rFonts w:hint="eastAsia" w:eastAsia="宋体"/>
                <w:color w:val="auto"/>
              </w:rPr>
            </w:pPr>
            <w:r>
              <w:rPr>
                <w:rFonts w:hint="eastAsia" w:eastAsia="宋体"/>
                <w:color w:val="auto"/>
              </w:rPr>
              <w:t>设备检维修</w:t>
            </w:r>
          </w:p>
        </w:tc>
        <w:tc>
          <w:tcPr>
            <w:tcW w:w="612" w:type="pct"/>
            <w:vAlign w:val="center"/>
          </w:tcPr>
          <w:p w14:paraId="62A81899">
            <w:pPr>
              <w:pStyle w:val="288"/>
              <w:adjustRightInd w:val="0"/>
              <w:snapToGrid w:val="0"/>
              <w:spacing w:line="300" w:lineRule="exact"/>
              <w:rPr>
                <w:rFonts w:hint="eastAsia" w:eastAsia="宋体"/>
                <w:color w:val="auto"/>
              </w:rPr>
            </w:pPr>
            <w:r>
              <w:rPr>
                <w:rFonts w:hint="eastAsia" w:eastAsia="宋体"/>
                <w:color w:val="auto"/>
              </w:rPr>
              <w:t>氮氧化物</w:t>
            </w:r>
          </w:p>
        </w:tc>
        <w:tc>
          <w:tcPr>
            <w:tcW w:w="812" w:type="pct"/>
            <w:vAlign w:val="center"/>
          </w:tcPr>
          <w:p w14:paraId="65C49A8B">
            <w:pPr>
              <w:pStyle w:val="288"/>
              <w:adjustRightInd w:val="0"/>
              <w:snapToGrid w:val="0"/>
              <w:spacing w:line="300" w:lineRule="exact"/>
              <w:rPr>
                <w:rFonts w:hint="eastAsia" w:eastAsia="宋体"/>
                <w:color w:val="auto"/>
              </w:rPr>
            </w:pPr>
            <w:r>
              <w:rPr>
                <w:rFonts w:hint="eastAsia" w:eastAsia="宋体"/>
                <w:color w:val="auto"/>
              </w:rPr>
              <w:t>625</w:t>
            </w:r>
          </w:p>
        </w:tc>
        <w:tc>
          <w:tcPr>
            <w:tcW w:w="577" w:type="pct"/>
            <w:vAlign w:val="center"/>
          </w:tcPr>
          <w:p w14:paraId="4269B517">
            <w:pPr>
              <w:pStyle w:val="288"/>
              <w:adjustRightInd w:val="0"/>
              <w:snapToGrid w:val="0"/>
              <w:spacing w:line="300" w:lineRule="exact"/>
              <w:rPr>
                <w:rFonts w:hint="eastAsia" w:eastAsia="宋体"/>
                <w:color w:val="auto"/>
              </w:rPr>
            </w:pPr>
            <w:r>
              <w:rPr>
                <w:rFonts w:hint="eastAsia" w:eastAsia="宋体"/>
                <w:color w:val="auto"/>
              </w:rPr>
              <w:t>6</w:t>
            </w:r>
          </w:p>
        </w:tc>
        <w:tc>
          <w:tcPr>
            <w:tcW w:w="778" w:type="pct"/>
            <w:vAlign w:val="center"/>
          </w:tcPr>
          <w:p w14:paraId="6C551117">
            <w:pPr>
              <w:pStyle w:val="288"/>
              <w:adjustRightInd w:val="0"/>
              <w:snapToGrid w:val="0"/>
              <w:spacing w:line="300" w:lineRule="exact"/>
              <w:rPr>
                <w:rFonts w:hint="eastAsia" w:eastAsia="宋体"/>
                <w:color w:val="auto"/>
              </w:rPr>
            </w:pPr>
            <w:r>
              <w:rPr>
                <w:rFonts w:hint="eastAsia" w:eastAsia="宋体"/>
                <w:color w:val="auto"/>
              </w:rPr>
              <w:t>0.2025</w:t>
            </w:r>
          </w:p>
        </w:tc>
        <w:tc>
          <w:tcPr>
            <w:tcW w:w="722" w:type="pct"/>
            <w:vAlign w:val="center"/>
          </w:tcPr>
          <w:p w14:paraId="167D821D">
            <w:pPr>
              <w:pStyle w:val="288"/>
              <w:adjustRightInd w:val="0"/>
              <w:snapToGrid w:val="0"/>
              <w:spacing w:line="300" w:lineRule="exact"/>
              <w:rPr>
                <w:rFonts w:hint="eastAsia" w:eastAsia="宋体"/>
                <w:snapToGrid w:val="0"/>
                <w:color w:val="auto"/>
              </w:rPr>
            </w:pPr>
            <w:r>
              <w:rPr>
                <w:rFonts w:hint="eastAsia" w:eastAsia="宋体"/>
                <w:snapToGrid w:val="0"/>
                <w:color w:val="auto"/>
              </w:rPr>
              <w:t>通过火炬点燃放空</w:t>
            </w:r>
          </w:p>
        </w:tc>
      </w:tr>
      <w:bookmarkEnd w:id="324"/>
      <w:bookmarkEnd w:id="326"/>
    </w:tbl>
    <w:p w14:paraId="49E197DD">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温室气体排放量核算</w:t>
      </w:r>
    </w:p>
    <w:p w14:paraId="6E8BC57C">
      <w:pPr>
        <w:pStyle w:val="86"/>
        <w:ind w:firstLine="480"/>
        <w:rPr>
          <w:rFonts w:hint="eastAsia"/>
          <w:color w:val="auto"/>
        </w:rPr>
      </w:pPr>
      <w:r>
        <w:rPr>
          <w:rFonts w:hint="eastAsia"/>
          <w:color w:val="auto"/>
        </w:rPr>
        <w:t>根据</w:t>
      </w:r>
      <w:bookmarkStart w:id="328" w:name="OLE_LINK27"/>
      <w:r>
        <w:rPr>
          <w:rFonts w:hint="eastAsia"/>
          <w:color w:val="auto"/>
        </w:rPr>
        <w:t>《中国石油天然气生产企业温室气体排放核算方法与报告指南（试行）》</w:t>
      </w:r>
      <w:bookmarkEnd w:id="328"/>
      <w:r>
        <w:rPr>
          <w:rFonts w:hint="eastAsia"/>
          <w:color w:val="auto"/>
        </w:rPr>
        <w:t>，石油天然气开采企业碳排放源主要包括：</w:t>
      </w:r>
      <w:bookmarkStart w:id="329" w:name="OLE_LINK24"/>
      <w:r>
        <w:rPr>
          <w:rFonts w:hint="eastAsia"/>
          <w:color w:val="auto"/>
        </w:rPr>
        <w:t>燃料燃烧CO</w:t>
      </w:r>
      <w:r>
        <w:rPr>
          <w:rFonts w:hint="eastAsia"/>
          <w:color w:val="auto"/>
          <w:vertAlign w:val="subscript"/>
        </w:rPr>
        <w:t>2</w:t>
      </w:r>
      <w:r>
        <w:rPr>
          <w:rFonts w:hint="eastAsia"/>
          <w:color w:val="auto"/>
        </w:rPr>
        <w:t>排放</w:t>
      </w:r>
      <w:bookmarkEnd w:id="329"/>
      <w:r>
        <w:rPr>
          <w:rFonts w:hint="eastAsia"/>
          <w:color w:val="auto"/>
        </w:rPr>
        <w:t>、火炬燃烧排放、工艺放空排放、CH</w:t>
      </w:r>
      <w:r>
        <w:rPr>
          <w:rFonts w:hint="eastAsia"/>
          <w:color w:val="auto"/>
          <w:vertAlign w:val="subscript"/>
        </w:rPr>
        <w:t>4</w:t>
      </w:r>
      <w:r>
        <w:rPr>
          <w:rFonts w:hint="eastAsia"/>
          <w:color w:val="auto"/>
        </w:rPr>
        <w:t>逃逸排放、CH</w:t>
      </w:r>
      <w:r>
        <w:rPr>
          <w:rFonts w:hint="eastAsia"/>
          <w:color w:val="auto"/>
          <w:vertAlign w:val="subscript"/>
        </w:rPr>
        <w:t>4</w:t>
      </w:r>
      <w:r>
        <w:rPr>
          <w:rFonts w:hint="eastAsia"/>
          <w:color w:val="auto"/>
        </w:rPr>
        <w:t>回收利用量、CO</w:t>
      </w:r>
      <w:r>
        <w:rPr>
          <w:rFonts w:hint="eastAsia"/>
          <w:color w:val="auto"/>
          <w:vertAlign w:val="subscript"/>
        </w:rPr>
        <w:t>2</w:t>
      </w:r>
      <w:r>
        <w:rPr>
          <w:rFonts w:hint="eastAsia"/>
          <w:color w:val="auto"/>
        </w:rPr>
        <w:t>回收利用量、净购入电力和热力隐含的CO</w:t>
      </w:r>
      <w:r>
        <w:rPr>
          <w:rFonts w:hint="eastAsia"/>
          <w:color w:val="auto"/>
          <w:vertAlign w:val="subscript"/>
        </w:rPr>
        <w:t>2</w:t>
      </w:r>
      <w:r>
        <w:rPr>
          <w:rFonts w:hint="eastAsia"/>
          <w:color w:val="auto"/>
        </w:rPr>
        <w:t>排放，公式如下：</w:t>
      </w:r>
    </w:p>
    <w:p w14:paraId="03241BD7">
      <w:pPr>
        <w:pStyle w:val="209"/>
        <w:spacing w:line="360" w:lineRule="auto"/>
        <w:ind w:firstLine="0" w:firstLineChars="0"/>
        <w:jc w:val="center"/>
        <w:rPr>
          <w:rFonts w:hint="eastAsia"/>
          <w:color w:val="auto"/>
        </w:rPr>
      </w:pPr>
      <w:r>
        <w:rPr>
          <w:color w:val="auto"/>
        </w:rPr>
        <w:drawing>
          <wp:inline distT="0" distB="0" distL="0" distR="0">
            <wp:extent cx="5437505" cy="980440"/>
            <wp:effectExtent l="0" t="0" r="0" b="0"/>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900"/>
                    <pic:cNvPicPr>
                      <a:picLocks noChangeAspect="1"/>
                    </pic:cNvPicPr>
                  </pic:nvPicPr>
                  <pic:blipFill>
                    <a:blip r:embed="rId69"/>
                    <a:stretch>
                      <a:fillRect/>
                    </a:stretch>
                  </pic:blipFill>
                  <pic:spPr>
                    <a:xfrm>
                      <a:off x="0" y="0"/>
                      <a:ext cx="5438095" cy="980952"/>
                    </a:xfrm>
                    <a:prstGeom prst="rect">
                      <a:avLst/>
                    </a:prstGeom>
                  </pic:spPr>
                </pic:pic>
              </a:graphicData>
            </a:graphic>
          </wp:inline>
        </w:drawing>
      </w:r>
    </w:p>
    <w:p w14:paraId="1B4CA8E7">
      <w:pPr>
        <w:pStyle w:val="86"/>
        <w:ind w:firstLine="480"/>
        <w:rPr>
          <w:rFonts w:hint="eastAsia"/>
          <w:color w:val="auto"/>
        </w:rPr>
      </w:pPr>
      <w:r>
        <w:rPr>
          <w:rFonts w:hint="eastAsia"/>
          <w:color w:val="auto"/>
        </w:rPr>
        <w:t>就本工程而言，涉及温室气体排放的环节为</w:t>
      </w:r>
      <w:bookmarkStart w:id="330" w:name="OLE_LINK25"/>
      <w:r>
        <w:rPr>
          <w:rFonts w:hint="eastAsia"/>
          <w:color w:val="auto"/>
        </w:rPr>
        <w:t>燃料燃烧CO</w:t>
      </w:r>
      <w:r>
        <w:rPr>
          <w:rFonts w:hint="eastAsia"/>
          <w:color w:val="auto"/>
          <w:vertAlign w:val="subscript"/>
        </w:rPr>
        <w:t>2</w:t>
      </w:r>
      <w:r>
        <w:rPr>
          <w:rFonts w:hint="eastAsia"/>
          <w:color w:val="auto"/>
        </w:rPr>
        <w:t>排放</w:t>
      </w:r>
      <w:bookmarkEnd w:id="330"/>
      <w:r>
        <w:rPr>
          <w:rFonts w:hint="eastAsia"/>
          <w:color w:val="auto"/>
        </w:rPr>
        <w:t>、原油开采过程中CH</w:t>
      </w:r>
      <w:r>
        <w:rPr>
          <w:rFonts w:hint="eastAsia"/>
          <w:color w:val="auto"/>
          <w:vertAlign w:val="subscript"/>
        </w:rPr>
        <w:t>4</w:t>
      </w:r>
      <w:r>
        <w:rPr>
          <w:rFonts w:hint="eastAsia"/>
          <w:color w:val="auto"/>
        </w:rPr>
        <w:t>排放、</w:t>
      </w:r>
      <w:bookmarkStart w:id="331" w:name="_Hlk162371517"/>
      <w:r>
        <w:rPr>
          <w:rFonts w:hint="eastAsia"/>
          <w:color w:val="auto"/>
        </w:rPr>
        <w:t>天然气处理过程中CH</w:t>
      </w:r>
      <w:r>
        <w:rPr>
          <w:rFonts w:hint="eastAsia"/>
          <w:color w:val="auto"/>
          <w:vertAlign w:val="subscript"/>
        </w:rPr>
        <w:t>4</w:t>
      </w:r>
      <w:r>
        <w:rPr>
          <w:rFonts w:hint="eastAsia"/>
          <w:color w:val="auto"/>
        </w:rPr>
        <w:t>逃逸排放、</w:t>
      </w:r>
      <w:bookmarkEnd w:id="331"/>
      <w:r>
        <w:rPr>
          <w:rFonts w:hint="eastAsia"/>
          <w:color w:val="auto"/>
        </w:rPr>
        <w:t>火炬燃烧放空（事故火炬）和</w:t>
      </w:r>
      <w:bookmarkStart w:id="332" w:name="_Hlk162001575"/>
      <w:r>
        <w:rPr>
          <w:rFonts w:hint="eastAsia"/>
          <w:color w:val="auto"/>
        </w:rPr>
        <w:t>净购入电力隐含的CO</w:t>
      </w:r>
      <w:r>
        <w:rPr>
          <w:rFonts w:hint="eastAsia"/>
          <w:color w:val="auto"/>
          <w:vertAlign w:val="subscript"/>
        </w:rPr>
        <w:t>2</w:t>
      </w:r>
      <w:r>
        <w:rPr>
          <w:rFonts w:hint="eastAsia"/>
          <w:color w:val="auto"/>
        </w:rPr>
        <w:t>排放</w:t>
      </w:r>
      <w:bookmarkEnd w:id="332"/>
      <w:r>
        <w:rPr>
          <w:rFonts w:hint="eastAsia"/>
          <w:color w:val="auto"/>
        </w:rPr>
        <w:t>。</w:t>
      </w:r>
    </w:p>
    <w:p w14:paraId="66F85652">
      <w:pPr>
        <w:pStyle w:val="86"/>
        <w:ind w:firstLine="480"/>
        <w:rPr>
          <w:rFonts w:hint="eastAsia"/>
          <w:color w:val="auto"/>
        </w:rPr>
      </w:pPr>
      <w:r>
        <w:rPr>
          <w:rFonts w:hint="eastAsia"/>
          <w:color w:val="auto"/>
        </w:rPr>
        <w:t>※燃料燃烧CO</w:t>
      </w:r>
      <w:r>
        <w:rPr>
          <w:rFonts w:hint="eastAsia"/>
          <w:color w:val="auto"/>
          <w:vertAlign w:val="subscript"/>
        </w:rPr>
        <w:t>2</w:t>
      </w:r>
      <w:r>
        <w:rPr>
          <w:rFonts w:hint="eastAsia"/>
          <w:color w:val="auto"/>
        </w:rPr>
        <w:t>排放</w:t>
      </w:r>
    </w:p>
    <w:p w14:paraId="601485AB">
      <w:pPr>
        <w:pStyle w:val="86"/>
        <w:ind w:firstLine="480"/>
        <w:rPr>
          <w:rFonts w:hint="eastAsia"/>
          <w:color w:val="auto"/>
        </w:rPr>
      </w:pPr>
      <w:bookmarkStart w:id="333" w:name="OLE_LINK32"/>
      <w:r>
        <w:rPr>
          <w:rFonts w:hint="eastAsia"/>
          <w:color w:val="auto"/>
        </w:rPr>
        <w:t>燃料燃烧</w:t>
      </w:r>
      <w:r>
        <w:rPr>
          <w:color w:val="auto"/>
        </w:rPr>
        <w:t>CO</w:t>
      </w:r>
      <w:r>
        <w:rPr>
          <w:color w:val="auto"/>
          <w:vertAlign w:val="subscript"/>
        </w:rPr>
        <w:t>2</w:t>
      </w:r>
      <w:r>
        <w:rPr>
          <w:rFonts w:hint="eastAsia"/>
          <w:color w:val="auto"/>
        </w:rPr>
        <w:t>排放量基于企业边界内各个燃烧设施分品种的化石燃料燃烧量，乘以相应的燃料含碳量和碳氧化率，再逐层累加汇总得到，公式如下：</w:t>
      </w:r>
    </w:p>
    <w:bookmarkEnd w:id="333"/>
    <w:p w14:paraId="0E58D0F5">
      <w:pPr>
        <w:pStyle w:val="209"/>
        <w:spacing w:line="360" w:lineRule="auto"/>
        <w:ind w:firstLine="0" w:firstLineChars="0"/>
        <w:jc w:val="center"/>
        <w:rPr>
          <w:rFonts w:hint="eastAsia"/>
          <w:color w:val="auto"/>
        </w:rPr>
      </w:pPr>
      <w:r>
        <w:rPr>
          <w:color w:val="auto"/>
        </w:rPr>
        <w:drawing>
          <wp:inline distT="0" distB="0" distL="0" distR="0">
            <wp:extent cx="2740025" cy="376555"/>
            <wp:effectExtent l="0" t="0" r="3175"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70"/>
                    <a:stretch>
                      <a:fillRect/>
                    </a:stretch>
                  </pic:blipFill>
                  <pic:spPr>
                    <a:xfrm>
                      <a:off x="0" y="0"/>
                      <a:ext cx="2922726" cy="402084"/>
                    </a:xfrm>
                    <a:prstGeom prst="rect">
                      <a:avLst/>
                    </a:prstGeom>
                  </pic:spPr>
                </pic:pic>
              </a:graphicData>
            </a:graphic>
          </wp:inline>
        </w:drawing>
      </w:r>
    </w:p>
    <w:p w14:paraId="005506B2">
      <w:pPr>
        <w:autoSpaceDE w:val="0"/>
        <w:autoSpaceDN w:val="0"/>
        <w:adjustRightInd w:val="0"/>
        <w:snapToGrid w:val="0"/>
        <w:spacing w:line="500" w:lineRule="exact"/>
        <w:ind w:firstLine="480" w:firstLineChars="200"/>
        <w:jc w:val="left"/>
        <w:rPr>
          <w:rFonts w:hint="eastAsia" w:ascii="宋体" w:hAnsi="宋体" w:cs="仿宋"/>
          <w:color w:val="auto"/>
          <w:kern w:val="0"/>
          <w:sz w:val="24"/>
          <w:szCs w:val="24"/>
        </w:rPr>
      </w:pPr>
      <w:r>
        <w:rPr>
          <w:rFonts w:hint="eastAsia" w:ascii="宋体" w:hAnsi="宋体" w:cs="仿宋"/>
          <w:color w:val="auto"/>
          <w:kern w:val="0"/>
          <w:sz w:val="24"/>
          <w:szCs w:val="24"/>
        </w:rPr>
        <w:t>式中：</w:t>
      </w:r>
      <w:r>
        <w:rPr>
          <w:rFonts w:ascii="宋体" w:hAnsi="宋体" w:cs="Cambria Math"/>
          <w:color w:val="auto"/>
          <w:kern w:val="0"/>
          <w:sz w:val="24"/>
          <w:szCs w:val="24"/>
        </w:rPr>
        <w:t>E</w:t>
      </w:r>
      <w:bookmarkStart w:id="334" w:name="OLE_LINK28"/>
      <w:r>
        <w:rPr>
          <w:rFonts w:ascii="宋体" w:hAnsi="宋体" w:cs="Cambria Math"/>
          <w:color w:val="auto"/>
          <w:kern w:val="0"/>
          <w:sz w:val="24"/>
          <w:szCs w:val="24"/>
          <w:vertAlign w:val="subscript"/>
        </w:rPr>
        <w:t>CO2_</w:t>
      </w:r>
      <w:r>
        <w:rPr>
          <w:rFonts w:hint="eastAsia" w:ascii="宋体" w:hAnsi="宋体" w:cs="仿宋"/>
          <w:color w:val="auto"/>
          <w:kern w:val="0"/>
          <w:sz w:val="24"/>
          <w:szCs w:val="24"/>
          <w:vertAlign w:val="subscript"/>
        </w:rPr>
        <w:t>燃烧</w:t>
      </w:r>
      <w:bookmarkEnd w:id="334"/>
      <w:r>
        <w:rPr>
          <w:rFonts w:hint="eastAsia" w:ascii="宋体" w:hAnsi="宋体" w:cs="仿宋"/>
          <w:color w:val="auto"/>
          <w:kern w:val="0"/>
          <w:sz w:val="24"/>
          <w:szCs w:val="24"/>
        </w:rPr>
        <w:t>为企业的化石燃料燃烧</w:t>
      </w:r>
      <w:r>
        <w:rPr>
          <w:rFonts w:ascii="宋体" w:hAnsi="宋体"/>
          <w:color w:val="auto"/>
          <w:kern w:val="0"/>
          <w:sz w:val="24"/>
          <w:szCs w:val="24"/>
        </w:rPr>
        <w:t>CO</w:t>
      </w:r>
      <w:r>
        <w:rPr>
          <w:rFonts w:ascii="宋体" w:hAnsi="宋体"/>
          <w:color w:val="auto"/>
          <w:kern w:val="0"/>
          <w:sz w:val="24"/>
          <w:szCs w:val="24"/>
          <w:vertAlign w:val="subscript"/>
        </w:rPr>
        <w:t>2</w:t>
      </w:r>
      <w:r>
        <w:rPr>
          <w:rFonts w:hint="eastAsia" w:ascii="宋体" w:hAnsi="宋体" w:cs="仿宋"/>
          <w:color w:val="auto"/>
          <w:kern w:val="0"/>
          <w:sz w:val="24"/>
          <w:szCs w:val="24"/>
        </w:rPr>
        <w:t>排放量，单位为吨</w:t>
      </w:r>
      <w:r>
        <w:rPr>
          <w:rFonts w:ascii="宋体" w:hAnsi="宋体"/>
          <w:color w:val="auto"/>
          <w:kern w:val="0"/>
          <w:sz w:val="24"/>
          <w:szCs w:val="24"/>
        </w:rPr>
        <w:t>CO</w:t>
      </w:r>
      <w:bookmarkStart w:id="335" w:name="OLE_LINK29"/>
      <w:r>
        <w:rPr>
          <w:rFonts w:ascii="宋体" w:hAnsi="宋体"/>
          <w:color w:val="auto"/>
          <w:kern w:val="0"/>
          <w:sz w:val="24"/>
          <w:szCs w:val="24"/>
          <w:vertAlign w:val="subscript"/>
        </w:rPr>
        <w:t>2</w:t>
      </w:r>
      <w:bookmarkEnd w:id="335"/>
      <w:r>
        <w:rPr>
          <w:rFonts w:hint="eastAsia" w:ascii="宋体" w:hAnsi="宋体" w:cs="仿宋"/>
          <w:color w:val="auto"/>
          <w:kern w:val="0"/>
          <w:sz w:val="24"/>
          <w:szCs w:val="24"/>
        </w:rPr>
        <w:t>；</w:t>
      </w:r>
    </w:p>
    <w:p w14:paraId="58EE9D46">
      <w:pPr>
        <w:autoSpaceDE w:val="0"/>
        <w:autoSpaceDN w:val="0"/>
        <w:adjustRightInd w:val="0"/>
        <w:snapToGrid w:val="0"/>
        <w:spacing w:line="500" w:lineRule="exact"/>
        <w:ind w:firstLine="480" w:firstLineChars="200"/>
        <w:jc w:val="left"/>
        <w:rPr>
          <w:rFonts w:hint="eastAsia" w:ascii="宋体" w:hAnsi="宋体" w:cs="仿宋"/>
          <w:color w:val="auto"/>
          <w:kern w:val="0"/>
          <w:sz w:val="24"/>
          <w:szCs w:val="24"/>
        </w:rPr>
      </w:pPr>
      <w:r>
        <w:rPr>
          <w:rFonts w:ascii="宋体" w:hAnsi="宋体" w:cs="Cambria Math"/>
          <w:color w:val="auto"/>
          <w:kern w:val="0"/>
          <w:sz w:val="24"/>
          <w:szCs w:val="24"/>
        </w:rPr>
        <w:t>i</w:t>
      </w:r>
      <w:r>
        <w:rPr>
          <w:rFonts w:hint="eastAsia" w:ascii="宋体" w:hAnsi="宋体" w:cs="仿宋"/>
          <w:color w:val="auto"/>
          <w:kern w:val="0"/>
          <w:sz w:val="24"/>
          <w:szCs w:val="24"/>
        </w:rPr>
        <w:t>为化石燃料的种类，燃料为天然气；</w:t>
      </w:r>
    </w:p>
    <w:p w14:paraId="551472A0">
      <w:pPr>
        <w:autoSpaceDE w:val="0"/>
        <w:autoSpaceDN w:val="0"/>
        <w:adjustRightInd w:val="0"/>
        <w:snapToGrid w:val="0"/>
        <w:spacing w:line="500" w:lineRule="exact"/>
        <w:ind w:firstLine="480" w:firstLineChars="200"/>
        <w:jc w:val="left"/>
        <w:rPr>
          <w:rFonts w:hint="eastAsia" w:ascii="宋体" w:hAnsi="宋体" w:cs="仿宋"/>
          <w:color w:val="auto"/>
          <w:kern w:val="0"/>
          <w:sz w:val="24"/>
          <w:szCs w:val="24"/>
        </w:rPr>
      </w:pPr>
      <w:r>
        <w:rPr>
          <w:rFonts w:ascii="宋体" w:hAnsi="宋体"/>
          <w:color w:val="auto"/>
          <w:kern w:val="0"/>
          <w:sz w:val="24"/>
          <w:szCs w:val="24"/>
        </w:rPr>
        <w:t>j</w:t>
      </w:r>
      <w:r>
        <w:rPr>
          <w:rFonts w:hint="eastAsia" w:ascii="宋体" w:hAnsi="宋体" w:cs="仿宋"/>
          <w:color w:val="auto"/>
          <w:kern w:val="0"/>
          <w:sz w:val="24"/>
          <w:szCs w:val="24"/>
        </w:rPr>
        <w:t>为燃烧设施序号；</w:t>
      </w:r>
    </w:p>
    <w:p w14:paraId="0C7E5771">
      <w:pPr>
        <w:autoSpaceDE w:val="0"/>
        <w:autoSpaceDN w:val="0"/>
        <w:adjustRightInd w:val="0"/>
        <w:snapToGrid w:val="0"/>
        <w:spacing w:line="500" w:lineRule="exact"/>
        <w:ind w:firstLine="480" w:firstLineChars="200"/>
        <w:jc w:val="left"/>
        <w:rPr>
          <w:rFonts w:hint="eastAsia" w:ascii="宋体" w:hAnsi="宋体" w:cs="仿宋"/>
          <w:color w:val="auto"/>
          <w:kern w:val="0"/>
          <w:sz w:val="24"/>
          <w:szCs w:val="24"/>
        </w:rPr>
      </w:pPr>
      <w:r>
        <w:rPr>
          <w:rFonts w:ascii="宋体" w:hAnsi="宋体" w:cs="Cambria Math"/>
          <w:color w:val="auto"/>
          <w:kern w:val="0"/>
          <w:sz w:val="24"/>
          <w:szCs w:val="24"/>
        </w:rPr>
        <w:t>AD</w:t>
      </w:r>
      <w:r>
        <w:rPr>
          <w:rFonts w:ascii="宋体" w:hAnsi="宋体" w:cs="Cambria Math"/>
          <w:color w:val="auto"/>
          <w:kern w:val="0"/>
          <w:sz w:val="24"/>
          <w:szCs w:val="24"/>
          <w:vertAlign w:val="subscript"/>
        </w:rPr>
        <w:t>i,j</w:t>
      </w:r>
      <w:r>
        <w:rPr>
          <w:rFonts w:hint="eastAsia" w:ascii="宋体" w:hAnsi="宋体" w:cs="仿宋"/>
          <w:color w:val="auto"/>
          <w:kern w:val="0"/>
          <w:sz w:val="24"/>
          <w:szCs w:val="24"/>
        </w:rPr>
        <w:t>为燃烧设施</w:t>
      </w:r>
      <w:r>
        <w:rPr>
          <w:rFonts w:ascii="宋体" w:hAnsi="宋体"/>
          <w:color w:val="auto"/>
          <w:kern w:val="0"/>
          <w:sz w:val="24"/>
          <w:szCs w:val="24"/>
        </w:rPr>
        <w:t>j</w:t>
      </w:r>
      <w:r>
        <w:rPr>
          <w:rFonts w:hint="eastAsia" w:ascii="宋体" w:hAnsi="宋体" w:cs="仿宋"/>
          <w:color w:val="auto"/>
          <w:kern w:val="0"/>
          <w:sz w:val="24"/>
          <w:szCs w:val="24"/>
        </w:rPr>
        <w:t>内燃烧的化石燃料品种</w:t>
      </w:r>
      <w:r>
        <w:rPr>
          <w:rFonts w:ascii="宋体" w:hAnsi="宋体"/>
          <w:color w:val="auto"/>
          <w:kern w:val="0"/>
          <w:sz w:val="24"/>
          <w:szCs w:val="24"/>
        </w:rPr>
        <w:t>i</w:t>
      </w:r>
      <w:r>
        <w:rPr>
          <w:rFonts w:hint="eastAsia" w:ascii="宋体" w:hAnsi="宋体" w:cs="仿宋"/>
          <w:color w:val="auto"/>
          <w:kern w:val="0"/>
          <w:sz w:val="24"/>
          <w:szCs w:val="24"/>
        </w:rPr>
        <w:t>消费量，对固体或液体燃料以吨为单位，对其他气体燃料以气体燃料标准状况下的体积（万</w:t>
      </w:r>
      <w:r>
        <w:rPr>
          <w:rFonts w:ascii="宋体" w:hAnsi="宋体"/>
          <w:color w:val="auto"/>
          <w:kern w:val="0"/>
          <w:sz w:val="24"/>
          <w:szCs w:val="24"/>
        </w:rPr>
        <w:t>Nm</w:t>
      </w:r>
      <w:r>
        <w:rPr>
          <w:rFonts w:ascii="宋体" w:hAnsi="宋体"/>
          <w:color w:val="auto"/>
          <w:kern w:val="0"/>
          <w:sz w:val="24"/>
          <w:szCs w:val="24"/>
          <w:vertAlign w:val="superscript"/>
        </w:rPr>
        <w:t>3</w:t>
      </w:r>
      <w:r>
        <w:rPr>
          <w:rFonts w:hint="eastAsia" w:ascii="宋体" w:hAnsi="宋体" w:cs="仿宋"/>
          <w:color w:val="auto"/>
          <w:kern w:val="0"/>
          <w:sz w:val="24"/>
          <w:szCs w:val="24"/>
        </w:rPr>
        <w:t>）为单位，非标准状况下的体积需转化成标况下进行计算，</w:t>
      </w:r>
      <w:bookmarkStart w:id="336" w:name="OLE_LINK31"/>
      <w:r>
        <w:rPr>
          <w:rFonts w:hint="eastAsia" w:ascii="宋体" w:hAnsi="宋体" w:cs="仿宋"/>
          <w:color w:val="auto"/>
          <w:kern w:val="0"/>
          <w:sz w:val="24"/>
          <w:szCs w:val="24"/>
        </w:rPr>
        <w:t>本项目天然气消耗量为59.4×10</w:t>
      </w:r>
      <w:r>
        <w:rPr>
          <w:rFonts w:hint="eastAsia" w:ascii="宋体" w:hAnsi="宋体" w:cs="仿宋"/>
          <w:color w:val="auto"/>
          <w:kern w:val="0"/>
          <w:sz w:val="24"/>
          <w:szCs w:val="24"/>
          <w:vertAlign w:val="superscript"/>
        </w:rPr>
        <w:t>4</w:t>
      </w:r>
      <w:r>
        <w:rPr>
          <w:rFonts w:hint="eastAsia" w:ascii="宋体" w:hAnsi="宋体" w:cs="仿宋"/>
          <w:color w:val="auto"/>
          <w:kern w:val="0"/>
          <w:sz w:val="24"/>
          <w:szCs w:val="24"/>
        </w:rPr>
        <w:t>m</w:t>
      </w:r>
      <w:bookmarkStart w:id="337" w:name="OLE_LINK30"/>
      <w:r>
        <w:rPr>
          <w:rFonts w:hint="eastAsia" w:ascii="宋体" w:hAnsi="宋体" w:cs="仿宋"/>
          <w:color w:val="auto"/>
          <w:kern w:val="0"/>
          <w:sz w:val="24"/>
          <w:szCs w:val="24"/>
          <w:vertAlign w:val="superscript"/>
        </w:rPr>
        <w:t>3</w:t>
      </w:r>
      <w:bookmarkEnd w:id="337"/>
      <w:r>
        <w:rPr>
          <w:rFonts w:hint="eastAsia" w:ascii="宋体" w:hAnsi="宋体" w:cs="仿宋"/>
          <w:color w:val="auto"/>
          <w:kern w:val="0"/>
          <w:sz w:val="24"/>
          <w:szCs w:val="24"/>
        </w:rPr>
        <w:t>/a；</w:t>
      </w:r>
      <w:bookmarkEnd w:id="336"/>
    </w:p>
    <w:p w14:paraId="65ED526E">
      <w:pPr>
        <w:autoSpaceDE w:val="0"/>
        <w:autoSpaceDN w:val="0"/>
        <w:adjustRightInd w:val="0"/>
        <w:snapToGrid w:val="0"/>
        <w:spacing w:line="500" w:lineRule="exact"/>
        <w:ind w:firstLine="480" w:firstLineChars="200"/>
        <w:jc w:val="left"/>
        <w:rPr>
          <w:rFonts w:hint="eastAsia" w:ascii="宋体" w:hAnsi="宋体" w:cs="仿宋"/>
          <w:color w:val="auto"/>
          <w:kern w:val="0"/>
          <w:sz w:val="24"/>
          <w:szCs w:val="24"/>
        </w:rPr>
      </w:pPr>
      <w:r>
        <w:rPr>
          <w:rFonts w:ascii="宋体" w:hAnsi="宋体" w:cs="Cambria Math"/>
          <w:color w:val="auto"/>
          <w:kern w:val="0"/>
          <w:sz w:val="24"/>
          <w:szCs w:val="24"/>
        </w:rPr>
        <w:t>CC</w:t>
      </w:r>
      <w:r>
        <w:rPr>
          <w:rFonts w:ascii="宋体" w:hAnsi="宋体" w:cs="Cambria Math"/>
          <w:color w:val="auto"/>
          <w:kern w:val="0"/>
          <w:sz w:val="24"/>
          <w:szCs w:val="24"/>
          <w:vertAlign w:val="subscript"/>
        </w:rPr>
        <w:t>i,j</w:t>
      </w:r>
      <w:r>
        <w:rPr>
          <w:rFonts w:hint="eastAsia" w:ascii="宋体" w:hAnsi="宋体" w:cs="仿宋"/>
          <w:color w:val="auto"/>
          <w:kern w:val="0"/>
          <w:sz w:val="24"/>
          <w:szCs w:val="24"/>
        </w:rPr>
        <w:t>为设施</w:t>
      </w:r>
      <w:r>
        <w:rPr>
          <w:rFonts w:ascii="宋体" w:hAnsi="宋体"/>
          <w:color w:val="auto"/>
          <w:kern w:val="0"/>
          <w:sz w:val="24"/>
          <w:szCs w:val="24"/>
        </w:rPr>
        <w:t>j</w:t>
      </w:r>
      <w:r>
        <w:rPr>
          <w:rFonts w:hint="eastAsia" w:ascii="宋体" w:hAnsi="宋体" w:cs="仿宋"/>
          <w:color w:val="auto"/>
          <w:kern w:val="0"/>
          <w:sz w:val="24"/>
          <w:szCs w:val="24"/>
        </w:rPr>
        <w:t>内燃烧的化石燃料</w:t>
      </w:r>
      <w:r>
        <w:rPr>
          <w:rFonts w:ascii="宋体" w:hAnsi="宋体"/>
          <w:color w:val="auto"/>
          <w:kern w:val="0"/>
          <w:sz w:val="24"/>
          <w:szCs w:val="24"/>
        </w:rPr>
        <w:t>i</w:t>
      </w:r>
      <w:r>
        <w:rPr>
          <w:rFonts w:hint="eastAsia" w:ascii="宋体" w:hAnsi="宋体" w:cs="仿宋"/>
          <w:color w:val="auto"/>
          <w:kern w:val="0"/>
          <w:sz w:val="24"/>
          <w:szCs w:val="24"/>
        </w:rPr>
        <w:t>的含碳量，对固体和液体燃料以吨碳</w:t>
      </w:r>
      <w:r>
        <w:rPr>
          <w:rFonts w:ascii="宋体" w:hAnsi="宋体"/>
          <w:color w:val="auto"/>
          <w:kern w:val="0"/>
          <w:sz w:val="24"/>
          <w:szCs w:val="24"/>
        </w:rPr>
        <w:t>/</w:t>
      </w:r>
      <w:r>
        <w:rPr>
          <w:rFonts w:hint="eastAsia" w:ascii="宋体" w:hAnsi="宋体" w:cs="仿宋"/>
          <w:color w:val="auto"/>
          <w:kern w:val="0"/>
          <w:sz w:val="24"/>
          <w:szCs w:val="24"/>
        </w:rPr>
        <w:t>吨燃料为单位，对气体燃料以吨碳</w:t>
      </w:r>
      <w:r>
        <w:rPr>
          <w:rFonts w:ascii="宋体" w:hAnsi="宋体"/>
          <w:color w:val="auto"/>
          <w:kern w:val="0"/>
          <w:sz w:val="24"/>
          <w:szCs w:val="24"/>
        </w:rPr>
        <w:t>/</w:t>
      </w:r>
      <w:r>
        <w:rPr>
          <w:rFonts w:hint="eastAsia" w:ascii="宋体" w:hAnsi="宋体" w:cs="仿宋"/>
          <w:color w:val="auto"/>
          <w:kern w:val="0"/>
          <w:sz w:val="24"/>
          <w:szCs w:val="24"/>
        </w:rPr>
        <w:t>万</w:t>
      </w:r>
      <w:r>
        <w:rPr>
          <w:rFonts w:ascii="宋体" w:hAnsi="宋体"/>
          <w:color w:val="auto"/>
          <w:kern w:val="0"/>
          <w:sz w:val="24"/>
          <w:szCs w:val="24"/>
        </w:rPr>
        <w:t>Nm</w:t>
      </w:r>
      <w:r>
        <w:rPr>
          <w:rFonts w:ascii="宋体" w:hAnsi="宋体"/>
          <w:color w:val="auto"/>
          <w:kern w:val="0"/>
          <w:sz w:val="24"/>
          <w:szCs w:val="24"/>
          <w:vertAlign w:val="superscript"/>
        </w:rPr>
        <w:t>3</w:t>
      </w:r>
      <w:r>
        <w:rPr>
          <w:rFonts w:hint="eastAsia" w:ascii="宋体" w:hAnsi="宋体" w:cs="仿宋"/>
          <w:color w:val="auto"/>
          <w:kern w:val="0"/>
          <w:sz w:val="24"/>
          <w:szCs w:val="24"/>
        </w:rPr>
        <w:t>为单位；</w:t>
      </w:r>
    </w:p>
    <w:p w14:paraId="5C8031A2">
      <w:pPr>
        <w:pStyle w:val="209"/>
        <w:adjustRightInd w:val="0"/>
        <w:snapToGrid w:val="0"/>
        <w:ind w:firstLine="480"/>
        <w:rPr>
          <w:rFonts w:hint="eastAsia" w:eastAsia="宋体"/>
          <w:color w:val="auto"/>
        </w:rPr>
      </w:pPr>
      <w:r>
        <w:rPr>
          <w:rFonts w:eastAsia="宋体" w:cs="Cambria Math"/>
          <w:color w:val="auto"/>
        </w:rPr>
        <w:t>OF</w:t>
      </w:r>
      <w:r>
        <w:rPr>
          <w:rFonts w:eastAsia="宋体" w:cs="Cambria Math"/>
          <w:color w:val="auto"/>
          <w:vertAlign w:val="subscript"/>
        </w:rPr>
        <w:t>i,j</w:t>
      </w:r>
      <w:r>
        <w:rPr>
          <w:rFonts w:hint="eastAsia" w:eastAsia="宋体"/>
          <w:color w:val="auto"/>
        </w:rPr>
        <w:t>为燃烧的化石燃料</w:t>
      </w:r>
      <w:r>
        <w:rPr>
          <w:rFonts w:eastAsia="宋体"/>
          <w:color w:val="auto"/>
        </w:rPr>
        <w:t>i</w:t>
      </w:r>
      <w:r>
        <w:rPr>
          <w:rFonts w:hint="eastAsia" w:eastAsia="宋体"/>
          <w:color w:val="auto"/>
        </w:rPr>
        <w:t>的碳氧化率，取值范围为</w:t>
      </w:r>
      <w:r>
        <w:rPr>
          <w:rFonts w:eastAsia="宋体"/>
          <w:color w:val="auto"/>
        </w:rPr>
        <w:t>0</w:t>
      </w:r>
      <w:r>
        <w:rPr>
          <w:rFonts w:hint="eastAsia" w:eastAsia="宋体"/>
          <w:color w:val="auto"/>
        </w:rPr>
        <w:t>～</w:t>
      </w:r>
      <w:r>
        <w:rPr>
          <w:rFonts w:eastAsia="宋体"/>
          <w:color w:val="auto"/>
        </w:rPr>
        <w:t>1</w:t>
      </w:r>
      <w:r>
        <w:rPr>
          <w:rFonts w:hint="eastAsia" w:eastAsia="宋体"/>
          <w:color w:val="auto"/>
        </w:rPr>
        <w:t>，本次取0.99。</w:t>
      </w:r>
    </w:p>
    <w:p w14:paraId="3CFCEE5E">
      <w:pPr>
        <w:pStyle w:val="209"/>
        <w:ind w:firstLine="480"/>
        <w:rPr>
          <w:rFonts w:hint="eastAsia" w:eastAsia="宋体"/>
          <w:color w:val="auto"/>
        </w:rPr>
      </w:pPr>
      <w:bookmarkStart w:id="338" w:name="OLE_LINK89"/>
      <w:r>
        <w:rPr>
          <w:rFonts w:hint="eastAsia" w:eastAsia="宋体"/>
          <w:color w:val="auto"/>
        </w:rPr>
        <w:t>根据上述公式计算出燃气发电机燃烧天然气过程中CO</w:t>
      </w:r>
      <w:r>
        <w:rPr>
          <w:rFonts w:hint="eastAsia" w:eastAsia="宋体"/>
          <w:color w:val="auto"/>
          <w:vertAlign w:val="subscript"/>
        </w:rPr>
        <w:t>2</w:t>
      </w:r>
      <w:r>
        <w:rPr>
          <w:rFonts w:hint="eastAsia" w:eastAsia="宋体"/>
          <w:color w:val="auto"/>
        </w:rPr>
        <w:t>排放量为3.71t。</w:t>
      </w:r>
    </w:p>
    <w:bookmarkEnd w:id="338"/>
    <w:p w14:paraId="4E514FCF">
      <w:pPr>
        <w:pStyle w:val="209"/>
        <w:ind w:firstLine="480"/>
        <w:rPr>
          <w:rFonts w:hint="eastAsia" w:eastAsia="宋体"/>
          <w:color w:val="auto"/>
        </w:rPr>
      </w:pPr>
      <w:bookmarkStart w:id="339" w:name="OLE_LINK26"/>
      <w:r>
        <w:rPr>
          <w:rFonts w:hint="eastAsia" w:eastAsia="宋体"/>
          <w:color w:val="auto"/>
        </w:rPr>
        <w:t>※</w:t>
      </w:r>
      <w:bookmarkEnd w:id="339"/>
      <w:r>
        <w:rPr>
          <w:rFonts w:hint="eastAsia" w:eastAsia="宋体"/>
          <w:color w:val="auto"/>
        </w:rPr>
        <w:t>天然气开采过程中CH</w:t>
      </w:r>
      <w:r>
        <w:rPr>
          <w:rFonts w:hint="eastAsia" w:eastAsia="宋体"/>
          <w:color w:val="auto"/>
          <w:vertAlign w:val="subscript"/>
        </w:rPr>
        <w:t>4</w:t>
      </w:r>
      <w:r>
        <w:rPr>
          <w:rFonts w:hint="eastAsia" w:eastAsia="宋体"/>
          <w:color w:val="auto"/>
        </w:rPr>
        <w:t>逃逸排放量</w:t>
      </w:r>
    </w:p>
    <w:p w14:paraId="206F92DD">
      <w:pPr>
        <w:pStyle w:val="209"/>
        <w:ind w:firstLine="480"/>
        <w:rPr>
          <w:rFonts w:hint="eastAsia" w:eastAsia="宋体"/>
          <w:color w:val="auto"/>
        </w:rPr>
      </w:pPr>
      <w:r>
        <w:rPr>
          <w:rFonts w:hint="eastAsia" w:eastAsia="宋体"/>
          <w:color w:val="auto"/>
        </w:rPr>
        <w:t>天然气开采过程中CH</w:t>
      </w:r>
      <w:r>
        <w:rPr>
          <w:rFonts w:hint="eastAsia" w:eastAsia="宋体"/>
          <w:color w:val="auto"/>
          <w:vertAlign w:val="subscript"/>
        </w:rPr>
        <w:t>4</w:t>
      </w:r>
      <w:r>
        <w:rPr>
          <w:rFonts w:hint="eastAsia" w:eastAsia="宋体"/>
          <w:color w:val="auto"/>
        </w:rPr>
        <w:t>逃逸排放量按照下式计算：</w:t>
      </w:r>
    </w:p>
    <w:p w14:paraId="7361F9E1">
      <w:pPr>
        <w:pStyle w:val="209"/>
        <w:ind w:firstLine="480"/>
        <w:rPr>
          <w:rFonts w:hint="eastAsia" w:eastAsia="宋体"/>
          <w:color w:val="auto"/>
        </w:rPr>
      </w:pPr>
      <w:r>
        <w:rPr>
          <w:rFonts w:eastAsia="宋体"/>
          <w:color w:val="auto"/>
        </w:rPr>
        <w:drawing>
          <wp:anchor distT="0" distB="0" distL="114300" distR="114300" simplePos="0" relativeHeight="251662336" behindDoc="1" locked="0" layoutInCell="1" allowOverlap="1">
            <wp:simplePos x="0" y="0"/>
            <wp:positionH relativeFrom="column">
              <wp:posOffset>285750</wp:posOffset>
            </wp:positionH>
            <wp:positionV relativeFrom="paragraph">
              <wp:posOffset>137160</wp:posOffset>
            </wp:positionV>
            <wp:extent cx="4709160" cy="662940"/>
            <wp:effectExtent l="0" t="0" r="0" b="3810"/>
            <wp:wrapNone/>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89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4709160" cy="662940"/>
                    </a:xfrm>
                    <a:prstGeom prst="rect">
                      <a:avLst/>
                    </a:prstGeom>
                    <a:noFill/>
                    <a:ln>
                      <a:noFill/>
                    </a:ln>
                  </pic:spPr>
                </pic:pic>
              </a:graphicData>
            </a:graphic>
          </wp:anchor>
        </w:drawing>
      </w:r>
    </w:p>
    <w:p w14:paraId="10BC2587">
      <w:pPr>
        <w:pStyle w:val="209"/>
        <w:ind w:firstLine="480"/>
        <w:rPr>
          <w:rFonts w:hint="eastAsia" w:eastAsia="宋体"/>
          <w:color w:val="auto"/>
        </w:rPr>
      </w:pPr>
    </w:p>
    <w:p w14:paraId="1CF85807">
      <w:pPr>
        <w:pStyle w:val="209"/>
        <w:ind w:firstLine="480"/>
        <w:rPr>
          <w:rFonts w:hint="eastAsia" w:eastAsia="宋体"/>
          <w:color w:val="auto"/>
        </w:rPr>
      </w:pPr>
    </w:p>
    <w:p w14:paraId="7E55CFEB">
      <w:pPr>
        <w:pStyle w:val="209"/>
        <w:ind w:firstLine="480"/>
        <w:rPr>
          <w:rFonts w:hint="eastAsia" w:eastAsia="宋体"/>
          <w:color w:val="auto"/>
        </w:rPr>
      </w:pPr>
      <w:r>
        <w:rPr>
          <w:rFonts w:hint="eastAsia" w:eastAsia="宋体"/>
          <w:color w:val="auto"/>
        </w:rPr>
        <w:t>式中：E</w:t>
      </w:r>
      <w:r>
        <w:rPr>
          <w:rFonts w:hint="eastAsia" w:eastAsia="宋体"/>
          <w:color w:val="auto"/>
          <w:vertAlign w:val="subscript"/>
        </w:rPr>
        <w:t>CH4-开采逃逸</w:t>
      </w:r>
      <w:r>
        <w:rPr>
          <w:rFonts w:hint="eastAsia" w:eastAsia="宋体"/>
          <w:color w:val="auto"/>
        </w:rPr>
        <w:t>为原油开采或天然气开采中所有设施类型产生的CH</w:t>
      </w:r>
      <w:r>
        <w:rPr>
          <w:rFonts w:hint="eastAsia" w:eastAsia="宋体"/>
          <w:color w:val="auto"/>
          <w:vertAlign w:val="subscript"/>
        </w:rPr>
        <w:t>4</w:t>
      </w:r>
      <w:r>
        <w:rPr>
          <w:rFonts w:hint="eastAsia" w:eastAsia="宋体"/>
          <w:color w:val="auto"/>
        </w:rPr>
        <w:t>逃逸排放，单位为吨CH</w:t>
      </w:r>
      <w:r>
        <w:rPr>
          <w:rFonts w:hint="eastAsia" w:eastAsia="宋体"/>
          <w:color w:val="auto"/>
          <w:vertAlign w:val="subscript"/>
        </w:rPr>
        <w:t>4</w:t>
      </w:r>
      <w:r>
        <w:rPr>
          <w:rFonts w:hint="eastAsia" w:eastAsia="宋体"/>
          <w:color w:val="auto"/>
        </w:rPr>
        <w:t>；</w:t>
      </w:r>
    </w:p>
    <w:p w14:paraId="3D16603C">
      <w:pPr>
        <w:pStyle w:val="209"/>
        <w:ind w:firstLine="1200" w:firstLineChars="500"/>
        <w:rPr>
          <w:rFonts w:hint="eastAsia" w:eastAsia="宋体"/>
          <w:color w:val="auto"/>
        </w:rPr>
      </w:pPr>
      <w:r>
        <w:rPr>
          <w:rFonts w:hint="eastAsia" w:eastAsia="宋体"/>
          <w:color w:val="auto"/>
        </w:rPr>
        <w:t>j为不同的设施类型；</w:t>
      </w:r>
    </w:p>
    <w:p w14:paraId="1E76AD00">
      <w:pPr>
        <w:pStyle w:val="209"/>
        <w:ind w:firstLine="1200" w:firstLineChars="500"/>
        <w:rPr>
          <w:rFonts w:hint="eastAsia" w:eastAsia="宋体"/>
          <w:color w:val="auto"/>
        </w:rPr>
      </w:pPr>
      <w:r>
        <w:rPr>
          <w:rFonts w:hint="eastAsia" w:eastAsia="宋体"/>
          <w:color w:val="auto"/>
        </w:rPr>
        <w:t>Num</w:t>
      </w:r>
      <w:r>
        <w:rPr>
          <w:rFonts w:hint="eastAsia" w:eastAsia="宋体"/>
          <w:color w:val="auto"/>
          <w:vertAlign w:val="subscript"/>
        </w:rPr>
        <w:t>oil,j</w:t>
      </w:r>
      <w:r>
        <w:rPr>
          <w:rFonts w:hint="eastAsia" w:eastAsia="宋体"/>
          <w:color w:val="auto"/>
        </w:rPr>
        <w:t>为原油开采业务所涉及的泄漏设施类型数量，单位为个；</w:t>
      </w:r>
    </w:p>
    <w:p w14:paraId="49D78C40">
      <w:pPr>
        <w:pStyle w:val="209"/>
        <w:ind w:firstLine="1200" w:firstLineChars="500"/>
        <w:rPr>
          <w:rFonts w:hint="eastAsia" w:eastAsia="宋体"/>
          <w:color w:val="auto"/>
        </w:rPr>
      </w:pPr>
      <w:r>
        <w:rPr>
          <w:rFonts w:hint="eastAsia" w:eastAsia="宋体"/>
          <w:color w:val="auto"/>
        </w:rPr>
        <w:t>EF</w:t>
      </w:r>
      <w:r>
        <w:rPr>
          <w:rFonts w:hint="eastAsia" w:eastAsia="宋体"/>
          <w:color w:val="auto"/>
          <w:vertAlign w:val="subscript"/>
        </w:rPr>
        <w:t>oil,j</w:t>
      </w:r>
      <w:r>
        <w:rPr>
          <w:rFonts w:hint="eastAsia" w:eastAsia="宋体"/>
          <w:color w:val="auto"/>
        </w:rPr>
        <w:t>为原油开采业务中涉及的每种设施类型j的CH</w:t>
      </w:r>
      <w:r>
        <w:rPr>
          <w:rFonts w:hint="eastAsia" w:eastAsia="宋体"/>
          <w:color w:val="auto"/>
          <w:vertAlign w:val="subscript"/>
        </w:rPr>
        <w:t>4</w:t>
      </w:r>
      <w:r>
        <w:rPr>
          <w:rFonts w:hint="eastAsia" w:eastAsia="宋体"/>
          <w:color w:val="auto"/>
        </w:rPr>
        <w:t>逃逸排放因子，单位为吨CH</w:t>
      </w:r>
      <w:r>
        <w:rPr>
          <w:rFonts w:hint="eastAsia" w:eastAsia="宋体"/>
          <w:color w:val="auto"/>
          <w:vertAlign w:val="subscript"/>
        </w:rPr>
        <w:t>4</w:t>
      </w:r>
      <w:r>
        <w:rPr>
          <w:rFonts w:hint="eastAsia" w:eastAsia="宋体"/>
          <w:color w:val="auto"/>
        </w:rPr>
        <w:t>/（年·个）；</w:t>
      </w:r>
    </w:p>
    <w:p w14:paraId="6D2C5661">
      <w:pPr>
        <w:pStyle w:val="209"/>
        <w:ind w:firstLine="1200" w:firstLineChars="500"/>
        <w:rPr>
          <w:rFonts w:hint="eastAsia" w:eastAsia="宋体"/>
          <w:color w:val="auto"/>
        </w:rPr>
      </w:pPr>
      <w:r>
        <w:rPr>
          <w:rFonts w:hint="eastAsia" w:eastAsia="宋体"/>
          <w:color w:val="auto"/>
        </w:rPr>
        <w:t>Num</w:t>
      </w:r>
      <w:r>
        <w:rPr>
          <w:rFonts w:hint="eastAsia" w:eastAsia="宋体"/>
          <w:color w:val="auto"/>
          <w:vertAlign w:val="subscript"/>
        </w:rPr>
        <w:t>gas,j</w:t>
      </w:r>
      <w:r>
        <w:rPr>
          <w:rFonts w:hint="eastAsia" w:eastAsia="宋体"/>
          <w:color w:val="auto"/>
        </w:rPr>
        <w:t>为天然气开采业务所涉及的泄漏设施类型数量，单位为个；</w:t>
      </w:r>
    </w:p>
    <w:p w14:paraId="58FAACFD">
      <w:pPr>
        <w:pStyle w:val="209"/>
        <w:ind w:firstLine="1200" w:firstLineChars="500"/>
        <w:rPr>
          <w:rFonts w:hint="eastAsia" w:eastAsia="宋体"/>
          <w:color w:val="auto"/>
        </w:rPr>
      </w:pPr>
      <w:r>
        <w:rPr>
          <w:rFonts w:hint="eastAsia" w:eastAsia="宋体"/>
          <w:color w:val="auto"/>
        </w:rPr>
        <w:t>EF</w:t>
      </w:r>
      <w:r>
        <w:rPr>
          <w:rFonts w:hint="eastAsia" w:eastAsia="宋体"/>
          <w:color w:val="auto"/>
          <w:vertAlign w:val="subscript"/>
        </w:rPr>
        <w:t>gas,j</w:t>
      </w:r>
      <w:r>
        <w:rPr>
          <w:rFonts w:hint="eastAsia" w:eastAsia="宋体"/>
          <w:color w:val="auto"/>
        </w:rPr>
        <w:t>为天然气开采业务中涉及的每种设施类型j的CH</w:t>
      </w:r>
      <w:r>
        <w:rPr>
          <w:rFonts w:hint="eastAsia" w:eastAsia="宋体"/>
          <w:color w:val="auto"/>
          <w:vertAlign w:val="subscript"/>
        </w:rPr>
        <w:t>4</w:t>
      </w:r>
      <w:r>
        <w:rPr>
          <w:rFonts w:hint="eastAsia" w:eastAsia="宋体"/>
          <w:color w:val="auto"/>
        </w:rPr>
        <w:t>逃逸排放因子，单位为吨CH</w:t>
      </w:r>
      <w:r>
        <w:rPr>
          <w:rFonts w:hint="eastAsia" w:eastAsia="宋体"/>
          <w:color w:val="auto"/>
          <w:vertAlign w:val="subscript"/>
        </w:rPr>
        <w:t>4</w:t>
      </w:r>
      <w:r>
        <w:rPr>
          <w:rFonts w:hint="eastAsia" w:eastAsia="宋体"/>
          <w:color w:val="auto"/>
        </w:rPr>
        <w:t>/（年·个）。</w:t>
      </w:r>
    </w:p>
    <w:p w14:paraId="23CB5987">
      <w:pPr>
        <w:pStyle w:val="209"/>
        <w:ind w:firstLine="480"/>
        <w:rPr>
          <w:rFonts w:hint="eastAsia" w:eastAsia="宋体"/>
          <w:color w:val="auto"/>
        </w:rPr>
      </w:pPr>
      <w:r>
        <w:rPr>
          <w:rFonts w:hint="eastAsia" w:eastAsia="宋体"/>
          <w:color w:val="auto"/>
        </w:rPr>
        <w:t>本项目为原油开采，涉及CH</w:t>
      </w:r>
      <w:r>
        <w:rPr>
          <w:rFonts w:hint="eastAsia" w:eastAsia="宋体"/>
          <w:color w:val="auto"/>
          <w:vertAlign w:val="subscript"/>
        </w:rPr>
        <w:t>4</w:t>
      </w:r>
      <w:r>
        <w:rPr>
          <w:rFonts w:hint="eastAsia" w:eastAsia="宋体"/>
          <w:color w:val="auto"/>
        </w:rPr>
        <w:t>排放的设施主要为井口装置，相关参数取值及计算结果见表3.3-16。</w:t>
      </w:r>
    </w:p>
    <w:p w14:paraId="4B364DEF">
      <w:pPr>
        <w:pStyle w:val="15"/>
        <w:rPr>
          <w:rFonts w:hint="eastAsia"/>
          <w:color w:val="auto"/>
        </w:rPr>
      </w:pPr>
      <w:r>
        <w:rPr>
          <w:rFonts w:hint="eastAsia"/>
          <w:color w:val="auto"/>
        </w:rPr>
        <w:t>表3.3-16  天然气开采过程甲烷逃逸排放排放量计算参数及结果一览表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13"/>
        <w:gridCol w:w="1855"/>
        <w:gridCol w:w="2319"/>
        <w:gridCol w:w="1236"/>
        <w:gridCol w:w="1523"/>
      </w:tblGrid>
      <w:tr w14:paraId="7F5905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25" w:type="pct"/>
            <w:vAlign w:val="center"/>
          </w:tcPr>
          <w:p w14:paraId="7D58A502">
            <w:pPr>
              <w:pStyle w:val="288"/>
              <w:rPr>
                <w:rFonts w:hint="eastAsia" w:eastAsia="宋体"/>
                <w:color w:val="auto"/>
              </w:rPr>
            </w:pPr>
            <w:r>
              <w:rPr>
                <w:rFonts w:hint="eastAsia" w:eastAsia="宋体"/>
                <w:color w:val="auto"/>
              </w:rPr>
              <w:t>场所</w:t>
            </w:r>
          </w:p>
        </w:tc>
        <w:tc>
          <w:tcPr>
            <w:tcW w:w="1037" w:type="pct"/>
            <w:vAlign w:val="center"/>
          </w:tcPr>
          <w:p w14:paraId="4CBF401A">
            <w:pPr>
              <w:pStyle w:val="288"/>
              <w:rPr>
                <w:rFonts w:hint="eastAsia" w:eastAsia="宋体"/>
                <w:color w:val="auto"/>
              </w:rPr>
            </w:pPr>
            <w:r>
              <w:rPr>
                <w:rFonts w:hint="eastAsia" w:eastAsia="宋体"/>
                <w:color w:val="auto"/>
              </w:rPr>
              <w:t>逃逸设施</w:t>
            </w:r>
          </w:p>
        </w:tc>
        <w:tc>
          <w:tcPr>
            <w:tcW w:w="1296" w:type="pct"/>
            <w:vAlign w:val="center"/>
          </w:tcPr>
          <w:p w14:paraId="600B0161">
            <w:pPr>
              <w:pStyle w:val="288"/>
              <w:rPr>
                <w:rFonts w:hint="eastAsia" w:eastAsia="宋体"/>
                <w:color w:val="auto"/>
              </w:rPr>
            </w:pPr>
            <w:r>
              <w:rPr>
                <w:rFonts w:hint="eastAsia" w:eastAsia="宋体"/>
                <w:color w:val="auto"/>
              </w:rPr>
              <w:t>设施逃逸</w:t>
            </w:r>
          </w:p>
        </w:tc>
        <w:tc>
          <w:tcPr>
            <w:tcW w:w="691" w:type="pct"/>
            <w:vAlign w:val="center"/>
          </w:tcPr>
          <w:p w14:paraId="2140E193">
            <w:pPr>
              <w:pStyle w:val="288"/>
              <w:rPr>
                <w:rFonts w:hint="eastAsia" w:eastAsia="宋体"/>
                <w:color w:val="auto"/>
              </w:rPr>
            </w:pPr>
            <w:r>
              <w:rPr>
                <w:rFonts w:hint="eastAsia" w:eastAsia="宋体"/>
                <w:color w:val="auto"/>
              </w:rPr>
              <w:t>井场个数</w:t>
            </w:r>
          </w:p>
        </w:tc>
        <w:tc>
          <w:tcPr>
            <w:tcW w:w="851" w:type="pct"/>
            <w:vAlign w:val="center"/>
          </w:tcPr>
          <w:p w14:paraId="511A7721">
            <w:pPr>
              <w:pStyle w:val="288"/>
              <w:rPr>
                <w:rFonts w:hint="eastAsia" w:eastAsia="宋体"/>
                <w:color w:val="auto"/>
              </w:rPr>
            </w:pPr>
            <w:r>
              <w:rPr>
                <w:rFonts w:hint="eastAsia" w:eastAsia="宋体"/>
                <w:color w:val="auto"/>
              </w:rPr>
              <w:t>甲烷排放量（t/a）</w:t>
            </w:r>
          </w:p>
        </w:tc>
      </w:tr>
      <w:tr w14:paraId="3D9E88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25" w:type="pct"/>
            <w:vAlign w:val="center"/>
          </w:tcPr>
          <w:p w14:paraId="153CA6A1">
            <w:pPr>
              <w:pStyle w:val="288"/>
              <w:rPr>
                <w:rFonts w:hint="eastAsia" w:eastAsia="宋体"/>
                <w:color w:val="auto"/>
              </w:rPr>
            </w:pPr>
            <w:r>
              <w:rPr>
                <w:rFonts w:hint="eastAsia" w:eastAsia="宋体"/>
                <w:color w:val="auto"/>
              </w:rPr>
              <w:t>3口采油井</w:t>
            </w:r>
          </w:p>
        </w:tc>
        <w:tc>
          <w:tcPr>
            <w:tcW w:w="1037" w:type="pct"/>
            <w:vAlign w:val="center"/>
          </w:tcPr>
          <w:p w14:paraId="52D1390B">
            <w:pPr>
              <w:pStyle w:val="288"/>
              <w:rPr>
                <w:rFonts w:hint="eastAsia" w:eastAsia="宋体"/>
                <w:color w:val="auto"/>
              </w:rPr>
            </w:pPr>
            <w:r>
              <w:rPr>
                <w:rFonts w:hint="eastAsia" w:eastAsia="宋体"/>
                <w:color w:val="auto"/>
              </w:rPr>
              <w:t>井口装置</w:t>
            </w:r>
          </w:p>
        </w:tc>
        <w:tc>
          <w:tcPr>
            <w:tcW w:w="1296" w:type="pct"/>
            <w:vAlign w:val="center"/>
          </w:tcPr>
          <w:p w14:paraId="3F862A92">
            <w:pPr>
              <w:pStyle w:val="288"/>
              <w:rPr>
                <w:rFonts w:hint="eastAsia" w:eastAsia="宋体"/>
                <w:color w:val="auto"/>
              </w:rPr>
            </w:pPr>
            <w:r>
              <w:rPr>
                <w:rFonts w:hint="eastAsia" w:eastAsia="宋体"/>
                <w:color w:val="auto"/>
              </w:rPr>
              <w:t>0.23吨/年</w:t>
            </w:r>
            <w:r>
              <w:rPr>
                <w:rFonts w:hint="eastAsia" w:eastAsia="宋体" w:cs="宋体"/>
                <w:color w:val="auto"/>
              </w:rPr>
              <w:t>·</w:t>
            </w:r>
            <w:r>
              <w:rPr>
                <w:rFonts w:hint="eastAsia" w:eastAsia="宋体"/>
                <w:color w:val="auto"/>
              </w:rPr>
              <w:t>个</w:t>
            </w:r>
          </w:p>
        </w:tc>
        <w:tc>
          <w:tcPr>
            <w:tcW w:w="691" w:type="pct"/>
            <w:vAlign w:val="center"/>
          </w:tcPr>
          <w:p w14:paraId="191BF922">
            <w:pPr>
              <w:pStyle w:val="288"/>
              <w:rPr>
                <w:rFonts w:hint="eastAsia" w:eastAsia="宋体"/>
                <w:color w:val="auto"/>
              </w:rPr>
            </w:pPr>
            <w:r>
              <w:rPr>
                <w:rFonts w:hint="eastAsia" w:eastAsia="宋体"/>
                <w:color w:val="auto"/>
              </w:rPr>
              <w:t>3</w:t>
            </w:r>
          </w:p>
        </w:tc>
        <w:tc>
          <w:tcPr>
            <w:tcW w:w="851" w:type="pct"/>
            <w:vAlign w:val="center"/>
          </w:tcPr>
          <w:p w14:paraId="61315BE0">
            <w:pPr>
              <w:pStyle w:val="288"/>
              <w:rPr>
                <w:rFonts w:hint="eastAsia" w:eastAsia="宋体"/>
                <w:color w:val="auto"/>
              </w:rPr>
            </w:pPr>
            <w:r>
              <w:rPr>
                <w:rFonts w:hint="eastAsia" w:eastAsia="宋体"/>
                <w:color w:val="auto"/>
              </w:rPr>
              <w:t>0.69</w:t>
            </w:r>
          </w:p>
        </w:tc>
      </w:tr>
    </w:tbl>
    <w:p w14:paraId="05D449DC">
      <w:pPr>
        <w:pStyle w:val="209"/>
        <w:ind w:firstLine="480"/>
        <w:rPr>
          <w:rFonts w:hint="eastAsia" w:eastAsia="宋体"/>
          <w:color w:val="auto"/>
        </w:rPr>
      </w:pPr>
      <w:r>
        <w:rPr>
          <w:rFonts w:hint="eastAsia" w:eastAsia="宋体"/>
          <w:color w:val="auto"/>
        </w:rPr>
        <w:t>根据表中参数，结合公式计算可知，CH</w:t>
      </w:r>
      <w:r>
        <w:rPr>
          <w:rFonts w:hint="eastAsia" w:eastAsia="宋体"/>
          <w:color w:val="auto"/>
          <w:vertAlign w:val="subscript"/>
        </w:rPr>
        <w:t>4</w:t>
      </w:r>
      <w:r>
        <w:rPr>
          <w:rFonts w:hint="eastAsia" w:eastAsia="宋体"/>
          <w:color w:val="auto"/>
        </w:rPr>
        <w:t>逃逸排放量为0.69t。</w:t>
      </w:r>
    </w:p>
    <w:p w14:paraId="3C2238F1">
      <w:pPr>
        <w:pStyle w:val="209"/>
        <w:ind w:firstLine="480"/>
        <w:rPr>
          <w:rFonts w:hint="eastAsia" w:eastAsia="宋体"/>
          <w:color w:val="auto"/>
        </w:rPr>
      </w:pPr>
      <w:r>
        <w:rPr>
          <w:rFonts w:hint="eastAsia" w:eastAsia="宋体"/>
          <w:color w:val="auto"/>
        </w:rPr>
        <w:t>※天然气处理过程中的CH</w:t>
      </w:r>
      <w:r>
        <w:rPr>
          <w:rFonts w:hint="eastAsia" w:eastAsia="宋体"/>
          <w:color w:val="auto"/>
          <w:vertAlign w:val="subscript"/>
        </w:rPr>
        <w:t>4</w:t>
      </w:r>
      <w:r>
        <w:rPr>
          <w:rFonts w:hint="eastAsia" w:eastAsia="宋体"/>
          <w:color w:val="auto"/>
        </w:rPr>
        <w:t>逃逸排放</w:t>
      </w:r>
    </w:p>
    <w:p w14:paraId="07EF3BFD">
      <w:pPr>
        <w:pStyle w:val="209"/>
        <w:ind w:firstLine="480"/>
        <w:rPr>
          <w:rFonts w:hint="eastAsia" w:eastAsia="宋体"/>
          <w:color w:val="auto"/>
          <w:lang w:val="zh-CN"/>
        </w:rPr>
      </w:pPr>
      <w:r>
        <w:rPr>
          <w:rFonts w:hint="eastAsia" w:eastAsia="宋体"/>
          <w:color w:val="auto"/>
          <w:lang w:val="zh-CN"/>
        </w:rPr>
        <w:t>天然气处理过程中的CH</w:t>
      </w:r>
      <w:r>
        <w:rPr>
          <w:rFonts w:hint="eastAsia" w:eastAsia="宋体"/>
          <w:color w:val="auto"/>
          <w:vertAlign w:val="subscript"/>
          <w:lang w:val="zh-CN"/>
        </w:rPr>
        <w:t>4</w:t>
      </w:r>
      <w:r>
        <w:rPr>
          <w:rFonts w:hint="eastAsia" w:eastAsia="宋体"/>
          <w:color w:val="auto"/>
          <w:lang w:val="zh-CN"/>
        </w:rPr>
        <w:t>排放量按照下式计算：</w:t>
      </w:r>
    </w:p>
    <w:p w14:paraId="7FDD027E">
      <w:pPr>
        <w:pStyle w:val="209"/>
        <w:spacing w:line="240" w:lineRule="auto"/>
        <w:ind w:firstLine="199" w:firstLineChars="83"/>
        <w:jc w:val="center"/>
        <w:rPr>
          <w:rFonts w:hint="eastAsia"/>
          <w:color w:val="auto"/>
          <w:lang w:val="zh-CN"/>
        </w:rPr>
      </w:pPr>
      <w:r>
        <w:rPr>
          <w:rFonts w:ascii="Cambria Math" w:hAnsi="Cambria Math" w:cs="Cambria Math"/>
          <w:color w:val="auto"/>
        </w:rPr>
        <w:t>𝐸</w:t>
      </w:r>
      <w:r>
        <w:rPr>
          <w:rFonts w:ascii="Cambria Math" w:hAnsi="Cambria Math" w:cs="Cambria Math"/>
          <w:color w:val="auto"/>
          <w:vertAlign w:val="subscript"/>
        </w:rPr>
        <w:t>𝐶𝐻</w:t>
      </w:r>
      <w:r>
        <w:rPr>
          <w:color w:val="auto"/>
          <w:vertAlign w:val="subscript"/>
        </w:rPr>
        <w:t>4_</w:t>
      </w:r>
      <w:r>
        <w:rPr>
          <w:rFonts w:hint="eastAsia" w:cs="仿宋 .瑨.奶."/>
          <w:color w:val="auto"/>
          <w:vertAlign w:val="subscript"/>
        </w:rPr>
        <w:t>气处理逃逸</w:t>
      </w:r>
      <w:r>
        <w:rPr>
          <w:color w:val="auto"/>
        </w:rPr>
        <w:t>=Q</w:t>
      </w:r>
      <w:r>
        <w:rPr>
          <w:rFonts w:ascii="Cambria Math" w:hAnsi="Cambria Math" w:cs="Cambria Math"/>
          <w:color w:val="auto"/>
          <w:vertAlign w:val="subscript"/>
        </w:rPr>
        <w:t>𝑔𝑎𝑠</w:t>
      </w:r>
      <w:r>
        <w:rPr>
          <w:color w:val="auto"/>
        </w:rPr>
        <w:t>×EF</w:t>
      </w:r>
      <w:r>
        <w:rPr>
          <w:rFonts w:ascii="Cambria Math" w:hAnsi="Cambria Math" w:cs="Cambria Math"/>
          <w:color w:val="auto"/>
          <w:vertAlign w:val="subscript"/>
        </w:rPr>
        <w:t>𝐶𝐻</w:t>
      </w:r>
      <w:r>
        <w:rPr>
          <w:color w:val="auto"/>
          <w:vertAlign w:val="subscript"/>
        </w:rPr>
        <w:t>4_</w:t>
      </w:r>
      <w:r>
        <w:rPr>
          <w:rFonts w:hint="eastAsia" w:cs="仿宋 .瑨.奶."/>
          <w:color w:val="auto"/>
          <w:vertAlign w:val="subscript"/>
        </w:rPr>
        <w:t>气处理逃逸</w:t>
      </w:r>
    </w:p>
    <w:p w14:paraId="5CB594B5">
      <w:pPr>
        <w:pStyle w:val="209"/>
        <w:ind w:firstLine="480"/>
        <w:rPr>
          <w:rFonts w:hint="eastAsia" w:eastAsia="宋体"/>
          <w:color w:val="auto"/>
        </w:rPr>
      </w:pPr>
      <w:r>
        <w:rPr>
          <w:rFonts w:hint="eastAsia" w:eastAsia="宋体"/>
          <w:color w:val="auto"/>
        </w:rPr>
        <w:t>式中：</w:t>
      </w:r>
      <w:r>
        <w:rPr>
          <w:rFonts w:ascii="Cambria Math" w:hAnsi="Cambria Math" w:eastAsia="宋体" w:cs="Cambria Math"/>
          <w:color w:val="auto"/>
        </w:rPr>
        <w:t>𝐸</w:t>
      </w:r>
      <w:r>
        <w:rPr>
          <w:rFonts w:ascii="Cambria Math" w:hAnsi="Cambria Math" w:eastAsia="宋体" w:cs="Cambria Math"/>
          <w:color w:val="auto"/>
          <w:vertAlign w:val="subscript"/>
        </w:rPr>
        <w:t>𝐶𝐻</w:t>
      </w:r>
      <w:r>
        <w:rPr>
          <w:rFonts w:eastAsia="宋体"/>
          <w:color w:val="auto"/>
          <w:vertAlign w:val="subscript"/>
        </w:rPr>
        <w:t>4_</w:t>
      </w:r>
      <w:r>
        <w:rPr>
          <w:rFonts w:hint="eastAsia" w:eastAsia="宋体"/>
          <w:color w:val="auto"/>
          <w:vertAlign w:val="subscript"/>
        </w:rPr>
        <w:t>气处理逃逸</w:t>
      </w:r>
      <w:r>
        <w:rPr>
          <w:rFonts w:hint="eastAsia" w:eastAsia="宋体"/>
          <w:color w:val="auto"/>
        </w:rPr>
        <w:t>为天然气处理过程</w:t>
      </w:r>
      <w:r>
        <w:rPr>
          <w:rFonts w:eastAsia="宋体"/>
          <w:color w:val="auto"/>
        </w:rPr>
        <w:t>CH</w:t>
      </w:r>
      <w:r>
        <w:rPr>
          <w:rFonts w:eastAsia="宋体"/>
          <w:color w:val="auto"/>
          <w:vertAlign w:val="subscript"/>
        </w:rPr>
        <w:t>4</w:t>
      </w:r>
      <w:r>
        <w:rPr>
          <w:rFonts w:hint="eastAsia" w:eastAsia="宋体"/>
          <w:color w:val="auto"/>
        </w:rPr>
        <w:t>逃逸排放，单位为吨</w:t>
      </w:r>
      <w:r>
        <w:rPr>
          <w:rFonts w:eastAsia="宋体"/>
          <w:color w:val="auto"/>
        </w:rPr>
        <w:t>CH</w:t>
      </w:r>
      <w:r>
        <w:rPr>
          <w:rFonts w:eastAsia="宋体"/>
          <w:color w:val="auto"/>
          <w:vertAlign w:val="subscript"/>
        </w:rPr>
        <w:t>4</w:t>
      </w:r>
      <w:r>
        <w:rPr>
          <w:rFonts w:hint="eastAsia" w:eastAsia="宋体"/>
          <w:color w:val="auto"/>
        </w:rPr>
        <w:t>；</w:t>
      </w:r>
      <w:r>
        <w:rPr>
          <w:rFonts w:eastAsia="宋体"/>
          <w:color w:val="auto"/>
        </w:rPr>
        <w:t xml:space="preserve"> </w:t>
      </w:r>
    </w:p>
    <w:p w14:paraId="3D16C430">
      <w:pPr>
        <w:pStyle w:val="209"/>
        <w:ind w:firstLine="1200" w:firstLineChars="500"/>
        <w:rPr>
          <w:rFonts w:hint="eastAsia" w:eastAsia="宋体"/>
          <w:color w:val="auto"/>
        </w:rPr>
      </w:pPr>
      <w:r>
        <w:rPr>
          <w:rFonts w:eastAsia="宋体"/>
          <w:color w:val="auto"/>
        </w:rPr>
        <w:t>Q</w:t>
      </w:r>
      <w:r>
        <w:rPr>
          <w:rFonts w:ascii="Cambria Math" w:hAnsi="Cambria Math" w:eastAsia="宋体" w:cs="Cambria Math"/>
          <w:color w:val="auto"/>
          <w:vertAlign w:val="subscript"/>
        </w:rPr>
        <w:t>𝑔𝑎𝑠</w:t>
      </w:r>
      <w:r>
        <w:rPr>
          <w:rFonts w:hint="eastAsia" w:eastAsia="宋体"/>
          <w:color w:val="auto"/>
        </w:rPr>
        <w:t>为天然气的处理量，单位为亿</w:t>
      </w:r>
      <w:r>
        <w:rPr>
          <w:rFonts w:eastAsia="宋体"/>
          <w:color w:val="auto"/>
        </w:rPr>
        <w:t>m</w:t>
      </w:r>
      <w:r>
        <w:rPr>
          <w:rFonts w:eastAsia="宋体"/>
          <w:color w:val="auto"/>
          <w:vertAlign w:val="superscript"/>
        </w:rPr>
        <w:t>3</w:t>
      </w:r>
      <w:r>
        <w:rPr>
          <w:rFonts w:hint="eastAsia" w:eastAsia="宋体"/>
          <w:color w:val="auto"/>
        </w:rPr>
        <w:t>，本次取8×10</w:t>
      </w:r>
      <w:r>
        <w:rPr>
          <w:rFonts w:hint="eastAsia" w:eastAsia="宋体"/>
          <w:color w:val="auto"/>
          <w:vertAlign w:val="superscript"/>
        </w:rPr>
        <w:t>4</w:t>
      </w:r>
      <w:r>
        <w:rPr>
          <w:rFonts w:hint="eastAsia" w:eastAsia="宋体"/>
          <w:color w:val="auto"/>
        </w:rPr>
        <w:t>m</w:t>
      </w:r>
      <w:r>
        <w:rPr>
          <w:rFonts w:hint="eastAsia" w:eastAsia="宋体"/>
          <w:color w:val="auto"/>
          <w:vertAlign w:val="superscript"/>
        </w:rPr>
        <w:t>3</w:t>
      </w:r>
      <w:r>
        <w:rPr>
          <w:rFonts w:hint="eastAsia" w:eastAsia="宋体"/>
          <w:color w:val="auto"/>
        </w:rPr>
        <w:t>/d（0.264×10</w:t>
      </w:r>
      <w:r>
        <w:rPr>
          <w:rFonts w:hint="eastAsia" w:eastAsia="宋体"/>
          <w:color w:val="auto"/>
          <w:vertAlign w:val="superscript"/>
        </w:rPr>
        <w:t>8</w:t>
      </w:r>
      <w:r>
        <w:rPr>
          <w:rFonts w:hint="eastAsia" w:eastAsia="宋体"/>
          <w:color w:val="auto"/>
        </w:rPr>
        <w:t>m</w:t>
      </w:r>
      <w:r>
        <w:rPr>
          <w:rFonts w:hint="eastAsia" w:eastAsia="宋体"/>
          <w:color w:val="auto"/>
          <w:vertAlign w:val="superscript"/>
        </w:rPr>
        <w:t>3</w:t>
      </w:r>
      <w:r>
        <w:rPr>
          <w:rFonts w:hint="eastAsia" w:eastAsia="宋体"/>
          <w:color w:val="auto"/>
        </w:rPr>
        <w:t>/a）</w:t>
      </w:r>
    </w:p>
    <w:p w14:paraId="2D713683">
      <w:pPr>
        <w:pStyle w:val="209"/>
        <w:ind w:firstLine="1200" w:firstLineChars="500"/>
        <w:rPr>
          <w:rFonts w:hint="eastAsia" w:eastAsia="宋体"/>
          <w:color w:val="auto"/>
        </w:rPr>
      </w:pPr>
      <w:r>
        <w:rPr>
          <w:rFonts w:eastAsia="宋体"/>
          <w:color w:val="auto"/>
        </w:rPr>
        <w:t>EF</w:t>
      </w:r>
      <w:r>
        <w:rPr>
          <w:rFonts w:ascii="Cambria Math" w:hAnsi="Cambria Math" w:eastAsia="宋体" w:cs="Cambria Math"/>
          <w:color w:val="auto"/>
          <w:vertAlign w:val="subscript"/>
        </w:rPr>
        <w:t>𝐶𝐻</w:t>
      </w:r>
      <w:r>
        <w:rPr>
          <w:rFonts w:eastAsia="宋体"/>
          <w:color w:val="auto"/>
          <w:vertAlign w:val="subscript"/>
        </w:rPr>
        <w:t>4_</w:t>
      </w:r>
      <w:r>
        <w:rPr>
          <w:rFonts w:hint="eastAsia" w:eastAsia="宋体"/>
          <w:color w:val="auto"/>
          <w:vertAlign w:val="subscript"/>
        </w:rPr>
        <w:t>气处理逃逸</w:t>
      </w:r>
      <w:r>
        <w:rPr>
          <w:rFonts w:hint="eastAsia" w:eastAsia="宋体"/>
          <w:color w:val="auto"/>
        </w:rPr>
        <w:t>为单位天然气处理量的</w:t>
      </w:r>
      <w:r>
        <w:rPr>
          <w:rFonts w:eastAsia="宋体"/>
          <w:color w:val="auto"/>
        </w:rPr>
        <w:t>CH</w:t>
      </w:r>
      <w:r>
        <w:rPr>
          <w:rFonts w:eastAsia="宋体"/>
          <w:color w:val="auto"/>
          <w:vertAlign w:val="subscript"/>
        </w:rPr>
        <w:t>4</w:t>
      </w:r>
      <w:r>
        <w:rPr>
          <w:rFonts w:hint="eastAsia" w:eastAsia="宋体"/>
          <w:color w:val="auto"/>
        </w:rPr>
        <w:t>逃逸排放因子，单位为吨</w:t>
      </w:r>
      <w:r>
        <w:rPr>
          <w:rFonts w:eastAsia="宋体"/>
          <w:color w:val="auto"/>
        </w:rPr>
        <w:t>CH</w:t>
      </w:r>
      <w:r>
        <w:rPr>
          <w:rFonts w:eastAsia="宋体"/>
          <w:color w:val="auto"/>
          <w:vertAlign w:val="subscript"/>
        </w:rPr>
        <w:t>4</w:t>
      </w:r>
      <w:r>
        <w:rPr>
          <w:rFonts w:eastAsia="宋体"/>
          <w:color w:val="auto"/>
        </w:rPr>
        <w:t>/</w:t>
      </w:r>
      <w:r>
        <w:rPr>
          <w:rFonts w:hint="eastAsia" w:eastAsia="宋体"/>
          <w:color w:val="auto"/>
        </w:rPr>
        <w:t>亿</w:t>
      </w:r>
      <w:r>
        <w:rPr>
          <w:rFonts w:eastAsia="宋体"/>
          <w:color w:val="auto"/>
        </w:rPr>
        <w:t>m</w:t>
      </w:r>
      <w:r>
        <w:rPr>
          <w:rFonts w:eastAsia="宋体"/>
          <w:color w:val="auto"/>
          <w:vertAlign w:val="superscript"/>
        </w:rPr>
        <w:t>3</w:t>
      </w:r>
      <w:r>
        <w:rPr>
          <w:rFonts w:hint="eastAsia" w:eastAsia="宋体"/>
          <w:color w:val="auto"/>
        </w:rPr>
        <w:t>天然气，本次取40.34吨/亿m</w:t>
      </w:r>
      <w:r>
        <w:rPr>
          <w:rFonts w:hint="eastAsia" w:eastAsia="宋体"/>
          <w:color w:val="auto"/>
          <w:vertAlign w:val="superscript"/>
        </w:rPr>
        <w:t>3</w:t>
      </w:r>
      <w:r>
        <w:rPr>
          <w:rFonts w:hint="eastAsia" w:eastAsia="宋体"/>
          <w:color w:val="auto"/>
        </w:rPr>
        <w:t>。</w:t>
      </w:r>
    </w:p>
    <w:p w14:paraId="6B450798">
      <w:pPr>
        <w:pStyle w:val="209"/>
        <w:ind w:firstLine="480"/>
        <w:rPr>
          <w:rFonts w:hint="eastAsia" w:eastAsia="宋体"/>
          <w:color w:val="auto"/>
          <w:lang w:val="zh-CN"/>
        </w:rPr>
      </w:pPr>
      <w:r>
        <w:rPr>
          <w:rFonts w:hint="eastAsia" w:eastAsia="宋体"/>
          <w:color w:val="auto"/>
          <w:lang w:val="zh-CN"/>
        </w:rPr>
        <w:t>根据上述公式计算出天然气处理过程中CH</w:t>
      </w:r>
      <w:r>
        <w:rPr>
          <w:rFonts w:hint="eastAsia" w:eastAsia="宋体"/>
          <w:color w:val="auto"/>
          <w:vertAlign w:val="subscript"/>
          <w:lang w:val="zh-CN"/>
        </w:rPr>
        <w:t>4</w:t>
      </w:r>
      <w:r>
        <w:rPr>
          <w:rFonts w:hint="eastAsia" w:eastAsia="宋体"/>
          <w:color w:val="auto"/>
          <w:lang w:val="zh-CN"/>
        </w:rPr>
        <w:t>排放量为10.65</w:t>
      </w:r>
      <w:r>
        <w:rPr>
          <w:rFonts w:hint="eastAsia" w:eastAsia="宋体"/>
          <w:color w:val="auto"/>
        </w:rPr>
        <w:t>t。</w:t>
      </w:r>
    </w:p>
    <w:p w14:paraId="52414169">
      <w:pPr>
        <w:pStyle w:val="209"/>
        <w:ind w:firstLine="480"/>
        <w:rPr>
          <w:rFonts w:hint="eastAsia" w:eastAsia="宋体"/>
          <w:color w:val="auto"/>
        </w:rPr>
      </w:pPr>
      <w:r>
        <w:rPr>
          <w:rFonts w:hint="eastAsia" w:eastAsia="宋体"/>
          <w:color w:val="auto"/>
        </w:rPr>
        <w:t>※事故火炬燃烧放空</w:t>
      </w:r>
    </w:p>
    <w:p w14:paraId="2C774844">
      <w:pPr>
        <w:pStyle w:val="209"/>
        <w:ind w:firstLine="480"/>
        <w:rPr>
          <w:rFonts w:hint="eastAsia" w:eastAsia="宋体"/>
          <w:color w:val="auto"/>
        </w:rPr>
      </w:pPr>
      <w:r>
        <w:rPr>
          <w:rFonts w:hint="eastAsia" w:eastAsia="宋体"/>
          <w:color w:val="auto"/>
        </w:rPr>
        <w:t>事故火炬燃烧放空过程中</w:t>
      </w:r>
      <w:r>
        <w:rPr>
          <w:rFonts w:eastAsia="宋体"/>
          <w:color w:val="auto"/>
        </w:rPr>
        <w:t>CO</w:t>
      </w:r>
      <w:r>
        <w:rPr>
          <w:rFonts w:eastAsia="宋体"/>
          <w:color w:val="auto"/>
          <w:vertAlign w:val="subscript"/>
        </w:rPr>
        <w:t>2</w:t>
      </w:r>
      <w:r>
        <w:rPr>
          <w:rFonts w:hint="eastAsia" w:eastAsia="宋体"/>
          <w:color w:val="auto"/>
        </w:rPr>
        <w:t>和</w:t>
      </w:r>
      <w:r>
        <w:rPr>
          <w:rFonts w:eastAsia="宋体"/>
          <w:color w:val="auto"/>
        </w:rPr>
        <w:t>CH</w:t>
      </w:r>
      <w:r>
        <w:rPr>
          <w:rFonts w:eastAsia="宋体"/>
          <w:color w:val="auto"/>
          <w:vertAlign w:val="subscript"/>
        </w:rPr>
        <w:t>4</w:t>
      </w:r>
      <w:r>
        <w:rPr>
          <w:rFonts w:hint="eastAsia" w:eastAsia="宋体"/>
          <w:color w:val="auto"/>
        </w:rPr>
        <w:t>的排放量公式如下：</w:t>
      </w:r>
    </w:p>
    <w:p w14:paraId="771C1A7D">
      <w:pPr>
        <w:pStyle w:val="209"/>
        <w:spacing w:line="360" w:lineRule="auto"/>
        <w:ind w:firstLine="0" w:firstLineChars="0"/>
        <w:jc w:val="center"/>
        <w:rPr>
          <w:rFonts w:hint="eastAsia"/>
          <w:color w:val="auto"/>
        </w:rPr>
      </w:pPr>
      <w:r>
        <w:rPr>
          <w:color w:val="auto"/>
        </w:rPr>
        <w:drawing>
          <wp:inline distT="0" distB="0" distL="0" distR="0">
            <wp:extent cx="5543550" cy="532130"/>
            <wp:effectExtent l="0" t="0" r="0" b="1270"/>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901"/>
                    <pic:cNvPicPr>
                      <a:picLocks noChangeAspect="1"/>
                    </pic:cNvPicPr>
                  </pic:nvPicPr>
                  <pic:blipFill>
                    <a:blip r:embed="rId72"/>
                    <a:stretch>
                      <a:fillRect/>
                    </a:stretch>
                  </pic:blipFill>
                  <pic:spPr>
                    <a:xfrm>
                      <a:off x="0" y="0"/>
                      <a:ext cx="5543550" cy="532130"/>
                    </a:xfrm>
                    <a:prstGeom prst="rect">
                      <a:avLst/>
                    </a:prstGeom>
                  </pic:spPr>
                </pic:pic>
              </a:graphicData>
            </a:graphic>
          </wp:inline>
        </w:drawing>
      </w:r>
    </w:p>
    <w:p w14:paraId="0C3119AF">
      <w:pPr>
        <w:pStyle w:val="209"/>
        <w:spacing w:line="360" w:lineRule="auto"/>
        <w:ind w:firstLine="0" w:firstLineChars="0"/>
        <w:jc w:val="center"/>
        <w:rPr>
          <w:rFonts w:hint="eastAsia"/>
          <w:color w:val="auto"/>
        </w:rPr>
      </w:pPr>
      <w:r>
        <w:rPr>
          <w:color w:val="auto"/>
        </w:rPr>
        <w:drawing>
          <wp:inline distT="0" distB="0" distL="0" distR="0">
            <wp:extent cx="5543550" cy="571500"/>
            <wp:effectExtent l="0" t="0" r="0" b="0"/>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图片 902"/>
                    <pic:cNvPicPr>
                      <a:picLocks noChangeAspect="1"/>
                    </pic:cNvPicPr>
                  </pic:nvPicPr>
                  <pic:blipFill>
                    <a:blip r:embed="rId73"/>
                    <a:stretch>
                      <a:fillRect/>
                    </a:stretch>
                  </pic:blipFill>
                  <pic:spPr>
                    <a:xfrm>
                      <a:off x="0" y="0"/>
                      <a:ext cx="5543550" cy="571500"/>
                    </a:xfrm>
                    <a:prstGeom prst="rect">
                      <a:avLst/>
                    </a:prstGeom>
                  </pic:spPr>
                </pic:pic>
              </a:graphicData>
            </a:graphic>
          </wp:inline>
        </w:drawing>
      </w:r>
    </w:p>
    <w:p w14:paraId="52B3142F">
      <w:pPr>
        <w:pStyle w:val="209"/>
        <w:ind w:firstLine="480"/>
        <w:rPr>
          <w:rFonts w:hint="eastAsia" w:eastAsia="宋体"/>
          <w:color w:val="auto"/>
        </w:rPr>
      </w:pPr>
      <w:r>
        <w:rPr>
          <w:rFonts w:hint="eastAsia" w:eastAsia="宋体"/>
          <w:color w:val="auto"/>
        </w:rPr>
        <w:t>式中：</w:t>
      </w:r>
      <w:r>
        <w:rPr>
          <w:rFonts w:eastAsia="宋体"/>
          <w:color w:val="auto"/>
        </w:rPr>
        <w:t>E</w:t>
      </w:r>
      <w:r>
        <w:rPr>
          <w:rFonts w:ascii="Cambria Math" w:hAnsi="Cambria Math" w:eastAsia="宋体" w:cs="Cambria Math"/>
          <w:color w:val="auto"/>
          <w:vertAlign w:val="subscript"/>
        </w:rPr>
        <w:t>𝐶𝑂</w:t>
      </w:r>
      <w:r>
        <w:rPr>
          <w:rFonts w:eastAsia="宋体"/>
          <w:color w:val="auto"/>
          <w:vertAlign w:val="subscript"/>
        </w:rPr>
        <w:t>2_</w:t>
      </w:r>
      <w:r>
        <w:rPr>
          <w:rFonts w:hint="eastAsia" w:eastAsia="宋体"/>
          <w:color w:val="auto"/>
          <w:vertAlign w:val="subscript"/>
        </w:rPr>
        <w:t>事故火炬</w:t>
      </w:r>
      <w:r>
        <w:rPr>
          <w:rFonts w:hint="eastAsia" w:eastAsia="宋体"/>
          <w:color w:val="auto"/>
        </w:rPr>
        <w:t>为由于事故火炬产生的</w:t>
      </w:r>
      <w:r>
        <w:rPr>
          <w:rFonts w:eastAsia="宋体"/>
          <w:color w:val="auto"/>
        </w:rPr>
        <w:t>CO</w:t>
      </w:r>
      <w:r>
        <w:rPr>
          <w:rFonts w:eastAsia="宋体"/>
          <w:color w:val="auto"/>
          <w:vertAlign w:val="subscript"/>
        </w:rPr>
        <w:t>2</w:t>
      </w:r>
      <w:r>
        <w:rPr>
          <w:rFonts w:hint="eastAsia" w:eastAsia="宋体"/>
          <w:color w:val="auto"/>
        </w:rPr>
        <w:t>排放，单位为吨</w:t>
      </w:r>
      <w:r>
        <w:rPr>
          <w:rFonts w:eastAsia="宋体"/>
          <w:color w:val="auto"/>
        </w:rPr>
        <w:t>CO</w:t>
      </w:r>
      <w:r>
        <w:rPr>
          <w:rFonts w:eastAsia="宋体"/>
          <w:color w:val="auto"/>
          <w:vertAlign w:val="subscript"/>
        </w:rPr>
        <w:t>2</w:t>
      </w:r>
      <w:r>
        <w:rPr>
          <w:rFonts w:hint="eastAsia" w:eastAsia="宋体"/>
          <w:color w:val="auto"/>
        </w:rPr>
        <w:t>；</w:t>
      </w:r>
    </w:p>
    <w:p w14:paraId="3B1A1F19">
      <w:pPr>
        <w:pStyle w:val="209"/>
        <w:ind w:firstLine="1200" w:firstLineChars="500"/>
        <w:rPr>
          <w:rFonts w:hint="eastAsia" w:eastAsia="宋体"/>
          <w:color w:val="auto"/>
        </w:rPr>
      </w:pPr>
      <w:r>
        <w:rPr>
          <w:rFonts w:eastAsia="宋体"/>
          <w:color w:val="auto"/>
        </w:rPr>
        <w:t>E</w:t>
      </w:r>
      <w:r>
        <w:rPr>
          <w:rFonts w:ascii="Cambria Math" w:hAnsi="Cambria Math" w:eastAsia="宋体" w:cs="Cambria Math"/>
          <w:color w:val="auto"/>
          <w:vertAlign w:val="subscript"/>
        </w:rPr>
        <w:t>𝐶𝐻</w:t>
      </w:r>
      <w:r>
        <w:rPr>
          <w:rFonts w:eastAsia="宋体"/>
          <w:color w:val="auto"/>
          <w:vertAlign w:val="subscript"/>
        </w:rPr>
        <w:t>4_</w:t>
      </w:r>
      <w:r>
        <w:rPr>
          <w:rFonts w:hint="eastAsia" w:eastAsia="宋体"/>
          <w:color w:val="auto"/>
          <w:vertAlign w:val="subscript"/>
        </w:rPr>
        <w:t>事故火炬</w:t>
      </w:r>
      <w:r>
        <w:rPr>
          <w:rFonts w:hint="eastAsia" w:eastAsia="宋体"/>
          <w:color w:val="auto"/>
        </w:rPr>
        <w:t>为事故火炬产生的</w:t>
      </w:r>
      <w:r>
        <w:rPr>
          <w:rFonts w:eastAsia="宋体"/>
          <w:color w:val="auto"/>
        </w:rPr>
        <w:t>CH</w:t>
      </w:r>
      <w:r>
        <w:rPr>
          <w:rFonts w:eastAsia="宋体"/>
          <w:color w:val="auto"/>
          <w:vertAlign w:val="subscript"/>
        </w:rPr>
        <w:t>4</w:t>
      </w:r>
      <w:r>
        <w:rPr>
          <w:rFonts w:hint="eastAsia" w:eastAsia="宋体"/>
          <w:color w:val="auto"/>
        </w:rPr>
        <w:t>排放，单位为吨</w:t>
      </w:r>
      <w:r>
        <w:rPr>
          <w:rFonts w:eastAsia="宋体"/>
          <w:color w:val="auto"/>
        </w:rPr>
        <w:t>CH</w:t>
      </w:r>
      <w:r>
        <w:rPr>
          <w:rFonts w:eastAsia="宋体"/>
          <w:color w:val="auto"/>
          <w:vertAlign w:val="subscript"/>
        </w:rPr>
        <w:t>4</w:t>
      </w:r>
      <w:r>
        <w:rPr>
          <w:rFonts w:hint="eastAsia" w:eastAsia="宋体"/>
          <w:color w:val="auto"/>
        </w:rPr>
        <w:t>。</w:t>
      </w:r>
    </w:p>
    <w:p w14:paraId="7427DB9E">
      <w:pPr>
        <w:pStyle w:val="209"/>
        <w:ind w:firstLine="1200" w:firstLineChars="500"/>
        <w:rPr>
          <w:rFonts w:hint="eastAsia" w:eastAsia="宋体"/>
          <w:color w:val="auto"/>
        </w:rPr>
      </w:pPr>
      <w:r>
        <w:rPr>
          <w:rFonts w:eastAsia="宋体"/>
          <w:color w:val="auto"/>
        </w:rPr>
        <w:t>j</w:t>
      </w:r>
      <w:r>
        <w:rPr>
          <w:rFonts w:hint="eastAsia" w:eastAsia="宋体"/>
          <w:color w:val="auto"/>
        </w:rPr>
        <w:t>为事故次数；</w:t>
      </w:r>
    </w:p>
    <w:p w14:paraId="38213EED">
      <w:pPr>
        <w:autoSpaceDE w:val="0"/>
        <w:autoSpaceDN w:val="0"/>
        <w:adjustRightInd w:val="0"/>
        <w:spacing w:line="500" w:lineRule="exact"/>
        <w:ind w:firstLine="1200" w:firstLineChars="500"/>
        <w:jc w:val="left"/>
        <w:rPr>
          <w:rFonts w:hint="eastAsia" w:ascii="宋体" w:hAnsi="宋体" w:cs="仿宋e眠副浡渀."/>
          <w:color w:val="auto"/>
          <w:kern w:val="0"/>
          <w:sz w:val="24"/>
          <w:szCs w:val="24"/>
        </w:rPr>
      </w:pPr>
      <w:r>
        <w:rPr>
          <w:rFonts w:ascii="Cambria Math" w:hAnsi="Cambria Math" w:cs="Cambria Math"/>
          <w:color w:val="auto"/>
          <w:kern w:val="0"/>
          <w:sz w:val="24"/>
          <w:szCs w:val="24"/>
        </w:rPr>
        <w:t>𝐺𝐹</w:t>
      </w:r>
      <w:r>
        <w:rPr>
          <w:rFonts w:hint="eastAsia" w:ascii="宋体" w:hAnsi="宋体" w:cs="仿宋e眠副浡渀."/>
          <w:color w:val="auto"/>
          <w:kern w:val="0"/>
          <w:sz w:val="24"/>
          <w:szCs w:val="24"/>
          <w:vertAlign w:val="subscript"/>
        </w:rPr>
        <w:t>事故</w:t>
      </w:r>
      <w:r>
        <w:rPr>
          <w:rFonts w:ascii="宋体" w:hAnsi="宋体" w:cs="Cambria Math"/>
          <w:color w:val="auto"/>
          <w:kern w:val="0"/>
          <w:sz w:val="24"/>
          <w:szCs w:val="24"/>
          <w:vertAlign w:val="subscript"/>
        </w:rPr>
        <w:t>,</w:t>
      </w:r>
      <w:r>
        <w:rPr>
          <w:rFonts w:ascii="Cambria Math" w:hAnsi="Cambria Math" w:cs="Cambria Math"/>
          <w:color w:val="auto"/>
          <w:kern w:val="0"/>
          <w:sz w:val="24"/>
          <w:szCs w:val="24"/>
          <w:vertAlign w:val="subscript"/>
        </w:rPr>
        <w:t>𝑗</w:t>
      </w:r>
      <w:r>
        <w:rPr>
          <w:rFonts w:hint="eastAsia" w:ascii="宋体" w:hAnsi="宋体" w:cs="仿宋e眠副浡渀."/>
          <w:color w:val="auto"/>
          <w:kern w:val="0"/>
          <w:sz w:val="24"/>
          <w:szCs w:val="24"/>
        </w:rPr>
        <w:t>为报告期内第</w:t>
      </w:r>
      <w:r>
        <w:rPr>
          <w:rFonts w:ascii="宋体" w:hAnsi="宋体"/>
          <w:color w:val="auto"/>
          <w:kern w:val="0"/>
          <w:sz w:val="24"/>
          <w:szCs w:val="24"/>
        </w:rPr>
        <w:t>j</w:t>
      </w:r>
      <w:r>
        <w:rPr>
          <w:rFonts w:hint="eastAsia" w:ascii="宋体" w:hAnsi="宋体" w:cs="仿宋e眠副浡渀."/>
          <w:color w:val="auto"/>
          <w:kern w:val="0"/>
          <w:sz w:val="24"/>
          <w:szCs w:val="24"/>
        </w:rPr>
        <w:t>次事故状态时的火炬气流速度，单位为万</w:t>
      </w:r>
      <w:r>
        <w:rPr>
          <w:rFonts w:ascii="宋体" w:hAnsi="宋体"/>
          <w:color w:val="auto"/>
          <w:kern w:val="0"/>
          <w:sz w:val="24"/>
          <w:szCs w:val="24"/>
        </w:rPr>
        <w:t>m</w:t>
      </w:r>
      <w:r>
        <w:rPr>
          <w:rFonts w:ascii="宋体" w:hAnsi="宋体"/>
          <w:color w:val="auto"/>
          <w:kern w:val="0"/>
          <w:sz w:val="24"/>
          <w:szCs w:val="24"/>
          <w:vertAlign w:val="superscript"/>
        </w:rPr>
        <w:t>3</w:t>
      </w:r>
      <w:r>
        <w:rPr>
          <w:rFonts w:ascii="宋体" w:hAnsi="宋体"/>
          <w:color w:val="auto"/>
          <w:kern w:val="0"/>
          <w:sz w:val="24"/>
          <w:szCs w:val="24"/>
        </w:rPr>
        <w:t>/</w:t>
      </w:r>
      <w:r>
        <w:rPr>
          <w:rFonts w:hint="eastAsia" w:ascii="宋体" w:hAnsi="宋体" w:cs="仿宋e眠副浡渀."/>
          <w:color w:val="auto"/>
          <w:kern w:val="0"/>
          <w:sz w:val="24"/>
          <w:szCs w:val="24"/>
        </w:rPr>
        <w:t>小时，本次取0.3333万m</w:t>
      </w:r>
      <w:r>
        <w:rPr>
          <w:rFonts w:hint="eastAsia" w:ascii="宋体" w:hAnsi="宋体" w:cs="仿宋e眠副浡渀."/>
          <w:color w:val="auto"/>
          <w:kern w:val="0"/>
          <w:sz w:val="24"/>
          <w:szCs w:val="24"/>
          <w:vertAlign w:val="superscript"/>
        </w:rPr>
        <w:t>3</w:t>
      </w:r>
      <w:r>
        <w:rPr>
          <w:rFonts w:hint="eastAsia" w:ascii="宋体" w:hAnsi="宋体" w:cs="仿宋e眠副浡渀."/>
          <w:color w:val="auto"/>
          <w:kern w:val="0"/>
          <w:sz w:val="24"/>
          <w:szCs w:val="24"/>
        </w:rPr>
        <w:t>/h；</w:t>
      </w:r>
    </w:p>
    <w:p w14:paraId="6E77CDC1">
      <w:pPr>
        <w:autoSpaceDE w:val="0"/>
        <w:autoSpaceDN w:val="0"/>
        <w:adjustRightInd w:val="0"/>
        <w:spacing w:line="500" w:lineRule="exact"/>
        <w:ind w:firstLine="1200" w:firstLineChars="500"/>
        <w:jc w:val="left"/>
        <w:rPr>
          <w:rFonts w:hint="eastAsia" w:ascii="宋体" w:hAnsi="宋体" w:cs="仿宋e眠副浡渀."/>
          <w:color w:val="auto"/>
          <w:kern w:val="0"/>
          <w:sz w:val="24"/>
          <w:szCs w:val="24"/>
        </w:rPr>
      </w:pPr>
      <w:r>
        <w:rPr>
          <w:rFonts w:ascii="Cambria Math" w:hAnsi="Cambria Math" w:cs="Cambria Math"/>
          <w:color w:val="auto"/>
          <w:kern w:val="0"/>
          <w:sz w:val="24"/>
          <w:szCs w:val="24"/>
        </w:rPr>
        <w:t>𝑇</w:t>
      </w:r>
      <w:r>
        <w:rPr>
          <w:rFonts w:hint="eastAsia" w:ascii="宋体" w:hAnsi="宋体" w:cs="仿宋e眠副浡渀."/>
          <w:color w:val="auto"/>
          <w:kern w:val="0"/>
          <w:sz w:val="24"/>
          <w:szCs w:val="24"/>
          <w:vertAlign w:val="subscript"/>
        </w:rPr>
        <w:t>事故</w:t>
      </w:r>
      <w:r>
        <w:rPr>
          <w:rFonts w:ascii="宋体" w:hAnsi="宋体" w:cs="Cambria Math"/>
          <w:color w:val="auto"/>
          <w:kern w:val="0"/>
          <w:sz w:val="24"/>
          <w:szCs w:val="24"/>
          <w:vertAlign w:val="subscript"/>
        </w:rPr>
        <w:t>,</w:t>
      </w:r>
      <w:r>
        <w:rPr>
          <w:rFonts w:ascii="Cambria Math" w:hAnsi="Cambria Math" w:cs="Cambria Math"/>
          <w:color w:val="auto"/>
          <w:kern w:val="0"/>
          <w:sz w:val="24"/>
          <w:szCs w:val="24"/>
          <w:vertAlign w:val="subscript"/>
        </w:rPr>
        <w:t>𝑗</w:t>
      </w:r>
      <w:r>
        <w:rPr>
          <w:rFonts w:hint="eastAsia" w:ascii="宋体" w:hAnsi="宋体" w:cs="仿宋e眠副浡渀."/>
          <w:color w:val="auto"/>
          <w:kern w:val="0"/>
          <w:sz w:val="24"/>
          <w:szCs w:val="24"/>
        </w:rPr>
        <w:t>为报告期内第</w:t>
      </w:r>
      <w:r>
        <w:rPr>
          <w:rFonts w:ascii="宋体" w:hAnsi="宋体"/>
          <w:color w:val="auto"/>
          <w:kern w:val="0"/>
          <w:sz w:val="24"/>
          <w:szCs w:val="24"/>
        </w:rPr>
        <w:t>j</w:t>
      </w:r>
      <w:r>
        <w:rPr>
          <w:rFonts w:hint="eastAsia" w:ascii="宋体" w:hAnsi="宋体" w:cs="仿宋e眠副浡渀."/>
          <w:color w:val="auto"/>
          <w:kern w:val="0"/>
          <w:sz w:val="24"/>
          <w:szCs w:val="24"/>
        </w:rPr>
        <w:t>次事故的持续时间，单位为小时；本次取6小时；</w:t>
      </w:r>
    </w:p>
    <w:p w14:paraId="051D6625">
      <w:pPr>
        <w:autoSpaceDE w:val="0"/>
        <w:autoSpaceDN w:val="0"/>
        <w:adjustRightInd w:val="0"/>
        <w:spacing w:line="500" w:lineRule="exact"/>
        <w:ind w:firstLine="1200" w:firstLineChars="500"/>
        <w:jc w:val="left"/>
        <w:rPr>
          <w:rFonts w:hint="eastAsia" w:ascii="宋体" w:hAnsi="宋体" w:cs="仿宋e眠副浡渀."/>
          <w:color w:val="auto"/>
          <w:kern w:val="0"/>
          <w:sz w:val="24"/>
          <w:szCs w:val="24"/>
        </w:rPr>
      </w:pPr>
      <w:r>
        <w:rPr>
          <w:rFonts w:ascii="Cambria Math" w:hAnsi="Cambria Math" w:cs="Cambria Math"/>
          <w:color w:val="auto"/>
          <w:kern w:val="0"/>
          <w:sz w:val="24"/>
          <w:szCs w:val="24"/>
        </w:rPr>
        <w:t>𝐶𝐶</w:t>
      </w:r>
      <w:r>
        <w:rPr>
          <w:rFonts w:hint="eastAsia" w:ascii="宋体" w:hAnsi="宋体" w:cs="Cambria Math"/>
          <w:color w:val="auto"/>
          <w:kern w:val="0"/>
          <w:sz w:val="24"/>
          <w:szCs w:val="24"/>
          <w:vertAlign w:val="subscript"/>
        </w:rPr>
        <w:t>（</w:t>
      </w:r>
      <w:r>
        <w:rPr>
          <w:rFonts w:hint="eastAsia" w:ascii="宋体" w:hAnsi="宋体" w:cs="仿宋e眠副浡渀."/>
          <w:color w:val="auto"/>
          <w:kern w:val="0"/>
          <w:sz w:val="24"/>
          <w:szCs w:val="24"/>
          <w:vertAlign w:val="subscript"/>
        </w:rPr>
        <w:t>非</w:t>
      </w:r>
      <w:r>
        <w:rPr>
          <w:rFonts w:ascii="Cambria Math" w:hAnsi="Cambria Math" w:cs="Cambria Math"/>
          <w:color w:val="auto"/>
          <w:kern w:val="0"/>
          <w:sz w:val="24"/>
          <w:szCs w:val="24"/>
          <w:vertAlign w:val="subscript"/>
        </w:rPr>
        <w:t>𝐶𝑂</w:t>
      </w:r>
      <w:r>
        <w:rPr>
          <w:rFonts w:ascii="宋体" w:hAnsi="宋体" w:cs="Cambria Math"/>
          <w:color w:val="auto"/>
          <w:kern w:val="0"/>
          <w:sz w:val="24"/>
          <w:szCs w:val="24"/>
          <w:vertAlign w:val="subscript"/>
        </w:rPr>
        <w:t>2</w:t>
      </w:r>
      <w:r>
        <w:rPr>
          <w:rFonts w:hint="eastAsia" w:ascii="宋体" w:hAnsi="宋体" w:cs="Cambria Math"/>
          <w:color w:val="auto"/>
          <w:kern w:val="0"/>
          <w:sz w:val="24"/>
          <w:szCs w:val="24"/>
          <w:vertAlign w:val="subscript"/>
        </w:rPr>
        <w:t>）</w:t>
      </w:r>
      <w:r>
        <w:rPr>
          <w:rFonts w:hint="eastAsia" w:ascii="宋体" w:hAnsi="宋体" w:cs="宋体"/>
          <w:color w:val="auto"/>
          <w:kern w:val="0"/>
          <w:sz w:val="24"/>
          <w:szCs w:val="24"/>
          <w:vertAlign w:val="subscript"/>
        </w:rPr>
        <w:t>j</w:t>
      </w:r>
      <w:r>
        <w:rPr>
          <w:rFonts w:hint="eastAsia" w:ascii="宋体" w:hAnsi="宋体" w:cs="仿宋e眠副浡渀."/>
          <w:color w:val="auto"/>
          <w:kern w:val="0"/>
          <w:sz w:val="24"/>
          <w:szCs w:val="24"/>
        </w:rPr>
        <w:t>为第</w:t>
      </w:r>
      <w:r>
        <w:rPr>
          <w:rFonts w:ascii="宋体" w:hAnsi="宋体"/>
          <w:color w:val="auto"/>
          <w:kern w:val="0"/>
          <w:sz w:val="24"/>
          <w:szCs w:val="24"/>
        </w:rPr>
        <w:t>j</w:t>
      </w:r>
      <w:r>
        <w:rPr>
          <w:rFonts w:hint="eastAsia" w:ascii="宋体" w:hAnsi="宋体" w:cs="仿宋e眠副浡渀."/>
          <w:color w:val="auto"/>
          <w:kern w:val="0"/>
          <w:sz w:val="24"/>
          <w:szCs w:val="24"/>
        </w:rPr>
        <w:t>次事故火炬气中除</w:t>
      </w:r>
      <w:r>
        <w:rPr>
          <w:rFonts w:ascii="宋体" w:hAnsi="宋体"/>
          <w:color w:val="auto"/>
          <w:kern w:val="0"/>
          <w:sz w:val="24"/>
          <w:szCs w:val="24"/>
        </w:rPr>
        <w:t>CO</w:t>
      </w:r>
      <w:r>
        <w:rPr>
          <w:rFonts w:ascii="宋体" w:hAnsi="宋体"/>
          <w:color w:val="auto"/>
          <w:kern w:val="0"/>
          <w:sz w:val="24"/>
          <w:szCs w:val="24"/>
          <w:vertAlign w:val="subscript"/>
        </w:rPr>
        <w:t>2</w:t>
      </w:r>
      <w:r>
        <w:rPr>
          <w:rFonts w:hint="eastAsia" w:ascii="宋体" w:hAnsi="宋体" w:cs="仿宋e眠副浡渀."/>
          <w:color w:val="auto"/>
          <w:kern w:val="0"/>
          <w:sz w:val="24"/>
          <w:szCs w:val="24"/>
        </w:rPr>
        <w:t>外其他含碳化合物的总含碳量，单位为吨碳</w:t>
      </w:r>
      <w:r>
        <w:rPr>
          <w:rFonts w:ascii="宋体" w:hAnsi="宋体"/>
          <w:color w:val="auto"/>
          <w:kern w:val="0"/>
          <w:sz w:val="24"/>
          <w:szCs w:val="24"/>
        </w:rPr>
        <w:t>/</w:t>
      </w:r>
      <w:r>
        <w:rPr>
          <w:rFonts w:hint="eastAsia" w:ascii="宋体" w:hAnsi="宋体" w:cs="仿宋e眠副浡渀."/>
          <w:color w:val="auto"/>
          <w:kern w:val="0"/>
          <w:sz w:val="24"/>
          <w:szCs w:val="24"/>
        </w:rPr>
        <w:t>万</w:t>
      </w:r>
      <w:r>
        <w:rPr>
          <w:rFonts w:ascii="宋体" w:hAnsi="宋体"/>
          <w:color w:val="auto"/>
          <w:kern w:val="0"/>
          <w:sz w:val="24"/>
          <w:szCs w:val="24"/>
        </w:rPr>
        <w:t>m</w:t>
      </w:r>
      <w:r>
        <w:rPr>
          <w:rFonts w:ascii="宋体" w:hAnsi="宋体"/>
          <w:color w:val="auto"/>
          <w:kern w:val="0"/>
          <w:sz w:val="24"/>
          <w:szCs w:val="24"/>
          <w:vertAlign w:val="superscript"/>
        </w:rPr>
        <w:t>3</w:t>
      </w:r>
      <w:r>
        <w:rPr>
          <w:rFonts w:hint="eastAsia" w:ascii="宋体" w:hAnsi="宋体" w:cs="仿宋e眠副浡渀."/>
          <w:color w:val="auto"/>
          <w:kern w:val="0"/>
          <w:sz w:val="24"/>
          <w:szCs w:val="24"/>
        </w:rPr>
        <w:t>，计算公式如下：</w:t>
      </w:r>
    </w:p>
    <w:p w14:paraId="53E444D3">
      <w:pPr>
        <w:autoSpaceDE w:val="0"/>
        <w:autoSpaceDN w:val="0"/>
        <w:adjustRightInd w:val="0"/>
        <w:spacing w:line="360" w:lineRule="auto"/>
        <w:jc w:val="center"/>
        <w:rPr>
          <w:rFonts w:hint="eastAsia" w:ascii="宋体" w:hAnsi="宋体" w:cs="仿宋e眠副浡渀."/>
          <w:color w:val="auto"/>
          <w:kern w:val="0"/>
          <w:sz w:val="24"/>
          <w:szCs w:val="24"/>
        </w:rPr>
      </w:pPr>
      <w:r>
        <w:rPr>
          <w:color w:val="auto"/>
        </w:rPr>
        <w:drawing>
          <wp:inline distT="0" distB="0" distL="0" distR="0">
            <wp:extent cx="2228850" cy="382270"/>
            <wp:effectExtent l="0" t="0" r="0" b="0"/>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903"/>
                    <pic:cNvPicPr>
                      <a:picLocks noChangeAspect="1"/>
                    </pic:cNvPicPr>
                  </pic:nvPicPr>
                  <pic:blipFill>
                    <a:blip r:embed="rId74"/>
                    <a:stretch>
                      <a:fillRect/>
                    </a:stretch>
                  </pic:blipFill>
                  <pic:spPr>
                    <a:xfrm>
                      <a:off x="0" y="0"/>
                      <a:ext cx="2289983" cy="393176"/>
                    </a:xfrm>
                    <a:prstGeom prst="rect">
                      <a:avLst/>
                    </a:prstGeom>
                  </pic:spPr>
                </pic:pic>
              </a:graphicData>
            </a:graphic>
          </wp:inline>
        </w:drawing>
      </w:r>
    </w:p>
    <w:p w14:paraId="77313302">
      <w:pPr>
        <w:autoSpaceDE w:val="0"/>
        <w:autoSpaceDN w:val="0"/>
        <w:adjustRightInd w:val="0"/>
        <w:spacing w:line="500" w:lineRule="exact"/>
        <w:ind w:firstLine="1200" w:firstLineChars="500"/>
        <w:jc w:val="left"/>
        <w:rPr>
          <w:rFonts w:hint="eastAsia" w:ascii="宋体" w:hAnsi="宋体" w:cs="仿宋e眠副浡渀."/>
          <w:color w:val="auto"/>
          <w:kern w:val="0"/>
          <w:sz w:val="24"/>
          <w:szCs w:val="24"/>
        </w:rPr>
      </w:pPr>
      <w:r>
        <w:rPr>
          <w:rFonts w:ascii="宋体" w:hAnsi="宋体" w:cs="仿宋e眠副浡渀."/>
          <w:color w:val="auto"/>
          <w:kern w:val="0"/>
          <w:sz w:val="24"/>
          <w:szCs w:val="24"/>
        </w:rPr>
        <w:t>V</w:t>
      </w:r>
      <w:r>
        <w:rPr>
          <w:rFonts w:ascii="Cambria Math" w:hAnsi="Cambria Math" w:cs="Cambria Math"/>
          <w:color w:val="auto"/>
          <w:kern w:val="0"/>
          <w:sz w:val="24"/>
          <w:szCs w:val="24"/>
          <w:vertAlign w:val="subscript"/>
        </w:rPr>
        <w:t>𝑛</w:t>
      </w:r>
      <w:r>
        <w:rPr>
          <w:rFonts w:hint="eastAsia" w:ascii="宋体" w:hAnsi="宋体" w:cs="仿宋e眠副浡渀."/>
          <w:color w:val="auto"/>
          <w:kern w:val="0"/>
          <w:sz w:val="24"/>
          <w:szCs w:val="24"/>
        </w:rPr>
        <w:t>为火炬气中除</w:t>
      </w:r>
      <w:r>
        <w:rPr>
          <w:rFonts w:ascii="宋体" w:hAnsi="宋体" w:cs="仿宋e眠副浡渀."/>
          <w:color w:val="auto"/>
          <w:kern w:val="0"/>
          <w:sz w:val="24"/>
          <w:szCs w:val="24"/>
        </w:rPr>
        <w:t>CO</w:t>
      </w:r>
      <w:r>
        <w:rPr>
          <w:rFonts w:ascii="宋体" w:hAnsi="宋体" w:cs="仿宋e眠副浡渀."/>
          <w:color w:val="auto"/>
          <w:kern w:val="0"/>
          <w:sz w:val="24"/>
          <w:szCs w:val="24"/>
          <w:vertAlign w:val="subscript"/>
        </w:rPr>
        <w:t>2</w:t>
      </w:r>
      <w:r>
        <w:rPr>
          <w:rFonts w:hint="eastAsia" w:ascii="宋体" w:hAnsi="宋体" w:cs="仿宋e眠副浡渀."/>
          <w:color w:val="auto"/>
          <w:kern w:val="0"/>
          <w:sz w:val="24"/>
          <w:szCs w:val="24"/>
        </w:rPr>
        <w:t>外的第</w:t>
      </w:r>
      <w:r>
        <w:rPr>
          <w:rFonts w:ascii="宋体" w:hAnsi="宋体" w:cs="仿宋e眠副浡渀."/>
          <w:color w:val="auto"/>
          <w:kern w:val="0"/>
          <w:sz w:val="24"/>
          <w:szCs w:val="24"/>
        </w:rPr>
        <w:t>n</w:t>
      </w:r>
      <w:r>
        <w:rPr>
          <w:rFonts w:hint="eastAsia" w:ascii="宋体" w:hAnsi="宋体" w:cs="仿宋e眠副浡渀."/>
          <w:color w:val="auto"/>
          <w:kern w:val="0"/>
          <w:sz w:val="24"/>
          <w:szCs w:val="24"/>
        </w:rPr>
        <w:t>种含碳化合物（包括一氧化碳）的体积浓度，取值范围</w:t>
      </w:r>
      <w:r>
        <w:rPr>
          <w:rFonts w:ascii="宋体" w:hAnsi="宋体" w:cs="仿宋e眠副浡渀."/>
          <w:color w:val="auto"/>
          <w:kern w:val="0"/>
          <w:sz w:val="24"/>
          <w:szCs w:val="24"/>
        </w:rPr>
        <w:t>0</w:t>
      </w:r>
      <w:r>
        <w:rPr>
          <w:rFonts w:hint="eastAsia" w:ascii="宋体" w:hAnsi="宋体" w:cs="仿宋e眠副浡渀."/>
          <w:color w:val="auto"/>
          <w:kern w:val="0"/>
          <w:sz w:val="24"/>
          <w:szCs w:val="24"/>
        </w:rPr>
        <w:t>～</w:t>
      </w:r>
      <w:r>
        <w:rPr>
          <w:rFonts w:ascii="宋体" w:hAnsi="宋体" w:cs="仿宋e眠副浡渀."/>
          <w:color w:val="auto"/>
          <w:kern w:val="0"/>
          <w:sz w:val="24"/>
          <w:szCs w:val="24"/>
        </w:rPr>
        <w:t>1</w:t>
      </w:r>
      <w:r>
        <w:rPr>
          <w:rFonts w:hint="eastAsia" w:ascii="宋体" w:hAnsi="宋体" w:cs="仿宋e眠副浡渀."/>
          <w:color w:val="auto"/>
          <w:kern w:val="0"/>
          <w:sz w:val="24"/>
          <w:szCs w:val="24"/>
        </w:rPr>
        <w:t>，如某含碳化合物的体积浓度为</w:t>
      </w:r>
      <w:r>
        <w:rPr>
          <w:rFonts w:ascii="宋体" w:hAnsi="宋体" w:cs="仿宋e眠副浡渀."/>
          <w:color w:val="auto"/>
          <w:kern w:val="0"/>
          <w:sz w:val="24"/>
          <w:szCs w:val="24"/>
        </w:rPr>
        <w:t>90%</w:t>
      </w:r>
      <w:r>
        <w:rPr>
          <w:rFonts w:hint="eastAsia" w:ascii="宋体" w:hAnsi="宋体" w:cs="仿宋e眠副浡渀."/>
          <w:color w:val="auto"/>
          <w:kern w:val="0"/>
          <w:sz w:val="24"/>
          <w:szCs w:val="24"/>
        </w:rPr>
        <w:t>，则</w:t>
      </w:r>
      <w:r>
        <w:rPr>
          <w:rFonts w:ascii="Cambria Math" w:hAnsi="Cambria Math" w:cs="Cambria Math"/>
          <w:color w:val="auto"/>
          <w:kern w:val="0"/>
          <w:sz w:val="24"/>
          <w:szCs w:val="24"/>
        </w:rPr>
        <w:t>𝑉</w:t>
      </w:r>
      <w:r>
        <w:rPr>
          <w:rFonts w:ascii="Cambria Math" w:hAnsi="Cambria Math" w:cs="Cambria Math"/>
          <w:color w:val="auto"/>
          <w:kern w:val="0"/>
          <w:sz w:val="24"/>
          <w:szCs w:val="24"/>
          <w:vertAlign w:val="subscript"/>
        </w:rPr>
        <w:t>𝑛</w:t>
      </w:r>
      <w:r>
        <w:rPr>
          <w:rFonts w:hint="eastAsia" w:ascii="宋体" w:hAnsi="宋体" w:cs="仿宋e眠副浡渀."/>
          <w:color w:val="auto"/>
          <w:kern w:val="0"/>
          <w:sz w:val="24"/>
          <w:szCs w:val="24"/>
        </w:rPr>
        <w:t>取</w:t>
      </w:r>
      <w:r>
        <w:rPr>
          <w:rFonts w:ascii="宋体" w:hAnsi="宋体" w:cs="仿宋e眠副浡渀."/>
          <w:color w:val="auto"/>
          <w:kern w:val="0"/>
          <w:sz w:val="24"/>
          <w:szCs w:val="24"/>
        </w:rPr>
        <w:t>0.9</w:t>
      </w:r>
      <w:r>
        <w:rPr>
          <w:rFonts w:hint="eastAsia" w:ascii="宋体" w:hAnsi="宋体" w:cs="仿宋e眠副浡渀."/>
          <w:color w:val="auto"/>
          <w:kern w:val="0"/>
          <w:sz w:val="24"/>
          <w:szCs w:val="24"/>
        </w:rPr>
        <w:t>；计算出</w:t>
      </w:r>
      <w:r>
        <w:rPr>
          <w:rFonts w:ascii="Cambria Math" w:hAnsi="Cambria Math" w:cs="Cambria Math"/>
          <w:color w:val="auto"/>
          <w:kern w:val="0"/>
          <w:sz w:val="24"/>
          <w:szCs w:val="24"/>
        </w:rPr>
        <w:t>𝐶𝐶</w:t>
      </w:r>
      <w:r>
        <w:rPr>
          <w:rFonts w:hint="eastAsia" w:ascii="Cambria Math" w:hAnsi="Cambria Math" w:cs="Cambria Math"/>
          <w:color w:val="auto"/>
          <w:kern w:val="0"/>
          <w:sz w:val="24"/>
          <w:szCs w:val="24"/>
          <w:vertAlign w:val="subscript"/>
        </w:rPr>
        <w:t>（</w:t>
      </w:r>
      <w:r>
        <w:rPr>
          <w:rFonts w:hint="eastAsia" w:ascii="宋体" w:hAnsi="宋体" w:cs="仿宋e眠副浡渀."/>
          <w:color w:val="auto"/>
          <w:kern w:val="0"/>
          <w:sz w:val="24"/>
          <w:szCs w:val="24"/>
          <w:vertAlign w:val="subscript"/>
        </w:rPr>
        <w:t>非</w:t>
      </w:r>
      <w:r>
        <w:rPr>
          <w:rFonts w:ascii="Cambria Math" w:hAnsi="Cambria Math" w:cs="Cambria Math"/>
          <w:color w:val="auto"/>
          <w:kern w:val="0"/>
          <w:sz w:val="24"/>
          <w:szCs w:val="24"/>
          <w:vertAlign w:val="subscript"/>
        </w:rPr>
        <w:t>𝐶𝑂</w:t>
      </w:r>
      <w:r>
        <w:rPr>
          <w:rFonts w:ascii="宋体" w:hAnsi="宋体" w:cs="Cambria Math"/>
          <w:color w:val="auto"/>
          <w:kern w:val="0"/>
          <w:sz w:val="24"/>
          <w:szCs w:val="24"/>
          <w:vertAlign w:val="subscript"/>
        </w:rPr>
        <w:t>2</w:t>
      </w:r>
      <w:r>
        <w:rPr>
          <w:rFonts w:hint="eastAsia" w:ascii="宋体" w:hAnsi="宋体" w:cs="Cambria Math"/>
          <w:color w:val="auto"/>
          <w:kern w:val="0"/>
          <w:sz w:val="24"/>
          <w:szCs w:val="24"/>
          <w:vertAlign w:val="subscript"/>
        </w:rPr>
        <w:t>）</w:t>
      </w:r>
      <w:r>
        <w:rPr>
          <w:rFonts w:hint="eastAsia" w:ascii="宋体" w:hAnsi="宋体" w:cs="Cambria Math"/>
          <w:color w:val="auto"/>
          <w:kern w:val="0"/>
          <w:sz w:val="24"/>
          <w:szCs w:val="24"/>
        </w:rPr>
        <w:t>为9.26；</w:t>
      </w:r>
    </w:p>
    <w:p w14:paraId="357EC432">
      <w:pPr>
        <w:autoSpaceDE w:val="0"/>
        <w:autoSpaceDN w:val="0"/>
        <w:adjustRightInd w:val="0"/>
        <w:spacing w:line="500" w:lineRule="exact"/>
        <w:ind w:firstLine="1200" w:firstLineChars="500"/>
        <w:jc w:val="left"/>
        <w:rPr>
          <w:rFonts w:hint="eastAsia" w:ascii="宋体" w:hAnsi="宋体" w:cs="仿宋e眠副浡渀."/>
          <w:color w:val="auto"/>
          <w:kern w:val="0"/>
          <w:sz w:val="24"/>
          <w:szCs w:val="24"/>
        </w:rPr>
      </w:pPr>
      <w:r>
        <w:rPr>
          <w:rFonts w:ascii="Cambria Math" w:hAnsi="Cambria Math" w:cs="Cambria Math"/>
          <w:color w:val="auto"/>
          <w:kern w:val="0"/>
          <w:sz w:val="24"/>
          <w:szCs w:val="24"/>
        </w:rPr>
        <w:t>𝐶𝑁</w:t>
      </w:r>
      <w:r>
        <w:rPr>
          <w:rFonts w:ascii="Cambria Math" w:hAnsi="Cambria Math" w:cs="Cambria Math"/>
          <w:color w:val="auto"/>
          <w:kern w:val="0"/>
          <w:sz w:val="24"/>
          <w:szCs w:val="24"/>
          <w:vertAlign w:val="subscript"/>
        </w:rPr>
        <w:t>𝑛</w:t>
      </w:r>
      <w:r>
        <w:rPr>
          <w:rFonts w:hint="eastAsia" w:ascii="宋体" w:hAnsi="宋体" w:cs="仿宋e眠副浡渀."/>
          <w:color w:val="auto"/>
          <w:kern w:val="0"/>
          <w:sz w:val="24"/>
          <w:szCs w:val="24"/>
        </w:rPr>
        <w:t>为火炬气中第</w:t>
      </w:r>
      <w:r>
        <w:rPr>
          <w:rFonts w:ascii="宋体" w:hAnsi="宋体" w:cs="仿宋e眠副浡渀."/>
          <w:color w:val="auto"/>
          <w:kern w:val="0"/>
          <w:sz w:val="24"/>
          <w:szCs w:val="24"/>
        </w:rPr>
        <w:t>n</w:t>
      </w:r>
      <w:r>
        <w:rPr>
          <w:rFonts w:hint="eastAsia" w:ascii="宋体" w:hAnsi="宋体" w:cs="仿宋e眠副浡渀."/>
          <w:color w:val="auto"/>
          <w:kern w:val="0"/>
          <w:sz w:val="24"/>
          <w:szCs w:val="24"/>
        </w:rPr>
        <w:t>种含碳化合物（包括一氧化碳）化学分子式中的碳原子数目。</w:t>
      </w:r>
    </w:p>
    <w:p w14:paraId="5B397E5D">
      <w:pPr>
        <w:autoSpaceDE w:val="0"/>
        <w:autoSpaceDN w:val="0"/>
        <w:adjustRightInd w:val="0"/>
        <w:spacing w:line="500" w:lineRule="exact"/>
        <w:ind w:firstLine="1200" w:firstLineChars="500"/>
        <w:jc w:val="left"/>
        <w:rPr>
          <w:rFonts w:hint="eastAsia" w:ascii="宋体" w:hAnsi="宋体" w:cs="仿宋e眠副浡渀."/>
          <w:color w:val="auto"/>
          <w:kern w:val="0"/>
          <w:sz w:val="24"/>
          <w:szCs w:val="24"/>
        </w:rPr>
      </w:pPr>
      <w:r>
        <w:rPr>
          <w:rFonts w:ascii="宋体" w:hAnsi="宋体" w:cs="Cambria Math"/>
          <w:color w:val="auto"/>
          <w:kern w:val="0"/>
          <w:sz w:val="24"/>
          <w:szCs w:val="24"/>
        </w:rPr>
        <w:t>OF</w:t>
      </w:r>
      <w:r>
        <w:rPr>
          <w:rFonts w:hint="eastAsia" w:ascii="宋体" w:hAnsi="宋体" w:cs="仿宋e眠副浡渀."/>
          <w:color w:val="auto"/>
          <w:kern w:val="0"/>
          <w:sz w:val="24"/>
          <w:szCs w:val="24"/>
        </w:rPr>
        <w:t>为火炬燃烧的碳氧化率，如无实测数据可采用缺省值</w:t>
      </w:r>
      <w:r>
        <w:rPr>
          <w:rFonts w:ascii="宋体" w:hAnsi="宋体"/>
          <w:color w:val="auto"/>
          <w:kern w:val="0"/>
          <w:sz w:val="24"/>
          <w:szCs w:val="24"/>
        </w:rPr>
        <w:t>0.98</w:t>
      </w:r>
      <w:r>
        <w:rPr>
          <w:rFonts w:hint="eastAsia" w:ascii="宋体" w:hAnsi="宋体" w:cs="仿宋e眠副浡渀."/>
          <w:color w:val="auto"/>
          <w:kern w:val="0"/>
          <w:sz w:val="24"/>
          <w:szCs w:val="24"/>
        </w:rPr>
        <w:t>；</w:t>
      </w:r>
      <w:r>
        <w:rPr>
          <w:rFonts w:ascii="宋体" w:hAnsi="宋体" w:cs="仿宋e眠副浡渀."/>
          <w:color w:val="auto"/>
          <w:kern w:val="0"/>
          <w:sz w:val="24"/>
          <w:szCs w:val="24"/>
        </w:rPr>
        <w:t xml:space="preserve"> </w:t>
      </w:r>
    </w:p>
    <w:p w14:paraId="47B1AB93">
      <w:pPr>
        <w:pStyle w:val="209"/>
        <w:adjustRightInd w:val="0"/>
        <w:ind w:firstLine="1200" w:firstLineChars="500"/>
        <w:rPr>
          <w:rFonts w:hint="eastAsia" w:eastAsia="宋体"/>
          <w:color w:val="auto"/>
        </w:rPr>
      </w:pPr>
      <w:r>
        <w:rPr>
          <w:rFonts w:ascii="Cambria Math" w:hAnsi="Cambria Math" w:eastAsia="宋体" w:cs="Cambria Math"/>
          <w:color w:val="auto"/>
        </w:rPr>
        <w:t>𝑉</w:t>
      </w:r>
      <w:r>
        <w:rPr>
          <w:rFonts w:eastAsia="宋体" w:cs="Cambria Math"/>
          <w:color w:val="auto"/>
          <w:vertAlign w:val="subscript"/>
        </w:rPr>
        <w:t>(</w:t>
      </w:r>
      <w:r>
        <w:rPr>
          <w:rFonts w:ascii="Cambria Math" w:hAnsi="Cambria Math" w:eastAsia="宋体" w:cs="Cambria Math"/>
          <w:color w:val="auto"/>
          <w:vertAlign w:val="subscript"/>
        </w:rPr>
        <w:t>𝐶𝑂</w:t>
      </w:r>
      <w:r>
        <w:rPr>
          <w:rFonts w:eastAsia="宋体" w:cs="Cambria Math"/>
          <w:color w:val="auto"/>
          <w:vertAlign w:val="subscript"/>
        </w:rPr>
        <w:t>2)</w:t>
      </w:r>
      <w:r>
        <w:rPr>
          <w:rFonts w:ascii="Cambria Math" w:hAnsi="Cambria Math" w:eastAsia="宋体" w:cs="Cambria Math"/>
          <w:color w:val="auto"/>
          <w:vertAlign w:val="subscript"/>
        </w:rPr>
        <w:t>𝑗</w:t>
      </w:r>
      <w:r>
        <w:rPr>
          <w:rFonts w:hint="eastAsia" w:eastAsia="宋体" w:cs="仿宋e眠副浡渀."/>
          <w:color w:val="auto"/>
        </w:rPr>
        <w:t>为第</w:t>
      </w:r>
      <w:r>
        <w:rPr>
          <w:rFonts w:eastAsia="宋体"/>
          <w:color w:val="auto"/>
        </w:rPr>
        <w:t>j</w:t>
      </w:r>
      <w:r>
        <w:rPr>
          <w:rFonts w:hint="eastAsia" w:eastAsia="宋体" w:cs="仿宋e眠副浡渀."/>
          <w:color w:val="auto"/>
        </w:rPr>
        <w:t>次事故火炬气中</w:t>
      </w:r>
      <w:r>
        <w:rPr>
          <w:rFonts w:eastAsia="宋体"/>
          <w:color w:val="auto"/>
        </w:rPr>
        <w:t>CO</w:t>
      </w:r>
      <w:r>
        <w:rPr>
          <w:rFonts w:eastAsia="宋体"/>
          <w:color w:val="auto"/>
          <w:vertAlign w:val="subscript"/>
        </w:rPr>
        <w:t>2</w:t>
      </w:r>
      <w:r>
        <w:rPr>
          <w:rFonts w:hint="eastAsia" w:eastAsia="宋体" w:cs="仿宋e眠副浡渀."/>
          <w:color w:val="auto"/>
        </w:rPr>
        <w:t>的体积浓度，本次取0.63%；</w:t>
      </w:r>
    </w:p>
    <w:p w14:paraId="060FEE90">
      <w:pPr>
        <w:pStyle w:val="209"/>
        <w:adjustRightInd w:val="0"/>
        <w:ind w:firstLine="1200" w:firstLineChars="500"/>
        <w:rPr>
          <w:rFonts w:hint="eastAsia" w:eastAsia="宋体"/>
          <w:color w:val="auto"/>
        </w:rPr>
      </w:pPr>
      <w:r>
        <w:rPr>
          <w:rFonts w:ascii="Cambria Math" w:hAnsi="Cambria Math" w:eastAsia="宋体" w:cs="Cambria Math"/>
          <w:color w:val="auto"/>
        </w:rPr>
        <w:t>𝑉</w:t>
      </w:r>
      <w:r>
        <w:rPr>
          <w:rFonts w:ascii="Cambria Math" w:hAnsi="Cambria Math" w:eastAsia="宋体" w:cs="Cambria Math"/>
          <w:color w:val="auto"/>
          <w:vertAlign w:val="subscript"/>
        </w:rPr>
        <w:t>𝐶𝐻</w:t>
      </w:r>
      <w:r>
        <w:rPr>
          <w:rFonts w:eastAsia="宋体"/>
          <w:color w:val="auto"/>
          <w:vertAlign w:val="subscript"/>
        </w:rPr>
        <w:t>4</w:t>
      </w:r>
      <w:r>
        <w:rPr>
          <w:rFonts w:hint="eastAsia" w:eastAsia="宋体" w:cs="仿宋 .瑨.."/>
          <w:color w:val="auto"/>
        </w:rPr>
        <w:t>为事故火炬气中</w:t>
      </w:r>
      <w:r>
        <w:rPr>
          <w:rFonts w:eastAsia="宋体"/>
          <w:color w:val="auto"/>
        </w:rPr>
        <w:t>CH</w:t>
      </w:r>
      <w:r>
        <w:rPr>
          <w:rFonts w:eastAsia="宋体"/>
          <w:color w:val="auto"/>
          <w:vertAlign w:val="subscript"/>
        </w:rPr>
        <w:t>4</w:t>
      </w:r>
      <w:r>
        <w:rPr>
          <w:rFonts w:hint="eastAsia" w:eastAsia="宋体" w:cs="仿宋 .瑨.."/>
          <w:color w:val="auto"/>
        </w:rPr>
        <w:t>的体积浓度，本次取80%。</w:t>
      </w:r>
    </w:p>
    <w:p w14:paraId="2C3FBAB8">
      <w:pPr>
        <w:pStyle w:val="209"/>
        <w:ind w:firstLine="476"/>
        <w:rPr>
          <w:rFonts w:hint="eastAsia" w:eastAsia="宋体"/>
          <w:color w:val="auto"/>
          <w:spacing w:val="-2"/>
        </w:rPr>
      </w:pPr>
      <w:r>
        <w:rPr>
          <w:rFonts w:hint="eastAsia" w:eastAsia="宋体"/>
          <w:color w:val="auto"/>
          <w:spacing w:val="-2"/>
        </w:rPr>
        <w:t>根据上述公式计算出CH</w:t>
      </w:r>
      <w:r>
        <w:rPr>
          <w:rFonts w:hint="eastAsia" w:eastAsia="宋体"/>
          <w:color w:val="auto"/>
          <w:spacing w:val="-2"/>
          <w:vertAlign w:val="subscript"/>
        </w:rPr>
        <w:t>4</w:t>
      </w:r>
      <w:r>
        <w:rPr>
          <w:rFonts w:hint="eastAsia" w:eastAsia="宋体"/>
          <w:color w:val="auto"/>
          <w:spacing w:val="-2"/>
        </w:rPr>
        <w:t>和CO</w:t>
      </w:r>
      <w:r>
        <w:rPr>
          <w:rFonts w:hint="eastAsia" w:eastAsia="宋体"/>
          <w:color w:val="auto"/>
          <w:spacing w:val="-2"/>
          <w:vertAlign w:val="subscript"/>
        </w:rPr>
        <w:t>2</w:t>
      </w:r>
      <w:r>
        <w:rPr>
          <w:rFonts w:hint="eastAsia" w:eastAsia="宋体"/>
          <w:color w:val="auto"/>
          <w:spacing w:val="-2"/>
        </w:rPr>
        <w:t>排放量分别为0.22t、66.7t。</w:t>
      </w:r>
    </w:p>
    <w:p w14:paraId="23EAE55C">
      <w:pPr>
        <w:pStyle w:val="209"/>
        <w:ind w:firstLine="480"/>
        <w:rPr>
          <w:rFonts w:hint="eastAsia" w:eastAsia="宋体"/>
          <w:color w:val="auto"/>
        </w:rPr>
      </w:pPr>
      <w:r>
        <w:rPr>
          <w:rFonts w:hint="eastAsia" w:eastAsia="宋体"/>
          <w:color w:val="auto"/>
        </w:rPr>
        <w:t>※净购入电力隐含的CO</w:t>
      </w:r>
      <w:r>
        <w:rPr>
          <w:rFonts w:hint="eastAsia" w:eastAsia="宋体"/>
          <w:color w:val="auto"/>
          <w:vertAlign w:val="subscript"/>
        </w:rPr>
        <w:t>2</w:t>
      </w:r>
      <w:r>
        <w:rPr>
          <w:rFonts w:hint="eastAsia" w:eastAsia="宋体"/>
          <w:color w:val="auto"/>
        </w:rPr>
        <w:t>排放量</w:t>
      </w:r>
    </w:p>
    <w:p w14:paraId="056DBCF6">
      <w:pPr>
        <w:pStyle w:val="209"/>
        <w:ind w:firstLine="480"/>
        <w:rPr>
          <w:rFonts w:hint="eastAsia" w:eastAsia="宋体"/>
          <w:color w:val="auto"/>
        </w:rPr>
      </w:pPr>
      <w:r>
        <w:rPr>
          <w:rFonts w:hint="eastAsia" w:eastAsia="宋体"/>
          <w:color w:val="auto"/>
        </w:rPr>
        <w:t>购入电力生产的二氧化碳排放量按如下公式计算：</w:t>
      </w:r>
    </w:p>
    <w:p w14:paraId="5DF6E83B">
      <w:pPr>
        <w:pStyle w:val="19"/>
        <w:kinsoku w:val="0"/>
        <w:overflowPunct w:val="0"/>
        <w:spacing w:before="3"/>
        <w:jc w:val="center"/>
        <w:rPr>
          <w:color w:val="auto"/>
          <w:sz w:val="17"/>
          <w:szCs w:val="17"/>
        </w:rPr>
      </w:pPr>
      <w:r>
        <w:rPr>
          <w:color w:val="auto"/>
        </w:rPr>
        <w:drawing>
          <wp:inline distT="0" distB="0" distL="0" distR="0">
            <wp:extent cx="2361565" cy="445135"/>
            <wp:effectExtent l="0" t="0" r="635" b="0"/>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89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2361565" cy="445135"/>
                    </a:xfrm>
                    <a:prstGeom prst="rect">
                      <a:avLst/>
                    </a:prstGeom>
                    <a:noFill/>
                    <a:ln>
                      <a:noFill/>
                    </a:ln>
                  </pic:spPr>
                </pic:pic>
              </a:graphicData>
            </a:graphic>
          </wp:inline>
        </w:drawing>
      </w:r>
    </w:p>
    <w:p w14:paraId="6438087B">
      <w:pPr>
        <w:pStyle w:val="209"/>
        <w:ind w:firstLine="476"/>
        <w:rPr>
          <w:rFonts w:hint="eastAsia" w:eastAsia="宋体"/>
          <w:color w:val="auto"/>
        </w:rPr>
      </w:pPr>
      <w:r>
        <w:rPr>
          <w:rFonts w:hint="eastAsia" w:eastAsia="宋体"/>
          <w:color w:val="auto"/>
          <w:spacing w:val="-2"/>
          <w:position w:val="2"/>
        </w:rPr>
        <w:t>式中：</w:t>
      </w:r>
      <w:r>
        <w:rPr>
          <w:rFonts w:hint="eastAsia" w:eastAsia="宋体"/>
          <w:color w:val="auto"/>
        </w:rPr>
        <w:t>E</w:t>
      </w:r>
      <w:r>
        <w:rPr>
          <w:rFonts w:hint="eastAsia" w:eastAsia="宋体"/>
          <w:color w:val="auto"/>
          <w:vertAlign w:val="subscript"/>
        </w:rPr>
        <w:t>C02-净电</w:t>
      </w:r>
      <w:r>
        <w:rPr>
          <w:rFonts w:hint="eastAsia" w:eastAsia="宋体"/>
          <w:color w:val="auto"/>
        </w:rPr>
        <w:t>为报告主体净购入电力隐含的C0</w:t>
      </w:r>
      <w:r>
        <w:rPr>
          <w:rFonts w:hint="eastAsia" w:eastAsia="宋体"/>
          <w:color w:val="auto"/>
          <w:vertAlign w:val="subscript"/>
        </w:rPr>
        <w:t>2</w:t>
      </w:r>
      <w:r>
        <w:rPr>
          <w:rFonts w:hint="eastAsia" w:eastAsia="宋体"/>
          <w:color w:val="auto"/>
        </w:rPr>
        <w:t>排放量，单位为吨C0</w:t>
      </w:r>
      <w:r>
        <w:rPr>
          <w:rFonts w:hint="eastAsia" w:eastAsia="宋体"/>
          <w:color w:val="auto"/>
          <w:vertAlign w:val="subscript"/>
        </w:rPr>
        <w:t>2</w:t>
      </w:r>
      <w:r>
        <w:rPr>
          <w:rFonts w:hint="eastAsia" w:eastAsia="宋体"/>
          <w:color w:val="auto"/>
        </w:rPr>
        <w:t>；</w:t>
      </w:r>
    </w:p>
    <w:p w14:paraId="54AA49D9">
      <w:pPr>
        <w:pStyle w:val="209"/>
        <w:ind w:firstLine="1200" w:firstLineChars="500"/>
        <w:rPr>
          <w:rFonts w:hint="eastAsia" w:eastAsia="宋体"/>
          <w:color w:val="auto"/>
        </w:rPr>
      </w:pPr>
      <w:r>
        <w:rPr>
          <w:rFonts w:hint="eastAsia" w:eastAsia="宋体"/>
          <w:color w:val="auto"/>
        </w:rPr>
        <w:t>AD</w:t>
      </w:r>
      <w:r>
        <w:rPr>
          <w:rFonts w:hint="eastAsia" w:eastAsia="宋体"/>
          <w:color w:val="auto"/>
          <w:vertAlign w:val="subscript"/>
        </w:rPr>
        <w:t>电力</w:t>
      </w:r>
      <w:r>
        <w:rPr>
          <w:rFonts w:hint="eastAsia" w:eastAsia="宋体"/>
          <w:color w:val="auto"/>
        </w:rPr>
        <w:t>为企业净购入的电力消费量，单位为兆瓦时（MWh）；</w:t>
      </w:r>
    </w:p>
    <w:p w14:paraId="23DFEAA4">
      <w:pPr>
        <w:pStyle w:val="209"/>
        <w:ind w:firstLine="1200" w:firstLineChars="500"/>
        <w:rPr>
          <w:rFonts w:hint="eastAsia" w:eastAsia="宋体"/>
          <w:color w:val="auto"/>
        </w:rPr>
      </w:pPr>
      <w:r>
        <w:rPr>
          <w:rFonts w:hint="eastAsia" w:eastAsia="宋体"/>
          <w:color w:val="auto"/>
        </w:rPr>
        <w:t>EF</w:t>
      </w:r>
      <w:r>
        <w:rPr>
          <w:rFonts w:hint="eastAsia" w:eastAsia="宋体"/>
          <w:color w:val="auto"/>
          <w:vertAlign w:val="subscript"/>
        </w:rPr>
        <w:t>电力</w:t>
      </w:r>
      <w:r>
        <w:rPr>
          <w:rFonts w:hint="eastAsia" w:eastAsia="宋体"/>
          <w:color w:val="auto"/>
        </w:rPr>
        <w:t>为电力供应的C0</w:t>
      </w:r>
      <w:r>
        <w:rPr>
          <w:rFonts w:hint="eastAsia" w:eastAsia="宋体"/>
          <w:color w:val="auto"/>
          <w:vertAlign w:val="subscript"/>
        </w:rPr>
        <w:t>2</w:t>
      </w:r>
      <w:r>
        <w:rPr>
          <w:rFonts w:hint="eastAsia" w:eastAsia="宋体"/>
          <w:color w:val="auto"/>
        </w:rPr>
        <w:t>排放因子，单位为吨C0</w:t>
      </w:r>
      <w:r>
        <w:rPr>
          <w:rFonts w:hint="eastAsia" w:eastAsia="宋体"/>
          <w:color w:val="auto"/>
          <w:vertAlign w:val="subscript"/>
        </w:rPr>
        <w:t>2</w:t>
      </w:r>
      <w:r>
        <w:rPr>
          <w:rFonts w:hint="eastAsia" w:eastAsia="宋体"/>
          <w:color w:val="auto"/>
        </w:rPr>
        <w:t>/MWh。</w:t>
      </w:r>
    </w:p>
    <w:p w14:paraId="60396321">
      <w:pPr>
        <w:pStyle w:val="209"/>
        <w:ind w:firstLine="456"/>
        <w:rPr>
          <w:rFonts w:hint="eastAsia" w:eastAsia="宋体"/>
          <w:color w:val="auto"/>
          <w:spacing w:val="-12"/>
          <w:sz w:val="18"/>
          <w:szCs w:val="18"/>
        </w:rPr>
      </w:pPr>
      <w:r>
        <w:rPr>
          <w:rFonts w:hint="eastAsia" w:eastAsia="宋体"/>
          <w:color w:val="auto"/>
          <w:spacing w:val="-12"/>
        </w:rPr>
        <w:t>本工程电力消耗约</w:t>
      </w:r>
      <w:r>
        <w:rPr>
          <w:rFonts w:hint="eastAsia" w:hAnsi="Times New Roman" w:eastAsia="宋体"/>
          <w:color w:val="auto"/>
          <w:szCs w:val="23"/>
        </w:rPr>
        <w:t>9</w:t>
      </w:r>
      <w:r>
        <w:rPr>
          <w:rFonts w:hint="eastAsia" w:hAnsi="Times New Roman"/>
          <w:color w:val="auto"/>
          <w:szCs w:val="23"/>
        </w:rPr>
        <w:t>32.25</w:t>
      </w:r>
      <w:r>
        <w:rPr>
          <w:rFonts w:hint="eastAsia" w:eastAsia="宋体"/>
          <w:color w:val="auto"/>
          <w:spacing w:val="-12"/>
        </w:rPr>
        <w:t>MW·h，据此计算购入电力所产生的二氧化碳，详见表3.3-17。</w:t>
      </w:r>
    </w:p>
    <w:p w14:paraId="149CC2C1">
      <w:pPr>
        <w:pStyle w:val="15"/>
        <w:rPr>
          <w:rFonts w:hint="eastAsia"/>
          <w:color w:val="auto"/>
          <w:spacing w:val="-1"/>
        </w:rPr>
      </w:pPr>
      <w:r>
        <w:rPr>
          <w:color w:val="auto"/>
        </w:rPr>
        <w:t>表</w:t>
      </w:r>
      <w:r>
        <w:rPr>
          <w:rFonts w:hint="eastAsia"/>
          <w:color w:val="auto"/>
        </w:rPr>
        <w:t xml:space="preserve">3.3-17 </w:t>
      </w:r>
      <w:r>
        <w:rPr>
          <w:color w:val="auto"/>
        </w:rPr>
        <w:t xml:space="preserve"> </w:t>
      </w:r>
      <w:r>
        <w:rPr>
          <w:rFonts w:hint="eastAsia"/>
          <w:color w:val="auto"/>
          <w:spacing w:val="-1"/>
        </w:rPr>
        <w:t>年净购入电力所产生的二氧化碳排放情况</w:t>
      </w:r>
    </w:p>
    <w:tbl>
      <w:tblPr>
        <w:tblStyle w:val="51"/>
        <w:tblW w:w="8789" w:type="dxa"/>
        <w:tblInd w:w="2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38"/>
        <w:gridCol w:w="2911"/>
        <w:gridCol w:w="2940"/>
      </w:tblGrid>
      <w:tr w14:paraId="2491D2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2938" w:type="dxa"/>
            <w:vAlign w:val="center"/>
          </w:tcPr>
          <w:p w14:paraId="5CE830D1">
            <w:pPr>
              <w:pStyle w:val="288"/>
              <w:rPr>
                <w:rFonts w:hint="eastAsia" w:eastAsia="宋体"/>
                <w:color w:val="auto"/>
              </w:rPr>
            </w:pPr>
            <w:r>
              <w:rPr>
                <w:rFonts w:hint="eastAsia" w:eastAsia="宋体"/>
                <w:color w:val="auto"/>
              </w:rPr>
              <w:t>净购入电量（</w:t>
            </w:r>
            <w:r>
              <w:rPr>
                <w:rFonts w:eastAsia="宋体"/>
                <w:color w:val="auto"/>
              </w:rPr>
              <w:t>MW</w:t>
            </w:r>
            <w:r>
              <w:rPr>
                <w:rFonts w:hint="eastAsia" w:eastAsia="宋体"/>
                <w:color w:val="auto"/>
              </w:rPr>
              <w:t>·</w:t>
            </w:r>
            <w:r>
              <w:rPr>
                <w:rFonts w:eastAsia="宋体"/>
                <w:color w:val="auto"/>
              </w:rPr>
              <w:t>h</w:t>
            </w:r>
            <w:r>
              <w:rPr>
                <w:rFonts w:hint="eastAsia" w:eastAsia="宋体"/>
                <w:color w:val="auto"/>
              </w:rPr>
              <w:t>）</w:t>
            </w:r>
          </w:p>
        </w:tc>
        <w:tc>
          <w:tcPr>
            <w:tcW w:w="2911" w:type="dxa"/>
            <w:vAlign w:val="center"/>
          </w:tcPr>
          <w:p w14:paraId="52A59F6F">
            <w:pPr>
              <w:pStyle w:val="288"/>
              <w:rPr>
                <w:rFonts w:hint="eastAsia" w:eastAsia="宋体"/>
                <w:color w:val="auto"/>
                <w:position w:val="1"/>
              </w:rPr>
            </w:pPr>
            <w:r>
              <w:rPr>
                <w:rFonts w:hint="eastAsia" w:eastAsia="宋体"/>
                <w:color w:val="auto"/>
                <w:position w:val="1"/>
              </w:rPr>
              <w:t>排放因子（</w:t>
            </w:r>
            <w:r>
              <w:rPr>
                <w:rFonts w:eastAsia="宋体"/>
                <w:color w:val="auto"/>
                <w:position w:val="1"/>
              </w:rPr>
              <w:t>tCO</w:t>
            </w:r>
            <w:r>
              <w:rPr>
                <w:rFonts w:eastAsia="宋体"/>
                <w:color w:val="auto"/>
                <w:vertAlign w:val="subscript"/>
              </w:rPr>
              <w:t>2</w:t>
            </w:r>
            <w:r>
              <w:rPr>
                <w:rFonts w:eastAsia="宋体"/>
                <w:color w:val="auto"/>
                <w:position w:val="1"/>
              </w:rPr>
              <w:t>/MW</w:t>
            </w:r>
            <w:r>
              <w:rPr>
                <w:rFonts w:hint="eastAsia" w:eastAsia="宋体"/>
                <w:color w:val="auto"/>
                <w:position w:val="1"/>
              </w:rPr>
              <w:t>·</w:t>
            </w:r>
            <w:r>
              <w:rPr>
                <w:rFonts w:eastAsia="宋体"/>
                <w:color w:val="auto"/>
                <w:position w:val="1"/>
              </w:rPr>
              <w:t>h</w:t>
            </w:r>
            <w:r>
              <w:rPr>
                <w:rFonts w:hint="eastAsia" w:eastAsia="宋体"/>
                <w:color w:val="auto"/>
                <w:position w:val="1"/>
              </w:rPr>
              <w:t>）</w:t>
            </w:r>
          </w:p>
        </w:tc>
        <w:tc>
          <w:tcPr>
            <w:tcW w:w="2940" w:type="dxa"/>
            <w:vAlign w:val="center"/>
          </w:tcPr>
          <w:p w14:paraId="36E2598A">
            <w:pPr>
              <w:pStyle w:val="288"/>
              <w:rPr>
                <w:rFonts w:hint="eastAsia" w:eastAsia="宋体"/>
                <w:color w:val="auto"/>
                <w:position w:val="1"/>
              </w:rPr>
            </w:pPr>
            <w:r>
              <w:rPr>
                <w:rFonts w:hint="eastAsia" w:eastAsia="宋体"/>
                <w:color w:val="auto"/>
                <w:position w:val="1"/>
              </w:rPr>
              <w:t>排放量（</w:t>
            </w:r>
            <w:r>
              <w:rPr>
                <w:rFonts w:eastAsia="宋体"/>
                <w:color w:val="auto"/>
                <w:position w:val="1"/>
              </w:rPr>
              <w:t>tCO</w:t>
            </w:r>
            <w:r>
              <w:rPr>
                <w:rFonts w:eastAsia="宋体"/>
                <w:color w:val="auto"/>
                <w:vertAlign w:val="subscript"/>
              </w:rPr>
              <w:t>2</w:t>
            </w:r>
            <w:r>
              <w:rPr>
                <w:rFonts w:hint="eastAsia" w:eastAsia="宋体"/>
                <w:color w:val="auto"/>
                <w:position w:val="1"/>
              </w:rPr>
              <w:t>）</w:t>
            </w:r>
          </w:p>
        </w:tc>
      </w:tr>
      <w:tr w14:paraId="785B45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38" w:type="dxa"/>
            <w:vAlign w:val="center"/>
          </w:tcPr>
          <w:p w14:paraId="0941C05E">
            <w:pPr>
              <w:pStyle w:val="288"/>
              <w:rPr>
                <w:rFonts w:hint="eastAsia" w:eastAsia="宋体"/>
                <w:color w:val="auto"/>
              </w:rPr>
            </w:pPr>
            <w:r>
              <w:rPr>
                <w:rFonts w:hint="eastAsia" w:eastAsia="宋体"/>
                <w:color w:val="auto"/>
              </w:rPr>
              <w:t>932.25</w:t>
            </w:r>
          </w:p>
        </w:tc>
        <w:tc>
          <w:tcPr>
            <w:tcW w:w="2911" w:type="dxa"/>
            <w:vAlign w:val="center"/>
          </w:tcPr>
          <w:p w14:paraId="3A7D8ECB">
            <w:pPr>
              <w:pStyle w:val="288"/>
              <w:rPr>
                <w:rFonts w:hint="eastAsia" w:eastAsia="宋体"/>
                <w:color w:val="auto"/>
              </w:rPr>
            </w:pPr>
            <w:r>
              <w:rPr>
                <w:rFonts w:eastAsia="宋体"/>
                <w:color w:val="auto"/>
              </w:rPr>
              <w:t>0.8922</w:t>
            </w:r>
          </w:p>
        </w:tc>
        <w:tc>
          <w:tcPr>
            <w:tcW w:w="2940" w:type="dxa"/>
            <w:vAlign w:val="center"/>
          </w:tcPr>
          <w:p w14:paraId="7DDBE7DF">
            <w:pPr>
              <w:pStyle w:val="288"/>
              <w:rPr>
                <w:rFonts w:hint="eastAsia" w:eastAsia="宋体"/>
                <w:color w:val="auto"/>
              </w:rPr>
            </w:pPr>
            <w:r>
              <w:rPr>
                <w:rFonts w:hint="eastAsia" w:eastAsia="宋体"/>
                <w:color w:val="auto"/>
              </w:rPr>
              <w:t>831.75</w:t>
            </w:r>
          </w:p>
        </w:tc>
      </w:tr>
      <w:tr w14:paraId="3090D6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789" w:type="dxa"/>
            <w:gridSpan w:val="3"/>
            <w:vAlign w:val="center"/>
          </w:tcPr>
          <w:p w14:paraId="609789DD">
            <w:pPr>
              <w:pStyle w:val="288"/>
              <w:keepNext/>
              <w:jc w:val="left"/>
              <w:rPr>
                <w:rFonts w:hint="eastAsia" w:eastAsia="宋体"/>
                <w:color w:val="auto"/>
              </w:rPr>
            </w:pPr>
            <w:r>
              <w:rPr>
                <w:rFonts w:hint="eastAsia" w:eastAsia="宋体"/>
                <w:color w:val="auto"/>
                <w:spacing w:val="-3"/>
              </w:rPr>
              <w:t>备注：排放因子来源于生态环境部</w:t>
            </w:r>
            <w:r>
              <w:rPr>
                <w:rFonts w:eastAsia="宋体"/>
                <w:color w:val="auto"/>
              </w:rPr>
              <w:t>2020</w:t>
            </w:r>
            <w:r>
              <w:rPr>
                <w:rFonts w:hint="eastAsia" w:eastAsia="宋体"/>
                <w:color w:val="auto"/>
                <w:spacing w:val="-37"/>
              </w:rPr>
              <w:t>年</w:t>
            </w:r>
            <w:r>
              <w:rPr>
                <w:rFonts w:eastAsia="宋体"/>
                <w:color w:val="auto"/>
              </w:rPr>
              <w:t>12</w:t>
            </w:r>
            <w:r>
              <w:rPr>
                <w:rFonts w:hint="eastAsia" w:eastAsia="宋体"/>
                <w:color w:val="auto"/>
              </w:rPr>
              <w:t>月</w:t>
            </w:r>
            <w:r>
              <w:rPr>
                <w:rFonts w:eastAsia="宋体"/>
                <w:color w:val="auto"/>
              </w:rPr>
              <w:t>29</w:t>
            </w:r>
            <w:r>
              <w:rPr>
                <w:rFonts w:hint="eastAsia" w:eastAsia="宋体"/>
                <w:color w:val="auto"/>
                <w:spacing w:val="-10"/>
              </w:rPr>
              <w:t>日发布的《</w:t>
            </w:r>
            <w:r>
              <w:rPr>
                <w:rFonts w:eastAsia="宋体"/>
                <w:color w:val="auto"/>
              </w:rPr>
              <w:t>2019</w:t>
            </w:r>
            <w:r>
              <w:rPr>
                <w:rFonts w:hint="eastAsia" w:eastAsia="宋体"/>
                <w:color w:val="auto"/>
                <w:spacing w:val="-14"/>
              </w:rPr>
              <w:t>年度减排</w:t>
            </w:r>
            <w:r>
              <w:rPr>
                <w:rFonts w:hint="eastAsia" w:eastAsia="宋体"/>
                <w:color w:val="auto"/>
              </w:rPr>
              <w:t>项目中国区域电网基准线排放因子》中规定的西北电网的排放因子</w:t>
            </w:r>
          </w:p>
        </w:tc>
      </w:tr>
    </w:tbl>
    <w:p w14:paraId="3F859A54">
      <w:pPr>
        <w:pStyle w:val="209"/>
        <w:ind w:firstLine="456"/>
        <w:rPr>
          <w:rFonts w:hint="eastAsia" w:eastAsia="宋体"/>
          <w:color w:val="auto"/>
          <w:spacing w:val="-12"/>
        </w:rPr>
      </w:pPr>
      <w:r>
        <w:rPr>
          <w:rFonts w:hint="eastAsia" w:eastAsia="宋体"/>
          <w:color w:val="auto"/>
          <w:spacing w:val="-12"/>
        </w:rPr>
        <w:t>根据上述计算可知，本项目CH</w:t>
      </w:r>
      <w:r>
        <w:rPr>
          <w:rFonts w:hint="eastAsia" w:eastAsia="宋体"/>
          <w:color w:val="auto"/>
          <w:spacing w:val="-12"/>
          <w:vertAlign w:val="subscript"/>
        </w:rPr>
        <w:t>4</w:t>
      </w:r>
      <w:r>
        <w:rPr>
          <w:rFonts w:hint="eastAsia" w:eastAsia="宋体"/>
          <w:color w:val="auto"/>
          <w:spacing w:val="-12"/>
        </w:rPr>
        <w:t>排放量为11.56t/a，CO</w:t>
      </w:r>
      <w:r>
        <w:rPr>
          <w:rFonts w:hint="eastAsia" w:eastAsia="宋体"/>
          <w:color w:val="auto"/>
          <w:spacing w:val="-12"/>
          <w:vertAlign w:val="subscript"/>
        </w:rPr>
        <w:t>2</w:t>
      </w:r>
      <w:r>
        <w:rPr>
          <w:rFonts w:hint="eastAsia" w:eastAsia="宋体"/>
          <w:color w:val="auto"/>
          <w:spacing w:val="-12"/>
        </w:rPr>
        <w:t>排放量为902.16t/a。</w:t>
      </w:r>
    </w:p>
    <w:p w14:paraId="037E4DD4">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340" w:name="_Toc224405928"/>
      <w:r>
        <w:rPr>
          <w:rFonts w:hint="eastAsia" w:ascii="黑体" w:hAnsi="黑体" w:eastAsia="黑体" w:cs="Times New Roman"/>
          <w:bCs/>
          <w:color w:val="auto"/>
          <w:sz w:val="28"/>
          <w:szCs w:val="32"/>
          <w14:ligatures w14:val="none"/>
        </w:rPr>
        <w:t>总量控制指标</w:t>
      </w:r>
      <w:bookmarkEnd w:id="340"/>
    </w:p>
    <w:p w14:paraId="1F7C722B">
      <w:pPr>
        <w:pStyle w:val="86"/>
        <w:ind w:firstLine="480"/>
        <w:rPr>
          <w:rFonts w:hint="eastAsia"/>
          <w:color w:val="auto"/>
          <w:lang w:val="zh-CN"/>
        </w:rPr>
      </w:pPr>
      <w:r>
        <w:rPr>
          <w:rFonts w:hint="eastAsia"/>
          <w:color w:val="auto"/>
          <w:lang w:val="zh-CN"/>
        </w:rPr>
        <w:t>根据《“十五五”污染减排综合工作方案编制技术指南》，大气污染物减排因子为NOx、VOCs，水污染物减排因子为COD和总磷。</w:t>
      </w:r>
      <w:r>
        <w:rPr>
          <w:rFonts w:hint="eastAsia"/>
          <w:color w:val="auto"/>
        </w:rPr>
        <w:t>本项目采出水和井下作业废液集中收集后送至莫北转油站采出水处理系统处理，出水水质满足</w:t>
      </w:r>
      <w:r>
        <w:rPr>
          <w:rFonts w:hint="eastAsia"/>
          <w:color w:val="auto"/>
          <w:lang w:val="zh-CN"/>
        </w:rPr>
        <w:t>《碎屑岩油藏注水水质指标技术要求及分析方法》（SY/T5329-2022）</w:t>
      </w:r>
      <w:r>
        <w:rPr>
          <w:rFonts w:hint="eastAsia"/>
          <w:color w:val="auto"/>
        </w:rPr>
        <w:t>Ⅲ级标准</w:t>
      </w:r>
      <w:r>
        <w:rPr>
          <w:rFonts w:hint="eastAsia"/>
          <w:color w:val="auto"/>
          <w:lang w:val="zh-CN"/>
        </w:rPr>
        <w:t>后回注地层；本项目非甲烷总烃和氮氧化物为无组织排放，无有组织非甲烷总烃和氮氧化物排放，故本次不进行总量控制指标申请。</w:t>
      </w:r>
    </w:p>
    <w:bookmarkEnd w:id="320"/>
    <w:bookmarkEnd w:id="321"/>
    <w:p w14:paraId="04349F49">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341" w:name="_Toc475624472"/>
      <w:bookmarkStart w:id="342" w:name="_Toc224405929"/>
      <w:r>
        <w:rPr>
          <w:rFonts w:hint="eastAsia" w:ascii="黑体" w:hAnsi="黑体" w:eastAsia="黑体" w:cs="Times New Roman"/>
          <w:bCs/>
          <w:color w:val="auto"/>
          <w:sz w:val="28"/>
          <w:szCs w:val="32"/>
          <w14:ligatures w14:val="none"/>
        </w:rPr>
        <w:t>清洁生产分析</w:t>
      </w:r>
      <w:bookmarkEnd w:id="341"/>
      <w:bookmarkEnd w:id="342"/>
    </w:p>
    <w:p w14:paraId="71CF67D1">
      <w:pPr>
        <w:pStyle w:val="86"/>
        <w:spacing w:line="480" w:lineRule="exact"/>
        <w:ind w:firstLine="480"/>
        <w:rPr>
          <w:rFonts w:hint="eastAsia"/>
          <w:color w:val="auto"/>
        </w:rPr>
      </w:pPr>
      <w:r>
        <w:rPr>
          <w:rFonts w:hint="eastAsia"/>
          <w:color w:val="auto"/>
        </w:rPr>
        <w:t>所谓</w:t>
      </w:r>
      <w:r>
        <w:rPr>
          <w:color w:val="auto"/>
        </w:rPr>
        <w:t>清洁生产是指不断采取改进设计、使用清洁的能源和原料、采用先进的工艺技术与设备、改善管理、综合利用等措施，从源头削减污染，提高资源利用效率，减少或者避免生产、服务和产品使用过程中污染物的产生和排放，以减轻或者消除对人类健康和环境的危害。</w:t>
      </w:r>
      <w:bookmarkStart w:id="343" w:name="_Toc445842172"/>
      <w:bookmarkStart w:id="344" w:name="_Toc445996487"/>
      <w:bookmarkStart w:id="345" w:name="_Toc445840430"/>
      <w:bookmarkStart w:id="346" w:name="_Toc30202"/>
      <w:r>
        <w:rPr>
          <w:rFonts w:hint="eastAsia"/>
          <w:color w:val="auto"/>
        </w:rPr>
        <w:t>清洁生产是一种新的、创造性的思维方式，它以节能、降耗、减污、增效为目标，以技术和管理为手段，通过对生产全过程的排污审核、筛选并实施污染防治措施，以消除和减少工业生产对人类健康与生态环境的影响，达到防治污染、提高经济效益的双重目的。</w:t>
      </w:r>
      <w:bookmarkEnd w:id="343"/>
      <w:bookmarkEnd w:id="344"/>
      <w:bookmarkEnd w:id="345"/>
      <w:bookmarkEnd w:id="346"/>
    </w:p>
    <w:p w14:paraId="3CCEB4E3">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347" w:name="_Hlk165553269"/>
      <w:r>
        <w:rPr>
          <w:rFonts w:ascii="黑体" w:hAnsi="黑体" w:eastAsia="黑体" w:cs="Times New Roman"/>
          <w:color w:val="auto"/>
          <w:sz w:val="24"/>
          <w:szCs w:val="21"/>
          <w:lang w:val="zh-CN"/>
          <w14:ligatures w14:val="none"/>
        </w:rPr>
        <w:t>清洁生产水平技术指标对比分析</w:t>
      </w:r>
    </w:p>
    <w:bookmarkEnd w:id="347"/>
    <w:p w14:paraId="60FE3AF6">
      <w:pPr>
        <w:pStyle w:val="86"/>
        <w:ind w:firstLine="480"/>
        <w:rPr>
          <w:rFonts w:hint="eastAsia"/>
          <w:color w:val="auto"/>
        </w:rPr>
      </w:pPr>
      <w:r>
        <w:rPr>
          <w:rFonts w:hint="eastAsia"/>
          <w:color w:val="auto"/>
        </w:rPr>
        <w:t>（1）指标分析</w:t>
      </w:r>
    </w:p>
    <w:p w14:paraId="1428C8AF">
      <w:pPr>
        <w:pStyle w:val="86"/>
        <w:ind w:firstLine="480"/>
        <w:rPr>
          <w:rFonts w:hint="eastAsia"/>
          <w:color w:val="auto"/>
        </w:rPr>
      </w:pPr>
      <w:r>
        <w:rPr>
          <w:color w:val="auto"/>
        </w:rPr>
        <w:t>石油天然气开采业建设项目清洁生产分析指标主要包括生产工艺与装备要求、资源能源利用指标、污染物产生指标、废物回收利用指标和环境管理要求等。根据国家发展改革委、工业和信息化部2009年联合发布的</w:t>
      </w:r>
      <w:r>
        <w:rPr>
          <w:rFonts w:hint="eastAsia"/>
          <w:color w:val="auto"/>
        </w:rPr>
        <w:t>《石油天然气开采行业清洁生产评价指标体系（试行）》</w:t>
      </w:r>
      <w:r>
        <w:rPr>
          <w:color w:val="auto"/>
        </w:rPr>
        <w:t>对本项目的清洁生产水平进行评价</w:t>
      </w:r>
      <w:r>
        <w:rPr>
          <w:rFonts w:hint="eastAsia"/>
          <w:color w:val="auto"/>
        </w:rPr>
        <w:t>。</w:t>
      </w:r>
    </w:p>
    <w:p w14:paraId="7BA7A8D4">
      <w:pPr>
        <w:pStyle w:val="86"/>
        <w:ind w:firstLine="480"/>
        <w:rPr>
          <w:rFonts w:hint="eastAsia"/>
          <w:color w:val="auto"/>
        </w:rPr>
      </w:pPr>
      <w:r>
        <w:rPr>
          <w:rFonts w:hint="eastAsia"/>
          <w:color w:val="auto"/>
        </w:rPr>
        <w:t>本项目</w:t>
      </w:r>
      <w:r>
        <w:rPr>
          <w:color w:val="auto"/>
        </w:rPr>
        <w:t>井下</w:t>
      </w:r>
      <w:r>
        <w:rPr>
          <w:rFonts w:hint="eastAsia"/>
          <w:color w:val="auto"/>
        </w:rPr>
        <w:t>作业</w:t>
      </w:r>
      <w:r>
        <w:rPr>
          <w:color w:val="auto"/>
        </w:rPr>
        <w:t>、采</w:t>
      </w:r>
      <w:r>
        <w:rPr>
          <w:rFonts w:hint="eastAsia"/>
          <w:color w:val="auto"/>
        </w:rPr>
        <w:t>油</w:t>
      </w:r>
      <w:r>
        <w:rPr>
          <w:color w:val="auto"/>
        </w:rPr>
        <w:t>和集输</w:t>
      </w:r>
      <w:r>
        <w:rPr>
          <w:rFonts w:hint="eastAsia"/>
          <w:color w:val="auto"/>
        </w:rPr>
        <w:t>处理</w:t>
      </w:r>
      <w:r>
        <w:rPr>
          <w:color w:val="auto"/>
        </w:rPr>
        <w:t>作业定量和定性评价指标项目、权重及基准值</w:t>
      </w:r>
      <w:r>
        <w:rPr>
          <w:rFonts w:hint="eastAsia"/>
          <w:color w:val="auto"/>
        </w:rPr>
        <w:t>见表3</w:t>
      </w:r>
      <w:r>
        <w:rPr>
          <w:color w:val="auto"/>
        </w:rPr>
        <w:t>.5</w:t>
      </w:r>
      <w:r>
        <w:rPr>
          <w:rFonts w:hint="eastAsia"/>
          <w:color w:val="auto"/>
        </w:rPr>
        <w:t>-</w:t>
      </w:r>
      <w:r>
        <w:rPr>
          <w:color w:val="auto"/>
        </w:rPr>
        <w:t>1</w:t>
      </w:r>
      <w:r>
        <w:rPr>
          <w:rFonts w:hint="eastAsia"/>
          <w:color w:val="auto"/>
        </w:rPr>
        <w:t>至表3</w:t>
      </w:r>
      <w:r>
        <w:rPr>
          <w:color w:val="auto"/>
        </w:rPr>
        <w:t>.5</w:t>
      </w:r>
      <w:r>
        <w:rPr>
          <w:rFonts w:hint="eastAsia"/>
          <w:color w:val="auto"/>
        </w:rPr>
        <w:t>-2</w:t>
      </w:r>
      <w:r>
        <w:rPr>
          <w:color w:val="auto"/>
        </w:rPr>
        <w:t>。</w:t>
      </w:r>
    </w:p>
    <w:p w14:paraId="6A04C340">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w:t>
      </w:r>
      <w:r>
        <w:rPr>
          <w:rFonts w:ascii="宋体" w:hAnsi="宋体"/>
          <w:color w:val="auto"/>
          <w:sz w:val="24"/>
          <w:szCs w:val="24"/>
        </w:rPr>
        <w:t>2</w:t>
      </w:r>
      <w:r>
        <w:rPr>
          <w:rFonts w:hint="eastAsia" w:ascii="宋体" w:hAnsi="宋体"/>
          <w:color w:val="auto"/>
          <w:sz w:val="24"/>
          <w:szCs w:val="24"/>
        </w:rPr>
        <w:t>）</w:t>
      </w:r>
      <w:r>
        <w:rPr>
          <w:rFonts w:ascii="宋体" w:hAnsi="宋体"/>
          <w:color w:val="auto"/>
          <w:sz w:val="24"/>
          <w:szCs w:val="24"/>
        </w:rPr>
        <w:t>综合评价指数考核评分计算</w:t>
      </w:r>
    </w:p>
    <w:p w14:paraId="53C3605D">
      <w:pPr>
        <w:spacing w:line="520" w:lineRule="exact"/>
        <w:ind w:firstLine="480" w:firstLineChars="200"/>
        <w:rPr>
          <w:rFonts w:hint="eastAsia" w:ascii="宋体" w:hAnsi="宋体"/>
          <w:color w:val="auto"/>
          <w:sz w:val="24"/>
          <w:szCs w:val="24"/>
        </w:rPr>
      </w:pPr>
      <w:r>
        <w:rPr>
          <w:rFonts w:ascii="宋体" w:hAnsi="宋体"/>
          <w:color w:val="auto"/>
          <w:sz w:val="24"/>
          <w:szCs w:val="24"/>
        </w:rPr>
        <w:t>综合评价指数考核总分值的计算公式为：</w:t>
      </w:r>
    </w:p>
    <w:p w14:paraId="0954C221">
      <w:pPr>
        <w:spacing w:line="520" w:lineRule="exact"/>
        <w:ind w:firstLine="480" w:firstLineChars="200"/>
        <w:rPr>
          <w:rFonts w:hint="eastAsia" w:ascii="宋体" w:hAnsi="宋体"/>
          <w:color w:val="auto"/>
          <w:sz w:val="24"/>
          <w:szCs w:val="24"/>
          <w:vertAlign w:val="subscript"/>
        </w:rPr>
      </w:pPr>
      <w:r>
        <w:rPr>
          <w:rFonts w:ascii="宋体" w:hAnsi="宋体"/>
          <w:color w:val="auto"/>
          <w:sz w:val="24"/>
          <w:szCs w:val="24"/>
        </w:rPr>
        <w:t xml:space="preserve">       P=0.6P</w:t>
      </w:r>
      <w:r>
        <w:rPr>
          <w:rFonts w:ascii="宋体" w:hAnsi="宋体"/>
          <w:color w:val="auto"/>
          <w:sz w:val="24"/>
          <w:szCs w:val="24"/>
          <w:vertAlign w:val="subscript"/>
        </w:rPr>
        <w:t>1</w:t>
      </w:r>
      <w:r>
        <w:rPr>
          <w:rFonts w:ascii="宋体" w:hAnsi="宋体"/>
          <w:color w:val="auto"/>
          <w:sz w:val="24"/>
          <w:szCs w:val="24"/>
        </w:rPr>
        <w:t>+0.4P</w:t>
      </w:r>
      <w:r>
        <w:rPr>
          <w:rFonts w:ascii="宋体" w:hAnsi="宋体"/>
          <w:color w:val="auto"/>
          <w:sz w:val="24"/>
          <w:szCs w:val="24"/>
          <w:vertAlign w:val="subscript"/>
        </w:rPr>
        <w:t>2</w:t>
      </w:r>
    </w:p>
    <w:p w14:paraId="13A82683">
      <w:pPr>
        <w:spacing w:line="520" w:lineRule="exact"/>
        <w:ind w:firstLine="480" w:firstLineChars="200"/>
        <w:rPr>
          <w:rFonts w:hint="eastAsia" w:ascii="宋体" w:hAnsi="宋体"/>
          <w:color w:val="auto"/>
          <w:sz w:val="24"/>
          <w:szCs w:val="24"/>
        </w:rPr>
      </w:pPr>
      <w:r>
        <w:rPr>
          <w:rFonts w:ascii="宋体" w:hAnsi="宋体"/>
          <w:color w:val="auto"/>
          <w:sz w:val="24"/>
          <w:szCs w:val="24"/>
        </w:rPr>
        <w:t>式中：P—清洁生产综合评价指数</w:t>
      </w:r>
    </w:p>
    <w:p w14:paraId="34DA1DBF">
      <w:pPr>
        <w:spacing w:line="520" w:lineRule="exact"/>
        <w:ind w:firstLine="480" w:firstLineChars="200"/>
        <w:rPr>
          <w:rFonts w:hint="eastAsia" w:ascii="宋体" w:hAnsi="宋体"/>
          <w:color w:val="auto"/>
          <w:sz w:val="24"/>
          <w:szCs w:val="24"/>
        </w:rPr>
      </w:pPr>
      <w:r>
        <w:rPr>
          <w:rFonts w:ascii="宋体" w:hAnsi="宋体"/>
          <w:color w:val="auto"/>
          <w:sz w:val="24"/>
          <w:szCs w:val="24"/>
        </w:rPr>
        <w:t xml:space="preserve">      P</w:t>
      </w:r>
      <w:r>
        <w:rPr>
          <w:rFonts w:ascii="宋体" w:hAnsi="宋体"/>
          <w:color w:val="auto"/>
          <w:sz w:val="24"/>
          <w:szCs w:val="24"/>
          <w:vertAlign w:val="subscript"/>
        </w:rPr>
        <w:t>1</w:t>
      </w:r>
      <w:r>
        <w:rPr>
          <w:rFonts w:ascii="宋体" w:hAnsi="宋体"/>
          <w:color w:val="auto"/>
          <w:sz w:val="24"/>
          <w:szCs w:val="24"/>
        </w:rPr>
        <w:t>—定量评价考核总分值；</w:t>
      </w:r>
    </w:p>
    <w:p w14:paraId="2EB3FE08">
      <w:pPr>
        <w:spacing w:line="520" w:lineRule="exact"/>
        <w:ind w:firstLine="480" w:firstLineChars="200"/>
        <w:rPr>
          <w:rFonts w:hint="eastAsia" w:ascii="宋体" w:hAnsi="宋体"/>
          <w:color w:val="auto"/>
          <w:sz w:val="24"/>
          <w:szCs w:val="24"/>
        </w:rPr>
      </w:pPr>
      <w:r>
        <w:rPr>
          <w:rFonts w:ascii="宋体" w:hAnsi="宋体"/>
          <w:color w:val="auto"/>
          <w:sz w:val="24"/>
          <w:szCs w:val="24"/>
        </w:rPr>
        <w:t xml:space="preserve">      P</w:t>
      </w:r>
      <w:r>
        <w:rPr>
          <w:rFonts w:ascii="宋体" w:hAnsi="宋体"/>
          <w:color w:val="auto"/>
          <w:sz w:val="24"/>
          <w:szCs w:val="24"/>
          <w:vertAlign w:val="subscript"/>
        </w:rPr>
        <w:t>2</w:t>
      </w:r>
      <w:r>
        <w:rPr>
          <w:rFonts w:ascii="宋体" w:hAnsi="宋体"/>
          <w:color w:val="auto"/>
          <w:sz w:val="24"/>
          <w:szCs w:val="24"/>
        </w:rPr>
        <w:t>—定性评价二级指标考核总分值。</w:t>
      </w:r>
    </w:p>
    <w:p w14:paraId="4A2543FC">
      <w:pPr>
        <w:spacing w:line="520" w:lineRule="exact"/>
        <w:ind w:firstLine="480" w:firstLineChars="200"/>
        <w:rPr>
          <w:rFonts w:hint="eastAsia" w:ascii="宋体" w:hAnsi="宋体"/>
          <w:color w:val="auto"/>
          <w:sz w:val="24"/>
          <w:szCs w:val="24"/>
        </w:rPr>
      </w:pPr>
      <w:r>
        <w:rPr>
          <w:rFonts w:ascii="宋体" w:hAnsi="宋体"/>
          <w:color w:val="auto"/>
          <w:sz w:val="24"/>
          <w:szCs w:val="24"/>
        </w:rPr>
        <w:t>根据目前我国石油和天然气开采行业的实际情况，不同等级的清洁生产企业的综合评价指标</w:t>
      </w:r>
      <w:r>
        <w:rPr>
          <w:rFonts w:hint="eastAsia" w:ascii="宋体" w:hAnsi="宋体"/>
          <w:color w:val="auto"/>
          <w:sz w:val="24"/>
          <w:szCs w:val="24"/>
        </w:rPr>
        <w:t>表3</w:t>
      </w:r>
      <w:r>
        <w:rPr>
          <w:rFonts w:ascii="宋体" w:hAnsi="宋体"/>
          <w:color w:val="auto"/>
          <w:sz w:val="24"/>
          <w:szCs w:val="24"/>
        </w:rPr>
        <w:t>.5</w:t>
      </w:r>
      <w:r>
        <w:rPr>
          <w:rFonts w:hint="eastAsia" w:ascii="宋体" w:hAnsi="宋体"/>
          <w:color w:val="auto"/>
          <w:sz w:val="24"/>
          <w:szCs w:val="24"/>
        </w:rPr>
        <w:t>-3</w:t>
      </w:r>
      <w:r>
        <w:rPr>
          <w:rFonts w:ascii="宋体" w:hAnsi="宋体"/>
          <w:color w:val="auto"/>
          <w:sz w:val="24"/>
          <w:szCs w:val="24"/>
        </w:rPr>
        <w:t>。</w:t>
      </w:r>
    </w:p>
    <w:p w14:paraId="12ADF48A">
      <w:pPr>
        <w:pStyle w:val="3"/>
        <w:rPr>
          <w:rFonts w:hint="eastAsia"/>
          <w:color w:val="auto"/>
        </w:rPr>
        <w:sectPr>
          <w:headerReference r:id="rId9" w:type="default"/>
          <w:footerReference r:id="rId10" w:type="default"/>
          <w:pgSz w:w="11906" w:h="16838"/>
          <w:pgMar w:top="1418" w:right="1588" w:bottom="1418" w:left="1588" w:header="1020" w:footer="1020" w:gutter="0"/>
          <w:cols w:space="720" w:num="1"/>
          <w:docGrid w:type="lines" w:linePitch="317" w:charSpace="0"/>
        </w:sectPr>
      </w:pPr>
    </w:p>
    <w:p w14:paraId="368B0B61">
      <w:pPr>
        <w:pStyle w:val="15"/>
        <w:rPr>
          <w:rFonts w:hint="eastAsia"/>
          <w:color w:val="auto"/>
          <w:spacing w:val="4"/>
        </w:rPr>
      </w:pPr>
      <w:r>
        <w:rPr>
          <w:rFonts w:hint="eastAsia"/>
          <w:color w:val="auto"/>
        </w:rPr>
        <w:t>表3</w:t>
      </w:r>
      <w:r>
        <w:rPr>
          <w:color w:val="auto"/>
        </w:rPr>
        <w:t>.5</w:t>
      </w:r>
      <w:r>
        <w:rPr>
          <w:rFonts w:hint="eastAsia"/>
          <w:color w:val="auto"/>
        </w:rPr>
        <w:t>-1</w:t>
      </w:r>
      <w:r>
        <w:rPr>
          <w:color w:val="auto"/>
        </w:rPr>
        <w:t xml:space="preserve"> </w:t>
      </w:r>
      <w:r>
        <w:rPr>
          <w:color w:val="auto"/>
          <w:spacing w:val="4"/>
        </w:rPr>
        <w:t xml:space="preserve"> 井下作业</w:t>
      </w:r>
      <w:r>
        <w:rPr>
          <w:color w:val="auto"/>
        </w:rPr>
        <w:t>定量和定性评价指标项目、权重及基准值</w:t>
      </w:r>
    </w:p>
    <w:tbl>
      <w:tblPr>
        <w:tblStyle w:val="51"/>
        <w:tblW w:w="0" w:type="auto"/>
        <w:tblInd w:w="0" w:type="dxa"/>
        <w:tblLayout w:type="fixed"/>
        <w:tblCellMar>
          <w:top w:w="0" w:type="dxa"/>
          <w:left w:w="108" w:type="dxa"/>
          <w:bottom w:w="0" w:type="dxa"/>
          <w:right w:w="108" w:type="dxa"/>
        </w:tblCellMar>
      </w:tblPr>
      <w:tblGrid>
        <w:gridCol w:w="2732"/>
        <w:gridCol w:w="896"/>
        <w:gridCol w:w="200"/>
        <w:gridCol w:w="1275"/>
        <w:gridCol w:w="1418"/>
        <w:gridCol w:w="1204"/>
        <w:gridCol w:w="153"/>
        <w:gridCol w:w="1110"/>
        <w:gridCol w:w="2499"/>
        <w:gridCol w:w="555"/>
        <w:gridCol w:w="555"/>
        <w:gridCol w:w="556"/>
        <w:gridCol w:w="725"/>
      </w:tblGrid>
      <w:tr w14:paraId="70CE5742">
        <w:tblPrEx>
          <w:tblCellMar>
            <w:top w:w="0" w:type="dxa"/>
            <w:left w:w="108" w:type="dxa"/>
            <w:bottom w:w="0" w:type="dxa"/>
            <w:right w:w="108" w:type="dxa"/>
          </w:tblCellMar>
        </w:tblPrEx>
        <w:trPr>
          <w:trHeight w:val="284" w:hRule="atLeast"/>
        </w:trPr>
        <w:tc>
          <w:tcPr>
            <w:tcW w:w="12042" w:type="dxa"/>
            <w:gridSpan w:val="10"/>
            <w:tcBorders>
              <w:top w:val="single" w:color="auto" w:sz="12" w:space="0"/>
              <w:bottom w:val="single" w:color="auto" w:sz="4" w:space="0"/>
              <w:right w:val="single" w:color="auto" w:sz="4" w:space="0"/>
            </w:tcBorders>
            <w:vAlign w:val="center"/>
          </w:tcPr>
          <w:p w14:paraId="0F405964">
            <w:pPr>
              <w:adjustRightInd w:val="0"/>
              <w:snapToGrid w:val="0"/>
              <w:spacing w:line="300" w:lineRule="exact"/>
              <w:jc w:val="left"/>
              <w:rPr>
                <w:rFonts w:hint="eastAsia" w:ascii="宋体" w:hAnsi="宋体"/>
                <w:color w:val="auto"/>
                <w:spacing w:val="4"/>
                <w:szCs w:val="21"/>
              </w:rPr>
            </w:pPr>
            <w:r>
              <w:rPr>
                <w:rFonts w:ascii="宋体" w:hAnsi="宋体"/>
                <w:color w:val="auto"/>
                <w:spacing w:val="4"/>
                <w:szCs w:val="21"/>
              </w:rPr>
              <w:t>定量指标</w:t>
            </w:r>
          </w:p>
        </w:tc>
        <w:tc>
          <w:tcPr>
            <w:tcW w:w="1836" w:type="dxa"/>
            <w:gridSpan w:val="3"/>
            <w:tcBorders>
              <w:top w:val="single" w:color="auto" w:sz="12" w:space="0"/>
              <w:left w:val="single" w:color="auto" w:sz="4" w:space="0"/>
              <w:bottom w:val="single" w:color="auto" w:sz="4" w:space="0"/>
            </w:tcBorders>
            <w:vAlign w:val="center"/>
          </w:tcPr>
          <w:p w14:paraId="32B1F9F1">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本项目</w:t>
            </w:r>
          </w:p>
        </w:tc>
      </w:tr>
      <w:tr w14:paraId="0A716371">
        <w:tblPrEx>
          <w:tblCellMar>
            <w:top w:w="0" w:type="dxa"/>
            <w:left w:w="108" w:type="dxa"/>
            <w:bottom w:w="0" w:type="dxa"/>
            <w:right w:w="108" w:type="dxa"/>
          </w:tblCellMar>
        </w:tblPrEx>
        <w:trPr>
          <w:trHeight w:val="284" w:hRule="atLeast"/>
        </w:trPr>
        <w:tc>
          <w:tcPr>
            <w:tcW w:w="2732" w:type="dxa"/>
            <w:tcBorders>
              <w:top w:val="single" w:color="auto" w:sz="4" w:space="0"/>
              <w:bottom w:val="single" w:color="auto" w:sz="4" w:space="0"/>
              <w:right w:val="single" w:color="auto" w:sz="4" w:space="0"/>
            </w:tcBorders>
            <w:vAlign w:val="center"/>
          </w:tcPr>
          <w:p w14:paraId="36F66E79">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一级指标</w:t>
            </w:r>
          </w:p>
        </w:tc>
        <w:tc>
          <w:tcPr>
            <w:tcW w:w="896" w:type="dxa"/>
            <w:tcBorders>
              <w:top w:val="single" w:color="auto" w:sz="4" w:space="0"/>
              <w:left w:val="single" w:color="auto" w:sz="4" w:space="0"/>
              <w:bottom w:val="single" w:color="auto" w:sz="4" w:space="0"/>
              <w:right w:val="single" w:color="auto" w:sz="4" w:space="0"/>
            </w:tcBorders>
            <w:vAlign w:val="center"/>
          </w:tcPr>
          <w:p w14:paraId="26F8D639">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权重值</w:t>
            </w:r>
          </w:p>
        </w:tc>
        <w:tc>
          <w:tcPr>
            <w:tcW w:w="2893" w:type="dxa"/>
            <w:gridSpan w:val="3"/>
            <w:tcBorders>
              <w:top w:val="single" w:color="auto" w:sz="4" w:space="0"/>
              <w:left w:val="single" w:color="auto" w:sz="4" w:space="0"/>
              <w:bottom w:val="single" w:color="auto" w:sz="4" w:space="0"/>
              <w:right w:val="single" w:color="auto" w:sz="4" w:space="0"/>
            </w:tcBorders>
            <w:vAlign w:val="center"/>
          </w:tcPr>
          <w:p w14:paraId="333F206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二级指标</w:t>
            </w:r>
          </w:p>
        </w:tc>
        <w:tc>
          <w:tcPr>
            <w:tcW w:w="1204" w:type="dxa"/>
            <w:tcBorders>
              <w:top w:val="single" w:color="auto" w:sz="4" w:space="0"/>
              <w:left w:val="single" w:color="auto" w:sz="4" w:space="0"/>
              <w:bottom w:val="single" w:color="auto" w:sz="4" w:space="0"/>
              <w:right w:val="single" w:color="auto" w:sz="4" w:space="0"/>
            </w:tcBorders>
            <w:vAlign w:val="center"/>
          </w:tcPr>
          <w:p w14:paraId="17C9CA49">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单位</w:t>
            </w:r>
          </w:p>
        </w:tc>
        <w:tc>
          <w:tcPr>
            <w:tcW w:w="1263" w:type="dxa"/>
            <w:gridSpan w:val="2"/>
            <w:tcBorders>
              <w:top w:val="single" w:color="auto" w:sz="4" w:space="0"/>
              <w:left w:val="single" w:color="auto" w:sz="4" w:space="0"/>
              <w:bottom w:val="single" w:color="auto" w:sz="4" w:space="0"/>
              <w:right w:val="single" w:color="auto" w:sz="4" w:space="0"/>
            </w:tcBorders>
            <w:vAlign w:val="center"/>
          </w:tcPr>
          <w:p w14:paraId="336209F8">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权重分值</w:t>
            </w:r>
          </w:p>
        </w:tc>
        <w:tc>
          <w:tcPr>
            <w:tcW w:w="3054" w:type="dxa"/>
            <w:gridSpan w:val="2"/>
            <w:tcBorders>
              <w:top w:val="single" w:color="auto" w:sz="4" w:space="0"/>
              <w:left w:val="single" w:color="auto" w:sz="4" w:space="0"/>
              <w:bottom w:val="single" w:color="auto" w:sz="4" w:space="0"/>
              <w:right w:val="single" w:color="auto" w:sz="4" w:space="0"/>
            </w:tcBorders>
            <w:vAlign w:val="center"/>
          </w:tcPr>
          <w:p w14:paraId="53253274">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评价基准值</w:t>
            </w:r>
          </w:p>
        </w:tc>
        <w:tc>
          <w:tcPr>
            <w:tcW w:w="1111" w:type="dxa"/>
            <w:gridSpan w:val="2"/>
            <w:tcBorders>
              <w:top w:val="single" w:color="auto" w:sz="4" w:space="0"/>
              <w:left w:val="single" w:color="auto" w:sz="4" w:space="0"/>
              <w:bottom w:val="single" w:color="auto" w:sz="4" w:space="0"/>
              <w:right w:val="single" w:color="auto" w:sz="4" w:space="0"/>
            </w:tcBorders>
            <w:vAlign w:val="center"/>
          </w:tcPr>
          <w:p w14:paraId="550D714B">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估算值</w:t>
            </w:r>
          </w:p>
        </w:tc>
        <w:tc>
          <w:tcPr>
            <w:tcW w:w="725" w:type="dxa"/>
            <w:tcBorders>
              <w:top w:val="single" w:color="auto" w:sz="4" w:space="0"/>
              <w:left w:val="single" w:color="auto" w:sz="4" w:space="0"/>
              <w:bottom w:val="single" w:color="auto" w:sz="4" w:space="0"/>
            </w:tcBorders>
            <w:vAlign w:val="center"/>
          </w:tcPr>
          <w:p w14:paraId="7FC02C53">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评分</w:t>
            </w:r>
          </w:p>
        </w:tc>
      </w:tr>
      <w:tr w14:paraId="1568D281">
        <w:tblPrEx>
          <w:tblCellMar>
            <w:top w:w="0" w:type="dxa"/>
            <w:left w:w="108" w:type="dxa"/>
            <w:bottom w:w="0" w:type="dxa"/>
            <w:right w:w="108" w:type="dxa"/>
          </w:tblCellMar>
        </w:tblPrEx>
        <w:trPr>
          <w:trHeight w:val="284" w:hRule="atLeast"/>
        </w:trPr>
        <w:tc>
          <w:tcPr>
            <w:tcW w:w="2732" w:type="dxa"/>
            <w:vMerge w:val="restart"/>
            <w:tcBorders>
              <w:top w:val="single" w:color="auto" w:sz="4" w:space="0"/>
              <w:bottom w:val="single" w:color="auto" w:sz="4" w:space="0"/>
              <w:right w:val="single" w:color="auto" w:sz="4" w:space="0"/>
            </w:tcBorders>
            <w:vAlign w:val="center"/>
          </w:tcPr>
          <w:p w14:paraId="3B00A01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（1）资源和能源消耗指标</w:t>
            </w:r>
          </w:p>
        </w:tc>
        <w:tc>
          <w:tcPr>
            <w:tcW w:w="896" w:type="dxa"/>
            <w:vMerge w:val="restart"/>
            <w:tcBorders>
              <w:top w:val="single" w:color="auto" w:sz="4" w:space="0"/>
              <w:left w:val="single" w:color="auto" w:sz="4" w:space="0"/>
              <w:bottom w:val="single" w:color="auto" w:sz="4" w:space="0"/>
              <w:right w:val="single" w:color="auto" w:sz="4" w:space="0"/>
            </w:tcBorders>
            <w:vAlign w:val="center"/>
          </w:tcPr>
          <w:p w14:paraId="220B9656">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30</w:t>
            </w:r>
          </w:p>
        </w:tc>
        <w:tc>
          <w:tcPr>
            <w:tcW w:w="2893" w:type="dxa"/>
            <w:gridSpan w:val="3"/>
            <w:tcBorders>
              <w:top w:val="single" w:color="auto" w:sz="4" w:space="0"/>
              <w:left w:val="single" w:color="auto" w:sz="4" w:space="0"/>
              <w:bottom w:val="single" w:color="auto" w:sz="4" w:space="0"/>
              <w:right w:val="single" w:color="auto" w:sz="4" w:space="0"/>
            </w:tcBorders>
            <w:vAlign w:val="center"/>
          </w:tcPr>
          <w:p w14:paraId="3193294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作业液消耗</w:t>
            </w:r>
          </w:p>
        </w:tc>
        <w:tc>
          <w:tcPr>
            <w:tcW w:w="1204" w:type="dxa"/>
            <w:tcBorders>
              <w:top w:val="single" w:color="auto" w:sz="4" w:space="0"/>
              <w:left w:val="single" w:color="auto" w:sz="4" w:space="0"/>
              <w:bottom w:val="single" w:color="auto" w:sz="4" w:space="0"/>
              <w:right w:val="single" w:color="auto" w:sz="4" w:space="0"/>
            </w:tcBorders>
            <w:vAlign w:val="center"/>
          </w:tcPr>
          <w:p w14:paraId="75A24514">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m</w:t>
            </w:r>
            <w:r>
              <w:rPr>
                <w:rFonts w:ascii="宋体" w:hAnsi="宋体"/>
                <w:color w:val="auto"/>
                <w:spacing w:val="4"/>
                <w:szCs w:val="21"/>
                <w:vertAlign w:val="superscript"/>
              </w:rPr>
              <w:t>3</w:t>
            </w:r>
            <w:r>
              <w:rPr>
                <w:rFonts w:ascii="宋体" w:hAnsi="宋体"/>
                <w:color w:val="auto"/>
                <w:spacing w:val="4"/>
                <w:szCs w:val="21"/>
              </w:rPr>
              <w:t>/井次</w:t>
            </w:r>
          </w:p>
        </w:tc>
        <w:tc>
          <w:tcPr>
            <w:tcW w:w="1263" w:type="dxa"/>
            <w:gridSpan w:val="2"/>
            <w:tcBorders>
              <w:top w:val="single" w:color="auto" w:sz="4" w:space="0"/>
              <w:left w:val="single" w:color="auto" w:sz="4" w:space="0"/>
              <w:bottom w:val="single" w:color="auto" w:sz="4" w:space="0"/>
              <w:right w:val="single" w:color="auto" w:sz="4" w:space="0"/>
            </w:tcBorders>
            <w:vAlign w:val="center"/>
          </w:tcPr>
          <w:p w14:paraId="6D40FF62">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c>
          <w:tcPr>
            <w:tcW w:w="3054" w:type="dxa"/>
            <w:gridSpan w:val="2"/>
            <w:tcBorders>
              <w:top w:val="single" w:color="auto" w:sz="4" w:space="0"/>
              <w:left w:val="single" w:color="auto" w:sz="4" w:space="0"/>
              <w:bottom w:val="single" w:color="auto" w:sz="4" w:space="0"/>
              <w:right w:val="single" w:color="auto" w:sz="4" w:space="0"/>
            </w:tcBorders>
            <w:vAlign w:val="center"/>
          </w:tcPr>
          <w:p w14:paraId="71923AD3">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≤5.0</w:t>
            </w:r>
          </w:p>
        </w:tc>
        <w:tc>
          <w:tcPr>
            <w:tcW w:w="1111" w:type="dxa"/>
            <w:gridSpan w:val="2"/>
            <w:tcBorders>
              <w:top w:val="single" w:color="auto" w:sz="4" w:space="0"/>
              <w:left w:val="single" w:color="auto" w:sz="4" w:space="0"/>
              <w:bottom w:val="single" w:color="auto" w:sz="4" w:space="0"/>
              <w:right w:val="single" w:color="auto" w:sz="4" w:space="0"/>
            </w:tcBorders>
            <w:vAlign w:val="center"/>
          </w:tcPr>
          <w:p w14:paraId="11E7A3F8">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0</w:t>
            </w:r>
          </w:p>
        </w:tc>
        <w:tc>
          <w:tcPr>
            <w:tcW w:w="725" w:type="dxa"/>
            <w:tcBorders>
              <w:top w:val="single" w:color="auto" w:sz="4" w:space="0"/>
              <w:left w:val="single" w:color="auto" w:sz="4" w:space="0"/>
              <w:bottom w:val="single" w:color="auto" w:sz="4" w:space="0"/>
            </w:tcBorders>
            <w:vAlign w:val="center"/>
          </w:tcPr>
          <w:p w14:paraId="7E8A298C">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10</w:t>
            </w:r>
          </w:p>
        </w:tc>
      </w:tr>
      <w:tr w14:paraId="7088F658">
        <w:tblPrEx>
          <w:tblCellMar>
            <w:top w:w="0" w:type="dxa"/>
            <w:left w:w="108" w:type="dxa"/>
            <w:bottom w:w="0" w:type="dxa"/>
            <w:right w:w="108" w:type="dxa"/>
          </w:tblCellMar>
        </w:tblPrEx>
        <w:trPr>
          <w:trHeight w:val="284" w:hRule="atLeast"/>
        </w:trPr>
        <w:tc>
          <w:tcPr>
            <w:tcW w:w="2732" w:type="dxa"/>
            <w:vMerge w:val="continue"/>
            <w:tcBorders>
              <w:top w:val="single" w:color="auto" w:sz="4" w:space="0"/>
              <w:bottom w:val="single" w:color="auto" w:sz="4" w:space="0"/>
              <w:right w:val="single" w:color="auto" w:sz="4" w:space="0"/>
            </w:tcBorders>
            <w:vAlign w:val="center"/>
          </w:tcPr>
          <w:p w14:paraId="71604F0A">
            <w:pPr>
              <w:widowControl/>
              <w:jc w:val="left"/>
              <w:rPr>
                <w:rFonts w:hint="eastAsia" w:ascii="宋体" w:hAnsi="宋体"/>
                <w:color w:val="auto"/>
                <w:spacing w:val="4"/>
                <w:szCs w:val="21"/>
              </w:rPr>
            </w:pPr>
          </w:p>
        </w:tc>
        <w:tc>
          <w:tcPr>
            <w:tcW w:w="896" w:type="dxa"/>
            <w:vMerge w:val="continue"/>
            <w:tcBorders>
              <w:top w:val="single" w:color="auto" w:sz="4" w:space="0"/>
              <w:left w:val="single" w:color="auto" w:sz="4" w:space="0"/>
              <w:bottom w:val="single" w:color="auto" w:sz="4" w:space="0"/>
              <w:right w:val="single" w:color="auto" w:sz="4" w:space="0"/>
            </w:tcBorders>
            <w:vAlign w:val="center"/>
          </w:tcPr>
          <w:p w14:paraId="16C52AF8">
            <w:pPr>
              <w:widowControl/>
              <w:jc w:val="left"/>
              <w:rPr>
                <w:rFonts w:hint="eastAsia" w:ascii="宋体" w:hAnsi="宋体"/>
                <w:color w:val="auto"/>
                <w:spacing w:val="4"/>
                <w:szCs w:val="21"/>
              </w:rPr>
            </w:pPr>
          </w:p>
        </w:tc>
        <w:tc>
          <w:tcPr>
            <w:tcW w:w="2893" w:type="dxa"/>
            <w:gridSpan w:val="3"/>
            <w:tcBorders>
              <w:top w:val="single" w:color="auto" w:sz="4" w:space="0"/>
              <w:left w:val="single" w:color="auto" w:sz="4" w:space="0"/>
              <w:bottom w:val="single" w:color="auto" w:sz="4" w:space="0"/>
              <w:right w:val="single" w:color="auto" w:sz="4" w:space="0"/>
            </w:tcBorders>
            <w:vAlign w:val="center"/>
          </w:tcPr>
          <w:p w14:paraId="250E3B2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新鲜水消耗</w:t>
            </w:r>
          </w:p>
        </w:tc>
        <w:tc>
          <w:tcPr>
            <w:tcW w:w="1204" w:type="dxa"/>
            <w:tcBorders>
              <w:top w:val="single" w:color="auto" w:sz="4" w:space="0"/>
              <w:left w:val="single" w:color="auto" w:sz="4" w:space="0"/>
              <w:bottom w:val="single" w:color="auto" w:sz="4" w:space="0"/>
              <w:right w:val="single" w:color="auto" w:sz="4" w:space="0"/>
            </w:tcBorders>
            <w:vAlign w:val="center"/>
          </w:tcPr>
          <w:p w14:paraId="2DFFC61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m</w:t>
            </w:r>
            <w:r>
              <w:rPr>
                <w:rFonts w:ascii="宋体" w:hAnsi="宋体"/>
                <w:color w:val="auto"/>
                <w:spacing w:val="4"/>
                <w:szCs w:val="21"/>
                <w:vertAlign w:val="superscript"/>
              </w:rPr>
              <w:t>3</w:t>
            </w:r>
            <w:r>
              <w:rPr>
                <w:rFonts w:ascii="宋体" w:hAnsi="宋体"/>
                <w:color w:val="auto"/>
                <w:spacing w:val="4"/>
                <w:szCs w:val="21"/>
              </w:rPr>
              <w:t>/井次</w:t>
            </w:r>
          </w:p>
        </w:tc>
        <w:tc>
          <w:tcPr>
            <w:tcW w:w="1263" w:type="dxa"/>
            <w:gridSpan w:val="2"/>
            <w:tcBorders>
              <w:top w:val="single" w:color="auto" w:sz="4" w:space="0"/>
              <w:left w:val="single" w:color="auto" w:sz="4" w:space="0"/>
              <w:bottom w:val="single" w:color="auto" w:sz="4" w:space="0"/>
              <w:right w:val="single" w:color="auto" w:sz="4" w:space="0"/>
            </w:tcBorders>
            <w:vAlign w:val="center"/>
          </w:tcPr>
          <w:p w14:paraId="4860584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c>
          <w:tcPr>
            <w:tcW w:w="3054" w:type="dxa"/>
            <w:gridSpan w:val="2"/>
            <w:tcBorders>
              <w:top w:val="single" w:color="auto" w:sz="4" w:space="0"/>
              <w:left w:val="single" w:color="auto" w:sz="4" w:space="0"/>
              <w:bottom w:val="single" w:color="auto" w:sz="4" w:space="0"/>
              <w:right w:val="single" w:color="auto" w:sz="4" w:space="0"/>
            </w:tcBorders>
            <w:vAlign w:val="center"/>
          </w:tcPr>
          <w:p w14:paraId="33273412">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≤5.0</w:t>
            </w:r>
          </w:p>
        </w:tc>
        <w:tc>
          <w:tcPr>
            <w:tcW w:w="1111" w:type="dxa"/>
            <w:gridSpan w:val="2"/>
            <w:tcBorders>
              <w:top w:val="single" w:color="auto" w:sz="4" w:space="0"/>
              <w:left w:val="single" w:color="auto" w:sz="4" w:space="0"/>
              <w:bottom w:val="single" w:color="auto" w:sz="4" w:space="0"/>
              <w:right w:val="single" w:color="auto" w:sz="4" w:space="0"/>
            </w:tcBorders>
            <w:vAlign w:val="center"/>
          </w:tcPr>
          <w:p w14:paraId="02056AB0">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＜5</w:t>
            </w:r>
          </w:p>
        </w:tc>
        <w:tc>
          <w:tcPr>
            <w:tcW w:w="725" w:type="dxa"/>
            <w:tcBorders>
              <w:top w:val="single" w:color="auto" w:sz="4" w:space="0"/>
              <w:left w:val="single" w:color="auto" w:sz="4" w:space="0"/>
              <w:bottom w:val="single" w:color="auto" w:sz="4" w:space="0"/>
            </w:tcBorders>
            <w:vAlign w:val="center"/>
          </w:tcPr>
          <w:p w14:paraId="24DA94BE">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r>
      <w:tr w14:paraId="1B58287C">
        <w:tblPrEx>
          <w:tblCellMar>
            <w:top w:w="0" w:type="dxa"/>
            <w:left w:w="108" w:type="dxa"/>
            <w:bottom w:w="0" w:type="dxa"/>
            <w:right w:w="108" w:type="dxa"/>
          </w:tblCellMar>
        </w:tblPrEx>
        <w:trPr>
          <w:trHeight w:val="284" w:hRule="atLeast"/>
        </w:trPr>
        <w:tc>
          <w:tcPr>
            <w:tcW w:w="2732" w:type="dxa"/>
            <w:vMerge w:val="continue"/>
            <w:tcBorders>
              <w:top w:val="single" w:color="auto" w:sz="4" w:space="0"/>
              <w:bottom w:val="single" w:color="auto" w:sz="4" w:space="0"/>
              <w:right w:val="single" w:color="auto" w:sz="4" w:space="0"/>
            </w:tcBorders>
            <w:vAlign w:val="center"/>
          </w:tcPr>
          <w:p w14:paraId="515F7D16">
            <w:pPr>
              <w:widowControl/>
              <w:jc w:val="left"/>
              <w:rPr>
                <w:rFonts w:hint="eastAsia" w:ascii="宋体" w:hAnsi="宋体"/>
                <w:color w:val="auto"/>
                <w:spacing w:val="4"/>
                <w:szCs w:val="21"/>
              </w:rPr>
            </w:pPr>
          </w:p>
        </w:tc>
        <w:tc>
          <w:tcPr>
            <w:tcW w:w="896" w:type="dxa"/>
            <w:vMerge w:val="continue"/>
            <w:tcBorders>
              <w:top w:val="single" w:color="auto" w:sz="4" w:space="0"/>
              <w:left w:val="single" w:color="auto" w:sz="4" w:space="0"/>
              <w:bottom w:val="single" w:color="auto" w:sz="4" w:space="0"/>
              <w:right w:val="single" w:color="auto" w:sz="4" w:space="0"/>
            </w:tcBorders>
            <w:vAlign w:val="center"/>
          </w:tcPr>
          <w:p w14:paraId="574E9D37">
            <w:pPr>
              <w:widowControl/>
              <w:jc w:val="left"/>
              <w:rPr>
                <w:rFonts w:hint="eastAsia" w:ascii="宋体" w:hAnsi="宋体"/>
                <w:color w:val="auto"/>
                <w:spacing w:val="4"/>
                <w:szCs w:val="21"/>
              </w:rPr>
            </w:pPr>
          </w:p>
        </w:tc>
        <w:tc>
          <w:tcPr>
            <w:tcW w:w="2893" w:type="dxa"/>
            <w:gridSpan w:val="3"/>
            <w:tcBorders>
              <w:top w:val="single" w:color="auto" w:sz="4" w:space="0"/>
              <w:left w:val="single" w:color="auto" w:sz="4" w:space="0"/>
              <w:bottom w:val="single" w:color="auto" w:sz="4" w:space="0"/>
              <w:right w:val="single" w:color="auto" w:sz="4" w:space="0"/>
            </w:tcBorders>
            <w:vAlign w:val="center"/>
          </w:tcPr>
          <w:p w14:paraId="7DF23A37">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单位能耗</w:t>
            </w:r>
          </w:p>
        </w:tc>
        <w:tc>
          <w:tcPr>
            <w:tcW w:w="1204" w:type="dxa"/>
            <w:tcBorders>
              <w:top w:val="single" w:color="auto" w:sz="4" w:space="0"/>
              <w:left w:val="single" w:color="auto" w:sz="4" w:space="0"/>
              <w:bottom w:val="single" w:color="auto" w:sz="4" w:space="0"/>
              <w:right w:val="single" w:color="auto" w:sz="4" w:space="0"/>
            </w:tcBorders>
            <w:vAlign w:val="center"/>
          </w:tcPr>
          <w:p w14:paraId="50B05E1E">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w:t>
            </w:r>
          </w:p>
        </w:tc>
        <w:tc>
          <w:tcPr>
            <w:tcW w:w="1263" w:type="dxa"/>
            <w:gridSpan w:val="2"/>
            <w:tcBorders>
              <w:top w:val="single" w:color="auto" w:sz="4" w:space="0"/>
              <w:left w:val="single" w:color="auto" w:sz="4" w:space="0"/>
              <w:bottom w:val="single" w:color="auto" w:sz="4" w:space="0"/>
              <w:right w:val="single" w:color="auto" w:sz="4" w:space="0"/>
            </w:tcBorders>
            <w:vAlign w:val="center"/>
          </w:tcPr>
          <w:p w14:paraId="191794C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c>
          <w:tcPr>
            <w:tcW w:w="3054" w:type="dxa"/>
            <w:gridSpan w:val="2"/>
            <w:tcBorders>
              <w:top w:val="single" w:color="auto" w:sz="4" w:space="0"/>
              <w:left w:val="single" w:color="auto" w:sz="4" w:space="0"/>
              <w:bottom w:val="single" w:color="auto" w:sz="4" w:space="0"/>
              <w:right w:val="single" w:color="auto" w:sz="4" w:space="0"/>
            </w:tcBorders>
            <w:vAlign w:val="center"/>
          </w:tcPr>
          <w:p w14:paraId="38B3045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行业基本水平</w:t>
            </w:r>
          </w:p>
        </w:tc>
        <w:tc>
          <w:tcPr>
            <w:tcW w:w="1111" w:type="dxa"/>
            <w:gridSpan w:val="2"/>
            <w:tcBorders>
              <w:top w:val="single" w:color="auto" w:sz="4" w:space="0"/>
              <w:left w:val="single" w:color="auto" w:sz="4" w:space="0"/>
              <w:bottom w:val="single" w:color="auto" w:sz="4" w:space="0"/>
              <w:right w:val="single" w:color="auto" w:sz="4" w:space="0"/>
            </w:tcBorders>
            <w:vAlign w:val="center"/>
          </w:tcPr>
          <w:p w14:paraId="46B93420">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基本水平</w:t>
            </w:r>
          </w:p>
        </w:tc>
        <w:tc>
          <w:tcPr>
            <w:tcW w:w="725" w:type="dxa"/>
            <w:tcBorders>
              <w:top w:val="single" w:color="auto" w:sz="4" w:space="0"/>
              <w:left w:val="single" w:color="auto" w:sz="4" w:space="0"/>
              <w:bottom w:val="single" w:color="auto" w:sz="4" w:space="0"/>
            </w:tcBorders>
            <w:vAlign w:val="center"/>
          </w:tcPr>
          <w:p w14:paraId="4A1178E8">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10</w:t>
            </w:r>
          </w:p>
        </w:tc>
      </w:tr>
      <w:tr w14:paraId="378D0A97">
        <w:tblPrEx>
          <w:tblCellMar>
            <w:top w:w="0" w:type="dxa"/>
            <w:left w:w="108" w:type="dxa"/>
            <w:bottom w:w="0" w:type="dxa"/>
            <w:right w:w="108" w:type="dxa"/>
          </w:tblCellMar>
        </w:tblPrEx>
        <w:trPr>
          <w:trHeight w:val="284" w:hRule="atLeast"/>
        </w:trPr>
        <w:tc>
          <w:tcPr>
            <w:tcW w:w="2732" w:type="dxa"/>
            <w:tcBorders>
              <w:top w:val="single" w:color="auto" w:sz="4" w:space="0"/>
              <w:bottom w:val="single" w:color="auto" w:sz="4" w:space="0"/>
              <w:right w:val="single" w:color="auto" w:sz="4" w:space="0"/>
            </w:tcBorders>
            <w:vAlign w:val="center"/>
          </w:tcPr>
          <w:p w14:paraId="2015EC79">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（2）生产技术特征指标</w:t>
            </w:r>
          </w:p>
        </w:tc>
        <w:tc>
          <w:tcPr>
            <w:tcW w:w="896" w:type="dxa"/>
            <w:tcBorders>
              <w:top w:val="single" w:color="auto" w:sz="4" w:space="0"/>
              <w:left w:val="single" w:color="auto" w:sz="4" w:space="0"/>
              <w:bottom w:val="single" w:color="auto" w:sz="4" w:space="0"/>
              <w:right w:val="single" w:color="auto" w:sz="4" w:space="0"/>
            </w:tcBorders>
            <w:vAlign w:val="center"/>
          </w:tcPr>
          <w:p w14:paraId="041DA61E">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20</w:t>
            </w:r>
          </w:p>
        </w:tc>
        <w:tc>
          <w:tcPr>
            <w:tcW w:w="2893" w:type="dxa"/>
            <w:gridSpan w:val="3"/>
            <w:tcBorders>
              <w:top w:val="single" w:color="auto" w:sz="4" w:space="0"/>
              <w:left w:val="single" w:color="auto" w:sz="4" w:space="0"/>
              <w:bottom w:val="single" w:color="auto" w:sz="4" w:space="0"/>
              <w:right w:val="single" w:color="auto" w:sz="4" w:space="0"/>
            </w:tcBorders>
            <w:vAlign w:val="center"/>
          </w:tcPr>
          <w:p w14:paraId="007A7D4E">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压裂放喷返排入罐率</w:t>
            </w:r>
          </w:p>
        </w:tc>
        <w:tc>
          <w:tcPr>
            <w:tcW w:w="1204" w:type="dxa"/>
            <w:tcBorders>
              <w:top w:val="single" w:color="auto" w:sz="4" w:space="0"/>
              <w:left w:val="single" w:color="auto" w:sz="4" w:space="0"/>
              <w:bottom w:val="single" w:color="auto" w:sz="4" w:space="0"/>
              <w:right w:val="single" w:color="auto" w:sz="4" w:space="0"/>
            </w:tcBorders>
            <w:vAlign w:val="center"/>
          </w:tcPr>
          <w:p w14:paraId="7625D9D9">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w:t>
            </w:r>
          </w:p>
        </w:tc>
        <w:tc>
          <w:tcPr>
            <w:tcW w:w="1263" w:type="dxa"/>
            <w:gridSpan w:val="2"/>
            <w:tcBorders>
              <w:top w:val="single" w:color="auto" w:sz="4" w:space="0"/>
              <w:left w:val="single" w:color="auto" w:sz="4" w:space="0"/>
              <w:bottom w:val="single" w:color="auto" w:sz="4" w:space="0"/>
              <w:right w:val="single" w:color="auto" w:sz="4" w:space="0"/>
            </w:tcBorders>
            <w:vAlign w:val="center"/>
          </w:tcPr>
          <w:p w14:paraId="252342BC">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20</w:t>
            </w:r>
          </w:p>
        </w:tc>
        <w:tc>
          <w:tcPr>
            <w:tcW w:w="3054" w:type="dxa"/>
            <w:gridSpan w:val="2"/>
            <w:tcBorders>
              <w:top w:val="single" w:color="auto" w:sz="4" w:space="0"/>
              <w:left w:val="single" w:color="auto" w:sz="4" w:space="0"/>
              <w:bottom w:val="single" w:color="auto" w:sz="4" w:space="0"/>
              <w:right w:val="single" w:color="auto" w:sz="4" w:space="0"/>
            </w:tcBorders>
            <w:vAlign w:val="center"/>
          </w:tcPr>
          <w:p w14:paraId="54C3F0B3">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100</w:t>
            </w:r>
          </w:p>
        </w:tc>
        <w:tc>
          <w:tcPr>
            <w:tcW w:w="1111" w:type="dxa"/>
            <w:gridSpan w:val="2"/>
            <w:tcBorders>
              <w:top w:val="single" w:color="auto" w:sz="4" w:space="0"/>
              <w:left w:val="single" w:color="auto" w:sz="4" w:space="0"/>
              <w:bottom w:val="single" w:color="auto" w:sz="4" w:space="0"/>
              <w:right w:val="single" w:color="auto" w:sz="4" w:space="0"/>
            </w:tcBorders>
            <w:vAlign w:val="center"/>
          </w:tcPr>
          <w:p w14:paraId="7BF5EB06">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100</w:t>
            </w:r>
          </w:p>
        </w:tc>
        <w:tc>
          <w:tcPr>
            <w:tcW w:w="725" w:type="dxa"/>
            <w:tcBorders>
              <w:top w:val="single" w:color="auto" w:sz="4" w:space="0"/>
              <w:left w:val="single" w:color="auto" w:sz="4" w:space="0"/>
              <w:bottom w:val="single" w:color="auto" w:sz="4" w:space="0"/>
            </w:tcBorders>
            <w:vAlign w:val="center"/>
          </w:tcPr>
          <w:p w14:paraId="244649E1">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20</w:t>
            </w:r>
          </w:p>
        </w:tc>
      </w:tr>
      <w:tr w14:paraId="05666EE1">
        <w:tblPrEx>
          <w:tblCellMar>
            <w:top w:w="0" w:type="dxa"/>
            <w:left w:w="108" w:type="dxa"/>
            <w:bottom w:w="0" w:type="dxa"/>
            <w:right w:w="108" w:type="dxa"/>
          </w:tblCellMar>
        </w:tblPrEx>
        <w:trPr>
          <w:trHeight w:val="284" w:hRule="atLeast"/>
        </w:trPr>
        <w:tc>
          <w:tcPr>
            <w:tcW w:w="2732" w:type="dxa"/>
            <w:vMerge w:val="restart"/>
            <w:tcBorders>
              <w:top w:val="single" w:color="auto" w:sz="4" w:space="0"/>
              <w:bottom w:val="single" w:color="auto" w:sz="4" w:space="0"/>
              <w:right w:val="single" w:color="auto" w:sz="4" w:space="0"/>
            </w:tcBorders>
            <w:vAlign w:val="center"/>
          </w:tcPr>
          <w:p w14:paraId="38DC1221">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（3）资源综合利用指标</w:t>
            </w:r>
          </w:p>
        </w:tc>
        <w:tc>
          <w:tcPr>
            <w:tcW w:w="896" w:type="dxa"/>
            <w:vMerge w:val="restart"/>
            <w:tcBorders>
              <w:top w:val="single" w:color="auto" w:sz="4" w:space="0"/>
              <w:left w:val="single" w:color="auto" w:sz="4" w:space="0"/>
              <w:bottom w:val="single" w:color="auto" w:sz="4" w:space="0"/>
              <w:right w:val="single" w:color="auto" w:sz="4" w:space="0"/>
            </w:tcBorders>
            <w:vAlign w:val="center"/>
          </w:tcPr>
          <w:p w14:paraId="6DB05C92">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20</w:t>
            </w:r>
          </w:p>
        </w:tc>
        <w:tc>
          <w:tcPr>
            <w:tcW w:w="2893" w:type="dxa"/>
            <w:gridSpan w:val="3"/>
            <w:tcBorders>
              <w:top w:val="single" w:color="auto" w:sz="4" w:space="0"/>
              <w:left w:val="single" w:color="auto" w:sz="4" w:space="0"/>
              <w:bottom w:val="single" w:color="auto" w:sz="4" w:space="0"/>
              <w:right w:val="single" w:color="auto" w:sz="4" w:space="0"/>
            </w:tcBorders>
            <w:vAlign w:val="center"/>
          </w:tcPr>
          <w:p w14:paraId="21DC2C0D">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落地原油回收利用率</w:t>
            </w:r>
          </w:p>
        </w:tc>
        <w:tc>
          <w:tcPr>
            <w:tcW w:w="1204" w:type="dxa"/>
            <w:tcBorders>
              <w:top w:val="single" w:color="auto" w:sz="4" w:space="0"/>
              <w:left w:val="single" w:color="auto" w:sz="4" w:space="0"/>
              <w:bottom w:val="single" w:color="auto" w:sz="4" w:space="0"/>
              <w:right w:val="single" w:color="auto" w:sz="4" w:space="0"/>
            </w:tcBorders>
            <w:vAlign w:val="center"/>
          </w:tcPr>
          <w:p w14:paraId="1692AE7D">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w:t>
            </w:r>
          </w:p>
        </w:tc>
        <w:tc>
          <w:tcPr>
            <w:tcW w:w="1263" w:type="dxa"/>
            <w:gridSpan w:val="2"/>
            <w:tcBorders>
              <w:top w:val="single" w:color="auto" w:sz="4" w:space="0"/>
              <w:left w:val="single" w:color="auto" w:sz="4" w:space="0"/>
              <w:bottom w:val="single" w:color="auto" w:sz="4" w:space="0"/>
              <w:right w:val="single" w:color="auto" w:sz="4" w:space="0"/>
            </w:tcBorders>
            <w:vAlign w:val="center"/>
          </w:tcPr>
          <w:p w14:paraId="143CBAFE">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c>
          <w:tcPr>
            <w:tcW w:w="3054" w:type="dxa"/>
            <w:gridSpan w:val="2"/>
            <w:tcBorders>
              <w:top w:val="single" w:color="auto" w:sz="4" w:space="0"/>
              <w:left w:val="single" w:color="auto" w:sz="4" w:space="0"/>
              <w:bottom w:val="single" w:color="auto" w:sz="4" w:space="0"/>
              <w:right w:val="single" w:color="auto" w:sz="4" w:space="0"/>
            </w:tcBorders>
            <w:vAlign w:val="center"/>
          </w:tcPr>
          <w:p w14:paraId="78DE63FB">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100</w:t>
            </w:r>
          </w:p>
        </w:tc>
        <w:tc>
          <w:tcPr>
            <w:tcW w:w="1111" w:type="dxa"/>
            <w:gridSpan w:val="2"/>
            <w:tcBorders>
              <w:top w:val="single" w:color="auto" w:sz="4" w:space="0"/>
              <w:left w:val="single" w:color="auto" w:sz="4" w:space="0"/>
              <w:bottom w:val="single" w:color="auto" w:sz="4" w:space="0"/>
              <w:right w:val="single" w:color="auto" w:sz="4" w:space="0"/>
            </w:tcBorders>
            <w:vAlign w:val="center"/>
          </w:tcPr>
          <w:p w14:paraId="06AE9FDB">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100</w:t>
            </w:r>
          </w:p>
        </w:tc>
        <w:tc>
          <w:tcPr>
            <w:tcW w:w="725" w:type="dxa"/>
            <w:tcBorders>
              <w:top w:val="single" w:color="auto" w:sz="4" w:space="0"/>
              <w:left w:val="single" w:color="auto" w:sz="4" w:space="0"/>
              <w:bottom w:val="single" w:color="auto" w:sz="4" w:space="0"/>
            </w:tcBorders>
            <w:vAlign w:val="center"/>
          </w:tcPr>
          <w:p w14:paraId="743737D9">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r>
      <w:tr w14:paraId="526F13CC">
        <w:tblPrEx>
          <w:tblCellMar>
            <w:top w:w="0" w:type="dxa"/>
            <w:left w:w="108" w:type="dxa"/>
            <w:bottom w:w="0" w:type="dxa"/>
            <w:right w:w="108" w:type="dxa"/>
          </w:tblCellMar>
        </w:tblPrEx>
        <w:trPr>
          <w:trHeight w:val="284" w:hRule="atLeast"/>
        </w:trPr>
        <w:tc>
          <w:tcPr>
            <w:tcW w:w="2732" w:type="dxa"/>
            <w:vMerge w:val="continue"/>
            <w:tcBorders>
              <w:top w:val="single" w:color="auto" w:sz="4" w:space="0"/>
              <w:bottom w:val="single" w:color="auto" w:sz="4" w:space="0"/>
              <w:right w:val="single" w:color="auto" w:sz="4" w:space="0"/>
            </w:tcBorders>
            <w:vAlign w:val="center"/>
          </w:tcPr>
          <w:p w14:paraId="45B868B5">
            <w:pPr>
              <w:widowControl/>
              <w:jc w:val="left"/>
              <w:rPr>
                <w:rFonts w:hint="eastAsia" w:ascii="宋体" w:hAnsi="宋体"/>
                <w:color w:val="auto"/>
                <w:spacing w:val="4"/>
                <w:szCs w:val="21"/>
              </w:rPr>
            </w:pPr>
          </w:p>
        </w:tc>
        <w:tc>
          <w:tcPr>
            <w:tcW w:w="896" w:type="dxa"/>
            <w:vMerge w:val="continue"/>
            <w:tcBorders>
              <w:top w:val="single" w:color="auto" w:sz="4" w:space="0"/>
              <w:left w:val="single" w:color="auto" w:sz="4" w:space="0"/>
              <w:bottom w:val="single" w:color="auto" w:sz="4" w:space="0"/>
              <w:right w:val="single" w:color="auto" w:sz="4" w:space="0"/>
            </w:tcBorders>
            <w:vAlign w:val="center"/>
          </w:tcPr>
          <w:p w14:paraId="4E95BFB8">
            <w:pPr>
              <w:widowControl/>
              <w:jc w:val="left"/>
              <w:rPr>
                <w:rFonts w:hint="eastAsia" w:ascii="宋体" w:hAnsi="宋体"/>
                <w:color w:val="auto"/>
                <w:spacing w:val="4"/>
                <w:szCs w:val="21"/>
              </w:rPr>
            </w:pPr>
          </w:p>
        </w:tc>
        <w:tc>
          <w:tcPr>
            <w:tcW w:w="2893" w:type="dxa"/>
            <w:gridSpan w:val="3"/>
            <w:tcBorders>
              <w:top w:val="single" w:color="auto" w:sz="4" w:space="0"/>
              <w:left w:val="single" w:color="auto" w:sz="4" w:space="0"/>
              <w:bottom w:val="single" w:color="auto" w:sz="4" w:space="0"/>
              <w:right w:val="single" w:color="auto" w:sz="4" w:space="0"/>
            </w:tcBorders>
            <w:vAlign w:val="center"/>
          </w:tcPr>
          <w:p w14:paraId="61E8D91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生产过程中排出物利用率</w:t>
            </w:r>
          </w:p>
        </w:tc>
        <w:tc>
          <w:tcPr>
            <w:tcW w:w="1204" w:type="dxa"/>
            <w:tcBorders>
              <w:top w:val="single" w:color="auto" w:sz="4" w:space="0"/>
              <w:left w:val="single" w:color="auto" w:sz="4" w:space="0"/>
              <w:bottom w:val="single" w:color="auto" w:sz="4" w:space="0"/>
              <w:right w:val="single" w:color="auto" w:sz="4" w:space="0"/>
            </w:tcBorders>
            <w:vAlign w:val="center"/>
          </w:tcPr>
          <w:p w14:paraId="3CDE6DF4">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w:t>
            </w:r>
          </w:p>
        </w:tc>
        <w:tc>
          <w:tcPr>
            <w:tcW w:w="1263" w:type="dxa"/>
            <w:gridSpan w:val="2"/>
            <w:tcBorders>
              <w:top w:val="single" w:color="auto" w:sz="4" w:space="0"/>
              <w:left w:val="single" w:color="auto" w:sz="4" w:space="0"/>
              <w:bottom w:val="single" w:color="auto" w:sz="4" w:space="0"/>
              <w:right w:val="single" w:color="auto" w:sz="4" w:space="0"/>
            </w:tcBorders>
            <w:vAlign w:val="center"/>
          </w:tcPr>
          <w:p w14:paraId="3C2CEE8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c>
          <w:tcPr>
            <w:tcW w:w="3054" w:type="dxa"/>
            <w:gridSpan w:val="2"/>
            <w:tcBorders>
              <w:top w:val="single" w:color="auto" w:sz="4" w:space="0"/>
              <w:left w:val="single" w:color="auto" w:sz="4" w:space="0"/>
              <w:bottom w:val="single" w:color="auto" w:sz="4" w:space="0"/>
              <w:right w:val="single" w:color="auto" w:sz="4" w:space="0"/>
            </w:tcBorders>
            <w:vAlign w:val="center"/>
          </w:tcPr>
          <w:p w14:paraId="22C67B92">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100</w:t>
            </w:r>
          </w:p>
        </w:tc>
        <w:tc>
          <w:tcPr>
            <w:tcW w:w="1111" w:type="dxa"/>
            <w:gridSpan w:val="2"/>
            <w:tcBorders>
              <w:top w:val="single" w:color="auto" w:sz="4" w:space="0"/>
              <w:left w:val="single" w:color="auto" w:sz="4" w:space="0"/>
              <w:bottom w:val="single" w:color="auto" w:sz="4" w:space="0"/>
              <w:right w:val="single" w:color="auto" w:sz="4" w:space="0"/>
            </w:tcBorders>
            <w:vAlign w:val="center"/>
          </w:tcPr>
          <w:p w14:paraId="337F461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100</w:t>
            </w:r>
          </w:p>
        </w:tc>
        <w:tc>
          <w:tcPr>
            <w:tcW w:w="725" w:type="dxa"/>
            <w:tcBorders>
              <w:top w:val="single" w:color="auto" w:sz="4" w:space="0"/>
              <w:left w:val="single" w:color="auto" w:sz="4" w:space="0"/>
              <w:bottom w:val="single" w:color="auto" w:sz="4" w:space="0"/>
            </w:tcBorders>
            <w:vAlign w:val="center"/>
          </w:tcPr>
          <w:p w14:paraId="34AFAC3B">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r>
      <w:tr w14:paraId="4DDF6E37">
        <w:tblPrEx>
          <w:tblCellMar>
            <w:top w:w="0" w:type="dxa"/>
            <w:left w:w="108" w:type="dxa"/>
            <w:bottom w:w="0" w:type="dxa"/>
            <w:right w:w="108" w:type="dxa"/>
          </w:tblCellMar>
        </w:tblPrEx>
        <w:trPr>
          <w:trHeight w:val="284" w:hRule="atLeast"/>
        </w:trPr>
        <w:tc>
          <w:tcPr>
            <w:tcW w:w="2732" w:type="dxa"/>
            <w:vMerge w:val="restart"/>
            <w:tcBorders>
              <w:top w:val="single" w:color="auto" w:sz="4" w:space="0"/>
              <w:bottom w:val="single" w:color="auto" w:sz="4" w:space="0"/>
              <w:right w:val="single" w:color="auto" w:sz="4" w:space="0"/>
            </w:tcBorders>
            <w:vAlign w:val="center"/>
          </w:tcPr>
          <w:p w14:paraId="0A575413">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（4）污染物产生指标</w:t>
            </w:r>
          </w:p>
        </w:tc>
        <w:tc>
          <w:tcPr>
            <w:tcW w:w="896" w:type="dxa"/>
            <w:vMerge w:val="restart"/>
            <w:tcBorders>
              <w:top w:val="single" w:color="auto" w:sz="4" w:space="0"/>
              <w:left w:val="single" w:color="auto" w:sz="4" w:space="0"/>
              <w:bottom w:val="single" w:color="auto" w:sz="4" w:space="0"/>
              <w:right w:val="single" w:color="auto" w:sz="4" w:space="0"/>
            </w:tcBorders>
            <w:vAlign w:val="center"/>
          </w:tcPr>
          <w:p w14:paraId="53412402">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30</w:t>
            </w:r>
          </w:p>
        </w:tc>
        <w:tc>
          <w:tcPr>
            <w:tcW w:w="2893" w:type="dxa"/>
            <w:gridSpan w:val="3"/>
            <w:tcBorders>
              <w:top w:val="single" w:color="auto" w:sz="4" w:space="0"/>
              <w:left w:val="single" w:color="auto" w:sz="4" w:space="0"/>
              <w:bottom w:val="single" w:color="auto" w:sz="4" w:space="0"/>
              <w:right w:val="single" w:color="auto" w:sz="4" w:space="0"/>
            </w:tcBorders>
            <w:vAlign w:val="center"/>
          </w:tcPr>
          <w:p w14:paraId="050F4908">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作业废液量</w:t>
            </w:r>
          </w:p>
        </w:tc>
        <w:tc>
          <w:tcPr>
            <w:tcW w:w="1204" w:type="dxa"/>
            <w:tcBorders>
              <w:top w:val="single" w:color="auto" w:sz="4" w:space="0"/>
              <w:left w:val="single" w:color="auto" w:sz="4" w:space="0"/>
              <w:bottom w:val="single" w:color="auto" w:sz="4" w:space="0"/>
              <w:right w:val="single" w:color="auto" w:sz="4" w:space="0"/>
            </w:tcBorders>
            <w:vAlign w:val="center"/>
          </w:tcPr>
          <w:p w14:paraId="36716563">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m</w:t>
            </w:r>
            <w:r>
              <w:rPr>
                <w:rFonts w:ascii="宋体" w:hAnsi="宋体"/>
                <w:color w:val="auto"/>
                <w:spacing w:val="4"/>
                <w:szCs w:val="21"/>
                <w:vertAlign w:val="superscript"/>
              </w:rPr>
              <w:t>3</w:t>
            </w:r>
            <w:r>
              <w:rPr>
                <w:rFonts w:ascii="宋体" w:hAnsi="宋体"/>
                <w:color w:val="auto"/>
                <w:spacing w:val="4"/>
                <w:szCs w:val="21"/>
              </w:rPr>
              <w:t>/井次</w:t>
            </w:r>
          </w:p>
        </w:tc>
        <w:tc>
          <w:tcPr>
            <w:tcW w:w="1263" w:type="dxa"/>
            <w:gridSpan w:val="2"/>
            <w:tcBorders>
              <w:top w:val="single" w:color="auto" w:sz="4" w:space="0"/>
              <w:left w:val="single" w:color="auto" w:sz="4" w:space="0"/>
              <w:bottom w:val="single" w:color="auto" w:sz="4" w:space="0"/>
              <w:right w:val="single" w:color="auto" w:sz="4" w:space="0"/>
            </w:tcBorders>
            <w:vAlign w:val="center"/>
          </w:tcPr>
          <w:p w14:paraId="374B6A9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c>
          <w:tcPr>
            <w:tcW w:w="3054" w:type="dxa"/>
            <w:gridSpan w:val="2"/>
            <w:tcBorders>
              <w:top w:val="single" w:color="auto" w:sz="4" w:space="0"/>
              <w:left w:val="single" w:color="auto" w:sz="4" w:space="0"/>
              <w:bottom w:val="single" w:color="auto" w:sz="4" w:space="0"/>
              <w:right w:val="single" w:color="auto" w:sz="4" w:space="0"/>
            </w:tcBorders>
            <w:vAlign w:val="center"/>
          </w:tcPr>
          <w:p w14:paraId="63461F9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≤3.0</w:t>
            </w:r>
          </w:p>
        </w:tc>
        <w:tc>
          <w:tcPr>
            <w:tcW w:w="1111" w:type="dxa"/>
            <w:gridSpan w:val="2"/>
            <w:tcBorders>
              <w:top w:val="single" w:color="auto" w:sz="4" w:space="0"/>
              <w:left w:val="single" w:color="auto" w:sz="4" w:space="0"/>
              <w:bottom w:val="single" w:color="auto" w:sz="4" w:space="0"/>
              <w:right w:val="single" w:color="auto" w:sz="4" w:space="0"/>
            </w:tcBorders>
            <w:vAlign w:val="center"/>
          </w:tcPr>
          <w:p w14:paraId="1435D44C">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＜3</w:t>
            </w:r>
          </w:p>
        </w:tc>
        <w:tc>
          <w:tcPr>
            <w:tcW w:w="725" w:type="dxa"/>
            <w:tcBorders>
              <w:top w:val="single" w:color="auto" w:sz="4" w:space="0"/>
              <w:left w:val="single" w:color="auto" w:sz="4" w:space="0"/>
              <w:bottom w:val="single" w:color="auto" w:sz="4" w:space="0"/>
            </w:tcBorders>
            <w:vAlign w:val="center"/>
          </w:tcPr>
          <w:p w14:paraId="701E1A2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r>
      <w:tr w14:paraId="72A39C08">
        <w:tblPrEx>
          <w:tblCellMar>
            <w:top w:w="0" w:type="dxa"/>
            <w:left w:w="108" w:type="dxa"/>
            <w:bottom w:w="0" w:type="dxa"/>
            <w:right w:w="108" w:type="dxa"/>
          </w:tblCellMar>
        </w:tblPrEx>
        <w:trPr>
          <w:trHeight w:val="284" w:hRule="atLeast"/>
        </w:trPr>
        <w:tc>
          <w:tcPr>
            <w:tcW w:w="2732" w:type="dxa"/>
            <w:vMerge w:val="continue"/>
            <w:tcBorders>
              <w:top w:val="single" w:color="auto" w:sz="4" w:space="0"/>
              <w:bottom w:val="single" w:color="auto" w:sz="4" w:space="0"/>
              <w:right w:val="single" w:color="auto" w:sz="4" w:space="0"/>
            </w:tcBorders>
            <w:vAlign w:val="center"/>
          </w:tcPr>
          <w:p w14:paraId="0F94189D">
            <w:pPr>
              <w:widowControl/>
              <w:jc w:val="left"/>
              <w:rPr>
                <w:rFonts w:hint="eastAsia" w:ascii="宋体" w:hAnsi="宋体"/>
                <w:color w:val="auto"/>
                <w:spacing w:val="4"/>
                <w:szCs w:val="21"/>
              </w:rPr>
            </w:pPr>
          </w:p>
        </w:tc>
        <w:tc>
          <w:tcPr>
            <w:tcW w:w="896" w:type="dxa"/>
            <w:vMerge w:val="continue"/>
            <w:tcBorders>
              <w:top w:val="single" w:color="auto" w:sz="4" w:space="0"/>
              <w:left w:val="single" w:color="auto" w:sz="4" w:space="0"/>
              <w:bottom w:val="single" w:color="auto" w:sz="4" w:space="0"/>
              <w:right w:val="single" w:color="auto" w:sz="4" w:space="0"/>
            </w:tcBorders>
            <w:vAlign w:val="center"/>
          </w:tcPr>
          <w:p w14:paraId="3F80F057">
            <w:pPr>
              <w:widowControl/>
              <w:jc w:val="left"/>
              <w:rPr>
                <w:rFonts w:hint="eastAsia" w:ascii="宋体" w:hAnsi="宋体"/>
                <w:color w:val="auto"/>
                <w:spacing w:val="4"/>
                <w:szCs w:val="21"/>
              </w:rPr>
            </w:pPr>
          </w:p>
        </w:tc>
        <w:tc>
          <w:tcPr>
            <w:tcW w:w="2893" w:type="dxa"/>
            <w:gridSpan w:val="3"/>
            <w:tcBorders>
              <w:top w:val="single" w:color="auto" w:sz="4" w:space="0"/>
              <w:left w:val="single" w:color="auto" w:sz="4" w:space="0"/>
              <w:bottom w:val="single" w:color="auto" w:sz="4" w:space="0"/>
              <w:right w:val="single" w:color="auto" w:sz="4" w:space="0"/>
            </w:tcBorders>
            <w:vAlign w:val="center"/>
          </w:tcPr>
          <w:p w14:paraId="50910103">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石油类</w:t>
            </w:r>
          </w:p>
        </w:tc>
        <w:tc>
          <w:tcPr>
            <w:tcW w:w="1204" w:type="dxa"/>
            <w:tcBorders>
              <w:top w:val="single" w:color="auto" w:sz="4" w:space="0"/>
              <w:left w:val="single" w:color="auto" w:sz="4" w:space="0"/>
              <w:bottom w:val="single" w:color="auto" w:sz="4" w:space="0"/>
              <w:right w:val="single" w:color="auto" w:sz="4" w:space="0"/>
            </w:tcBorders>
            <w:vAlign w:val="center"/>
          </w:tcPr>
          <w:p w14:paraId="65E0ADE6">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mg/L</w:t>
            </w:r>
          </w:p>
        </w:tc>
        <w:tc>
          <w:tcPr>
            <w:tcW w:w="1263" w:type="dxa"/>
            <w:gridSpan w:val="2"/>
            <w:tcBorders>
              <w:top w:val="single" w:color="auto" w:sz="4" w:space="0"/>
              <w:left w:val="single" w:color="auto" w:sz="4" w:space="0"/>
              <w:bottom w:val="single" w:color="auto" w:sz="4" w:space="0"/>
              <w:right w:val="single" w:color="auto" w:sz="4" w:space="0"/>
            </w:tcBorders>
            <w:vAlign w:val="center"/>
          </w:tcPr>
          <w:p w14:paraId="777C3A47">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3054" w:type="dxa"/>
            <w:gridSpan w:val="2"/>
            <w:tcBorders>
              <w:top w:val="single" w:color="auto" w:sz="4" w:space="0"/>
              <w:left w:val="single" w:color="auto" w:sz="4" w:space="0"/>
              <w:bottom w:val="single" w:color="auto" w:sz="4" w:space="0"/>
              <w:right w:val="single" w:color="auto" w:sz="4" w:space="0"/>
            </w:tcBorders>
            <w:vAlign w:val="center"/>
          </w:tcPr>
          <w:p w14:paraId="73D49AF1">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甲类区：≤10；乙类区：≤50</w:t>
            </w:r>
          </w:p>
        </w:tc>
        <w:tc>
          <w:tcPr>
            <w:tcW w:w="1111" w:type="dxa"/>
            <w:gridSpan w:val="2"/>
            <w:tcBorders>
              <w:top w:val="single" w:color="auto" w:sz="4" w:space="0"/>
              <w:left w:val="single" w:color="auto" w:sz="4" w:space="0"/>
              <w:bottom w:val="single" w:color="auto" w:sz="4" w:space="0"/>
              <w:right w:val="single" w:color="auto" w:sz="4" w:space="0"/>
            </w:tcBorders>
            <w:vAlign w:val="center"/>
          </w:tcPr>
          <w:p w14:paraId="3E49182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232</w:t>
            </w:r>
          </w:p>
        </w:tc>
        <w:tc>
          <w:tcPr>
            <w:tcW w:w="725" w:type="dxa"/>
            <w:tcBorders>
              <w:top w:val="single" w:color="auto" w:sz="4" w:space="0"/>
              <w:left w:val="single" w:color="auto" w:sz="4" w:space="0"/>
              <w:bottom w:val="single" w:color="auto" w:sz="4" w:space="0"/>
            </w:tcBorders>
            <w:vAlign w:val="center"/>
          </w:tcPr>
          <w:p w14:paraId="15302261">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0</w:t>
            </w:r>
          </w:p>
        </w:tc>
      </w:tr>
      <w:tr w14:paraId="489DF6B6">
        <w:tblPrEx>
          <w:tblCellMar>
            <w:top w:w="0" w:type="dxa"/>
            <w:left w:w="108" w:type="dxa"/>
            <w:bottom w:w="0" w:type="dxa"/>
            <w:right w:w="108" w:type="dxa"/>
          </w:tblCellMar>
        </w:tblPrEx>
        <w:trPr>
          <w:trHeight w:val="284" w:hRule="atLeast"/>
        </w:trPr>
        <w:tc>
          <w:tcPr>
            <w:tcW w:w="2732" w:type="dxa"/>
            <w:vMerge w:val="continue"/>
            <w:tcBorders>
              <w:top w:val="single" w:color="auto" w:sz="4" w:space="0"/>
              <w:bottom w:val="single" w:color="auto" w:sz="4" w:space="0"/>
              <w:right w:val="single" w:color="auto" w:sz="4" w:space="0"/>
            </w:tcBorders>
            <w:vAlign w:val="center"/>
          </w:tcPr>
          <w:p w14:paraId="09A5D2F9">
            <w:pPr>
              <w:widowControl/>
              <w:jc w:val="left"/>
              <w:rPr>
                <w:rFonts w:hint="eastAsia" w:ascii="宋体" w:hAnsi="宋体"/>
                <w:color w:val="auto"/>
                <w:spacing w:val="4"/>
                <w:szCs w:val="21"/>
              </w:rPr>
            </w:pPr>
          </w:p>
        </w:tc>
        <w:tc>
          <w:tcPr>
            <w:tcW w:w="896" w:type="dxa"/>
            <w:vMerge w:val="continue"/>
            <w:tcBorders>
              <w:top w:val="single" w:color="auto" w:sz="4" w:space="0"/>
              <w:left w:val="single" w:color="auto" w:sz="4" w:space="0"/>
              <w:bottom w:val="single" w:color="auto" w:sz="4" w:space="0"/>
              <w:right w:val="single" w:color="auto" w:sz="4" w:space="0"/>
            </w:tcBorders>
            <w:vAlign w:val="center"/>
          </w:tcPr>
          <w:p w14:paraId="399B5BDF">
            <w:pPr>
              <w:widowControl/>
              <w:jc w:val="left"/>
              <w:rPr>
                <w:rFonts w:hint="eastAsia" w:ascii="宋体" w:hAnsi="宋体"/>
                <w:color w:val="auto"/>
                <w:spacing w:val="4"/>
                <w:szCs w:val="21"/>
              </w:rPr>
            </w:pPr>
          </w:p>
        </w:tc>
        <w:tc>
          <w:tcPr>
            <w:tcW w:w="2893" w:type="dxa"/>
            <w:gridSpan w:val="3"/>
            <w:tcBorders>
              <w:top w:val="single" w:color="auto" w:sz="4" w:space="0"/>
              <w:left w:val="single" w:color="auto" w:sz="4" w:space="0"/>
              <w:bottom w:val="single" w:color="auto" w:sz="4" w:space="0"/>
              <w:right w:val="single" w:color="auto" w:sz="4" w:space="0"/>
            </w:tcBorders>
            <w:vAlign w:val="center"/>
          </w:tcPr>
          <w:p w14:paraId="18204372">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COD</w:t>
            </w:r>
          </w:p>
        </w:tc>
        <w:tc>
          <w:tcPr>
            <w:tcW w:w="1204" w:type="dxa"/>
            <w:tcBorders>
              <w:top w:val="single" w:color="auto" w:sz="4" w:space="0"/>
              <w:left w:val="single" w:color="auto" w:sz="4" w:space="0"/>
              <w:bottom w:val="single" w:color="auto" w:sz="4" w:space="0"/>
              <w:right w:val="single" w:color="auto" w:sz="4" w:space="0"/>
            </w:tcBorders>
            <w:vAlign w:val="center"/>
          </w:tcPr>
          <w:p w14:paraId="28C82031">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mg/L</w:t>
            </w:r>
          </w:p>
        </w:tc>
        <w:tc>
          <w:tcPr>
            <w:tcW w:w="1263" w:type="dxa"/>
            <w:gridSpan w:val="2"/>
            <w:tcBorders>
              <w:top w:val="single" w:color="auto" w:sz="4" w:space="0"/>
              <w:left w:val="single" w:color="auto" w:sz="4" w:space="0"/>
              <w:bottom w:val="single" w:color="auto" w:sz="4" w:space="0"/>
              <w:right w:val="single" w:color="auto" w:sz="4" w:space="0"/>
            </w:tcBorders>
            <w:vAlign w:val="center"/>
          </w:tcPr>
          <w:p w14:paraId="2087BEFC">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3054" w:type="dxa"/>
            <w:gridSpan w:val="2"/>
            <w:tcBorders>
              <w:top w:val="single" w:color="auto" w:sz="4" w:space="0"/>
              <w:left w:val="single" w:color="auto" w:sz="4" w:space="0"/>
              <w:bottom w:val="single" w:color="auto" w:sz="4" w:space="0"/>
              <w:right w:val="single" w:color="auto" w:sz="4" w:space="0"/>
            </w:tcBorders>
            <w:vAlign w:val="center"/>
          </w:tcPr>
          <w:p w14:paraId="12B6927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甲类区：≤100；乙类区：≤150</w:t>
            </w:r>
          </w:p>
        </w:tc>
        <w:tc>
          <w:tcPr>
            <w:tcW w:w="1111" w:type="dxa"/>
            <w:gridSpan w:val="2"/>
            <w:tcBorders>
              <w:top w:val="single" w:color="auto" w:sz="4" w:space="0"/>
              <w:left w:val="single" w:color="auto" w:sz="4" w:space="0"/>
              <w:bottom w:val="single" w:color="auto" w:sz="4" w:space="0"/>
              <w:right w:val="single" w:color="auto" w:sz="4" w:space="0"/>
            </w:tcBorders>
            <w:vAlign w:val="center"/>
          </w:tcPr>
          <w:p w14:paraId="011D3BDE">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＜150</w:t>
            </w:r>
          </w:p>
        </w:tc>
        <w:tc>
          <w:tcPr>
            <w:tcW w:w="725" w:type="dxa"/>
            <w:tcBorders>
              <w:top w:val="single" w:color="auto" w:sz="4" w:space="0"/>
              <w:left w:val="single" w:color="auto" w:sz="4" w:space="0"/>
              <w:bottom w:val="single" w:color="auto" w:sz="4" w:space="0"/>
            </w:tcBorders>
            <w:vAlign w:val="center"/>
          </w:tcPr>
          <w:p w14:paraId="598E7150">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5</w:t>
            </w:r>
          </w:p>
        </w:tc>
      </w:tr>
      <w:tr w14:paraId="132EEA0E">
        <w:tblPrEx>
          <w:tblCellMar>
            <w:top w:w="0" w:type="dxa"/>
            <w:left w:w="108" w:type="dxa"/>
            <w:bottom w:w="0" w:type="dxa"/>
            <w:right w:w="108" w:type="dxa"/>
          </w:tblCellMar>
        </w:tblPrEx>
        <w:trPr>
          <w:trHeight w:val="284" w:hRule="atLeast"/>
        </w:trPr>
        <w:tc>
          <w:tcPr>
            <w:tcW w:w="2732" w:type="dxa"/>
            <w:vMerge w:val="continue"/>
            <w:tcBorders>
              <w:top w:val="single" w:color="auto" w:sz="4" w:space="0"/>
              <w:bottom w:val="single" w:color="auto" w:sz="4" w:space="0"/>
              <w:right w:val="single" w:color="auto" w:sz="4" w:space="0"/>
            </w:tcBorders>
            <w:vAlign w:val="center"/>
          </w:tcPr>
          <w:p w14:paraId="6F0E7197">
            <w:pPr>
              <w:widowControl/>
              <w:jc w:val="left"/>
              <w:rPr>
                <w:rFonts w:hint="eastAsia" w:ascii="宋体" w:hAnsi="宋体"/>
                <w:color w:val="auto"/>
                <w:spacing w:val="4"/>
                <w:szCs w:val="21"/>
              </w:rPr>
            </w:pPr>
          </w:p>
        </w:tc>
        <w:tc>
          <w:tcPr>
            <w:tcW w:w="896" w:type="dxa"/>
            <w:vMerge w:val="continue"/>
            <w:tcBorders>
              <w:top w:val="single" w:color="auto" w:sz="4" w:space="0"/>
              <w:left w:val="single" w:color="auto" w:sz="4" w:space="0"/>
              <w:bottom w:val="single" w:color="auto" w:sz="4" w:space="0"/>
              <w:right w:val="single" w:color="auto" w:sz="4" w:space="0"/>
            </w:tcBorders>
            <w:vAlign w:val="center"/>
          </w:tcPr>
          <w:p w14:paraId="1828A704">
            <w:pPr>
              <w:widowControl/>
              <w:jc w:val="left"/>
              <w:rPr>
                <w:rFonts w:hint="eastAsia" w:ascii="宋体" w:hAnsi="宋体"/>
                <w:color w:val="auto"/>
                <w:spacing w:val="4"/>
                <w:szCs w:val="21"/>
              </w:rPr>
            </w:pPr>
          </w:p>
        </w:tc>
        <w:tc>
          <w:tcPr>
            <w:tcW w:w="2893" w:type="dxa"/>
            <w:gridSpan w:val="3"/>
            <w:tcBorders>
              <w:top w:val="single" w:color="auto" w:sz="4" w:space="0"/>
              <w:left w:val="single" w:color="auto" w:sz="4" w:space="0"/>
              <w:bottom w:val="single" w:color="auto" w:sz="4" w:space="0"/>
              <w:right w:val="single" w:color="auto" w:sz="4" w:space="0"/>
            </w:tcBorders>
            <w:vAlign w:val="center"/>
          </w:tcPr>
          <w:p w14:paraId="6A9C135A">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含油污泥</w:t>
            </w:r>
          </w:p>
        </w:tc>
        <w:tc>
          <w:tcPr>
            <w:tcW w:w="1204" w:type="dxa"/>
            <w:tcBorders>
              <w:top w:val="single" w:color="auto" w:sz="4" w:space="0"/>
              <w:left w:val="single" w:color="auto" w:sz="4" w:space="0"/>
              <w:bottom w:val="single" w:color="auto" w:sz="4" w:space="0"/>
              <w:right w:val="single" w:color="auto" w:sz="4" w:space="0"/>
            </w:tcBorders>
            <w:vAlign w:val="center"/>
          </w:tcPr>
          <w:p w14:paraId="009F47CE">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kg/井次</w:t>
            </w:r>
          </w:p>
        </w:tc>
        <w:tc>
          <w:tcPr>
            <w:tcW w:w="1263" w:type="dxa"/>
            <w:gridSpan w:val="2"/>
            <w:tcBorders>
              <w:top w:val="single" w:color="auto" w:sz="4" w:space="0"/>
              <w:left w:val="single" w:color="auto" w:sz="4" w:space="0"/>
              <w:bottom w:val="single" w:color="auto" w:sz="4" w:space="0"/>
              <w:right w:val="single" w:color="auto" w:sz="4" w:space="0"/>
            </w:tcBorders>
            <w:vAlign w:val="center"/>
          </w:tcPr>
          <w:p w14:paraId="799250B8">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3054" w:type="dxa"/>
            <w:gridSpan w:val="2"/>
            <w:tcBorders>
              <w:top w:val="single" w:color="auto" w:sz="4" w:space="0"/>
              <w:left w:val="single" w:color="auto" w:sz="4" w:space="0"/>
              <w:bottom w:val="single" w:color="auto" w:sz="4" w:space="0"/>
              <w:right w:val="single" w:color="auto" w:sz="4" w:space="0"/>
            </w:tcBorders>
            <w:vAlign w:val="center"/>
          </w:tcPr>
          <w:p w14:paraId="7D2FAD7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甲类区：≤50；乙类区：≤70</w:t>
            </w:r>
          </w:p>
        </w:tc>
        <w:tc>
          <w:tcPr>
            <w:tcW w:w="1111" w:type="dxa"/>
            <w:gridSpan w:val="2"/>
            <w:tcBorders>
              <w:top w:val="single" w:color="auto" w:sz="4" w:space="0"/>
              <w:left w:val="single" w:color="auto" w:sz="4" w:space="0"/>
              <w:bottom w:val="single" w:color="auto" w:sz="4" w:space="0"/>
              <w:right w:val="single" w:color="auto" w:sz="4" w:space="0"/>
            </w:tcBorders>
            <w:vAlign w:val="center"/>
          </w:tcPr>
          <w:p w14:paraId="291E6E98">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0</w:t>
            </w:r>
          </w:p>
        </w:tc>
        <w:tc>
          <w:tcPr>
            <w:tcW w:w="725" w:type="dxa"/>
            <w:tcBorders>
              <w:top w:val="single" w:color="auto" w:sz="4" w:space="0"/>
              <w:left w:val="single" w:color="auto" w:sz="4" w:space="0"/>
              <w:bottom w:val="single" w:color="auto" w:sz="4" w:space="0"/>
            </w:tcBorders>
            <w:vAlign w:val="center"/>
          </w:tcPr>
          <w:p w14:paraId="0F859843">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5</w:t>
            </w:r>
          </w:p>
        </w:tc>
      </w:tr>
      <w:tr w14:paraId="2E554FFF">
        <w:tblPrEx>
          <w:tblCellMar>
            <w:top w:w="0" w:type="dxa"/>
            <w:left w:w="108" w:type="dxa"/>
            <w:bottom w:w="0" w:type="dxa"/>
            <w:right w:w="108" w:type="dxa"/>
          </w:tblCellMar>
        </w:tblPrEx>
        <w:trPr>
          <w:trHeight w:val="284" w:hRule="atLeast"/>
        </w:trPr>
        <w:tc>
          <w:tcPr>
            <w:tcW w:w="2732" w:type="dxa"/>
            <w:vMerge w:val="continue"/>
            <w:tcBorders>
              <w:top w:val="single" w:color="auto" w:sz="4" w:space="0"/>
              <w:bottom w:val="single" w:color="auto" w:sz="4" w:space="0"/>
              <w:right w:val="single" w:color="auto" w:sz="4" w:space="0"/>
            </w:tcBorders>
            <w:vAlign w:val="center"/>
          </w:tcPr>
          <w:p w14:paraId="09D5D8E8">
            <w:pPr>
              <w:widowControl/>
              <w:jc w:val="left"/>
              <w:rPr>
                <w:rFonts w:hint="eastAsia" w:ascii="宋体" w:hAnsi="宋体"/>
                <w:color w:val="auto"/>
                <w:spacing w:val="4"/>
                <w:szCs w:val="21"/>
              </w:rPr>
            </w:pPr>
          </w:p>
        </w:tc>
        <w:tc>
          <w:tcPr>
            <w:tcW w:w="896" w:type="dxa"/>
            <w:vMerge w:val="continue"/>
            <w:tcBorders>
              <w:top w:val="single" w:color="auto" w:sz="4" w:space="0"/>
              <w:left w:val="single" w:color="auto" w:sz="4" w:space="0"/>
              <w:bottom w:val="single" w:color="auto" w:sz="4" w:space="0"/>
              <w:right w:val="single" w:color="auto" w:sz="4" w:space="0"/>
            </w:tcBorders>
            <w:vAlign w:val="center"/>
          </w:tcPr>
          <w:p w14:paraId="6BEEEA23">
            <w:pPr>
              <w:widowControl/>
              <w:jc w:val="left"/>
              <w:rPr>
                <w:rFonts w:hint="eastAsia" w:ascii="宋体" w:hAnsi="宋体"/>
                <w:color w:val="auto"/>
                <w:spacing w:val="4"/>
                <w:szCs w:val="21"/>
              </w:rPr>
            </w:pPr>
          </w:p>
        </w:tc>
        <w:tc>
          <w:tcPr>
            <w:tcW w:w="2893" w:type="dxa"/>
            <w:gridSpan w:val="3"/>
            <w:tcBorders>
              <w:top w:val="single" w:color="auto" w:sz="4" w:space="0"/>
              <w:left w:val="single" w:color="auto" w:sz="4" w:space="0"/>
              <w:bottom w:val="single" w:color="auto" w:sz="4" w:space="0"/>
              <w:right w:val="single" w:color="auto" w:sz="4" w:space="0"/>
            </w:tcBorders>
            <w:vAlign w:val="center"/>
          </w:tcPr>
          <w:p w14:paraId="479920D9">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一般固体废物（生活垃圾）</w:t>
            </w:r>
          </w:p>
        </w:tc>
        <w:tc>
          <w:tcPr>
            <w:tcW w:w="1204" w:type="dxa"/>
            <w:tcBorders>
              <w:top w:val="single" w:color="auto" w:sz="4" w:space="0"/>
              <w:left w:val="single" w:color="auto" w:sz="4" w:space="0"/>
              <w:bottom w:val="single" w:color="auto" w:sz="4" w:space="0"/>
              <w:right w:val="single" w:color="auto" w:sz="4" w:space="0"/>
            </w:tcBorders>
            <w:vAlign w:val="center"/>
          </w:tcPr>
          <w:p w14:paraId="588E0078">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kg/井次</w:t>
            </w:r>
          </w:p>
        </w:tc>
        <w:tc>
          <w:tcPr>
            <w:tcW w:w="1263" w:type="dxa"/>
            <w:gridSpan w:val="2"/>
            <w:tcBorders>
              <w:top w:val="single" w:color="auto" w:sz="4" w:space="0"/>
              <w:left w:val="single" w:color="auto" w:sz="4" w:space="0"/>
              <w:bottom w:val="single" w:color="auto" w:sz="4" w:space="0"/>
              <w:right w:val="single" w:color="auto" w:sz="4" w:space="0"/>
            </w:tcBorders>
            <w:vAlign w:val="center"/>
          </w:tcPr>
          <w:p w14:paraId="5AB4DB0D">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3054" w:type="dxa"/>
            <w:gridSpan w:val="2"/>
            <w:tcBorders>
              <w:top w:val="single" w:color="auto" w:sz="4" w:space="0"/>
              <w:left w:val="single" w:color="auto" w:sz="4" w:space="0"/>
              <w:bottom w:val="single" w:color="auto" w:sz="4" w:space="0"/>
              <w:right w:val="single" w:color="auto" w:sz="4" w:space="0"/>
            </w:tcBorders>
            <w:vAlign w:val="center"/>
          </w:tcPr>
          <w:p w14:paraId="67446B4B">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符合环保要求</w:t>
            </w:r>
          </w:p>
        </w:tc>
        <w:tc>
          <w:tcPr>
            <w:tcW w:w="1111" w:type="dxa"/>
            <w:gridSpan w:val="2"/>
            <w:tcBorders>
              <w:top w:val="single" w:color="auto" w:sz="4" w:space="0"/>
              <w:left w:val="single" w:color="auto" w:sz="4" w:space="0"/>
              <w:bottom w:val="single" w:color="auto" w:sz="4" w:space="0"/>
              <w:right w:val="single" w:color="auto" w:sz="4" w:space="0"/>
            </w:tcBorders>
            <w:vAlign w:val="center"/>
          </w:tcPr>
          <w:p w14:paraId="46D519D3">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0</w:t>
            </w:r>
          </w:p>
        </w:tc>
        <w:tc>
          <w:tcPr>
            <w:tcW w:w="725" w:type="dxa"/>
            <w:tcBorders>
              <w:top w:val="single" w:color="auto" w:sz="4" w:space="0"/>
              <w:left w:val="single" w:color="auto" w:sz="4" w:space="0"/>
              <w:bottom w:val="single" w:color="auto" w:sz="4" w:space="0"/>
            </w:tcBorders>
            <w:vAlign w:val="center"/>
          </w:tcPr>
          <w:p w14:paraId="784C9DF9">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5</w:t>
            </w:r>
          </w:p>
        </w:tc>
      </w:tr>
      <w:tr w14:paraId="5AAB1B69">
        <w:tblPrEx>
          <w:tblCellMar>
            <w:top w:w="0" w:type="dxa"/>
            <w:left w:w="108" w:type="dxa"/>
            <w:bottom w:w="0" w:type="dxa"/>
            <w:right w:w="108" w:type="dxa"/>
          </w:tblCellMar>
        </w:tblPrEx>
        <w:trPr>
          <w:trHeight w:val="284" w:hRule="atLeast"/>
        </w:trPr>
        <w:tc>
          <w:tcPr>
            <w:tcW w:w="13878" w:type="dxa"/>
            <w:gridSpan w:val="13"/>
            <w:tcBorders>
              <w:top w:val="single" w:color="auto" w:sz="4" w:space="0"/>
              <w:bottom w:val="single" w:color="auto" w:sz="4" w:space="0"/>
            </w:tcBorders>
            <w:vAlign w:val="center"/>
          </w:tcPr>
          <w:p w14:paraId="19EAAAE7">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定性指标</w:t>
            </w:r>
          </w:p>
        </w:tc>
      </w:tr>
      <w:tr w14:paraId="076F4DA4">
        <w:tblPrEx>
          <w:tblCellMar>
            <w:top w:w="0" w:type="dxa"/>
            <w:left w:w="108" w:type="dxa"/>
            <w:bottom w:w="0" w:type="dxa"/>
            <w:right w:w="108" w:type="dxa"/>
          </w:tblCellMar>
        </w:tblPrEx>
        <w:trPr>
          <w:trHeight w:val="284" w:hRule="atLeast"/>
        </w:trPr>
        <w:tc>
          <w:tcPr>
            <w:tcW w:w="3828" w:type="dxa"/>
            <w:gridSpan w:val="3"/>
            <w:tcBorders>
              <w:top w:val="single" w:color="auto" w:sz="4" w:space="0"/>
              <w:bottom w:val="single" w:color="auto" w:sz="4" w:space="0"/>
              <w:right w:val="single" w:color="auto" w:sz="4" w:space="0"/>
            </w:tcBorders>
            <w:vAlign w:val="center"/>
          </w:tcPr>
          <w:p w14:paraId="71476D86">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一级指标</w:t>
            </w:r>
          </w:p>
        </w:tc>
        <w:tc>
          <w:tcPr>
            <w:tcW w:w="1275" w:type="dxa"/>
            <w:tcBorders>
              <w:top w:val="single" w:color="auto" w:sz="4" w:space="0"/>
              <w:left w:val="single" w:color="auto" w:sz="4" w:space="0"/>
              <w:bottom w:val="single" w:color="auto" w:sz="4" w:space="0"/>
              <w:right w:val="single" w:color="auto" w:sz="4" w:space="0"/>
            </w:tcBorders>
            <w:vAlign w:val="center"/>
          </w:tcPr>
          <w:p w14:paraId="5C419A79">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指标分值</w:t>
            </w:r>
          </w:p>
        </w:tc>
        <w:tc>
          <w:tcPr>
            <w:tcW w:w="6384" w:type="dxa"/>
            <w:gridSpan w:val="5"/>
            <w:tcBorders>
              <w:top w:val="single" w:color="auto" w:sz="4" w:space="0"/>
              <w:left w:val="single" w:color="auto" w:sz="4" w:space="0"/>
              <w:bottom w:val="single" w:color="auto" w:sz="4" w:space="0"/>
              <w:right w:val="single" w:color="auto" w:sz="4" w:space="0"/>
            </w:tcBorders>
            <w:vAlign w:val="center"/>
          </w:tcPr>
          <w:p w14:paraId="5BD00A44">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二级指标</w:t>
            </w:r>
          </w:p>
        </w:tc>
        <w:tc>
          <w:tcPr>
            <w:tcW w:w="1110" w:type="dxa"/>
            <w:gridSpan w:val="2"/>
            <w:tcBorders>
              <w:top w:val="single" w:color="auto" w:sz="4" w:space="0"/>
              <w:left w:val="single" w:color="auto" w:sz="4" w:space="0"/>
              <w:bottom w:val="single" w:color="auto" w:sz="4" w:space="0"/>
              <w:right w:val="single" w:color="auto" w:sz="4" w:space="0"/>
            </w:tcBorders>
            <w:vAlign w:val="center"/>
          </w:tcPr>
          <w:p w14:paraId="5726CBA3">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指标分值</w:t>
            </w:r>
          </w:p>
        </w:tc>
        <w:tc>
          <w:tcPr>
            <w:tcW w:w="1281" w:type="dxa"/>
            <w:gridSpan w:val="2"/>
            <w:tcBorders>
              <w:top w:val="single" w:color="auto" w:sz="4" w:space="0"/>
              <w:left w:val="single" w:color="auto" w:sz="4" w:space="0"/>
              <w:bottom w:val="single" w:color="auto" w:sz="4" w:space="0"/>
            </w:tcBorders>
            <w:vAlign w:val="center"/>
          </w:tcPr>
          <w:p w14:paraId="065F0C80">
            <w:pPr>
              <w:adjustRightInd w:val="0"/>
              <w:snapToGrid w:val="0"/>
              <w:spacing w:line="300" w:lineRule="exact"/>
              <w:ind w:left="-1" w:leftChars="-122" w:hanging="255" w:hangingChars="117"/>
              <w:jc w:val="center"/>
              <w:rPr>
                <w:rFonts w:hint="eastAsia" w:ascii="宋体" w:hAnsi="宋体"/>
                <w:color w:val="auto"/>
                <w:spacing w:val="4"/>
                <w:szCs w:val="21"/>
              </w:rPr>
            </w:pPr>
            <w:r>
              <w:rPr>
                <w:rFonts w:ascii="宋体" w:hAnsi="宋体"/>
                <w:color w:val="auto"/>
                <w:spacing w:val="4"/>
                <w:szCs w:val="21"/>
              </w:rPr>
              <w:t>本项目评分</w:t>
            </w:r>
          </w:p>
        </w:tc>
      </w:tr>
      <w:tr w14:paraId="1C48E60C">
        <w:tblPrEx>
          <w:tblCellMar>
            <w:top w:w="0" w:type="dxa"/>
            <w:left w:w="108" w:type="dxa"/>
            <w:bottom w:w="0" w:type="dxa"/>
            <w:right w:w="108" w:type="dxa"/>
          </w:tblCellMar>
        </w:tblPrEx>
        <w:trPr>
          <w:trHeight w:val="284" w:hRule="atLeast"/>
        </w:trPr>
        <w:tc>
          <w:tcPr>
            <w:tcW w:w="3828" w:type="dxa"/>
            <w:gridSpan w:val="3"/>
            <w:vMerge w:val="restart"/>
            <w:tcBorders>
              <w:top w:val="single" w:color="auto" w:sz="4" w:space="0"/>
              <w:bottom w:val="single" w:color="auto" w:sz="4" w:space="0"/>
              <w:right w:val="single" w:color="auto" w:sz="4" w:space="0"/>
            </w:tcBorders>
            <w:vAlign w:val="center"/>
          </w:tcPr>
          <w:p w14:paraId="54023676">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（1）生产工艺及设备要求</w:t>
            </w:r>
          </w:p>
        </w:tc>
        <w:tc>
          <w:tcPr>
            <w:tcW w:w="1275" w:type="dxa"/>
            <w:vMerge w:val="restart"/>
            <w:tcBorders>
              <w:top w:val="single" w:color="auto" w:sz="4" w:space="0"/>
              <w:left w:val="single" w:color="auto" w:sz="4" w:space="0"/>
              <w:bottom w:val="single" w:color="auto" w:sz="4" w:space="0"/>
              <w:right w:val="single" w:color="auto" w:sz="4" w:space="0"/>
            </w:tcBorders>
            <w:vAlign w:val="center"/>
          </w:tcPr>
          <w:p w14:paraId="73F03B4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40</w:t>
            </w:r>
          </w:p>
        </w:tc>
        <w:tc>
          <w:tcPr>
            <w:tcW w:w="2775" w:type="dxa"/>
            <w:gridSpan w:val="3"/>
            <w:tcBorders>
              <w:top w:val="single" w:color="auto" w:sz="4" w:space="0"/>
              <w:left w:val="single" w:color="auto" w:sz="4" w:space="0"/>
              <w:bottom w:val="single" w:color="auto" w:sz="4" w:space="0"/>
              <w:right w:val="single" w:color="auto" w:sz="4" w:space="0"/>
            </w:tcBorders>
            <w:vAlign w:val="center"/>
          </w:tcPr>
          <w:p w14:paraId="62203BDC">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防喷措施</w:t>
            </w:r>
          </w:p>
        </w:tc>
        <w:tc>
          <w:tcPr>
            <w:tcW w:w="3609" w:type="dxa"/>
            <w:gridSpan w:val="2"/>
            <w:tcBorders>
              <w:top w:val="single" w:color="auto" w:sz="4" w:space="0"/>
              <w:left w:val="single" w:color="auto" w:sz="4" w:space="0"/>
              <w:bottom w:val="single" w:color="auto" w:sz="4" w:space="0"/>
              <w:right w:val="single" w:color="auto" w:sz="4" w:space="0"/>
            </w:tcBorders>
            <w:vAlign w:val="center"/>
          </w:tcPr>
          <w:p w14:paraId="09A551F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具备</w:t>
            </w:r>
          </w:p>
        </w:tc>
        <w:tc>
          <w:tcPr>
            <w:tcW w:w="1110" w:type="dxa"/>
            <w:gridSpan w:val="2"/>
            <w:tcBorders>
              <w:top w:val="single" w:color="auto" w:sz="4" w:space="0"/>
              <w:left w:val="single" w:color="auto" w:sz="4" w:space="0"/>
              <w:bottom w:val="single" w:color="auto" w:sz="4" w:space="0"/>
              <w:right w:val="single" w:color="auto" w:sz="4" w:space="0"/>
            </w:tcBorders>
            <w:vAlign w:val="center"/>
          </w:tcPr>
          <w:p w14:paraId="26476CC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1281" w:type="dxa"/>
            <w:gridSpan w:val="2"/>
            <w:tcBorders>
              <w:top w:val="single" w:color="auto" w:sz="4" w:space="0"/>
              <w:left w:val="single" w:color="auto" w:sz="4" w:space="0"/>
              <w:bottom w:val="single" w:color="auto" w:sz="4" w:space="0"/>
            </w:tcBorders>
            <w:vAlign w:val="center"/>
          </w:tcPr>
          <w:p w14:paraId="1D247FD6">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r>
      <w:tr w14:paraId="1B5ABF2A">
        <w:tblPrEx>
          <w:tblCellMar>
            <w:top w:w="0" w:type="dxa"/>
            <w:left w:w="108" w:type="dxa"/>
            <w:bottom w:w="0" w:type="dxa"/>
            <w:right w:w="108" w:type="dxa"/>
          </w:tblCellMar>
        </w:tblPrEx>
        <w:trPr>
          <w:trHeight w:val="284" w:hRule="atLeast"/>
        </w:trPr>
        <w:tc>
          <w:tcPr>
            <w:tcW w:w="3828" w:type="dxa"/>
            <w:gridSpan w:val="3"/>
            <w:vMerge w:val="continue"/>
            <w:tcBorders>
              <w:top w:val="single" w:color="auto" w:sz="4" w:space="0"/>
              <w:bottom w:val="single" w:color="auto" w:sz="4" w:space="0"/>
              <w:right w:val="single" w:color="auto" w:sz="4" w:space="0"/>
            </w:tcBorders>
            <w:vAlign w:val="center"/>
          </w:tcPr>
          <w:p w14:paraId="33AE21C4">
            <w:pPr>
              <w:widowControl/>
              <w:jc w:val="left"/>
              <w:rPr>
                <w:rFonts w:hint="eastAsia" w:ascii="宋体" w:hAnsi="宋体"/>
                <w:color w:val="auto"/>
                <w:spacing w:val="4"/>
                <w:szCs w:val="21"/>
              </w:rPr>
            </w:pPr>
          </w:p>
        </w:tc>
        <w:tc>
          <w:tcPr>
            <w:tcW w:w="1275" w:type="dxa"/>
            <w:vMerge w:val="continue"/>
            <w:tcBorders>
              <w:top w:val="single" w:color="auto" w:sz="4" w:space="0"/>
              <w:left w:val="single" w:color="auto" w:sz="4" w:space="0"/>
              <w:bottom w:val="single" w:color="auto" w:sz="4" w:space="0"/>
              <w:right w:val="single" w:color="auto" w:sz="4" w:space="0"/>
            </w:tcBorders>
            <w:vAlign w:val="center"/>
          </w:tcPr>
          <w:p w14:paraId="3A523A04">
            <w:pPr>
              <w:widowControl/>
              <w:jc w:val="left"/>
              <w:rPr>
                <w:rFonts w:hint="eastAsia" w:ascii="宋体" w:hAnsi="宋体"/>
                <w:color w:val="auto"/>
                <w:spacing w:val="4"/>
                <w:szCs w:val="21"/>
              </w:rPr>
            </w:pPr>
          </w:p>
        </w:tc>
        <w:tc>
          <w:tcPr>
            <w:tcW w:w="2775" w:type="dxa"/>
            <w:gridSpan w:val="3"/>
            <w:tcBorders>
              <w:top w:val="single" w:color="auto" w:sz="4" w:space="0"/>
              <w:left w:val="single" w:color="auto" w:sz="4" w:space="0"/>
              <w:bottom w:val="single" w:color="auto" w:sz="4" w:space="0"/>
              <w:right w:val="single" w:color="auto" w:sz="4" w:space="0"/>
            </w:tcBorders>
            <w:vAlign w:val="center"/>
          </w:tcPr>
          <w:p w14:paraId="7F886EC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地面管线防刺防漏措施</w:t>
            </w:r>
          </w:p>
        </w:tc>
        <w:tc>
          <w:tcPr>
            <w:tcW w:w="3609" w:type="dxa"/>
            <w:gridSpan w:val="2"/>
            <w:tcBorders>
              <w:top w:val="single" w:color="auto" w:sz="4" w:space="0"/>
              <w:left w:val="single" w:color="auto" w:sz="4" w:space="0"/>
              <w:bottom w:val="single" w:color="auto" w:sz="4" w:space="0"/>
              <w:right w:val="single" w:color="auto" w:sz="4" w:space="0"/>
            </w:tcBorders>
            <w:vAlign w:val="center"/>
          </w:tcPr>
          <w:p w14:paraId="301006B8">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按标准试压</w:t>
            </w:r>
          </w:p>
        </w:tc>
        <w:tc>
          <w:tcPr>
            <w:tcW w:w="1110" w:type="dxa"/>
            <w:gridSpan w:val="2"/>
            <w:tcBorders>
              <w:top w:val="single" w:color="auto" w:sz="4" w:space="0"/>
              <w:left w:val="single" w:color="auto" w:sz="4" w:space="0"/>
              <w:bottom w:val="single" w:color="auto" w:sz="4" w:space="0"/>
              <w:right w:val="single" w:color="auto" w:sz="4" w:space="0"/>
            </w:tcBorders>
            <w:vAlign w:val="center"/>
          </w:tcPr>
          <w:p w14:paraId="71DE7CB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1281" w:type="dxa"/>
            <w:gridSpan w:val="2"/>
            <w:tcBorders>
              <w:top w:val="single" w:color="auto" w:sz="4" w:space="0"/>
              <w:left w:val="single" w:color="auto" w:sz="4" w:space="0"/>
              <w:bottom w:val="single" w:color="auto" w:sz="4" w:space="0"/>
            </w:tcBorders>
            <w:vAlign w:val="center"/>
          </w:tcPr>
          <w:p w14:paraId="7F6330F9">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r>
      <w:tr w14:paraId="1D315FF7">
        <w:tblPrEx>
          <w:tblCellMar>
            <w:top w:w="0" w:type="dxa"/>
            <w:left w:w="108" w:type="dxa"/>
            <w:bottom w:w="0" w:type="dxa"/>
            <w:right w:w="108" w:type="dxa"/>
          </w:tblCellMar>
        </w:tblPrEx>
        <w:trPr>
          <w:trHeight w:val="284" w:hRule="atLeast"/>
        </w:trPr>
        <w:tc>
          <w:tcPr>
            <w:tcW w:w="3828" w:type="dxa"/>
            <w:gridSpan w:val="3"/>
            <w:vMerge w:val="continue"/>
            <w:tcBorders>
              <w:top w:val="single" w:color="auto" w:sz="4" w:space="0"/>
              <w:bottom w:val="single" w:color="auto" w:sz="4" w:space="0"/>
              <w:right w:val="single" w:color="auto" w:sz="4" w:space="0"/>
            </w:tcBorders>
            <w:vAlign w:val="center"/>
          </w:tcPr>
          <w:p w14:paraId="036467BB">
            <w:pPr>
              <w:widowControl/>
              <w:jc w:val="left"/>
              <w:rPr>
                <w:rFonts w:hint="eastAsia" w:ascii="宋体" w:hAnsi="宋体"/>
                <w:color w:val="auto"/>
                <w:spacing w:val="4"/>
                <w:szCs w:val="21"/>
              </w:rPr>
            </w:pPr>
          </w:p>
        </w:tc>
        <w:tc>
          <w:tcPr>
            <w:tcW w:w="1275" w:type="dxa"/>
            <w:vMerge w:val="continue"/>
            <w:tcBorders>
              <w:top w:val="single" w:color="auto" w:sz="4" w:space="0"/>
              <w:left w:val="single" w:color="auto" w:sz="4" w:space="0"/>
              <w:bottom w:val="single" w:color="auto" w:sz="4" w:space="0"/>
              <w:right w:val="single" w:color="auto" w:sz="4" w:space="0"/>
            </w:tcBorders>
            <w:vAlign w:val="center"/>
          </w:tcPr>
          <w:p w14:paraId="3DEC30A0">
            <w:pPr>
              <w:widowControl/>
              <w:jc w:val="left"/>
              <w:rPr>
                <w:rFonts w:hint="eastAsia" w:ascii="宋体" w:hAnsi="宋体"/>
                <w:color w:val="auto"/>
                <w:spacing w:val="4"/>
                <w:szCs w:val="21"/>
              </w:rPr>
            </w:pPr>
          </w:p>
        </w:tc>
        <w:tc>
          <w:tcPr>
            <w:tcW w:w="2775" w:type="dxa"/>
            <w:gridSpan w:val="3"/>
            <w:tcBorders>
              <w:top w:val="single" w:color="auto" w:sz="4" w:space="0"/>
              <w:left w:val="single" w:color="auto" w:sz="4" w:space="0"/>
              <w:bottom w:val="single" w:color="auto" w:sz="4" w:space="0"/>
              <w:right w:val="single" w:color="auto" w:sz="4" w:space="0"/>
            </w:tcBorders>
            <w:vAlign w:val="center"/>
          </w:tcPr>
          <w:p w14:paraId="29122CBD">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防溢设备（防溢池设置）</w:t>
            </w:r>
          </w:p>
        </w:tc>
        <w:tc>
          <w:tcPr>
            <w:tcW w:w="3609" w:type="dxa"/>
            <w:gridSpan w:val="2"/>
            <w:tcBorders>
              <w:top w:val="single" w:color="auto" w:sz="4" w:space="0"/>
              <w:left w:val="single" w:color="auto" w:sz="4" w:space="0"/>
              <w:bottom w:val="single" w:color="auto" w:sz="4" w:space="0"/>
              <w:right w:val="single" w:color="auto" w:sz="4" w:space="0"/>
            </w:tcBorders>
            <w:vAlign w:val="center"/>
          </w:tcPr>
          <w:p w14:paraId="394B147E">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具备</w:t>
            </w:r>
          </w:p>
        </w:tc>
        <w:tc>
          <w:tcPr>
            <w:tcW w:w="1110" w:type="dxa"/>
            <w:gridSpan w:val="2"/>
            <w:tcBorders>
              <w:top w:val="single" w:color="auto" w:sz="4" w:space="0"/>
              <w:left w:val="single" w:color="auto" w:sz="4" w:space="0"/>
              <w:bottom w:val="single" w:color="auto" w:sz="4" w:space="0"/>
              <w:right w:val="single" w:color="auto" w:sz="4" w:space="0"/>
            </w:tcBorders>
            <w:vAlign w:val="center"/>
          </w:tcPr>
          <w:p w14:paraId="105E0AB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1281" w:type="dxa"/>
            <w:gridSpan w:val="2"/>
            <w:tcBorders>
              <w:top w:val="single" w:color="auto" w:sz="4" w:space="0"/>
              <w:left w:val="single" w:color="auto" w:sz="4" w:space="0"/>
              <w:bottom w:val="single" w:color="auto" w:sz="4" w:space="0"/>
            </w:tcBorders>
            <w:vAlign w:val="center"/>
          </w:tcPr>
          <w:p w14:paraId="02CD6892">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r>
      <w:tr w14:paraId="2FFFAED9">
        <w:tblPrEx>
          <w:tblCellMar>
            <w:top w:w="0" w:type="dxa"/>
            <w:left w:w="108" w:type="dxa"/>
            <w:bottom w:w="0" w:type="dxa"/>
            <w:right w:w="108" w:type="dxa"/>
          </w:tblCellMar>
        </w:tblPrEx>
        <w:trPr>
          <w:trHeight w:val="284" w:hRule="atLeast"/>
        </w:trPr>
        <w:tc>
          <w:tcPr>
            <w:tcW w:w="3828" w:type="dxa"/>
            <w:gridSpan w:val="3"/>
            <w:vMerge w:val="continue"/>
            <w:tcBorders>
              <w:top w:val="single" w:color="auto" w:sz="4" w:space="0"/>
              <w:bottom w:val="single" w:color="auto" w:sz="4" w:space="0"/>
              <w:right w:val="single" w:color="auto" w:sz="4" w:space="0"/>
            </w:tcBorders>
            <w:vAlign w:val="center"/>
          </w:tcPr>
          <w:p w14:paraId="0A3B3FAF">
            <w:pPr>
              <w:widowControl/>
              <w:jc w:val="left"/>
              <w:rPr>
                <w:rFonts w:hint="eastAsia" w:ascii="宋体" w:hAnsi="宋体"/>
                <w:color w:val="auto"/>
                <w:spacing w:val="4"/>
                <w:szCs w:val="21"/>
              </w:rPr>
            </w:pPr>
          </w:p>
        </w:tc>
        <w:tc>
          <w:tcPr>
            <w:tcW w:w="1275" w:type="dxa"/>
            <w:vMerge w:val="continue"/>
            <w:tcBorders>
              <w:top w:val="single" w:color="auto" w:sz="4" w:space="0"/>
              <w:left w:val="single" w:color="auto" w:sz="4" w:space="0"/>
              <w:bottom w:val="single" w:color="auto" w:sz="4" w:space="0"/>
              <w:right w:val="single" w:color="auto" w:sz="4" w:space="0"/>
            </w:tcBorders>
            <w:vAlign w:val="center"/>
          </w:tcPr>
          <w:p w14:paraId="1E06C27E">
            <w:pPr>
              <w:widowControl/>
              <w:jc w:val="left"/>
              <w:rPr>
                <w:rFonts w:hint="eastAsia" w:ascii="宋体" w:hAnsi="宋体"/>
                <w:color w:val="auto"/>
                <w:spacing w:val="4"/>
                <w:szCs w:val="21"/>
              </w:rPr>
            </w:pPr>
          </w:p>
        </w:tc>
        <w:tc>
          <w:tcPr>
            <w:tcW w:w="2775" w:type="dxa"/>
            <w:gridSpan w:val="3"/>
            <w:tcBorders>
              <w:top w:val="single" w:color="auto" w:sz="4" w:space="0"/>
              <w:left w:val="single" w:color="auto" w:sz="4" w:space="0"/>
              <w:bottom w:val="single" w:color="auto" w:sz="4" w:space="0"/>
              <w:right w:val="single" w:color="auto" w:sz="4" w:space="0"/>
            </w:tcBorders>
            <w:vAlign w:val="center"/>
          </w:tcPr>
          <w:p w14:paraId="04600BCE">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防渗范围</w:t>
            </w:r>
          </w:p>
        </w:tc>
        <w:tc>
          <w:tcPr>
            <w:tcW w:w="3609" w:type="dxa"/>
            <w:gridSpan w:val="2"/>
            <w:tcBorders>
              <w:top w:val="single" w:color="auto" w:sz="4" w:space="0"/>
              <w:left w:val="single" w:color="auto" w:sz="4" w:space="0"/>
              <w:bottom w:val="single" w:color="auto" w:sz="4" w:space="0"/>
              <w:right w:val="single" w:color="auto" w:sz="4" w:space="0"/>
            </w:tcBorders>
            <w:vAlign w:val="center"/>
          </w:tcPr>
          <w:p w14:paraId="73B1A1DE">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废水、使用液、原油等可能落地处</w:t>
            </w:r>
          </w:p>
        </w:tc>
        <w:tc>
          <w:tcPr>
            <w:tcW w:w="1110" w:type="dxa"/>
            <w:gridSpan w:val="2"/>
            <w:tcBorders>
              <w:top w:val="single" w:color="auto" w:sz="4" w:space="0"/>
              <w:left w:val="single" w:color="auto" w:sz="4" w:space="0"/>
              <w:bottom w:val="single" w:color="auto" w:sz="4" w:space="0"/>
              <w:right w:val="single" w:color="auto" w:sz="4" w:space="0"/>
            </w:tcBorders>
            <w:vAlign w:val="center"/>
          </w:tcPr>
          <w:p w14:paraId="009BBF28">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1281" w:type="dxa"/>
            <w:gridSpan w:val="2"/>
            <w:tcBorders>
              <w:top w:val="single" w:color="auto" w:sz="4" w:space="0"/>
              <w:left w:val="single" w:color="auto" w:sz="4" w:space="0"/>
              <w:bottom w:val="single" w:color="auto" w:sz="4" w:space="0"/>
            </w:tcBorders>
            <w:vAlign w:val="center"/>
          </w:tcPr>
          <w:p w14:paraId="72011E98">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r>
      <w:tr w14:paraId="5FA12788">
        <w:tblPrEx>
          <w:tblCellMar>
            <w:top w:w="0" w:type="dxa"/>
            <w:left w:w="108" w:type="dxa"/>
            <w:bottom w:w="0" w:type="dxa"/>
            <w:right w:w="108" w:type="dxa"/>
          </w:tblCellMar>
        </w:tblPrEx>
        <w:trPr>
          <w:trHeight w:val="284" w:hRule="atLeast"/>
        </w:trPr>
        <w:tc>
          <w:tcPr>
            <w:tcW w:w="3828" w:type="dxa"/>
            <w:gridSpan w:val="3"/>
            <w:vMerge w:val="continue"/>
            <w:tcBorders>
              <w:top w:val="single" w:color="auto" w:sz="4" w:space="0"/>
              <w:bottom w:val="single" w:color="auto" w:sz="4" w:space="0"/>
              <w:right w:val="single" w:color="auto" w:sz="4" w:space="0"/>
            </w:tcBorders>
            <w:vAlign w:val="center"/>
          </w:tcPr>
          <w:p w14:paraId="7EE382FC">
            <w:pPr>
              <w:widowControl/>
              <w:jc w:val="left"/>
              <w:rPr>
                <w:rFonts w:hint="eastAsia" w:ascii="宋体" w:hAnsi="宋体"/>
                <w:color w:val="auto"/>
                <w:spacing w:val="4"/>
                <w:szCs w:val="21"/>
              </w:rPr>
            </w:pPr>
          </w:p>
        </w:tc>
        <w:tc>
          <w:tcPr>
            <w:tcW w:w="1275" w:type="dxa"/>
            <w:vMerge w:val="continue"/>
            <w:tcBorders>
              <w:top w:val="single" w:color="auto" w:sz="4" w:space="0"/>
              <w:left w:val="single" w:color="auto" w:sz="4" w:space="0"/>
              <w:bottom w:val="single" w:color="auto" w:sz="4" w:space="0"/>
              <w:right w:val="single" w:color="auto" w:sz="4" w:space="0"/>
            </w:tcBorders>
            <w:vAlign w:val="center"/>
          </w:tcPr>
          <w:p w14:paraId="7924FAAD">
            <w:pPr>
              <w:widowControl/>
              <w:jc w:val="left"/>
              <w:rPr>
                <w:rFonts w:hint="eastAsia" w:ascii="宋体" w:hAnsi="宋体"/>
                <w:color w:val="auto"/>
                <w:spacing w:val="4"/>
                <w:szCs w:val="21"/>
              </w:rPr>
            </w:pPr>
          </w:p>
        </w:tc>
        <w:tc>
          <w:tcPr>
            <w:tcW w:w="2775" w:type="dxa"/>
            <w:gridSpan w:val="3"/>
            <w:tcBorders>
              <w:top w:val="single" w:color="auto" w:sz="4" w:space="0"/>
              <w:left w:val="single" w:color="auto" w:sz="4" w:space="0"/>
              <w:bottom w:val="single" w:color="auto" w:sz="4" w:space="0"/>
              <w:right w:val="single" w:color="auto" w:sz="4" w:space="0"/>
            </w:tcBorders>
            <w:vAlign w:val="center"/>
          </w:tcPr>
          <w:p w14:paraId="1AB1A5E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作业废液污染控制措施</w:t>
            </w:r>
          </w:p>
        </w:tc>
        <w:tc>
          <w:tcPr>
            <w:tcW w:w="3609" w:type="dxa"/>
            <w:gridSpan w:val="2"/>
            <w:tcBorders>
              <w:top w:val="single" w:color="auto" w:sz="4" w:space="0"/>
              <w:left w:val="single" w:color="auto" w:sz="4" w:space="0"/>
              <w:bottom w:val="single" w:color="auto" w:sz="4" w:space="0"/>
              <w:right w:val="single" w:color="auto" w:sz="4" w:space="0"/>
            </w:tcBorders>
            <w:vAlign w:val="center"/>
          </w:tcPr>
          <w:p w14:paraId="2C3552ED">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集中回收处理</w:t>
            </w:r>
          </w:p>
        </w:tc>
        <w:tc>
          <w:tcPr>
            <w:tcW w:w="1110" w:type="dxa"/>
            <w:gridSpan w:val="2"/>
            <w:tcBorders>
              <w:top w:val="single" w:color="auto" w:sz="4" w:space="0"/>
              <w:left w:val="single" w:color="auto" w:sz="4" w:space="0"/>
              <w:bottom w:val="single" w:color="auto" w:sz="4" w:space="0"/>
              <w:right w:val="single" w:color="auto" w:sz="4" w:space="0"/>
            </w:tcBorders>
            <w:vAlign w:val="center"/>
          </w:tcPr>
          <w:p w14:paraId="14BB0BB1">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c>
          <w:tcPr>
            <w:tcW w:w="1281" w:type="dxa"/>
            <w:gridSpan w:val="2"/>
            <w:tcBorders>
              <w:top w:val="single" w:color="auto" w:sz="4" w:space="0"/>
              <w:left w:val="single" w:color="auto" w:sz="4" w:space="0"/>
              <w:bottom w:val="single" w:color="auto" w:sz="4" w:space="0"/>
            </w:tcBorders>
            <w:vAlign w:val="center"/>
          </w:tcPr>
          <w:p w14:paraId="66BC449D">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r>
      <w:tr w14:paraId="39D74123">
        <w:tblPrEx>
          <w:tblCellMar>
            <w:top w:w="0" w:type="dxa"/>
            <w:left w:w="108" w:type="dxa"/>
            <w:bottom w:w="0" w:type="dxa"/>
            <w:right w:w="108" w:type="dxa"/>
          </w:tblCellMar>
        </w:tblPrEx>
        <w:trPr>
          <w:trHeight w:val="284" w:hRule="atLeast"/>
        </w:trPr>
        <w:tc>
          <w:tcPr>
            <w:tcW w:w="3828" w:type="dxa"/>
            <w:gridSpan w:val="3"/>
            <w:vMerge w:val="continue"/>
            <w:tcBorders>
              <w:top w:val="single" w:color="auto" w:sz="4" w:space="0"/>
              <w:bottom w:val="single" w:color="auto" w:sz="4" w:space="0"/>
              <w:right w:val="single" w:color="auto" w:sz="4" w:space="0"/>
            </w:tcBorders>
            <w:vAlign w:val="center"/>
          </w:tcPr>
          <w:p w14:paraId="447666D8">
            <w:pPr>
              <w:widowControl/>
              <w:jc w:val="left"/>
              <w:rPr>
                <w:rFonts w:hint="eastAsia" w:ascii="宋体" w:hAnsi="宋体"/>
                <w:color w:val="auto"/>
                <w:spacing w:val="4"/>
                <w:szCs w:val="21"/>
              </w:rPr>
            </w:pPr>
          </w:p>
        </w:tc>
        <w:tc>
          <w:tcPr>
            <w:tcW w:w="1275" w:type="dxa"/>
            <w:vMerge w:val="continue"/>
            <w:tcBorders>
              <w:top w:val="single" w:color="auto" w:sz="4" w:space="0"/>
              <w:left w:val="single" w:color="auto" w:sz="4" w:space="0"/>
              <w:bottom w:val="single" w:color="auto" w:sz="4" w:space="0"/>
              <w:right w:val="single" w:color="auto" w:sz="4" w:space="0"/>
            </w:tcBorders>
            <w:vAlign w:val="center"/>
          </w:tcPr>
          <w:p w14:paraId="0D544F87">
            <w:pPr>
              <w:widowControl/>
              <w:jc w:val="left"/>
              <w:rPr>
                <w:rFonts w:hint="eastAsia" w:ascii="宋体" w:hAnsi="宋体"/>
                <w:color w:val="auto"/>
                <w:spacing w:val="4"/>
                <w:szCs w:val="21"/>
              </w:rPr>
            </w:pPr>
          </w:p>
        </w:tc>
        <w:tc>
          <w:tcPr>
            <w:tcW w:w="2775" w:type="dxa"/>
            <w:gridSpan w:val="3"/>
            <w:tcBorders>
              <w:top w:val="single" w:color="auto" w:sz="4" w:space="0"/>
              <w:left w:val="single" w:color="auto" w:sz="4" w:space="0"/>
              <w:bottom w:val="single" w:color="auto" w:sz="4" w:space="0"/>
              <w:right w:val="single" w:color="auto" w:sz="4" w:space="0"/>
            </w:tcBorders>
            <w:vAlign w:val="center"/>
          </w:tcPr>
          <w:p w14:paraId="767BA676">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防止落地原油产生措施</w:t>
            </w:r>
          </w:p>
        </w:tc>
        <w:tc>
          <w:tcPr>
            <w:tcW w:w="3609" w:type="dxa"/>
            <w:gridSpan w:val="2"/>
            <w:tcBorders>
              <w:top w:val="single" w:color="auto" w:sz="4" w:space="0"/>
              <w:left w:val="single" w:color="auto" w:sz="4" w:space="0"/>
              <w:bottom w:val="single" w:color="auto" w:sz="4" w:space="0"/>
              <w:right w:val="single" w:color="auto" w:sz="4" w:space="0"/>
            </w:tcBorders>
            <w:vAlign w:val="center"/>
          </w:tcPr>
          <w:p w14:paraId="00ADF47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具备原油回收设施</w:t>
            </w:r>
          </w:p>
        </w:tc>
        <w:tc>
          <w:tcPr>
            <w:tcW w:w="1110" w:type="dxa"/>
            <w:gridSpan w:val="2"/>
            <w:tcBorders>
              <w:top w:val="single" w:color="auto" w:sz="4" w:space="0"/>
              <w:left w:val="single" w:color="auto" w:sz="4" w:space="0"/>
              <w:bottom w:val="single" w:color="auto" w:sz="4" w:space="0"/>
              <w:right w:val="single" w:color="auto" w:sz="4" w:space="0"/>
            </w:tcBorders>
            <w:vAlign w:val="center"/>
          </w:tcPr>
          <w:p w14:paraId="2C87DC16">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c>
          <w:tcPr>
            <w:tcW w:w="1281" w:type="dxa"/>
            <w:gridSpan w:val="2"/>
            <w:tcBorders>
              <w:top w:val="single" w:color="auto" w:sz="4" w:space="0"/>
              <w:left w:val="single" w:color="auto" w:sz="4" w:space="0"/>
              <w:bottom w:val="single" w:color="auto" w:sz="4" w:space="0"/>
            </w:tcBorders>
            <w:vAlign w:val="center"/>
          </w:tcPr>
          <w:p w14:paraId="7312F894">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r>
      <w:tr w14:paraId="0CAFD8C0">
        <w:tblPrEx>
          <w:tblCellMar>
            <w:top w:w="0" w:type="dxa"/>
            <w:left w:w="108" w:type="dxa"/>
            <w:bottom w:w="0" w:type="dxa"/>
            <w:right w:w="108" w:type="dxa"/>
          </w:tblCellMar>
        </w:tblPrEx>
        <w:trPr>
          <w:trHeight w:val="284" w:hRule="atLeast"/>
        </w:trPr>
        <w:tc>
          <w:tcPr>
            <w:tcW w:w="3828" w:type="dxa"/>
            <w:gridSpan w:val="3"/>
            <w:vMerge w:val="restart"/>
            <w:tcBorders>
              <w:top w:val="single" w:color="auto" w:sz="4" w:space="0"/>
              <w:bottom w:val="single" w:color="auto" w:sz="4" w:space="0"/>
              <w:right w:val="single" w:color="auto" w:sz="4" w:space="0"/>
            </w:tcBorders>
            <w:vAlign w:val="center"/>
          </w:tcPr>
          <w:p w14:paraId="11EAA539">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（2）管理体系建设及清洁生产审核</w:t>
            </w:r>
          </w:p>
        </w:tc>
        <w:tc>
          <w:tcPr>
            <w:tcW w:w="1275" w:type="dxa"/>
            <w:vMerge w:val="restart"/>
            <w:tcBorders>
              <w:top w:val="single" w:color="auto" w:sz="4" w:space="0"/>
              <w:left w:val="single" w:color="auto" w:sz="4" w:space="0"/>
              <w:bottom w:val="single" w:color="auto" w:sz="4" w:space="0"/>
              <w:right w:val="single" w:color="auto" w:sz="4" w:space="0"/>
            </w:tcBorders>
            <w:vAlign w:val="center"/>
          </w:tcPr>
          <w:p w14:paraId="71D13673">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40</w:t>
            </w:r>
          </w:p>
        </w:tc>
        <w:tc>
          <w:tcPr>
            <w:tcW w:w="6384" w:type="dxa"/>
            <w:gridSpan w:val="5"/>
            <w:tcBorders>
              <w:top w:val="single" w:color="auto" w:sz="4" w:space="0"/>
              <w:left w:val="single" w:color="auto" w:sz="4" w:space="0"/>
              <w:bottom w:val="single" w:color="auto" w:sz="4" w:space="0"/>
              <w:right w:val="single" w:color="auto" w:sz="4" w:space="0"/>
            </w:tcBorders>
            <w:vAlign w:val="center"/>
          </w:tcPr>
          <w:p w14:paraId="0222C33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建立HSE管理体系并通过验证</w:t>
            </w:r>
          </w:p>
        </w:tc>
        <w:tc>
          <w:tcPr>
            <w:tcW w:w="1110" w:type="dxa"/>
            <w:gridSpan w:val="2"/>
            <w:tcBorders>
              <w:top w:val="single" w:color="auto" w:sz="4" w:space="0"/>
              <w:left w:val="single" w:color="auto" w:sz="4" w:space="0"/>
              <w:bottom w:val="single" w:color="auto" w:sz="4" w:space="0"/>
              <w:right w:val="single" w:color="auto" w:sz="4" w:space="0"/>
            </w:tcBorders>
            <w:vAlign w:val="center"/>
          </w:tcPr>
          <w:p w14:paraId="0AA76B4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15</w:t>
            </w:r>
          </w:p>
        </w:tc>
        <w:tc>
          <w:tcPr>
            <w:tcW w:w="1281" w:type="dxa"/>
            <w:gridSpan w:val="2"/>
            <w:tcBorders>
              <w:top w:val="single" w:color="auto" w:sz="4" w:space="0"/>
              <w:left w:val="single" w:color="auto" w:sz="4" w:space="0"/>
              <w:bottom w:val="single" w:color="auto" w:sz="4" w:space="0"/>
            </w:tcBorders>
            <w:vAlign w:val="center"/>
          </w:tcPr>
          <w:p w14:paraId="53CA230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15</w:t>
            </w:r>
          </w:p>
        </w:tc>
      </w:tr>
      <w:tr w14:paraId="7A4C5FE3">
        <w:tblPrEx>
          <w:tblCellMar>
            <w:top w:w="0" w:type="dxa"/>
            <w:left w:w="108" w:type="dxa"/>
            <w:bottom w:w="0" w:type="dxa"/>
            <w:right w:w="108" w:type="dxa"/>
          </w:tblCellMar>
        </w:tblPrEx>
        <w:trPr>
          <w:trHeight w:val="284" w:hRule="atLeast"/>
        </w:trPr>
        <w:tc>
          <w:tcPr>
            <w:tcW w:w="3828" w:type="dxa"/>
            <w:gridSpan w:val="3"/>
            <w:vMerge w:val="continue"/>
            <w:tcBorders>
              <w:top w:val="single" w:color="auto" w:sz="4" w:space="0"/>
              <w:bottom w:val="single" w:color="auto" w:sz="4" w:space="0"/>
              <w:right w:val="single" w:color="auto" w:sz="4" w:space="0"/>
            </w:tcBorders>
            <w:vAlign w:val="center"/>
          </w:tcPr>
          <w:p w14:paraId="511AEDEE">
            <w:pPr>
              <w:widowControl/>
              <w:jc w:val="left"/>
              <w:rPr>
                <w:rFonts w:hint="eastAsia" w:ascii="宋体" w:hAnsi="宋体"/>
                <w:color w:val="auto"/>
                <w:spacing w:val="4"/>
                <w:szCs w:val="21"/>
              </w:rPr>
            </w:pPr>
          </w:p>
        </w:tc>
        <w:tc>
          <w:tcPr>
            <w:tcW w:w="1275" w:type="dxa"/>
            <w:vMerge w:val="continue"/>
            <w:tcBorders>
              <w:top w:val="single" w:color="auto" w:sz="4" w:space="0"/>
              <w:left w:val="single" w:color="auto" w:sz="4" w:space="0"/>
              <w:bottom w:val="single" w:color="auto" w:sz="4" w:space="0"/>
              <w:right w:val="single" w:color="auto" w:sz="4" w:space="0"/>
            </w:tcBorders>
            <w:vAlign w:val="center"/>
          </w:tcPr>
          <w:p w14:paraId="11269570">
            <w:pPr>
              <w:widowControl/>
              <w:jc w:val="left"/>
              <w:rPr>
                <w:rFonts w:hint="eastAsia" w:ascii="宋体" w:hAnsi="宋体"/>
                <w:color w:val="auto"/>
                <w:spacing w:val="4"/>
                <w:szCs w:val="21"/>
              </w:rPr>
            </w:pPr>
          </w:p>
        </w:tc>
        <w:tc>
          <w:tcPr>
            <w:tcW w:w="6384" w:type="dxa"/>
            <w:gridSpan w:val="5"/>
            <w:tcBorders>
              <w:top w:val="single" w:color="auto" w:sz="4" w:space="0"/>
              <w:left w:val="single" w:color="auto" w:sz="4" w:space="0"/>
              <w:bottom w:val="single" w:color="auto" w:sz="4" w:space="0"/>
              <w:right w:val="single" w:color="auto" w:sz="4" w:space="0"/>
            </w:tcBorders>
            <w:vAlign w:val="center"/>
          </w:tcPr>
          <w:p w14:paraId="103F923A">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开展清洁生产审核</w:t>
            </w:r>
          </w:p>
        </w:tc>
        <w:tc>
          <w:tcPr>
            <w:tcW w:w="1110" w:type="dxa"/>
            <w:gridSpan w:val="2"/>
            <w:tcBorders>
              <w:top w:val="single" w:color="auto" w:sz="4" w:space="0"/>
              <w:left w:val="single" w:color="auto" w:sz="4" w:space="0"/>
              <w:bottom w:val="single" w:color="auto" w:sz="4" w:space="0"/>
              <w:right w:val="single" w:color="auto" w:sz="4" w:space="0"/>
            </w:tcBorders>
            <w:vAlign w:val="center"/>
          </w:tcPr>
          <w:p w14:paraId="71D978C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20</w:t>
            </w:r>
          </w:p>
        </w:tc>
        <w:tc>
          <w:tcPr>
            <w:tcW w:w="1281" w:type="dxa"/>
            <w:gridSpan w:val="2"/>
            <w:tcBorders>
              <w:top w:val="single" w:color="auto" w:sz="4" w:space="0"/>
              <w:left w:val="single" w:color="auto" w:sz="4" w:space="0"/>
              <w:bottom w:val="single" w:color="auto" w:sz="4" w:space="0"/>
            </w:tcBorders>
            <w:vAlign w:val="center"/>
          </w:tcPr>
          <w:p w14:paraId="3EFC90D0">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20</w:t>
            </w:r>
          </w:p>
        </w:tc>
      </w:tr>
      <w:tr w14:paraId="71C8D3AA">
        <w:tblPrEx>
          <w:tblCellMar>
            <w:top w:w="0" w:type="dxa"/>
            <w:left w:w="108" w:type="dxa"/>
            <w:bottom w:w="0" w:type="dxa"/>
            <w:right w:w="108" w:type="dxa"/>
          </w:tblCellMar>
        </w:tblPrEx>
        <w:trPr>
          <w:trHeight w:val="284" w:hRule="atLeast"/>
        </w:trPr>
        <w:tc>
          <w:tcPr>
            <w:tcW w:w="3828" w:type="dxa"/>
            <w:gridSpan w:val="3"/>
            <w:vMerge w:val="continue"/>
            <w:tcBorders>
              <w:top w:val="single" w:color="auto" w:sz="4" w:space="0"/>
              <w:bottom w:val="single" w:color="auto" w:sz="4" w:space="0"/>
              <w:right w:val="single" w:color="auto" w:sz="4" w:space="0"/>
            </w:tcBorders>
            <w:vAlign w:val="center"/>
          </w:tcPr>
          <w:p w14:paraId="5F078FFC">
            <w:pPr>
              <w:widowControl/>
              <w:jc w:val="left"/>
              <w:rPr>
                <w:rFonts w:hint="eastAsia" w:ascii="宋体" w:hAnsi="宋体"/>
                <w:color w:val="auto"/>
                <w:spacing w:val="4"/>
                <w:szCs w:val="21"/>
              </w:rPr>
            </w:pPr>
          </w:p>
        </w:tc>
        <w:tc>
          <w:tcPr>
            <w:tcW w:w="1275" w:type="dxa"/>
            <w:vMerge w:val="continue"/>
            <w:tcBorders>
              <w:top w:val="single" w:color="auto" w:sz="4" w:space="0"/>
              <w:left w:val="single" w:color="auto" w:sz="4" w:space="0"/>
              <w:bottom w:val="single" w:color="auto" w:sz="4" w:space="0"/>
              <w:right w:val="single" w:color="auto" w:sz="4" w:space="0"/>
            </w:tcBorders>
            <w:vAlign w:val="center"/>
          </w:tcPr>
          <w:p w14:paraId="402B8E97">
            <w:pPr>
              <w:widowControl/>
              <w:jc w:val="left"/>
              <w:rPr>
                <w:rFonts w:hint="eastAsia" w:ascii="宋体" w:hAnsi="宋体"/>
                <w:color w:val="auto"/>
                <w:spacing w:val="4"/>
                <w:szCs w:val="21"/>
              </w:rPr>
            </w:pPr>
          </w:p>
        </w:tc>
        <w:tc>
          <w:tcPr>
            <w:tcW w:w="6384" w:type="dxa"/>
            <w:gridSpan w:val="5"/>
            <w:tcBorders>
              <w:top w:val="single" w:color="auto" w:sz="4" w:space="0"/>
              <w:left w:val="single" w:color="auto" w:sz="4" w:space="0"/>
              <w:bottom w:val="single" w:color="auto" w:sz="4" w:space="0"/>
              <w:right w:val="single" w:color="auto" w:sz="4" w:space="0"/>
            </w:tcBorders>
            <w:vAlign w:val="center"/>
          </w:tcPr>
          <w:p w14:paraId="6209FABD">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制定节能减排工作计划</w:t>
            </w:r>
          </w:p>
        </w:tc>
        <w:tc>
          <w:tcPr>
            <w:tcW w:w="1110" w:type="dxa"/>
            <w:gridSpan w:val="2"/>
            <w:tcBorders>
              <w:top w:val="single" w:color="auto" w:sz="4" w:space="0"/>
              <w:left w:val="single" w:color="auto" w:sz="4" w:space="0"/>
              <w:bottom w:val="single" w:color="auto" w:sz="4" w:space="0"/>
              <w:right w:val="single" w:color="auto" w:sz="4" w:space="0"/>
            </w:tcBorders>
            <w:vAlign w:val="center"/>
          </w:tcPr>
          <w:p w14:paraId="33E5143B">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1281" w:type="dxa"/>
            <w:gridSpan w:val="2"/>
            <w:tcBorders>
              <w:top w:val="single" w:color="auto" w:sz="4" w:space="0"/>
              <w:left w:val="single" w:color="auto" w:sz="4" w:space="0"/>
              <w:bottom w:val="single" w:color="auto" w:sz="4" w:space="0"/>
            </w:tcBorders>
            <w:vAlign w:val="center"/>
          </w:tcPr>
          <w:p w14:paraId="7645E0AA">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r>
      <w:tr w14:paraId="2A8E4CF5">
        <w:tblPrEx>
          <w:tblCellMar>
            <w:top w:w="0" w:type="dxa"/>
            <w:left w:w="108" w:type="dxa"/>
            <w:bottom w:w="0" w:type="dxa"/>
            <w:right w:w="108" w:type="dxa"/>
          </w:tblCellMar>
        </w:tblPrEx>
        <w:trPr>
          <w:trHeight w:val="284" w:hRule="atLeast"/>
        </w:trPr>
        <w:tc>
          <w:tcPr>
            <w:tcW w:w="3828" w:type="dxa"/>
            <w:gridSpan w:val="3"/>
            <w:tcBorders>
              <w:top w:val="single" w:color="auto" w:sz="4" w:space="0"/>
              <w:bottom w:val="single" w:color="auto" w:sz="12" w:space="0"/>
              <w:right w:val="single" w:color="auto" w:sz="4" w:space="0"/>
            </w:tcBorders>
            <w:vAlign w:val="center"/>
          </w:tcPr>
          <w:p w14:paraId="406D0EFA">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w:t>
            </w:r>
            <w:r>
              <w:rPr>
                <w:rFonts w:hint="eastAsia" w:ascii="宋体" w:hAnsi="宋体"/>
                <w:color w:val="auto"/>
                <w:spacing w:val="4"/>
                <w:szCs w:val="21"/>
              </w:rPr>
              <w:t>3</w:t>
            </w:r>
            <w:r>
              <w:rPr>
                <w:rFonts w:ascii="宋体" w:hAnsi="宋体"/>
                <w:color w:val="auto"/>
                <w:spacing w:val="4"/>
                <w:szCs w:val="21"/>
              </w:rPr>
              <w:t>）贯彻执行环境保护法规的符合性</w:t>
            </w:r>
          </w:p>
        </w:tc>
        <w:tc>
          <w:tcPr>
            <w:tcW w:w="1275" w:type="dxa"/>
            <w:tcBorders>
              <w:top w:val="single" w:color="auto" w:sz="4" w:space="0"/>
              <w:left w:val="single" w:color="auto" w:sz="4" w:space="0"/>
              <w:bottom w:val="single" w:color="auto" w:sz="12" w:space="0"/>
              <w:right w:val="single" w:color="auto" w:sz="4" w:space="0"/>
            </w:tcBorders>
            <w:vAlign w:val="center"/>
          </w:tcPr>
          <w:p w14:paraId="32E46E27">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20</w:t>
            </w:r>
          </w:p>
        </w:tc>
        <w:tc>
          <w:tcPr>
            <w:tcW w:w="6384" w:type="dxa"/>
            <w:gridSpan w:val="5"/>
            <w:tcBorders>
              <w:top w:val="single" w:color="auto" w:sz="4" w:space="0"/>
              <w:left w:val="single" w:color="auto" w:sz="4" w:space="0"/>
              <w:bottom w:val="single" w:color="auto" w:sz="12" w:space="0"/>
              <w:right w:val="single" w:color="auto" w:sz="4" w:space="0"/>
            </w:tcBorders>
            <w:vAlign w:val="center"/>
          </w:tcPr>
          <w:p w14:paraId="0062A623">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满足其他法律法规要求</w:t>
            </w:r>
          </w:p>
        </w:tc>
        <w:tc>
          <w:tcPr>
            <w:tcW w:w="1110" w:type="dxa"/>
            <w:gridSpan w:val="2"/>
            <w:tcBorders>
              <w:top w:val="single" w:color="auto" w:sz="4" w:space="0"/>
              <w:left w:val="single" w:color="auto" w:sz="4" w:space="0"/>
              <w:bottom w:val="single" w:color="auto" w:sz="12" w:space="0"/>
              <w:right w:val="single" w:color="auto" w:sz="4" w:space="0"/>
            </w:tcBorders>
            <w:vAlign w:val="center"/>
          </w:tcPr>
          <w:p w14:paraId="638C49A1">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20</w:t>
            </w:r>
          </w:p>
        </w:tc>
        <w:tc>
          <w:tcPr>
            <w:tcW w:w="1281" w:type="dxa"/>
            <w:gridSpan w:val="2"/>
            <w:tcBorders>
              <w:top w:val="single" w:color="auto" w:sz="4" w:space="0"/>
              <w:left w:val="single" w:color="auto" w:sz="4" w:space="0"/>
              <w:bottom w:val="single" w:color="auto" w:sz="12" w:space="0"/>
            </w:tcBorders>
            <w:vAlign w:val="center"/>
          </w:tcPr>
          <w:p w14:paraId="17F1992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20</w:t>
            </w:r>
          </w:p>
        </w:tc>
      </w:tr>
    </w:tbl>
    <w:p w14:paraId="302B2547">
      <w:pPr>
        <w:pStyle w:val="15"/>
        <w:rPr>
          <w:rFonts w:hint="eastAsia"/>
          <w:color w:val="auto"/>
        </w:rPr>
      </w:pPr>
      <w:r>
        <w:rPr>
          <w:rFonts w:hint="eastAsia"/>
          <w:color w:val="auto"/>
        </w:rPr>
        <w:t>表3</w:t>
      </w:r>
      <w:r>
        <w:rPr>
          <w:color w:val="auto"/>
        </w:rPr>
        <w:t>.5</w:t>
      </w:r>
      <w:r>
        <w:rPr>
          <w:rFonts w:hint="eastAsia"/>
          <w:color w:val="auto"/>
        </w:rPr>
        <w:t>-2</w:t>
      </w:r>
      <w:r>
        <w:rPr>
          <w:color w:val="auto"/>
        </w:rPr>
        <w:t xml:space="preserve">  采</w:t>
      </w:r>
      <w:r>
        <w:rPr>
          <w:rFonts w:hint="eastAsia"/>
          <w:color w:val="auto"/>
        </w:rPr>
        <w:t>油和集输</w:t>
      </w:r>
      <w:r>
        <w:rPr>
          <w:color w:val="auto"/>
        </w:rPr>
        <w:t>定量和定性评价指标项目、权重及基准值</w:t>
      </w:r>
    </w:p>
    <w:tbl>
      <w:tblPr>
        <w:tblStyle w:val="51"/>
        <w:tblW w:w="5000" w:type="pct"/>
        <w:tblInd w:w="0" w:type="dxa"/>
        <w:tblLayout w:type="autofit"/>
        <w:tblCellMar>
          <w:top w:w="0" w:type="dxa"/>
          <w:left w:w="108" w:type="dxa"/>
          <w:bottom w:w="0" w:type="dxa"/>
          <w:right w:w="108" w:type="dxa"/>
        </w:tblCellMar>
      </w:tblPr>
      <w:tblGrid>
        <w:gridCol w:w="2798"/>
        <w:gridCol w:w="1089"/>
        <w:gridCol w:w="1294"/>
        <w:gridCol w:w="1584"/>
        <w:gridCol w:w="1149"/>
        <w:gridCol w:w="156"/>
        <w:gridCol w:w="1137"/>
        <w:gridCol w:w="2559"/>
        <w:gridCol w:w="572"/>
        <w:gridCol w:w="566"/>
        <w:gridCol w:w="572"/>
        <w:gridCol w:w="742"/>
      </w:tblGrid>
      <w:tr w14:paraId="4AFA3757">
        <w:tblPrEx>
          <w:tblCellMar>
            <w:top w:w="0" w:type="dxa"/>
            <w:left w:w="108" w:type="dxa"/>
            <w:bottom w:w="0" w:type="dxa"/>
            <w:right w:w="108" w:type="dxa"/>
          </w:tblCellMar>
        </w:tblPrEx>
        <w:trPr>
          <w:trHeight w:val="284" w:hRule="atLeast"/>
        </w:trPr>
        <w:tc>
          <w:tcPr>
            <w:tcW w:w="4339" w:type="pct"/>
            <w:gridSpan w:val="9"/>
            <w:tcBorders>
              <w:top w:val="single" w:color="auto" w:sz="12" w:space="0"/>
              <w:bottom w:val="single" w:color="auto" w:sz="4" w:space="0"/>
              <w:right w:val="single" w:color="auto" w:sz="4" w:space="0"/>
            </w:tcBorders>
            <w:vAlign w:val="center"/>
          </w:tcPr>
          <w:p w14:paraId="0241D935">
            <w:pPr>
              <w:adjustRightInd w:val="0"/>
              <w:snapToGrid w:val="0"/>
              <w:spacing w:line="300" w:lineRule="exact"/>
              <w:jc w:val="left"/>
              <w:rPr>
                <w:rFonts w:hint="eastAsia" w:ascii="宋体" w:hAnsi="宋体"/>
                <w:color w:val="auto"/>
                <w:spacing w:val="4"/>
                <w:szCs w:val="21"/>
              </w:rPr>
            </w:pPr>
            <w:r>
              <w:rPr>
                <w:rFonts w:ascii="宋体" w:hAnsi="宋体"/>
                <w:color w:val="auto"/>
                <w:spacing w:val="4"/>
                <w:szCs w:val="21"/>
              </w:rPr>
              <w:t>定量指标</w:t>
            </w:r>
          </w:p>
        </w:tc>
        <w:tc>
          <w:tcPr>
            <w:tcW w:w="661" w:type="pct"/>
            <w:gridSpan w:val="3"/>
            <w:tcBorders>
              <w:top w:val="single" w:color="auto" w:sz="12" w:space="0"/>
              <w:left w:val="single" w:color="auto" w:sz="4" w:space="0"/>
              <w:bottom w:val="single" w:color="auto" w:sz="4" w:space="0"/>
            </w:tcBorders>
            <w:vAlign w:val="center"/>
          </w:tcPr>
          <w:p w14:paraId="33367383">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本项目</w:t>
            </w:r>
          </w:p>
        </w:tc>
      </w:tr>
      <w:tr w14:paraId="58505545">
        <w:tblPrEx>
          <w:tblCellMar>
            <w:top w:w="0" w:type="dxa"/>
            <w:left w:w="108" w:type="dxa"/>
            <w:bottom w:w="0" w:type="dxa"/>
            <w:right w:w="108" w:type="dxa"/>
          </w:tblCellMar>
        </w:tblPrEx>
        <w:trPr>
          <w:trHeight w:val="284" w:hRule="atLeast"/>
        </w:trPr>
        <w:tc>
          <w:tcPr>
            <w:tcW w:w="984" w:type="pct"/>
            <w:tcBorders>
              <w:top w:val="single" w:color="auto" w:sz="4" w:space="0"/>
              <w:bottom w:val="single" w:color="auto" w:sz="4" w:space="0"/>
              <w:right w:val="single" w:color="auto" w:sz="4" w:space="0"/>
            </w:tcBorders>
            <w:vAlign w:val="center"/>
          </w:tcPr>
          <w:p w14:paraId="7C29F1C6">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一级指标</w:t>
            </w:r>
          </w:p>
        </w:tc>
        <w:tc>
          <w:tcPr>
            <w:tcW w:w="383" w:type="pct"/>
            <w:tcBorders>
              <w:top w:val="single" w:color="auto" w:sz="4" w:space="0"/>
              <w:left w:val="single" w:color="auto" w:sz="4" w:space="0"/>
              <w:bottom w:val="single" w:color="auto" w:sz="4" w:space="0"/>
              <w:right w:val="single" w:color="auto" w:sz="4" w:space="0"/>
            </w:tcBorders>
            <w:vAlign w:val="center"/>
          </w:tcPr>
          <w:p w14:paraId="702D2BB8">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权重值</w:t>
            </w:r>
          </w:p>
        </w:tc>
        <w:tc>
          <w:tcPr>
            <w:tcW w:w="1012" w:type="pct"/>
            <w:gridSpan w:val="2"/>
            <w:tcBorders>
              <w:top w:val="single" w:color="auto" w:sz="4" w:space="0"/>
              <w:left w:val="single" w:color="auto" w:sz="4" w:space="0"/>
              <w:bottom w:val="single" w:color="auto" w:sz="4" w:space="0"/>
              <w:right w:val="single" w:color="auto" w:sz="4" w:space="0"/>
            </w:tcBorders>
            <w:vAlign w:val="center"/>
          </w:tcPr>
          <w:p w14:paraId="0FF3162D">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二级指标</w:t>
            </w:r>
          </w:p>
        </w:tc>
        <w:tc>
          <w:tcPr>
            <w:tcW w:w="404" w:type="pct"/>
            <w:tcBorders>
              <w:top w:val="single" w:color="auto" w:sz="4" w:space="0"/>
              <w:left w:val="single" w:color="auto" w:sz="4" w:space="0"/>
              <w:bottom w:val="single" w:color="auto" w:sz="4" w:space="0"/>
              <w:right w:val="single" w:color="auto" w:sz="4" w:space="0"/>
            </w:tcBorders>
            <w:vAlign w:val="center"/>
          </w:tcPr>
          <w:p w14:paraId="7BA67836">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单位</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3C5EB4D7">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权重分值</w:t>
            </w:r>
          </w:p>
        </w:tc>
        <w:tc>
          <w:tcPr>
            <w:tcW w:w="1101" w:type="pct"/>
            <w:gridSpan w:val="2"/>
            <w:tcBorders>
              <w:top w:val="single" w:color="auto" w:sz="4" w:space="0"/>
              <w:left w:val="single" w:color="auto" w:sz="4" w:space="0"/>
              <w:bottom w:val="single" w:color="auto" w:sz="4" w:space="0"/>
              <w:right w:val="single" w:color="auto" w:sz="4" w:space="0"/>
            </w:tcBorders>
            <w:vAlign w:val="center"/>
          </w:tcPr>
          <w:p w14:paraId="184C7473">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评价基准值</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481C192C">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估算值</w:t>
            </w:r>
          </w:p>
        </w:tc>
        <w:tc>
          <w:tcPr>
            <w:tcW w:w="261" w:type="pct"/>
            <w:tcBorders>
              <w:top w:val="single" w:color="auto" w:sz="4" w:space="0"/>
              <w:left w:val="single" w:color="auto" w:sz="4" w:space="0"/>
              <w:bottom w:val="single" w:color="auto" w:sz="4" w:space="0"/>
            </w:tcBorders>
            <w:vAlign w:val="center"/>
          </w:tcPr>
          <w:p w14:paraId="78FE8C11">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评分</w:t>
            </w:r>
          </w:p>
        </w:tc>
      </w:tr>
      <w:tr w14:paraId="79C13974">
        <w:tblPrEx>
          <w:tblCellMar>
            <w:top w:w="0" w:type="dxa"/>
            <w:left w:w="108" w:type="dxa"/>
            <w:bottom w:w="0" w:type="dxa"/>
            <w:right w:w="108" w:type="dxa"/>
          </w:tblCellMar>
        </w:tblPrEx>
        <w:trPr>
          <w:trHeight w:val="284" w:hRule="atLeast"/>
        </w:trPr>
        <w:tc>
          <w:tcPr>
            <w:tcW w:w="984" w:type="pct"/>
            <w:vMerge w:val="restart"/>
            <w:tcBorders>
              <w:top w:val="single" w:color="auto" w:sz="4" w:space="0"/>
              <w:bottom w:val="single" w:color="auto" w:sz="4" w:space="0"/>
              <w:right w:val="single" w:color="auto" w:sz="4" w:space="0"/>
            </w:tcBorders>
            <w:vAlign w:val="center"/>
          </w:tcPr>
          <w:p w14:paraId="1CE423E4">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（1）资源和能源消耗指标</w:t>
            </w:r>
          </w:p>
        </w:tc>
        <w:tc>
          <w:tcPr>
            <w:tcW w:w="383" w:type="pct"/>
            <w:vMerge w:val="restart"/>
            <w:tcBorders>
              <w:top w:val="single" w:color="auto" w:sz="4" w:space="0"/>
              <w:left w:val="single" w:color="auto" w:sz="4" w:space="0"/>
              <w:bottom w:val="single" w:color="auto" w:sz="4" w:space="0"/>
              <w:right w:val="single" w:color="auto" w:sz="4" w:space="0"/>
            </w:tcBorders>
            <w:vAlign w:val="center"/>
          </w:tcPr>
          <w:p w14:paraId="7741A3E9">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30</w:t>
            </w:r>
          </w:p>
        </w:tc>
        <w:tc>
          <w:tcPr>
            <w:tcW w:w="1012" w:type="pct"/>
            <w:gridSpan w:val="2"/>
            <w:tcBorders>
              <w:top w:val="single" w:color="auto" w:sz="4" w:space="0"/>
              <w:left w:val="single" w:color="auto" w:sz="4" w:space="0"/>
              <w:bottom w:val="single" w:color="auto" w:sz="4" w:space="0"/>
              <w:right w:val="single" w:color="auto" w:sz="4" w:space="0"/>
            </w:tcBorders>
            <w:vAlign w:val="center"/>
          </w:tcPr>
          <w:p w14:paraId="2C3A29CA">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作业液消耗</w:t>
            </w:r>
          </w:p>
        </w:tc>
        <w:tc>
          <w:tcPr>
            <w:tcW w:w="404" w:type="pct"/>
            <w:tcBorders>
              <w:top w:val="single" w:color="auto" w:sz="4" w:space="0"/>
              <w:left w:val="single" w:color="auto" w:sz="4" w:space="0"/>
              <w:bottom w:val="single" w:color="auto" w:sz="4" w:space="0"/>
              <w:right w:val="single" w:color="auto" w:sz="4" w:space="0"/>
            </w:tcBorders>
            <w:vAlign w:val="center"/>
          </w:tcPr>
          <w:p w14:paraId="4E6205D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m</w:t>
            </w:r>
            <w:r>
              <w:rPr>
                <w:rFonts w:ascii="宋体" w:hAnsi="宋体"/>
                <w:color w:val="auto"/>
                <w:spacing w:val="4"/>
                <w:szCs w:val="21"/>
                <w:vertAlign w:val="superscript"/>
              </w:rPr>
              <w:t>3</w:t>
            </w:r>
            <w:r>
              <w:rPr>
                <w:rFonts w:ascii="宋体" w:hAnsi="宋体"/>
                <w:color w:val="auto"/>
                <w:spacing w:val="4"/>
                <w:szCs w:val="21"/>
              </w:rPr>
              <w:t>/井次</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21880D89">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c>
          <w:tcPr>
            <w:tcW w:w="1101" w:type="pct"/>
            <w:gridSpan w:val="2"/>
            <w:tcBorders>
              <w:top w:val="single" w:color="auto" w:sz="4" w:space="0"/>
              <w:left w:val="single" w:color="auto" w:sz="4" w:space="0"/>
              <w:bottom w:val="single" w:color="auto" w:sz="4" w:space="0"/>
              <w:right w:val="single" w:color="auto" w:sz="4" w:space="0"/>
            </w:tcBorders>
            <w:vAlign w:val="center"/>
          </w:tcPr>
          <w:p w14:paraId="7B7C0C38">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60EDBD2C">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＜5</w:t>
            </w:r>
          </w:p>
        </w:tc>
        <w:tc>
          <w:tcPr>
            <w:tcW w:w="261" w:type="pct"/>
            <w:tcBorders>
              <w:top w:val="single" w:color="auto" w:sz="4" w:space="0"/>
              <w:left w:val="single" w:color="auto" w:sz="4" w:space="0"/>
              <w:bottom w:val="single" w:color="auto" w:sz="4" w:space="0"/>
            </w:tcBorders>
            <w:vAlign w:val="center"/>
          </w:tcPr>
          <w:p w14:paraId="1B7F3281">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r>
      <w:tr w14:paraId="4195F69D">
        <w:tblPrEx>
          <w:tblCellMar>
            <w:top w:w="0" w:type="dxa"/>
            <w:left w:w="108" w:type="dxa"/>
            <w:bottom w:w="0" w:type="dxa"/>
            <w:right w:w="108" w:type="dxa"/>
          </w:tblCellMar>
        </w:tblPrEx>
        <w:trPr>
          <w:trHeight w:val="284" w:hRule="atLeast"/>
        </w:trPr>
        <w:tc>
          <w:tcPr>
            <w:tcW w:w="984" w:type="pct"/>
            <w:vMerge w:val="continue"/>
            <w:tcBorders>
              <w:top w:val="single" w:color="auto" w:sz="4" w:space="0"/>
              <w:bottom w:val="single" w:color="auto" w:sz="4" w:space="0"/>
              <w:right w:val="single" w:color="auto" w:sz="4" w:space="0"/>
            </w:tcBorders>
            <w:vAlign w:val="center"/>
          </w:tcPr>
          <w:p w14:paraId="04C618FF">
            <w:pPr>
              <w:widowControl/>
              <w:jc w:val="left"/>
              <w:rPr>
                <w:rFonts w:hint="eastAsia" w:ascii="宋体" w:hAnsi="宋体"/>
                <w:color w:val="auto"/>
                <w:spacing w:val="4"/>
                <w:szCs w:val="21"/>
              </w:rPr>
            </w:pPr>
          </w:p>
        </w:tc>
        <w:tc>
          <w:tcPr>
            <w:tcW w:w="383" w:type="pct"/>
            <w:vMerge w:val="continue"/>
            <w:tcBorders>
              <w:top w:val="single" w:color="auto" w:sz="4" w:space="0"/>
              <w:left w:val="single" w:color="auto" w:sz="4" w:space="0"/>
              <w:bottom w:val="single" w:color="auto" w:sz="4" w:space="0"/>
              <w:right w:val="single" w:color="auto" w:sz="4" w:space="0"/>
            </w:tcBorders>
            <w:vAlign w:val="center"/>
          </w:tcPr>
          <w:p w14:paraId="3EB999DF">
            <w:pPr>
              <w:widowControl/>
              <w:jc w:val="left"/>
              <w:rPr>
                <w:rFonts w:hint="eastAsia" w:ascii="宋体" w:hAnsi="宋体"/>
                <w:color w:val="auto"/>
                <w:spacing w:val="4"/>
                <w:szCs w:val="21"/>
              </w:rPr>
            </w:pPr>
          </w:p>
        </w:tc>
        <w:tc>
          <w:tcPr>
            <w:tcW w:w="1012" w:type="pct"/>
            <w:gridSpan w:val="2"/>
            <w:tcBorders>
              <w:top w:val="single" w:color="auto" w:sz="4" w:space="0"/>
              <w:left w:val="single" w:color="auto" w:sz="4" w:space="0"/>
              <w:bottom w:val="single" w:color="auto" w:sz="4" w:space="0"/>
              <w:right w:val="single" w:color="auto" w:sz="4" w:space="0"/>
            </w:tcBorders>
            <w:vAlign w:val="center"/>
          </w:tcPr>
          <w:p w14:paraId="7150D26E">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新鲜水消耗</w:t>
            </w:r>
          </w:p>
        </w:tc>
        <w:tc>
          <w:tcPr>
            <w:tcW w:w="404" w:type="pct"/>
            <w:tcBorders>
              <w:top w:val="single" w:color="auto" w:sz="4" w:space="0"/>
              <w:left w:val="single" w:color="auto" w:sz="4" w:space="0"/>
              <w:bottom w:val="single" w:color="auto" w:sz="4" w:space="0"/>
              <w:right w:val="single" w:color="auto" w:sz="4" w:space="0"/>
            </w:tcBorders>
            <w:vAlign w:val="center"/>
          </w:tcPr>
          <w:p w14:paraId="44A5BEAC">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m</w:t>
            </w:r>
            <w:r>
              <w:rPr>
                <w:rFonts w:ascii="宋体" w:hAnsi="宋体"/>
                <w:color w:val="auto"/>
                <w:spacing w:val="4"/>
                <w:szCs w:val="21"/>
                <w:vertAlign w:val="superscript"/>
              </w:rPr>
              <w:t>3</w:t>
            </w:r>
            <w:r>
              <w:rPr>
                <w:rFonts w:ascii="宋体" w:hAnsi="宋体"/>
                <w:color w:val="auto"/>
                <w:spacing w:val="4"/>
                <w:szCs w:val="21"/>
              </w:rPr>
              <w:t>/井次</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259097F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c>
          <w:tcPr>
            <w:tcW w:w="1101" w:type="pct"/>
            <w:gridSpan w:val="2"/>
            <w:tcBorders>
              <w:top w:val="single" w:color="auto" w:sz="4" w:space="0"/>
              <w:left w:val="single" w:color="auto" w:sz="4" w:space="0"/>
              <w:bottom w:val="single" w:color="auto" w:sz="4" w:space="0"/>
              <w:right w:val="single" w:color="auto" w:sz="4" w:space="0"/>
            </w:tcBorders>
            <w:vAlign w:val="center"/>
          </w:tcPr>
          <w:p w14:paraId="3721A8A8">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21500009">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0</w:t>
            </w:r>
          </w:p>
        </w:tc>
        <w:tc>
          <w:tcPr>
            <w:tcW w:w="261" w:type="pct"/>
            <w:tcBorders>
              <w:top w:val="single" w:color="auto" w:sz="4" w:space="0"/>
              <w:left w:val="single" w:color="auto" w:sz="4" w:space="0"/>
              <w:bottom w:val="single" w:color="auto" w:sz="4" w:space="0"/>
            </w:tcBorders>
            <w:vAlign w:val="center"/>
          </w:tcPr>
          <w:p w14:paraId="151E2C4B">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10</w:t>
            </w:r>
          </w:p>
        </w:tc>
      </w:tr>
      <w:tr w14:paraId="1DE931C4">
        <w:tblPrEx>
          <w:tblCellMar>
            <w:top w:w="0" w:type="dxa"/>
            <w:left w:w="108" w:type="dxa"/>
            <w:bottom w:w="0" w:type="dxa"/>
            <w:right w:w="108" w:type="dxa"/>
          </w:tblCellMar>
        </w:tblPrEx>
        <w:trPr>
          <w:trHeight w:val="284" w:hRule="atLeast"/>
        </w:trPr>
        <w:tc>
          <w:tcPr>
            <w:tcW w:w="984" w:type="pct"/>
            <w:vMerge w:val="continue"/>
            <w:tcBorders>
              <w:top w:val="single" w:color="auto" w:sz="4" w:space="0"/>
              <w:bottom w:val="single" w:color="auto" w:sz="4" w:space="0"/>
              <w:right w:val="single" w:color="auto" w:sz="4" w:space="0"/>
            </w:tcBorders>
            <w:vAlign w:val="center"/>
          </w:tcPr>
          <w:p w14:paraId="3122B5CF">
            <w:pPr>
              <w:widowControl/>
              <w:jc w:val="left"/>
              <w:rPr>
                <w:rFonts w:hint="eastAsia" w:ascii="宋体" w:hAnsi="宋体"/>
                <w:color w:val="auto"/>
                <w:spacing w:val="4"/>
                <w:szCs w:val="21"/>
              </w:rPr>
            </w:pPr>
          </w:p>
        </w:tc>
        <w:tc>
          <w:tcPr>
            <w:tcW w:w="383" w:type="pct"/>
            <w:vMerge w:val="continue"/>
            <w:tcBorders>
              <w:top w:val="single" w:color="auto" w:sz="4" w:space="0"/>
              <w:left w:val="single" w:color="auto" w:sz="4" w:space="0"/>
              <w:bottom w:val="single" w:color="auto" w:sz="4" w:space="0"/>
              <w:right w:val="single" w:color="auto" w:sz="4" w:space="0"/>
            </w:tcBorders>
            <w:vAlign w:val="center"/>
          </w:tcPr>
          <w:p w14:paraId="1BA598B3">
            <w:pPr>
              <w:widowControl/>
              <w:jc w:val="left"/>
              <w:rPr>
                <w:rFonts w:hint="eastAsia" w:ascii="宋体" w:hAnsi="宋体"/>
                <w:color w:val="auto"/>
                <w:spacing w:val="4"/>
                <w:szCs w:val="21"/>
              </w:rPr>
            </w:pPr>
          </w:p>
        </w:tc>
        <w:tc>
          <w:tcPr>
            <w:tcW w:w="1012" w:type="pct"/>
            <w:gridSpan w:val="2"/>
            <w:tcBorders>
              <w:top w:val="single" w:color="auto" w:sz="4" w:space="0"/>
              <w:left w:val="single" w:color="auto" w:sz="4" w:space="0"/>
              <w:bottom w:val="single" w:color="auto" w:sz="4" w:space="0"/>
              <w:right w:val="single" w:color="auto" w:sz="4" w:space="0"/>
            </w:tcBorders>
            <w:vAlign w:val="center"/>
          </w:tcPr>
          <w:p w14:paraId="3ADFBDFB">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单位能耗</w:t>
            </w:r>
          </w:p>
        </w:tc>
        <w:tc>
          <w:tcPr>
            <w:tcW w:w="404" w:type="pct"/>
            <w:tcBorders>
              <w:top w:val="single" w:color="auto" w:sz="4" w:space="0"/>
              <w:left w:val="single" w:color="auto" w:sz="4" w:space="0"/>
              <w:bottom w:val="single" w:color="auto" w:sz="4" w:space="0"/>
              <w:right w:val="single" w:color="auto" w:sz="4" w:space="0"/>
            </w:tcBorders>
            <w:vAlign w:val="center"/>
          </w:tcPr>
          <w:p w14:paraId="34880D71">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627877EC">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c>
          <w:tcPr>
            <w:tcW w:w="1101" w:type="pct"/>
            <w:gridSpan w:val="2"/>
            <w:tcBorders>
              <w:top w:val="single" w:color="auto" w:sz="4" w:space="0"/>
              <w:left w:val="single" w:color="auto" w:sz="4" w:space="0"/>
              <w:bottom w:val="single" w:color="auto" w:sz="4" w:space="0"/>
              <w:right w:val="single" w:color="auto" w:sz="4" w:space="0"/>
            </w:tcBorders>
            <w:vAlign w:val="center"/>
          </w:tcPr>
          <w:p w14:paraId="429D8AB3">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行业基本水平</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30DED96F">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基本水平</w:t>
            </w:r>
          </w:p>
        </w:tc>
        <w:tc>
          <w:tcPr>
            <w:tcW w:w="261" w:type="pct"/>
            <w:tcBorders>
              <w:top w:val="single" w:color="auto" w:sz="4" w:space="0"/>
              <w:left w:val="single" w:color="auto" w:sz="4" w:space="0"/>
              <w:bottom w:val="single" w:color="auto" w:sz="4" w:space="0"/>
            </w:tcBorders>
            <w:vAlign w:val="center"/>
          </w:tcPr>
          <w:p w14:paraId="70483A15">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10</w:t>
            </w:r>
          </w:p>
        </w:tc>
      </w:tr>
      <w:tr w14:paraId="1C414332">
        <w:tblPrEx>
          <w:tblCellMar>
            <w:top w:w="0" w:type="dxa"/>
            <w:left w:w="108" w:type="dxa"/>
            <w:bottom w:w="0" w:type="dxa"/>
            <w:right w:w="108" w:type="dxa"/>
          </w:tblCellMar>
        </w:tblPrEx>
        <w:trPr>
          <w:trHeight w:val="284" w:hRule="atLeast"/>
        </w:trPr>
        <w:tc>
          <w:tcPr>
            <w:tcW w:w="984" w:type="pct"/>
            <w:tcBorders>
              <w:top w:val="single" w:color="auto" w:sz="4" w:space="0"/>
              <w:bottom w:val="single" w:color="auto" w:sz="4" w:space="0"/>
              <w:right w:val="single" w:color="auto" w:sz="4" w:space="0"/>
            </w:tcBorders>
            <w:vAlign w:val="center"/>
          </w:tcPr>
          <w:p w14:paraId="1626E2AE">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（2）生产技术特征指标</w:t>
            </w:r>
          </w:p>
        </w:tc>
        <w:tc>
          <w:tcPr>
            <w:tcW w:w="383" w:type="pct"/>
            <w:tcBorders>
              <w:top w:val="single" w:color="auto" w:sz="4" w:space="0"/>
              <w:left w:val="single" w:color="auto" w:sz="4" w:space="0"/>
              <w:bottom w:val="single" w:color="auto" w:sz="4" w:space="0"/>
              <w:right w:val="single" w:color="auto" w:sz="4" w:space="0"/>
            </w:tcBorders>
            <w:vAlign w:val="center"/>
          </w:tcPr>
          <w:p w14:paraId="6CD2E2B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20</w:t>
            </w:r>
          </w:p>
        </w:tc>
        <w:tc>
          <w:tcPr>
            <w:tcW w:w="1012" w:type="pct"/>
            <w:gridSpan w:val="2"/>
            <w:tcBorders>
              <w:top w:val="single" w:color="auto" w:sz="4" w:space="0"/>
              <w:left w:val="single" w:color="auto" w:sz="4" w:space="0"/>
              <w:bottom w:val="single" w:color="auto" w:sz="4" w:space="0"/>
              <w:right w:val="single" w:color="auto" w:sz="4" w:space="0"/>
            </w:tcBorders>
            <w:vAlign w:val="center"/>
          </w:tcPr>
          <w:p w14:paraId="71502E1D">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压裂放喷返排入罐率</w:t>
            </w:r>
          </w:p>
        </w:tc>
        <w:tc>
          <w:tcPr>
            <w:tcW w:w="404" w:type="pct"/>
            <w:tcBorders>
              <w:top w:val="single" w:color="auto" w:sz="4" w:space="0"/>
              <w:left w:val="single" w:color="auto" w:sz="4" w:space="0"/>
              <w:bottom w:val="single" w:color="auto" w:sz="4" w:space="0"/>
              <w:right w:val="single" w:color="auto" w:sz="4" w:space="0"/>
            </w:tcBorders>
            <w:vAlign w:val="center"/>
          </w:tcPr>
          <w:p w14:paraId="2C06123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7FF47474">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20</w:t>
            </w:r>
          </w:p>
        </w:tc>
        <w:tc>
          <w:tcPr>
            <w:tcW w:w="1101" w:type="pct"/>
            <w:gridSpan w:val="2"/>
            <w:tcBorders>
              <w:top w:val="single" w:color="auto" w:sz="4" w:space="0"/>
              <w:left w:val="single" w:color="auto" w:sz="4" w:space="0"/>
              <w:bottom w:val="single" w:color="auto" w:sz="4" w:space="0"/>
              <w:right w:val="single" w:color="auto" w:sz="4" w:space="0"/>
            </w:tcBorders>
            <w:vAlign w:val="center"/>
          </w:tcPr>
          <w:p w14:paraId="60248F1C">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75930082">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100</w:t>
            </w:r>
          </w:p>
        </w:tc>
        <w:tc>
          <w:tcPr>
            <w:tcW w:w="261" w:type="pct"/>
            <w:tcBorders>
              <w:top w:val="single" w:color="auto" w:sz="4" w:space="0"/>
              <w:left w:val="single" w:color="auto" w:sz="4" w:space="0"/>
              <w:bottom w:val="single" w:color="auto" w:sz="4" w:space="0"/>
            </w:tcBorders>
            <w:vAlign w:val="center"/>
          </w:tcPr>
          <w:p w14:paraId="2387652D">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20</w:t>
            </w:r>
          </w:p>
        </w:tc>
      </w:tr>
      <w:tr w14:paraId="48748273">
        <w:tblPrEx>
          <w:tblCellMar>
            <w:top w:w="0" w:type="dxa"/>
            <w:left w:w="108" w:type="dxa"/>
            <w:bottom w:w="0" w:type="dxa"/>
            <w:right w:w="108" w:type="dxa"/>
          </w:tblCellMar>
        </w:tblPrEx>
        <w:trPr>
          <w:trHeight w:val="284" w:hRule="atLeast"/>
        </w:trPr>
        <w:tc>
          <w:tcPr>
            <w:tcW w:w="984" w:type="pct"/>
            <w:vMerge w:val="restart"/>
            <w:tcBorders>
              <w:top w:val="single" w:color="auto" w:sz="4" w:space="0"/>
              <w:bottom w:val="single" w:color="auto" w:sz="4" w:space="0"/>
              <w:right w:val="single" w:color="auto" w:sz="4" w:space="0"/>
            </w:tcBorders>
            <w:vAlign w:val="center"/>
          </w:tcPr>
          <w:p w14:paraId="0EBB927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（3）资源综合利用指标</w:t>
            </w:r>
          </w:p>
        </w:tc>
        <w:tc>
          <w:tcPr>
            <w:tcW w:w="383" w:type="pct"/>
            <w:vMerge w:val="restart"/>
            <w:tcBorders>
              <w:top w:val="single" w:color="auto" w:sz="4" w:space="0"/>
              <w:left w:val="single" w:color="auto" w:sz="4" w:space="0"/>
              <w:bottom w:val="single" w:color="auto" w:sz="4" w:space="0"/>
              <w:right w:val="single" w:color="auto" w:sz="4" w:space="0"/>
            </w:tcBorders>
            <w:vAlign w:val="center"/>
          </w:tcPr>
          <w:p w14:paraId="4CEE5C4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20</w:t>
            </w:r>
          </w:p>
        </w:tc>
        <w:tc>
          <w:tcPr>
            <w:tcW w:w="1012" w:type="pct"/>
            <w:gridSpan w:val="2"/>
            <w:tcBorders>
              <w:top w:val="single" w:color="auto" w:sz="4" w:space="0"/>
              <w:left w:val="single" w:color="auto" w:sz="4" w:space="0"/>
              <w:bottom w:val="single" w:color="auto" w:sz="4" w:space="0"/>
              <w:right w:val="single" w:color="auto" w:sz="4" w:space="0"/>
            </w:tcBorders>
            <w:vAlign w:val="center"/>
          </w:tcPr>
          <w:p w14:paraId="6F58195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落地原油回收利用率</w:t>
            </w:r>
          </w:p>
        </w:tc>
        <w:tc>
          <w:tcPr>
            <w:tcW w:w="404" w:type="pct"/>
            <w:tcBorders>
              <w:top w:val="single" w:color="auto" w:sz="4" w:space="0"/>
              <w:left w:val="single" w:color="auto" w:sz="4" w:space="0"/>
              <w:bottom w:val="single" w:color="auto" w:sz="4" w:space="0"/>
              <w:right w:val="single" w:color="auto" w:sz="4" w:space="0"/>
            </w:tcBorders>
            <w:vAlign w:val="center"/>
          </w:tcPr>
          <w:p w14:paraId="21D0115E">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46370E0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c>
          <w:tcPr>
            <w:tcW w:w="1101" w:type="pct"/>
            <w:gridSpan w:val="2"/>
            <w:tcBorders>
              <w:top w:val="single" w:color="auto" w:sz="4" w:space="0"/>
              <w:left w:val="single" w:color="auto" w:sz="4" w:space="0"/>
              <w:bottom w:val="single" w:color="auto" w:sz="4" w:space="0"/>
              <w:right w:val="single" w:color="auto" w:sz="4" w:space="0"/>
            </w:tcBorders>
            <w:vAlign w:val="center"/>
          </w:tcPr>
          <w:p w14:paraId="49210172">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12415E64">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100</w:t>
            </w:r>
          </w:p>
        </w:tc>
        <w:tc>
          <w:tcPr>
            <w:tcW w:w="261" w:type="pct"/>
            <w:tcBorders>
              <w:top w:val="single" w:color="auto" w:sz="4" w:space="0"/>
              <w:left w:val="single" w:color="auto" w:sz="4" w:space="0"/>
              <w:bottom w:val="single" w:color="auto" w:sz="4" w:space="0"/>
            </w:tcBorders>
            <w:vAlign w:val="center"/>
          </w:tcPr>
          <w:p w14:paraId="70CECBFC">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r>
      <w:tr w14:paraId="33D1E053">
        <w:tblPrEx>
          <w:tblCellMar>
            <w:top w:w="0" w:type="dxa"/>
            <w:left w:w="108" w:type="dxa"/>
            <w:bottom w:w="0" w:type="dxa"/>
            <w:right w:w="108" w:type="dxa"/>
          </w:tblCellMar>
        </w:tblPrEx>
        <w:trPr>
          <w:trHeight w:val="284" w:hRule="atLeast"/>
        </w:trPr>
        <w:tc>
          <w:tcPr>
            <w:tcW w:w="984" w:type="pct"/>
            <w:vMerge w:val="continue"/>
            <w:tcBorders>
              <w:top w:val="single" w:color="auto" w:sz="4" w:space="0"/>
              <w:bottom w:val="single" w:color="auto" w:sz="4" w:space="0"/>
              <w:right w:val="single" w:color="auto" w:sz="4" w:space="0"/>
            </w:tcBorders>
            <w:vAlign w:val="center"/>
          </w:tcPr>
          <w:p w14:paraId="38BD5204">
            <w:pPr>
              <w:widowControl/>
              <w:jc w:val="left"/>
              <w:rPr>
                <w:rFonts w:hint="eastAsia" w:ascii="宋体" w:hAnsi="宋体"/>
                <w:color w:val="auto"/>
                <w:spacing w:val="4"/>
                <w:szCs w:val="21"/>
              </w:rPr>
            </w:pPr>
          </w:p>
        </w:tc>
        <w:tc>
          <w:tcPr>
            <w:tcW w:w="383" w:type="pct"/>
            <w:vMerge w:val="continue"/>
            <w:tcBorders>
              <w:top w:val="single" w:color="auto" w:sz="4" w:space="0"/>
              <w:left w:val="single" w:color="auto" w:sz="4" w:space="0"/>
              <w:bottom w:val="single" w:color="auto" w:sz="4" w:space="0"/>
              <w:right w:val="single" w:color="auto" w:sz="4" w:space="0"/>
            </w:tcBorders>
            <w:vAlign w:val="center"/>
          </w:tcPr>
          <w:p w14:paraId="52002DEE">
            <w:pPr>
              <w:widowControl/>
              <w:jc w:val="left"/>
              <w:rPr>
                <w:rFonts w:hint="eastAsia" w:ascii="宋体" w:hAnsi="宋体"/>
                <w:color w:val="auto"/>
                <w:spacing w:val="4"/>
                <w:szCs w:val="21"/>
              </w:rPr>
            </w:pPr>
          </w:p>
        </w:tc>
        <w:tc>
          <w:tcPr>
            <w:tcW w:w="1012" w:type="pct"/>
            <w:gridSpan w:val="2"/>
            <w:tcBorders>
              <w:top w:val="single" w:color="auto" w:sz="4" w:space="0"/>
              <w:left w:val="single" w:color="auto" w:sz="4" w:space="0"/>
              <w:bottom w:val="single" w:color="auto" w:sz="4" w:space="0"/>
              <w:right w:val="single" w:color="auto" w:sz="4" w:space="0"/>
            </w:tcBorders>
            <w:vAlign w:val="center"/>
          </w:tcPr>
          <w:p w14:paraId="6BEEF26D">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生产过程中排出物利用率</w:t>
            </w:r>
          </w:p>
        </w:tc>
        <w:tc>
          <w:tcPr>
            <w:tcW w:w="404" w:type="pct"/>
            <w:tcBorders>
              <w:top w:val="single" w:color="auto" w:sz="4" w:space="0"/>
              <w:left w:val="single" w:color="auto" w:sz="4" w:space="0"/>
              <w:bottom w:val="single" w:color="auto" w:sz="4" w:space="0"/>
              <w:right w:val="single" w:color="auto" w:sz="4" w:space="0"/>
            </w:tcBorders>
            <w:vAlign w:val="center"/>
          </w:tcPr>
          <w:p w14:paraId="48D7402D">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04C5CC8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c>
          <w:tcPr>
            <w:tcW w:w="1101" w:type="pct"/>
            <w:gridSpan w:val="2"/>
            <w:tcBorders>
              <w:top w:val="single" w:color="auto" w:sz="4" w:space="0"/>
              <w:left w:val="single" w:color="auto" w:sz="4" w:space="0"/>
              <w:bottom w:val="single" w:color="auto" w:sz="4" w:space="0"/>
              <w:right w:val="single" w:color="auto" w:sz="4" w:space="0"/>
            </w:tcBorders>
            <w:vAlign w:val="center"/>
          </w:tcPr>
          <w:p w14:paraId="33430F49">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2EAE339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100</w:t>
            </w:r>
          </w:p>
        </w:tc>
        <w:tc>
          <w:tcPr>
            <w:tcW w:w="261" w:type="pct"/>
            <w:tcBorders>
              <w:top w:val="single" w:color="auto" w:sz="4" w:space="0"/>
              <w:left w:val="single" w:color="auto" w:sz="4" w:space="0"/>
              <w:bottom w:val="single" w:color="auto" w:sz="4" w:space="0"/>
            </w:tcBorders>
            <w:vAlign w:val="center"/>
          </w:tcPr>
          <w:p w14:paraId="6BFF14E7">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r>
      <w:tr w14:paraId="08688E1E">
        <w:tblPrEx>
          <w:tblCellMar>
            <w:top w:w="0" w:type="dxa"/>
            <w:left w:w="108" w:type="dxa"/>
            <w:bottom w:w="0" w:type="dxa"/>
            <w:right w:w="108" w:type="dxa"/>
          </w:tblCellMar>
        </w:tblPrEx>
        <w:trPr>
          <w:trHeight w:val="284" w:hRule="atLeast"/>
        </w:trPr>
        <w:tc>
          <w:tcPr>
            <w:tcW w:w="984" w:type="pct"/>
            <w:vMerge w:val="restart"/>
            <w:tcBorders>
              <w:top w:val="single" w:color="auto" w:sz="4" w:space="0"/>
              <w:bottom w:val="single" w:color="auto" w:sz="4" w:space="0"/>
              <w:right w:val="single" w:color="auto" w:sz="4" w:space="0"/>
            </w:tcBorders>
            <w:vAlign w:val="center"/>
          </w:tcPr>
          <w:p w14:paraId="1597941D">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（4）污染物产生指标</w:t>
            </w:r>
          </w:p>
        </w:tc>
        <w:tc>
          <w:tcPr>
            <w:tcW w:w="383" w:type="pct"/>
            <w:vMerge w:val="restart"/>
            <w:tcBorders>
              <w:top w:val="single" w:color="auto" w:sz="4" w:space="0"/>
              <w:left w:val="single" w:color="auto" w:sz="4" w:space="0"/>
              <w:bottom w:val="single" w:color="auto" w:sz="4" w:space="0"/>
              <w:right w:val="single" w:color="auto" w:sz="4" w:space="0"/>
            </w:tcBorders>
            <w:vAlign w:val="center"/>
          </w:tcPr>
          <w:p w14:paraId="7319ECB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30</w:t>
            </w:r>
          </w:p>
        </w:tc>
        <w:tc>
          <w:tcPr>
            <w:tcW w:w="1012" w:type="pct"/>
            <w:gridSpan w:val="2"/>
            <w:tcBorders>
              <w:top w:val="single" w:color="auto" w:sz="4" w:space="0"/>
              <w:left w:val="single" w:color="auto" w:sz="4" w:space="0"/>
              <w:bottom w:val="single" w:color="auto" w:sz="4" w:space="0"/>
              <w:right w:val="single" w:color="auto" w:sz="4" w:space="0"/>
            </w:tcBorders>
            <w:vAlign w:val="center"/>
          </w:tcPr>
          <w:p w14:paraId="449AC33B">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作业废液量</w:t>
            </w:r>
          </w:p>
        </w:tc>
        <w:tc>
          <w:tcPr>
            <w:tcW w:w="404" w:type="pct"/>
            <w:tcBorders>
              <w:top w:val="single" w:color="auto" w:sz="4" w:space="0"/>
              <w:left w:val="single" w:color="auto" w:sz="4" w:space="0"/>
              <w:bottom w:val="single" w:color="auto" w:sz="4" w:space="0"/>
              <w:right w:val="single" w:color="auto" w:sz="4" w:space="0"/>
            </w:tcBorders>
            <w:vAlign w:val="center"/>
          </w:tcPr>
          <w:p w14:paraId="0040826F">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m</w:t>
            </w:r>
            <w:r>
              <w:rPr>
                <w:rFonts w:ascii="宋体" w:hAnsi="宋体"/>
                <w:color w:val="auto"/>
                <w:spacing w:val="4"/>
                <w:szCs w:val="21"/>
                <w:vertAlign w:val="superscript"/>
              </w:rPr>
              <w:t>3</w:t>
            </w:r>
            <w:r>
              <w:rPr>
                <w:rFonts w:ascii="宋体" w:hAnsi="宋体"/>
                <w:color w:val="auto"/>
                <w:spacing w:val="4"/>
                <w:szCs w:val="21"/>
              </w:rPr>
              <w:t>/井次</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45D8813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c>
          <w:tcPr>
            <w:tcW w:w="1101" w:type="pct"/>
            <w:gridSpan w:val="2"/>
            <w:tcBorders>
              <w:top w:val="single" w:color="auto" w:sz="4" w:space="0"/>
              <w:left w:val="single" w:color="auto" w:sz="4" w:space="0"/>
              <w:bottom w:val="single" w:color="auto" w:sz="4" w:space="0"/>
              <w:right w:val="single" w:color="auto" w:sz="4" w:space="0"/>
            </w:tcBorders>
            <w:vAlign w:val="center"/>
          </w:tcPr>
          <w:p w14:paraId="1DE0F65E">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≤3.0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5A583389">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＜3</w:t>
            </w:r>
          </w:p>
        </w:tc>
        <w:tc>
          <w:tcPr>
            <w:tcW w:w="261" w:type="pct"/>
            <w:tcBorders>
              <w:top w:val="single" w:color="auto" w:sz="4" w:space="0"/>
              <w:left w:val="single" w:color="auto" w:sz="4" w:space="0"/>
              <w:bottom w:val="single" w:color="auto" w:sz="4" w:space="0"/>
            </w:tcBorders>
            <w:vAlign w:val="center"/>
          </w:tcPr>
          <w:p w14:paraId="04BE023D">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r>
      <w:tr w14:paraId="118CAEED">
        <w:tblPrEx>
          <w:tblCellMar>
            <w:top w:w="0" w:type="dxa"/>
            <w:left w:w="108" w:type="dxa"/>
            <w:bottom w:w="0" w:type="dxa"/>
            <w:right w:w="108" w:type="dxa"/>
          </w:tblCellMar>
        </w:tblPrEx>
        <w:trPr>
          <w:trHeight w:val="284" w:hRule="atLeast"/>
        </w:trPr>
        <w:tc>
          <w:tcPr>
            <w:tcW w:w="984" w:type="pct"/>
            <w:vMerge w:val="continue"/>
            <w:tcBorders>
              <w:top w:val="single" w:color="auto" w:sz="4" w:space="0"/>
              <w:bottom w:val="single" w:color="auto" w:sz="4" w:space="0"/>
              <w:right w:val="single" w:color="auto" w:sz="4" w:space="0"/>
            </w:tcBorders>
            <w:vAlign w:val="center"/>
          </w:tcPr>
          <w:p w14:paraId="2E20D1F7">
            <w:pPr>
              <w:widowControl/>
              <w:jc w:val="left"/>
              <w:rPr>
                <w:rFonts w:hint="eastAsia" w:ascii="宋体" w:hAnsi="宋体"/>
                <w:color w:val="auto"/>
                <w:spacing w:val="4"/>
                <w:szCs w:val="21"/>
              </w:rPr>
            </w:pPr>
            <w:bookmarkStart w:id="348" w:name="_Hlk207468723"/>
          </w:p>
        </w:tc>
        <w:tc>
          <w:tcPr>
            <w:tcW w:w="383" w:type="pct"/>
            <w:vMerge w:val="continue"/>
            <w:tcBorders>
              <w:top w:val="single" w:color="auto" w:sz="4" w:space="0"/>
              <w:left w:val="single" w:color="auto" w:sz="4" w:space="0"/>
              <w:bottom w:val="single" w:color="auto" w:sz="4" w:space="0"/>
              <w:right w:val="single" w:color="auto" w:sz="4" w:space="0"/>
            </w:tcBorders>
            <w:vAlign w:val="center"/>
          </w:tcPr>
          <w:p w14:paraId="3C23CBFE">
            <w:pPr>
              <w:widowControl/>
              <w:jc w:val="left"/>
              <w:rPr>
                <w:rFonts w:hint="eastAsia" w:ascii="宋体" w:hAnsi="宋体"/>
                <w:color w:val="auto"/>
                <w:spacing w:val="4"/>
                <w:szCs w:val="21"/>
              </w:rPr>
            </w:pPr>
          </w:p>
        </w:tc>
        <w:tc>
          <w:tcPr>
            <w:tcW w:w="1012" w:type="pct"/>
            <w:gridSpan w:val="2"/>
            <w:tcBorders>
              <w:top w:val="single" w:color="auto" w:sz="4" w:space="0"/>
              <w:left w:val="single" w:color="auto" w:sz="4" w:space="0"/>
              <w:bottom w:val="single" w:color="auto" w:sz="4" w:space="0"/>
              <w:right w:val="single" w:color="auto" w:sz="4" w:space="0"/>
            </w:tcBorders>
            <w:vAlign w:val="center"/>
          </w:tcPr>
          <w:p w14:paraId="4455B241">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石油类</w:t>
            </w:r>
          </w:p>
        </w:tc>
        <w:tc>
          <w:tcPr>
            <w:tcW w:w="404" w:type="pct"/>
            <w:tcBorders>
              <w:top w:val="single" w:color="auto" w:sz="4" w:space="0"/>
              <w:left w:val="single" w:color="auto" w:sz="4" w:space="0"/>
              <w:bottom w:val="single" w:color="auto" w:sz="4" w:space="0"/>
              <w:right w:val="single" w:color="auto" w:sz="4" w:space="0"/>
            </w:tcBorders>
            <w:vAlign w:val="center"/>
          </w:tcPr>
          <w:p w14:paraId="26A43F6E">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mg/L</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0622344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1101" w:type="pct"/>
            <w:gridSpan w:val="2"/>
            <w:tcBorders>
              <w:top w:val="single" w:color="auto" w:sz="4" w:space="0"/>
              <w:left w:val="single" w:color="auto" w:sz="4" w:space="0"/>
              <w:bottom w:val="single" w:color="auto" w:sz="4" w:space="0"/>
              <w:right w:val="single" w:color="auto" w:sz="4" w:space="0"/>
            </w:tcBorders>
            <w:vAlign w:val="center"/>
          </w:tcPr>
          <w:p w14:paraId="693D69E7">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甲类区：≤10；乙类区：≤50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7414AD63">
            <w:pPr>
              <w:adjustRightInd w:val="0"/>
              <w:snapToGrid w:val="0"/>
              <w:spacing w:line="300" w:lineRule="exact"/>
              <w:jc w:val="center"/>
              <w:rPr>
                <w:rFonts w:hint="eastAsia" w:ascii="宋体" w:hAnsi="宋体"/>
                <w:color w:val="auto"/>
                <w:spacing w:val="4"/>
                <w:szCs w:val="21"/>
              </w:rPr>
            </w:pPr>
            <w:bookmarkStart w:id="349" w:name="OLE_LINK317"/>
            <w:r>
              <w:rPr>
                <w:rFonts w:ascii="宋体" w:hAnsi="宋体"/>
                <w:color w:val="auto"/>
                <w:spacing w:val="4"/>
                <w:szCs w:val="21"/>
              </w:rPr>
              <w:t>232</w:t>
            </w:r>
            <w:bookmarkEnd w:id="349"/>
          </w:p>
        </w:tc>
        <w:tc>
          <w:tcPr>
            <w:tcW w:w="261" w:type="pct"/>
            <w:tcBorders>
              <w:top w:val="single" w:color="auto" w:sz="4" w:space="0"/>
              <w:left w:val="single" w:color="auto" w:sz="4" w:space="0"/>
              <w:bottom w:val="single" w:color="auto" w:sz="4" w:space="0"/>
            </w:tcBorders>
            <w:vAlign w:val="center"/>
          </w:tcPr>
          <w:p w14:paraId="584CB370">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0</w:t>
            </w:r>
          </w:p>
        </w:tc>
      </w:tr>
      <w:tr w14:paraId="5753C5D2">
        <w:tblPrEx>
          <w:tblCellMar>
            <w:top w:w="0" w:type="dxa"/>
            <w:left w:w="108" w:type="dxa"/>
            <w:bottom w:w="0" w:type="dxa"/>
            <w:right w:w="108" w:type="dxa"/>
          </w:tblCellMar>
        </w:tblPrEx>
        <w:trPr>
          <w:trHeight w:val="284" w:hRule="atLeast"/>
        </w:trPr>
        <w:tc>
          <w:tcPr>
            <w:tcW w:w="984" w:type="pct"/>
            <w:vMerge w:val="continue"/>
            <w:tcBorders>
              <w:top w:val="single" w:color="auto" w:sz="4" w:space="0"/>
              <w:bottom w:val="single" w:color="auto" w:sz="4" w:space="0"/>
              <w:right w:val="single" w:color="auto" w:sz="4" w:space="0"/>
            </w:tcBorders>
            <w:vAlign w:val="center"/>
          </w:tcPr>
          <w:p w14:paraId="5D1F6867">
            <w:pPr>
              <w:widowControl/>
              <w:jc w:val="left"/>
              <w:rPr>
                <w:rFonts w:hint="eastAsia" w:ascii="宋体" w:hAnsi="宋体"/>
                <w:color w:val="auto"/>
                <w:spacing w:val="4"/>
                <w:szCs w:val="21"/>
              </w:rPr>
            </w:pPr>
          </w:p>
        </w:tc>
        <w:tc>
          <w:tcPr>
            <w:tcW w:w="383" w:type="pct"/>
            <w:vMerge w:val="continue"/>
            <w:tcBorders>
              <w:top w:val="single" w:color="auto" w:sz="4" w:space="0"/>
              <w:left w:val="single" w:color="auto" w:sz="4" w:space="0"/>
              <w:bottom w:val="single" w:color="auto" w:sz="4" w:space="0"/>
              <w:right w:val="single" w:color="auto" w:sz="4" w:space="0"/>
            </w:tcBorders>
            <w:vAlign w:val="center"/>
          </w:tcPr>
          <w:p w14:paraId="18F51B00">
            <w:pPr>
              <w:widowControl/>
              <w:jc w:val="left"/>
              <w:rPr>
                <w:rFonts w:hint="eastAsia" w:ascii="宋体" w:hAnsi="宋体"/>
                <w:color w:val="auto"/>
                <w:spacing w:val="4"/>
                <w:szCs w:val="21"/>
              </w:rPr>
            </w:pPr>
          </w:p>
        </w:tc>
        <w:tc>
          <w:tcPr>
            <w:tcW w:w="1012" w:type="pct"/>
            <w:gridSpan w:val="2"/>
            <w:tcBorders>
              <w:top w:val="single" w:color="auto" w:sz="4" w:space="0"/>
              <w:left w:val="single" w:color="auto" w:sz="4" w:space="0"/>
              <w:bottom w:val="single" w:color="auto" w:sz="4" w:space="0"/>
              <w:right w:val="single" w:color="auto" w:sz="4" w:space="0"/>
            </w:tcBorders>
            <w:vAlign w:val="center"/>
          </w:tcPr>
          <w:p w14:paraId="0E1991D7">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COD</w:t>
            </w:r>
          </w:p>
        </w:tc>
        <w:tc>
          <w:tcPr>
            <w:tcW w:w="404" w:type="pct"/>
            <w:tcBorders>
              <w:top w:val="single" w:color="auto" w:sz="4" w:space="0"/>
              <w:left w:val="single" w:color="auto" w:sz="4" w:space="0"/>
              <w:bottom w:val="single" w:color="auto" w:sz="4" w:space="0"/>
              <w:right w:val="single" w:color="auto" w:sz="4" w:space="0"/>
            </w:tcBorders>
            <w:vAlign w:val="center"/>
          </w:tcPr>
          <w:p w14:paraId="05FC997C">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mg/L</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4698DC4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1101" w:type="pct"/>
            <w:gridSpan w:val="2"/>
            <w:tcBorders>
              <w:top w:val="single" w:color="auto" w:sz="4" w:space="0"/>
              <w:left w:val="single" w:color="auto" w:sz="4" w:space="0"/>
              <w:bottom w:val="single" w:color="auto" w:sz="4" w:space="0"/>
              <w:right w:val="single" w:color="auto" w:sz="4" w:space="0"/>
            </w:tcBorders>
            <w:vAlign w:val="center"/>
          </w:tcPr>
          <w:p w14:paraId="7146518C">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甲类区：≤100；乙类区：≤150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31B360F2">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1375</w:t>
            </w:r>
          </w:p>
        </w:tc>
        <w:tc>
          <w:tcPr>
            <w:tcW w:w="261" w:type="pct"/>
            <w:tcBorders>
              <w:top w:val="single" w:color="auto" w:sz="4" w:space="0"/>
              <w:left w:val="single" w:color="auto" w:sz="4" w:space="0"/>
              <w:bottom w:val="single" w:color="auto" w:sz="4" w:space="0"/>
            </w:tcBorders>
            <w:vAlign w:val="center"/>
          </w:tcPr>
          <w:p w14:paraId="499AEBC5">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0</w:t>
            </w:r>
          </w:p>
        </w:tc>
      </w:tr>
      <w:bookmarkEnd w:id="348"/>
      <w:tr w14:paraId="5C8703D5">
        <w:tblPrEx>
          <w:tblCellMar>
            <w:top w:w="0" w:type="dxa"/>
            <w:left w:w="108" w:type="dxa"/>
            <w:bottom w:w="0" w:type="dxa"/>
            <w:right w:w="108" w:type="dxa"/>
          </w:tblCellMar>
        </w:tblPrEx>
        <w:trPr>
          <w:trHeight w:val="284" w:hRule="atLeast"/>
        </w:trPr>
        <w:tc>
          <w:tcPr>
            <w:tcW w:w="984" w:type="pct"/>
            <w:vMerge w:val="continue"/>
            <w:tcBorders>
              <w:top w:val="single" w:color="auto" w:sz="4" w:space="0"/>
              <w:bottom w:val="single" w:color="auto" w:sz="4" w:space="0"/>
              <w:right w:val="single" w:color="auto" w:sz="4" w:space="0"/>
            </w:tcBorders>
            <w:vAlign w:val="center"/>
          </w:tcPr>
          <w:p w14:paraId="43D900A6">
            <w:pPr>
              <w:widowControl/>
              <w:jc w:val="left"/>
              <w:rPr>
                <w:rFonts w:hint="eastAsia" w:ascii="宋体" w:hAnsi="宋体"/>
                <w:color w:val="auto"/>
                <w:spacing w:val="4"/>
                <w:szCs w:val="21"/>
              </w:rPr>
            </w:pPr>
          </w:p>
        </w:tc>
        <w:tc>
          <w:tcPr>
            <w:tcW w:w="383" w:type="pct"/>
            <w:vMerge w:val="continue"/>
            <w:tcBorders>
              <w:top w:val="single" w:color="auto" w:sz="4" w:space="0"/>
              <w:left w:val="single" w:color="auto" w:sz="4" w:space="0"/>
              <w:bottom w:val="single" w:color="auto" w:sz="4" w:space="0"/>
              <w:right w:val="single" w:color="auto" w:sz="4" w:space="0"/>
            </w:tcBorders>
            <w:vAlign w:val="center"/>
          </w:tcPr>
          <w:p w14:paraId="76FAC7B4">
            <w:pPr>
              <w:widowControl/>
              <w:jc w:val="left"/>
              <w:rPr>
                <w:rFonts w:hint="eastAsia" w:ascii="宋体" w:hAnsi="宋体"/>
                <w:color w:val="auto"/>
                <w:spacing w:val="4"/>
                <w:szCs w:val="21"/>
              </w:rPr>
            </w:pPr>
          </w:p>
        </w:tc>
        <w:tc>
          <w:tcPr>
            <w:tcW w:w="1012" w:type="pct"/>
            <w:gridSpan w:val="2"/>
            <w:tcBorders>
              <w:top w:val="single" w:color="auto" w:sz="4" w:space="0"/>
              <w:left w:val="single" w:color="auto" w:sz="4" w:space="0"/>
              <w:bottom w:val="single" w:color="auto" w:sz="4" w:space="0"/>
              <w:right w:val="single" w:color="auto" w:sz="4" w:space="0"/>
            </w:tcBorders>
            <w:vAlign w:val="center"/>
          </w:tcPr>
          <w:p w14:paraId="0DCC37B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含油污泥</w:t>
            </w:r>
          </w:p>
        </w:tc>
        <w:tc>
          <w:tcPr>
            <w:tcW w:w="404" w:type="pct"/>
            <w:tcBorders>
              <w:top w:val="single" w:color="auto" w:sz="4" w:space="0"/>
              <w:left w:val="single" w:color="auto" w:sz="4" w:space="0"/>
              <w:bottom w:val="single" w:color="auto" w:sz="4" w:space="0"/>
              <w:right w:val="single" w:color="auto" w:sz="4" w:space="0"/>
            </w:tcBorders>
            <w:vAlign w:val="center"/>
          </w:tcPr>
          <w:p w14:paraId="6E81E33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kg/井次</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07F65AE6">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1101" w:type="pct"/>
            <w:gridSpan w:val="2"/>
            <w:tcBorders>
              <w:top w:val="single" w:color="auto" w:sz="4" w:space="0"/>
              <w:left w:val="single" w:color="auto" w:sz="4" w:space="0"/>
              <w:bottom w:val="single" w:color="auto" w:sz="4" w:space="0"/>
              <w:right w:val="single" w:color="auto" w:sz="4" w:space="0"/>
            </w:tcBorders>
            <w:vAlign w:val="center"/>
          </w:tcPr>
          <w:p w14:paraId="1109D9BD">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甲类区：≤50；乙类区：≤70</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41F2D34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0</w:t>
            </w:r>
          </w:p>
        </w:tc>
        <w:tc>
          <w:tcPr>
            <w:tcW w:w="261" w:type="pct"/>
            <w:tcBorders>
              <w:top w:val="single" w:color="auto" w:sz="4" w:space="0"/>
              <w:left w:val="single" w:color="auto" w:sz="4" w:space="0"/>
              <w:bottom w:val="single" w:color="auto" w:sz="4" w:space="0"/>
            </w:tcBorders>
            <w:vAlign w:val="center"/>
          </w:tcPr>
          <w:p w14:paraId="1B9FCCF8">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5</w:t>
            </w:r>
          </w:p>
        </w:tc>
      </w:tr>
      <w:tr w14:paraId="199B4E19">
        <w:tblPrEx>
          <w:tblCellMar>
            <w:top w:w="0" w:type="dxa"/>
            <w:left w:w="108" w:type="dxa"/>
            <w:bottom w:w="0" w:type="dxa"/>
            <w:right w:w="108" w:type="dxa"/>
          </w:tblCellMar>
        </w:tblPrEx>
        <w:trPr>
          <w:trHeight w:val="284" w:hRule="atLeast"/>
        </w:trPr>
        <w:tc>
          <w:tcPr>
            <w:tcW w:w="984" w:type="pct"/>
            <w:vMerge w:val="continue"/>
            <w:tcBorders>
              <w:top w:val="single" w:color="auto" w:sz="4" w:space="0"/>
              <w:bottom w:val="single" w:color="auto" w:sz="4" w:space="0"/>
              <w:right w:val="single" w:color="auto" w:sz="4" w:space="0"/>
            </w:tcBorders>
            <w:vAlign w:val="center"/>
          </w:tcPr>
          <w:p w14:paraId="42AAF5FE">
            <w:pPr>
              <w:widowControl/>
              <w:jc w:val="left"/>
              <w:rPr>
                <w:rFonts w:hint="eastAsia" w:ascii="宋体" w:hAnsi="宋体"/>
                <w:color w:val="auto"/>
                <w:spacing w:val="4"/>
                <w:szCs w:val="21"/>
              </w:rPr>
            </w:pPr>
          </w:p>
        </w:tc>
        <w:tc>
          <w:tcPr>
            <w:tcW w:w="383" w:type="pct"/>
            <w:vMerge w:val="continue"/>
            <w:tcBorders>
              <w:top w:val="single" w:color="auto" w:sz="4" w:space="0"/>
              <w:left w:val="single" w:color="auto" w:sz="4" w:space="0"/>
              <w:bottom w:val="single" w:color="auto" w:sz="4" w:space="0"/>
              <w:right w:val="single" w:color="auto" w:sz="4" w:space="0"/>
            </w:tcBorders>
            <w:vAlign w:val="center"/>
          </w:tcPr>
          <w:p w14:paraId="33ABF587">
            <w:pPr>
              <w:widowControl/>
              <w:jc w:val="left"/>
              <w:rPr>
                <w:rFonts w:hint="eastAsia" w:ascii="宋体" w:hAnsi="宋体"/>
                <w:color w:val="auto"/>
                <w:spacing w:val="4"/>
                <w:szCs w:val="21"/>
              </w:rPr>
            </w:pPr>
          </w:p>
        </w:tc>
        <w:tc>
          <w:tcPr>
            <w:tcW w:w="1012" w:type="pct"/>
            <w:gridSpan w:val="2"/>
            <w:tcBorders>
              <w:top w:val="single" w:color="auto" w:sz="4" w:space="0"/>
              <w:left w:val="single" w:color="auto" w:sz="4" w:space="0"/>
              <w:bottom w:val="single" w:color="auto" w:sz="4" w:space="0"/>
              <w:right w:val="single" w:color="auto" w:sz="4" w:space="0"/>
            </w:tcBorders>
            <w:vAlign w:val="center"/>
          </w:tcPr>
          <w:p w14:paraId="66F7173B">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一般固体废物（生活垃圾）</w:t>
            </w:r>
          </w:p>
        </w:tc>
        <w:tc>
          <w:tcPr>
            <w:tcW w:w="404" w:type="pct"/>
            <w:tcBorders>
              <w:top w:val="single" w:color="auto" w:sz="4" w:space="0"/>
              <w:left w:val="single" w:color="auto" w:sz="4" w:space="0"/>
              <w:bottom w:val="single" w:color="auto" w:sz="4" w:space="0"/>
              <w:right w:val="single" w:color="auto" w:sz="4" w:space="0"/>
            </w:tcBorders>
            <w:vAlign w:val="center"/>
          </w:tcPr>
          <w:p w14:paraId="30430E72">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kg/井次</w:t>
            </w:r>
          </w:p>
        </w:tc>
        <w:tc>
          <w:tcPr>
            <w:tcW w:w="455" w:type="pct"/>
            <w:gridSpan w:val="2"/>
            <w:tcBorders>
              <w:top w:val="single" w:color="auto" w:sz="4" w:space="0"/>
              <w:left w:val="single" w:color="auto" w:sz="4" w:space="0"/>
              <w:bottom w:val="single" w:color="auto" w:sz="4" w:space="0"/>
              <w:right w:val="single" w:color="auto" w:sz="4" w:space="0"/>
            </w:tcBorders>
            <w:vAlign w:val="center"/>
          </w:tcPr>
          <w:p w14:paraId="178E075B">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1101" w:type="pct"/>
            <w:gridSpan w:val="2"/>
            <w:tcBorders>
              <w:top w:val="single" w:color="auto" w:sz="4" w:space="0"/>
              <w:left w:val="single" w:color="auto" w:sz="4" w:space="0"/>
              <w:bottom w:val="single" w:color="auto" w:sz="4" w:space="0"/>
              <w:right w:val="single" w:color="auto" w:sz="4" w:space="0"/>
            </w:tcBorders>
            <w:vAlign w:val="center"/>
          </w:tcPr>
          <w:p w14:paraId="3EBCDCAA">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符合环保要求</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6E6A3ED8">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0</w:t>
            </w:r>
          </w:p>
        </w:tc>
        <w:tc>
          <w:tcPr>
            <w:tcW w:w="261" w:type="pct"/>
            <w:tcBorders>
              <w:top w:val="single" w:color="auto" w:sz="4" w:space="0"/>
              <w:left w:val="single" w:color="auto" w:sz="4" w:space="0"/>
              <w:bottom w:val="single" w:color="auto" w:sz="4" w:space="0"/>
            </w:tcBorders>
            <w:vAlign w:val="center"/>
          </w:tcPr>
          <w:p w14:paraId="7CF9E38B">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5</w:t>
            </w:r>
          </w:p>
        </w:tc>
      </w:tr>
      <w:tr w14:paraId="5A033FCA">
        <w:tblPrEx>
          <w:tblCellMar>
            <w:top w:w="0" w:type="dxa"/>
            <w:left w:w="108" w:type="dxa"/>
            <w:bottom w:w="0" w:type="dxa"/>
            <w:right w:w="108" w:type="dxa"/>
          </w:tblCellMar>
        </w:tblPrEx>
        <w:trPr>
          <w:trHeight w:val="284" w:hRule="atLeast"/>
        </w:trPr>
        <w:tc>
          <w:tcPr>
            <w:tcW w:w="5000" w:type="pct"/>
            <w:gridSpan w:val="12"/>
            <w:tcBorders>
              <w:top w:val="single" w:color="auto" w:sz="4" w:space="0"/>
              <w:bottom w:val="single" w:color="auto" w:sz="4" w:space="0"/>
            </w:tcBorders>
            <w:vAlign w:val="center"/>
          </w:tcPr>
          <w:p w14:paraId="760FDFA2">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定性指标</w:t>
            </w:r>
          </w:p>
        </w:tc>
      </w:tr>
      <w:tr w14:paraId="64919E07">
        <w:tblPrEx>
          <w:tblCellMar>
            <w:top w:w="0" w:type="dxa"/>
            <w:left w:w="108" w:type="dxa"/>
            <w:bottom w:w="0" w:type="dxa"/>
            <w:right w:w="108" w:type="dxa"/>
          </w:tblCellMar>
        </w:tblPrEx>
        <w:trPr>
          <w:trHeight w:val="284" w:hRule="atLeast"/>
        </w:trPr>
        <w:tc>
          <w:tcPr>
            <w:tcW w:w="1367" w:type="pct"/>
            <w:gridSpan w:val="2"/>
            <w:tcBorders>
              <w:top w:val="single" w:color="auto" w:sz="4" w:space="0"/>
              <w:bottom w:val="single" w:color="auto" w:sz="4" w:space="0"/>
              <w:right w:val="single" w:color="auto" w:sz="4" w:space="0"/>
            </w:tcBorders>
            <w:vAlign w:val="center"/>
          </w:tcPr>
          <w:p w14:paraId="49B2FEA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一级指标</w:t>
            </w:r>
          </w:p>
        </w:tc>
        <w:tc>
          <w:tcPr>
            <w:tcW w:w="455" w:type="pct"/>
            <w:tcBorders>
              <w:top w:val="single" w:color="auto" w:sz="4" w:space="0"/>
              <w:left w:val="single" w:color="auto" w:sz="4" w:space="0"/>
              <w:bottom w:val="single" w:color="auto" w:sz="4" w:space="0"/>
              <w:right w:val="single" w:color="auto" w:sz="4" w:space="0"/>
            </w:tcBorders>
            <w:vAlign w:val="center"/>
          </w:tcPr>
          <w:p w14:paraId="72DF1C9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指标分值</w:t>
            </w:r>
          </w:p>
        </w:tc>
        <w:tc>
          <w:tcPr>
            <w:tcW w:w="2316" w:type="pct"/>
            <w:gridSpan w:val="5"/>
            <w:tcBorders>
              <w:top w:val="single" w:color="auto" w:sz="4" w:space="0"/>
              <w:left w:val="single" w:color="auto" w:sz="4" w:space="0"/>
              <w:bottom w:val="single" w:color="auto" w:sz="4" w:space="0"/>
              <w:right w:val="single" w:color="auto" w:sz="4" w:space="0"/>
            </w:tcBorders>
            <w:vAlign w:val="center"/>
          </w:tcPr>
          <w:p w14:paraId="745885D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二级指标</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0314C50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指标分值</w:t>
            </w:r>
          </w:p>
        </w:tc>
        <w:tc>
          <w:tcPr>
            <w:tcW w:w="462" w:type="pct"/>
            <w:gridSpan w:val="2"/>
            <w:tcBorders>
              <w:top w:val="single" w:color="auto" w:sz="4" w:space="0"/>
              <w:left w:val="single" w:color="auto" w:sz="4" w:space="0"/>
              <w:bottom w:val="single" w:color="auto" w:sz="4" w:space="0"/>
            </w:tcBorders>
            <w:vAlign w:val="center"/>
          </w:tcPr>
          <w:p w14:paraId="4ED88C77">
            <w:pPr>
              <w:adjustRightInd w:val="0"/>
              <w:snapToGrid w:val="0"/>
              <w:spacing w:line="300" w:lineRule="exact"/>
              <w:ind w:left="-1" w:leftChars="-122" w:hanging="255" w:hangingChars="117"/>
              <w:jc w:val="center"/>
              <w:rPr>
                <w:rFonts w:hint="eastAsia" w:ascii="宋体" w:hAnsi="宋体"/>
                <w:color w:val="auto"/>
                <w:spacing w:val="4"/>
                <w:szCs w:val="21"/>
              </w:rPr>
            </w:pPr>
            <w:r>
              <w:rPr>
                <w:rFonts w:ascii="宋体" w:hAnsi="宋体"/>
                <w:color w:val="auto"/>
                <w:spacing w:val="4"/>
                <w:szCs w:val="21"/>
              </w:rPr>
              <w:t>本项目评分</w:t>
            </w:r>
          </w:p>
        </w:tc>
      </w:tr>
      <w:tr w14:paraId="2571E2E3">
        <w:tblPrEx>
          <w:tblCellMar>
            <w:top w:w="0" w:type="dxa"/>
            <w:left w:w="108" w:type="dxa"/>
            <w:bottom w:w="0" w:type="dxa"/>
            <w:right w:w="108" w:type="dxa"/>
          </w:tblCellMar>
        </w:tblPrEx>
        <w:trPr>
          <w:trHeight w:val="284" w:hRule="atLeast"/>
        </w:trPr>
        <w:tc>
          <w:tcPr>
            <w:tcW w:w="1367" w:type="pct"/>
            <w:gridSpan w:val="2"/>
            <w:vMerge w:val="restart"/>
            <w:tcBorders>
              <w:top w:val="single" w:color="auto" w:sz="4" w:space="0"/>
              <w:bottom w:val="single" w:color="auto" w:sz="4" w:space="0"/>
              <w:right w:val="single" w:color="auto" w:sz="4" w:space="0"/>
            </w:tcBorders>
            <w:vAlign w:val="center"/>
          </w:tcPr>
          <w:p w14:paraId="4168597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（1）生产工艺及设备要求</w:t>
            </w:r>
          </w:p>
        </w:tc>
        <w:tc>
          <w:tcPr>
            <w:tcW w:w="455" w:type="pct"/>
            <w:vMerge w:val="restart"/>
            <w:tcBorders>
              <w:top w:val="single" w:color="auto" w:sz="4" w:space="0"/>
              <w:left w:val="single" w:color="auto" w:sz="4" w:space="0"/>
              <w:bottom w:val="single" w:color="auto" w:sz="4" w:space="0"/>
              <w:right w:val="single" w:color="auto" w:sz="4" w:space="0"/>
            </w:tcBorders>
            <w:vAlign w:val="center"/>
          </w:tcPr>
          <w:p w14:paraId="5B3E26A4">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40</w:t>
            </w:r>
          </w:p>
        </w:tc>
        <w:tc>
          <w:tcPr>
            <w:tcW w:w="1016" w:type="pct"/>
            <w:gridSpan w:val="3"/>
            <w:tcBorders>
              <w:top w:val="single" w:color="auto" w:sz="4" w:space="0"/>
              <w:left w:val="single" w:color="auto" w:sz="4" w:space="0"/>
              <w:bottom w:val="single" w:color="auto" w:sz="4" w:space="0"/>
              <w:right w:val="single" w:color="auto" w:sz="4" w:space="0"/>
            </w:tcBorders>
            <w:vAlign w:val="center"/>
          </w:tcPr>
          <w:p w14:paraId="7A5D42A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防喷措施</w:t>
            </w:r>
          </w:p>
        </w:tc>
        <w:tc>
          <w:tcPr>
            <w:tcW w:w="1300" w:type="pct"/>
            <w:gridSpan w:val="2"/>
            <w:tcBorders>
              <w:top w:val="single" w:color="auto" w:sz="4" w:space="0"/>
              <w:left w:val="single" w:color="auto" w:sz="4" w:space="0"/>
              <w:bottom w:val="single" w:color="auto" w:sz="4" w:space="0"/>
              <w:right w:val="single" w:color="auto" w:sz="4" w:space="0"/>
            </w:tcBorders>
            <w:vAlign w:val="center"/>
          </w:tcPr>
          <w:p w14:paraId="66D41CF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具备</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7269525A">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462" w:type="pct"/>
            <w:gridSpan w:val="2"/>
            <w:tcBorders>
              <w:top w:val="single" w:color="auto" w:sz="4" w:space="0"/>
              <w:left w:val="single" w:color="auto" w:sz="4" w:space="0"/>
              <w:bottom w:val="single" w:color="auto" w:sz="4" w:space="0"/>
            </w:tcBorders>
            <w:vAlign w:val="center"/>
          </w:tcPr>
          <w:p w14:paraId="4D89403A">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r>
      <w:tr w14:paraId="2301A0A8">
        <w:tblPrEx>
          <w:tblCellMar>
            <w:top w:w="0" w:type="dxa"/>
            <w:left w:w="108" w:type="dxa"/>
            <w:bottom w:w="0" w:type="dxa"/>
            <w:right w:w="108" w:type="dxa"/>
          </w:tblCellMar>
        </w:tblPrEx>
        <w:trPr>
          <w:trHeight w:val="284" w:hRule="atLeast"/>
        </w:trPr>
        <w:tc>
          <w:tcPr>
            <w:tcW w:w="1367" w:type="pct"/>
            <w:gridSpan w:val="2"/>
            <w:vMerge w:val="continue"/>
            <w:tcBorders>
              <w:top w:val="single" w:color="auto" w:sz="4" w:space="0"/>
              <w:bottom w:val="single" w:color="auto" w:sz="4" w:space="0"/>
              <w:right w:val="single" w:color="auto" w:sz="4" w:space="0"/>
            </w:tcBorders>
            <w:vAlign w:val="center"/>
          </w:tcPr>
          <w:p w14:paraId="1D19F4EF">
            <w:pPr>
              <w:widowControl/>
              <w:jc w:val="left"/>
              <w:rPr>
                <w:rFonts w:hint="eastAsia" w:ascii="宋体" w:hAnsi="宋体"/>
                <w:color w:val="auto"/>
                <w:spacing w:val="4"/>
                <w:szCs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14:paraId="07D63FD5">
            <w:pPr>
              <w:widowControl/>
              <w:jc w:val="left"/>
              <w:rPr>
                <w:rFonts w:hint="eastAsia" w:ascii="宋体" w:hAnsi="宋体"/>
                <w:color w:val="auto"/>
                <w:spacing w:val="4"/>
                <w:szCs w:val="21"/>
              </w:rPr>
            </w:pPr>
          </w:p>
        </w:tc>
        <w:tc>
          <w:tcPr>
            <w:tcW w:w="1016" w:type="pct"/>
            <w:gridSpan w:val="3"/>
            <w:tcBorders>
              <w:top w:val="single" w:color="auto" w:sz="4" w:space="0"/>
              <w:left w:val="single" w:color="auto" w:sz="4" w:space="0"/>
              <w:bottom w:val="single" w:color="auto" w:sz="4" w:space="0"/>
              <w:right w:val="single" w:color="auto" w:sz="4" w:space="0"/>
            </w:tcBorders>
            <w:vAlign w:val="center"/>
          </w:tcPr>
          <w:p w14:paraId="415B7B09">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地面管线防刺防漏措施</w:t>
            </w:r>
          </w:p>
        </w:tc>
        <w:tc>
          <w:tcPr>
            <w:tcW w:w="1300" w:type="pct"/>
            <w:gridSpan w:val="2"/>
            <w:tcBorders>
              <w:top w:val="single" w:color="auto" w:sz="4" w:space="0"/>
              <w:left w:val="single" w:color="auto" w:sz="4" w:space="0"/>
              <w:bottom w:val="single" w:color="auto" w:sz="4" w:space="0"/>
              <w:right w:val="single" w:color="auto" w:sz="4" w:space="0"/>
            </w:tcBorders>
            <w:vAlign w:val="center"/>
          </w:tcPr>
          <w:p w14:paraId="6D8BEBF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按标准试压</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2BE98CC6">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462" w:type="pct"/>
            <w:gridSpan w:val="2"/>
            <w:tcBorders>
              <w:top w:val="single" w:color="auto" w:sz="4" w:space="0"/>
              <w:left w:val="single" w:color="auto" w:sz="4" w:space="0"/>
              <w:bottom w:val="single" w:color="auto" w:sz="4" w:space="0"/>
            </w:tcBorders>
            <w:vAlign w:val="center"/>
          </w:tcPr>
          <w:p w14:paraId="39CA5A94">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r>
      <w:tr w14:paraId="3E774CBA">
        <w:tblPrEx>
          <w:tblCellMar>
            <w:top w:w="0" w:type="dxa"/>
            <w:left w:w="108" w:type="dxa"/>
            <w:bottom w:w="0" w:type="dxa"/>
            <w:right w:w="108" w:type="dxa"/>
          </w:tblCellMar>
        </w:tblPrEx>
        <w:trPr>
          <w:trHeight w:val="284" w:hRule="atLeast"/>
        </w:trPr>
        <w:tc>
          <w:tcPr>
            <w:tcW w:w="1367" w:type="pct"/>
            <w:gridSpan w:val="2"/>
            <w:vMerge w:val="continue"/>
            <w:tcBorders>
              <w:top w:val="single" w:color="auto" w:sz="4" w:space="0"/>
              <w:bottom w:val="single" w:color="auto" w:sz="4" w:space="0"/>
              <w:right w:val="single" w:color="auto" w:sz="4" w:space="0"/>
            </w:tcBorders>
            <w:vAlign w:val="center"/>
          </w:tcPr>
          <w:p w14:paraId="107D0C0D">
            <w:pPr>
              <w:widowControl/>
              <w:jc w:val="left"/>
              <w:rPr>
                <w:rFonts w:hint="eastAsia" w:ascii="宋体" w:hAnsi="宋体"/>
                <w:color w:val="auto"/>
                <w:spacing w:val="4"/>
                <w:szCs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14:paraId="2843F8FC">
            <w:pPr>
              <w:widowControl/>
              <w:jc w:val="left"/>
              <w:rPr>
                <w:rFonts w:hint="eastAsia" w:ascii="宋体" w:hAnsi="宋体"/>
                <w:color w:val="auto"/>
                <w:spacing w:val="4"/>
                <w:szCs w:val="21"/>
              </w:rPr>
            </w:pPr>
          </w:p>
        </w:tc>
        <w:tc>
          <w:tcPr>
            <w:tcW w:w="1016" w:type="pct"/>
            <w:gridSpan w:val="3"/>
            <w:tcBorders>
              <w:top w:val="single" w:color="auto" w:sz="4" w:space="0"/>
              <w:left w:val="single" w:color="auto" w:sz="4" w:space="0"/>
              <w:bottom w:val="single" w:color="auto" w:sz="4" w:space="0"/>
              <w:right w:val="single" w:color="auto" w:sz="4" w:space="0"/>
            </w:tcBorders>
            <w:vAlign w:val="center"/>
          </w:tcPr>
          <w:p w14:paraId="52B3A01B">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防溢设备（防溢池设置）</w:t>
            </w:r>
          </w:p>
        </w:tc>
        <w:tc>
          <w:tcPr>
            <w:tcW w:w="1300" w:type="pct"/>
            <w:gridSpan w:val="2"/>
            <w:tcBorders>
              <w:top w:val="single" w:color="auto" w:sz="4" w:space="0"/>
              <w:left w:val="single" w:color="auto" w:sz="4" w:space="0"/>
              <w:bottom w:val="single" w:color="auto" w:sz="4" w:space="0"/>
              <w:right w:val="single" w:color="auto" w:sz="4" w:space="0"/>
            </w:tcBorders>
            <w:vAlign w:val="center"/>
          </w:tcPr>
          <w:p w14:paraId="50120D5D">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具备</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5F9795A8">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462" w:type="pct"/>
            <w:gridSpan w:val="2"/>
            <w:tcBorders>
              <w:top w:val="single" w:color="auto" w:sz="4" w:space="0"/>
              <w:left w:val="single" w:color="auto" w:sz="4" w:space="0"/>
              <w:bottom w:val="single" w:color="auto" w:sz="4" w:space="0"/>
            </w:tcBorders>
            <w:vAlign w:val="center"/>
          </w:tcPr>
          <w:p w14:paraId="555524F2">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r>
      <w:tr w14:paraId="0E212BCF">
        <w:tblPrEx>
          <w:tblCellMar>
            <w:top w:w="0" w:type="dxa"/>
            <w:left w:w="108" w:type="dxa"/>
            <w:bottom w:w="0" w:type="dxa"/>
            <w:right w:w="108" w:type="dxa"/>
          </w:tblCellMar>
        </w:tblPrEx>
        <w:trPr>
          <w:trHeight w:val="284" w:hRule="atLeast"/>
        </w:trPr>
        <w:tc>
          <w:tcPr>
            <w:tcW w:w="1367" w:type="pct"/>
            <w:gridSpan w:val="2"/>
            <w:vMerge w:val="continue"/>
            <w:tcBorders>
              <w:top w:val="single" w:color="auto" w:sz="4" w:space="0"/>
              <w:bottom w:val="single" w:color="auto" w:sz="4" w:space="0"/>
              <w:right w:val="single" w:color="auto" w:sz="4" w:space="0"/>
            </w:tcBorders>
            <w:vAlign w:val="center"/>
          </w:tcPr>
          <w:p w14:paraId="01C75C3B">
            <w:pPr>
              <w:widowControl/>
              <w:jc w:val="left"/>
              <w:rPr>
                <w:rFonts w:hint="eastAsia" w:ascii="宋体" w:hAnsi="宋体"/>
                <w:color w:val="auto"/>
                <w:spacing w:val="4"/>
                <w:szCs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14:paraId="582A030C">
            <w:pPr>
              <w:widowControl/>
              <w:jc w:val="left"/>
              <w:rPr>
                <w:rFonts w:hint="eastAsia" w:ascii="宋体" w:hAnsi="宋体"/>
                <w:color w:val="auto"/>
                <w:spacing w:val="4"/>
                <w:szCs w:val="21"/>
              </w:rPr>
            </w:pPr>
          </w:p>
        </w:tc>
        <w:tc>
          <w:tcPr>
            <w:tcW w:w="1016" w:type="pct"/>
            <w:gridSpan w:val="3"/>
            <w:tcBorders>
              <w:top w:val="single" w:color="auto" w:sz="4" w:space="0"/>
              <w:left w:val="single" w:color="auto" w:sz="4" w:space="0"/>
              <w:bottom w:val="single" w:color="auto" w:sz="4" w:space="0"/>
              <w:right w:val="single" w:color="auto" w:sz="4" w:space="0"/>
            </w:tcBorders>
            <w:vAlign w:val="center"/>
          </w:tcPr>
          <w:p w14:paraId="5EC3C55E">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防渗范围</w:t>
            </w:r>
          </w:p>
        </w:tc>
        <w:tc>
          <w:tcPr>
            <w:tcW w:w="1300" w:type="pct"/>
            <w:gridSpan w:val="2"/>
            <w:tcBorders>
              <w:top w:val="single" w:color="auto" w:sz="4" w:space="0"/>
              <w:left w:val="single" w:color="auto" w:sz="4" w:space="0"/>
              <w:bottom w:val="single" w:color="auto" w:sz="4" w:space="0"/>
              <w:right w:val="single" w:color="auto" w:sz="4" w:space="0"/>
            </w:tcBorders>
            <w:vAlign w:val="center"/>
          </w:tcPr>
          <w:p w14:paraId="1777881C">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废水、使用液、原油等可能落地处</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5FAD4F4B">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462" w:type="pct"/>
            <w:gridSpan w:val="2"/>
            <w:tcBorders>
              <w:top w:val="single" w:color="auto" w:sz="4" w:space="0"/>
              <w:left w:val="single" w:color="auto" w:sz="4" w:space="0"/>
              <w:bottom w:val="single" w:color="auto" w:sz="4" w:space="0"/>
            </w:tcBorders>
            <w:vAlign w:val="center"/>
          </w:tcPr>
          <w:p w14:paraId="16C7E822">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r>
      <w:tr w14:paraId="695D6130">
        <w:tblPrEx>
          <w:tblCellMar>
            <w:top w:w="0" w:type="dxa"/>
            <w:left w:w="108" w:type="dxa"/>
            <w:bottom w:w="0" w:type="dxa"/>
            <w:right w:w="108" w:type="dxa"/>
          </w:tblCellMar>
        </w:tblPrEx>
        <w:trPr>
          <w:trHeight w:val="284" w:hRule="atLeast"/>
        </w:trPr>
        <w:tc>
          <w:tcPr>
            <w:tcW w:w="1367" w:type="pct"/>
            <w:gridSpan w:val="2"/>
            <w:vMerge w:val="continue"/>
            <w:tcBorders>
              <w:top w:val="single" w:color="auto" w:sz="4" w:space="0"/>
              <w:bottom w:val="single" w:color="auto" w:sz="4" w:space="0"/>
              <w:right w:val="single" w:color="auto" w:sz="4" w:space="0"/>
            </w:tcBorders>
            <w:vAlign w:val="center"/>
          </w:tcPr>
          <w:p w14:paraId="299A544E">
            <w:pPr>
              <w:widowControl/>
              <w:jc w:val="left"/>
              <w:rPr>
                <w:rFonts w:hint="eastAsia" w:ascii="宋体" w:hAnsi="宋体"/>
                <w:color w:val="auto"/>
                <w:spacing w:val="4"/>
                <w:szCs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14:paraId="20A0FF57">
            <w:pPr>
              <w:widowControl/>
              <w:jc w:val="left"/>
              <w:rPr>
                <w:rFonts w:hint="eastAsia" w:ascii="宋体" w:hAnsi="宋体"/>
                <w:color w:val="auto"/>
                <w:spacing w:val="4"/>
                <w:szCs w:val="21"/>
              </w:rPr>
            </w:pPr>
          </w:p>
        </w:tc>
        <w:tc>
          <w:tcPr>
            <w:tcW w:w="1016" w:type="pct"/>
            <w:gridSpan w:val="3"/>
            <w:tcBorders>
              <w:top w:val="single" w:color="auto" w:sz="4" w:space="0"/>
              <w:left w:val="single" w:color="auto" w:sz="4" w:space="0"/>
              <w:bottom w:val="single" w:color="auto" w:sz="4" w:space="0"/>
              <w:right w:val="single" w:color="auto" w:sz="4" w:space="0"/>
            </w:tcBorders>
            <w:vAlign w:val="center"/>
          </w:tcPr>
          <w:p w14:paraId="5B707FA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作业废液污染控制措施</w:t>
            </w:r>
          </w:p>
        </w:tc>
        <w:tc>
          <w:tcPr>
            <w:tcW w:w="1300" w:type="pct"/>
            <w:gridSpan w:val="2"/>
            <w:tcBorders>
              <w:top w:val="single" w:color="auto" w:sz="4" w:space="0"/>
              <w:left w:val="single" w:color="auto" w:sz="4" w:space="0"/>
              <w:bottom w:val="single" w:color="auto" w:sz="4" w:space="0"/>
              <w:right w:val="single" w:color="auto" w:sz="4" w:space="0"/>
            </w:tcBorders>
            <w:vAlign w:val="center"/>
          </w:tcPr>
          <w:p w14:paraId="05DD00DC">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集中回收处理</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0A76A256">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c>
          <w:tcPr>
            <w:tcW w:w="462" w:type="pct"/>
            <w:gridSpan w:val="2"/>
            <w:tcBorders>
              <w:top w:val="single" w:color="auto" w:sz="4" w:space="0"/>
              <w:left w:val="single" w:color="auto" w:sz="4" w:space="0"/>
              <w:bottom w:val="single" w:color="auto" w:sz="4" w:space="0"/>
            </w:tcBorders>
            <w:vAlign w:val="center"/>
          </w:tcPr>
          <w:p w14:paraId="043E6961">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r>
      <w:tr w14:paraId="701F4028">
        <w:tblPrEx>
          <w:tblCellMar>
            <w:top w:w="0" w:type="dxa"/>
            <w:left w:w="108" w:type="dxa"/>
            <w:bottom w:w="0" w:type="dxa"/>
            <w:right w:w="108" w:type="dxa"/>
          </w:tblCellMar>
        </w:tblPrEx>
        <w:trPr>
          <w:trHeight w:val="284" w:hRule="atLeast"/>
        </w:trPr>
        <w:tc>
          <w:tcPr>
            <w:tcW w:w="1367" w:type="pct"/>
            <w:gridSpan w:val="2"/>
            <w:vMerge w:val="continue"/>
            <w:tcBorders>
              <w:top w:val="single" w:color="auto" w:sz="4" w:space="0"/>
              <w:bottom w:val="single" w:color="auto" w:sz="4" w:space="0"/>
              <w:right w:val="single" w:color="auto" w:sz="4" w:space="0"/>
            </w:tcBorders>
            <w:vAlign w:val="center"/>
          </w:tcPr>
          <w:p w14:paraId="3E665C0F">
            <w:pPr>
              <w:widowControl/>
              <w:jc w:val="left"/>
              <w:rPr>
                <w:rFonts w:hint="eastAsia" w:ascii="宋体" w:hAnsi="宋体"/>
                <w:color w:val="auto"/>
                <w:spacing w:val="4"/>
                <w:szCs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14:paraId="77E67B52">
            <w:pPr>
              <w:widowControl/>
              <w:jc w:val="left"/>
              <w:rPr>
                <w:rFonts w:hint="eastAsia" w:ascii="宋体" w:hAnsi="宋体"/>
                <w:color w:val="auto"/>
                <w:spacing w:val="4"/>
                <w:szCs w:val="21"/>
              </w:rPr>
            </w:pPr>
          </w:p>
        </w:tc>
        <w:tc>
          <w:tcPr>
            <w:tcW w:w="1016" w:type="pct"/>
            <w:gridSpan w:val="3"/>
            <w:tcBorders>
              <w:top w:val="single" w:color="auto" w:sz="4" w:space="0"/>
              <w:left w:val="single" w:color="auto" w:sz="4" w:space="0"/>
              <w:bottom w:val="single" w:color="auto" w:sz="4" w:space="0"/>
              <w:right w:val="single" w:color="auto" w:sz="4" w:space="0"/>
            </w:tcBorders>
            <w:vAlign w:val="center"/>
          </w:tcPr>
          <w:p w14:paraId="6015EAC1">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防止落地原油产生措施</w:t>
            </w:r>
          </w:p>
        </w:tc>
        <w:tc>
          <w:tcPr>
            <w:tcW w:w="1300" w:type="pct"/>
            <w:gridSpan w:val="2"/>
            <w:tcBorders>
              <w:top w:val="single" w:color="auto" w:sz="4" w:space="0"/>
              <w:left w:val="single" w:color="auto" w:sz="4" w:space="0"/>
              <w:bottom w:val="single" w:color="auto" w:sz="4" w:space="0"/>
              <w:right w:val="single" w:color="auto" w:sz="4" w:space="0"/>
            </w:tcBorders>
            <w:vAlign w:val="center"/>
          </w:tcPr>
          <w:p w14:paraId="43DBD298">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具备原油回收设施</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632ADAF2">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c>
          <w:tcPr>
            <w:tcW w:w="462" w:type="pct"/>
            <w:gridSpan w:val="2"/>
            <w:tcBorders>
              <w:top w:val="single" w:color="auto" w:sz="4" w:space="0"/>
              <w:left w:val="single" w:color="auto" w:sz="4" w:space="0"/>
              <w:bottom w:val="single" w:color="auto" w:sz="4" w:space="0"/>
            </w:tcBorders>
            <w:vAlign w:val="center"/>
          </w:tcPr>
          <w:p w14:paraId="7E1E6BEC">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10</w:t>
            </w:r>
          </w:p>
        </w:tc>
      </w:tr>
      <w:tr w14:paraId="3048EFB6">
        <w:tblPrEx>
          <w:tblCellMar>
            <w:top w:w="0" w:type="dxa"/>
            <w:left w:w="108" w:type="dxa"/>
            <w:bottom w:w="0" w:type="dxa"/>
            <w:right w:w="108" w:type="dxa"/>
          </w:tblCellMar>
        </w:tblPrEx>
        <w:trPr>
          <w:trHeight w:val="284" w:hRule="atLeast"/>
        </w:trPr>
        <w:tc>
          <w:tcPr>
            <w:tcW w:w="1367" w:type="pct"/>
            <w:gridSpan w:val="2"/>
            <w:vMerge w:val="restart"/>
            <w:tcBorders>
              <w:top w:val="single" w:color="auto" w:sz="4" w:space="0"/>
              <w:bottom w:val="single" w:color="auto" w:sz="4" w:space="0"/>
              <w:right w:val="single" w:color="auto" w:sz="4" w:space="0"/>
            </w:tcBorders>
            <w:vAlign w:val="center"/>
          </w:tcPr>
          <w:p w14:paraId="79ED2F72">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（2）管理体系建设及清洁生产审核</w:t>
            </w:r>
          </w:p>
        </w:tc>
        <w:tc>
          <w:tcPr>
            <w:tcW w:w="455" w:type="pct"/>
            <w:vMerge w:val="restart"/>
            <w:tcBorders>
              <w:top w:val="single" w:color="auto" w:sz="4" w:space="0"/>
              <w:left w:val="single" w:color="auto" w:sz="4" w:space="0"/>
              <w:bottom w:val="single" w:color="auto" w:sz="4" w:space="0"/>
              <w:right w:val="single" w:color="auto" w:sz="4" w:space="0"/>
            </w:tcBorders>
            <w:vAlign w:val="center"/>
          </w:tcPr>
          <w:p w14:paraId="1B421E6E">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40</w:t>
            </w:r>
          </w:p>
        </w:tc>
        <w:tc>
          <w:tcPr>
            <w:tcW w:w="2316" w:type="pct"/>
            <w:gridSpan w:val="5"/>
            <w:tcBorders>
              <w:top w:val="single" w:color="auto" w:sz="4" w:space="0"/>
              <w:left w:val="single" w:color="auto" w:sz="4" w:space="0"/>
              <w:bottom w:val="single" w:color="auto" w:sz="4" w:space="0"/>
              <w:right w:val="single" w:color="auto" w:sz="4" w:space="0"/>
            </w:tcBorders>
            <w:vAlign w:val="center"/>
          </w:tcPr>
          <w:p w14:paraId="529618BC">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建立HSE管理体系并通过验证</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633FB5AB">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15</w:t>
            </w:r>
          </w:p>
        </w:tc>
        <w:tc>
          <w:tcPr>
            <w:tcW w:w="462" w:type="pct"/>
            <w:gridSpan w:val="2"/>
            <w:tcBorders>
              <w:top w:val="single" w:color="auto" w:sz="4" w:space="0"/>
              <w:left w:val="single" w:color="auto" w:sz="4" w:space="0"/>
              <w:bottom w:val="single" w:color="auto" w:sz="4" w:space="0"/>
            </w:tcBorders>
            <w:vAlign w:val="center"/>
          </w:tcPr>
          <w:p w14:paraId="1E294501">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15</w:t>
            </w:r>
          </w:p>
        </w:tc>
      </w:tr>
      <w:tr w14:paraId="2C977BBB">
        <w:tblPrEx>
          <w:tblCellMar>
            <w:top w:w="0" w:type="dxa"/>
            <w:left w:w="108" w:type="dxa"/>
            <w:bottom w:w="0" w:type="dxa"/>
            <w:right w:w="108" w:type="dxa"/>
          </w:tblCellMar>
        </w:tblPrEx>
        <w:trPr>
          <w:trHeight w:val="284" w:hRule="atLeast"/>
        </w:trPr>
        <w:tc>
          <w:tcPr>
            <w:tcW w:w="1367" w:type="pct"/>
            <w:gridSpan w:val="2"/>
            <w:vMerge w:val="continue"/>
            <w:tcBorders>
              <w:top w:val="single" w:color="auto" w:sz="4" w:space="0"/>
              <w:bottom w:val="single" w:color="auto" w:sz="4" w:space="0"/>
              <w:right w:val="single" w:color="auto" w:sz="4" w:space="0"/>
            </w:tcBorders>
            <w:vAlign w:val="center"/>
          </w:tcPr>
          <w:p w14:paraId="7920E35E">
            <w:pPr>
              <w:widowControl/>
              <w:jc w:val="left"/>
              <w:rPr>
                <w:rFonts w:hint="eastAsia" w:ascii="宋体" w:hAnsi="宋体"/>
                <w:color w:val="auto"/>
                <w:spacing w:val="4"/>
                <w:szCs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14:paraId="7DBF8D92">
            <w:pPr>
              <w:widowControl/>
              <w:jc w:val="left"/>
              <w:rPr>
                <w:rFonts w:hint="eastAsia" w:ascii="宋体" w:hAnsi="宋体"/>
                <w:color w:val="auto"/>
                <w:spacing w:val="4"/>
                <w:szCs w:val="21"/>
              </w:rPr>
            </w:pPr>
          </w:p>
        </w:tc>
        <w:tc>
          <w:tcPr>
            <w:tcW w:w="2316" w:type="pct"/>
            <w:gridSpan w:val="5"/>
            <w:tcBorders>
              <w:top w:val="single" w:color="auto" w:sz="4" w:space="0"/>
              <w:left w:val="single" w:color="auto" w:sz="4" w:space="0"/>
              <w:bottom w:val="single" w:color="auto" w:sz="4" w:space="0"/>
              <w:right w:val="single" w:color="auto" w:sz="4" w:space="0"/>
            </w:tcBorders>
            <w:vAlign w:val="center"/>
          </w:tcPr>
          <w:p w14:paraId="38A72721">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开展清洁生产审核</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7F94F806">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20</w:t>
            </w:r>
          </w:p>
        </w:tc>
        <w:tc>
          <w:tcPr>
            <w:tcW w:w="462" w:type="pct"/>
            <w:gridSpan w:val="2"/>
            <w:tcBorders>
              <w:top w:val="single" w:color="auto" w:sz="4" w:space="0"/>
              <w:left w:val="single" w:color="auto" w:sz="4" w:space="0"/>
              <w:bottom w:val="single" w:color="auto" w:sz="4" w:space="0"/>
            </w:tcBorders>
            <w:vAlign w:val="center"/>
          </w:tcPr>
          <w:p w14:paraId="10FBF29F">
            <w:pPr>
              <w:adjustRightInd w:val="0"/>
              <w:snapToGrid w:val="0"/>
              <w:spacing w:line="300" w:lineRule="exact"/>
              <w:jc w:val="center"/>
              <w:rPr>
                <w:rFonts w:hint="eastAsia" w:ascii="宋体" w:hAnsi="宋体"/>
                <w:color w:val="auto"/>
                <w:spacing w:val="4"/>
                <w:szCs w:val="21"/>
              </w:rPr>
            </w:pPr>
            <w:r>
              <w:rPr>
                <w:rFonts w:hint="eastAsia" w:ascii="宋体" w:hAnsi="宋体"/>
                <w:color w:val="auto"/>
                <w:spacing w:val="4"/>
                <w:szCs w:val="21"/>
              </w:rPr>
              <w:t>20</w:t>
            </w:r>
          </w:p>
        </w:tc>
      </w:tr>
      <w:tr w14:paraId="52A8BCD3">
        <w:tblPrEx>
          <w:tblCellMar>
            <w:top w:w="0" w:type="dxa"/>
            <w:left w:w="108" w:type="dxa"/>
            <w:bottom w:w="0" w:type="dxa"/>
            <w:right w:w="108" w:type="dxa"/>
          </w:tblCellMar>
        </w:tblPrEx>
        <w:trPr>
          <w:trHeight w:val="284" w:hRule="atLeast"/>
        </w:trPr>
        <w:tc>
          <w:tcPr>
            <w:tcW w:w="1367" w:type="pct"/>
            <w:gridSpan w:val="2"/>
            <w:vMerge w:val="continue"/>
            <w:tcBorders>
              <w:top w:val="single" w:color="auto" w:sz="4" w:space="0"/>
              <w:bottom w:val="single" w:color="auto" w:sz="4" w:space="0"/>
              <w:right w:val="single" w:color="auto" w:sz="4" w:space="0"/>
            </w:tcBorders>
            <w:vAlign w:val="center"/>
          </w:tcPr>
          <w:p w14:paraId="4A7270BA">
            <w:pPr>
              <w:widowControl/>
              <w:jc w:val="left"/>
              <w:rPr>
                <w:rFonts w:hint="eastAsia" w:ascii="宋体" w:hAnsi="宋体"/>
                <w:color w:val="auto"/>
                <w:spacing w:val="4"/>
                <w:szCs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14:paraId="235B6777">
            <w:pPr>
              <w:widowControl/>
              <w:jc w:val="left"/>
              <w:rPr>
                <w:rFonts w:hint="eastAsia" w:ascii="宋体" w:hAnsi="宋体"/>
                <w:color w:val="auto"/>
                <w:spacing w:val="4"/>
                <w:szCs w:val="21"/>
              </w:rPr>
            </w:pPr>
          </w:p>
        </w:tc>
        <w:tc>
          <w:tcPr>
            <w:tcW w:w="2316" w:type="pct"/>
            <w:gridSpan w:val="5"/>
            <w:tcBorders>
              <w:top w:val="single" w:color="auto" w:sz="4" w:space="0"/>
              <w:left w:val="single" w:color="auto" w:sz="4" w:space="0"/>
              <w:bottom w:val="single" w:color="auto" w:sz="4" w:space="0"/>
              <w:right w:val="single" w:color="auto" w:sz="4" w:space="0"/>
            </w:tcBorders>
            <w:vAlign w:val="center"/>
          </w:tcPr>
          <w:p w14:paraId="049CF62F">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制定节能减排工作计划</w:t>
            </w:r>
          </w:p>
        </w:tc>
        <w:tc>
          <w:tcPr>
            <w:tcW w:w="400" w:type="pct"/>
            <w:gridSpan w:val="2"/>
            <w:tcBorders>
              <w:top w:val="single" w:color="auto" w:sz="4" w:space="0"/>
              <w:left w:val="single" w:color="auto" w:sz="4" w:space="0"/>
              <w:bottom w:val="single" w:color="auto" w:sz="4" w:space="0"/>
              <w:right w:val="single" w:color="auto" w:sz="4" w:space="0"/>
            </w:tcBorders>
            <w:vAlign w:val="center"/>
          </w:tcPr>
          <w:p w14:paraId="149D1429">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c>
          <w:tcPr>
            <w:tcW w:w="462" w:type="pct"/>
            <w:gridSpan w:val="2"/>
            <w:tcBorders>
              <w:top w:val="single" w:color="auto" w:sz="4" w:space="0"/>
              <w:left w:val="single" w:color="auto" w:sz="4" w:space="0"/>
              <w:bottom w:val="single" w:color="auto" w:sz="4" w:space="0"/>
            </w:tcBorders>
            <w:vAlign w:val="center"/>
          </w:tcPr>
          <w:p w14:paraId="691B2D60">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5</w:t>
            </w:r>
          </w:p>
        </w:tc>
      </w:tr>
      <w:tr w14:paraId="4C5127BE">
        <w:tblPrEx>
          <w:tblCellMar>
            <w:top w:w="0" w:type="dxa"/>
            <w:left w:w="108" w:type="dxa"/>
            <w:bottom w:w="0" w:type="dxa"/>
            <w:right w:w="108" w:type="dxa"/>
          </w:tblCellMar>
        </w:tblPrEx>
        <w:trPr>
          <w:trHeight w:val="284" w:hRule="atLeast"/>
        </w:trPr>
        <w:tc>
          <w:tcPr>
            <w:tcW w:w="1367" w:type="pct"/>
            <w:gridSpan w:val="2"/>
            <w:tcBorders>
              <w:top w:val="single" w:color="auto" w:sz="4" w:space="0"/>
              <w:bottom w:val="single" w:color="auto" w:sz="12" w:space="0"/>
              <w:right w:val="single" w:color="auto" w:sz="4" w:space="0"/>
            </w:tcBorders>
            <w:vAlign w:val="center"/>
          </w:tcPr>
          <w:p w14:paraId="2E60DBA5">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w:t>
            </w:r>
            <w:r>
              <w:rPr>
                <w:rFonts w:hint="eastAsia" w:ascii="宋体" w:hAnsi="宋体"/>
                <w:color w:val="auto"/>
                <w:spacing w:val="4"/>
                <w:szCs w:val="21"/>
              </w:rPr>
              <w:t>3</w:t>
            </w:r>
            <w:r>
              <w:rPr>
                <w:rFonts w:ascii="宋体" w:hAnsi="宋体"/>
                <w:color w:val="auto"/>
                <w:spacing w:val="4"/>
                <w:szCs w:val="21"/>
              </w:rPr>
              <w:t>）贯彻执行环境保护法规的符合性</w:t>
            </w:r>
          </w:p>
        </w:tc>
        <w:tc>
          <w:tcPr>
            <w:tcW w:w="455" w:type="pct"/>
            <w:tcBorders>
              <w:top w:val="single" w:color="auto" w:sz="4" w:space="0"/>
              <w:left w:val="single" w:color="auto" w:sz="4" w:space="0"/>
              <w:bottom w:val="single" w:color="auto" w:sz="12" w:space="0"/>
              <w:right w:val="single" w:color="auto" w:sz="4" w:space="0"/>
            </w:tcBorders>
            <w:vAlign w:val="center"/>
          </w:tcPr>
          <w:p w14:paraId="54D71F7C">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20</w:t>
            </w:r>
          </w:p>
        </w:tc>
        <w:tc>
          <w:tcPr>
            <w:tcW w:w="2316" w:type="pct"/>
            <w:gridSpan w:val="5"/>
            <w:tcBorders>
              <w:top w:val="single" w:color="auto" w:sz="4" w:space="0"/>
              <w:left w:val="single" w:color="auto" w:sz="4" w:space="0"/>
              <w:bottom w:val="single" w:color="auto" w:sz="12" w:space="0"/>
              <w:right w:val="single" w:color="auto" w:sz="4" w:space="0"/>
            </w:tcBorders>
            <w:vAlign w:val="center"/>
          </w:tcPr>
          <w:p w14:paraId="5BDFAA04">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满足其他法律法规要求</w:t>
            </w:r>
          </w:p>
        </w:tc>
        <w:tc>
          <w:tcPr>
            <w:tcW w:w="400" w:type="pct"/>
            <w:gridSpan w:val="2"/>
            <w:tcBorders>
              <w:top w:val="single" w:color="auto" w:sz="4" w:space="0"/>
              <w:left w:val="single" w:color="auto" w:sz="4" w:space="0"/>
              <w:bottom w:val="single" w:color="auto" w:sz="12" w:space="0"/>
              <w:right w:val="single" w:color="auto" w:sz="4" w:space="0"/>
            </w:tcBorders>
            <w:vAlign w:val="center"/>
          </w:tcPr>
          <w:p w14:paraId="2E8A50B8">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20</w:t>
            </w:r>
          </w:p>
        </w:tc>
        <w:tc>
          <w:tcPr>
            <w:tcW w:w="462" w:type="pct"/>
            <w:gridSpan w:val="2"/>
            <w:tcBorders>
              <w:top w:val="single" w:color="auto" w:sz="4" w:space="0"/>
              <w:left w:val="single" w:color="auto" w:sz="4" w:space="0"/>
              <w:bottom w:val="single" w:color="auto" w:sz="12" w:space="0"/>
            </w:tcBorders>
            <w:vAlign w:val="center"/>
          </w:tcPr>
          <w:p w14:paraId="0B476097">
            <w:pPr>
              <w:adjustRightInd w:val="0"/>
              <w:snapToGrid w:val="0"/>
              <w:spacing w:line="300" w:lineRule="exact"/>
              <w:jc w:val="center"/>
              <w:rPr>
                <w:rFonts w:hint="eastAsia" w:ascii="宋体" w:hAnsi="宋体"/>
                <w:color w:val="auto"/>
                <w:spacing w:val="4"/>
                <w:szCs w:val="21"/>
              </w:rPr>
            </w:pPr>
            <w:r>
              <w:rPr>
                <w:rFonts w:ascii="宋体" w:hAnsi="宋体"/>
                <w:color w:val="auto"/>
                <w:spacing w:val="4"/>
                <w:szCs w:val="21"/>
              </w:rPr>
              <w:t>20</w:t>
            </w:r>
          </w:p>
        </w:tc>
      </w:tr>
    </w:tbl>
    <w:p w14:paraId="606E8847">
      <w:pPr>
        <w:pStyle w:val="209"/>
        <w:ind w:firstLine="0" w:firstLineChars="0"/>
        <w:rPr>
          <w:rFonts w:hint="eastAsia"/>
          <w:color w:val="auto"/>
        </w:rPr>
        <w:sectPr>
          <w:headerReference r:id="rId11" w:type="default"/>
          <w:footerReference r:id="rId12" w:type="default"/>
          <w:pgSz w:w="16838" w:h="11906" w:orient="landscape"/>
          <w:pgMar w:top="1588" w:right="1418" w:bottom="1588" w:left="1418" w:header="1020" w:footer="1020" w:gutter="0"/>
          <w:cols w:space="720" w:num="1"/>
          <w:docGrid w:type="lines" w:linePitch="317" w:charSpace="0"/>
        </w:sectPr>
      </w:pPr>
    </w:p>
    <w:p w14:paraId="0B6EE6FC">
      <w:pPr>
        <w:pStyle w:val="134"/>
        <w:ind w:firstLine="480"/>
        <w:rPr>
          <w:rFonts w:hint="eastAsia"/>
          <w:b w:val="0"/>
          <w:bCs/>
          <w:color w:val="auto"/>
        </w:rPr>
      </w:pPr>
      <w:bookmarkStart w:id="350" w:name="_Hlk165553321"/>
      <w:r>
        <w:rPr>
          <w:rFonts w:hint="eastAsia"/>
          <w:b w:val="0"/>
          <w:bCs/>
          <w:color w:val="auto"/>
        </w:rPr>
        <w:t>表3</w:t>
      </w:r>
      <w:r>
        <w:rPr>
          <w:b w:val="0"/>
          <w:bCs/>
          <w:color w:val="auto"/>
        </w:rPr>
        <w:t>.5</w:t>
      </w:r>
      <w:r>
        <w:rPr>
          <w:rFonts w:hint="eastAsia"/>
          <w:b w:val="0"/>
          <w:bCs/>
          <w:color w:val="auto"/>
        </w:rPr>
        <w:t>-3</w:t>
      </w:r>
      <w:r>
        <w:rPr>
          <w:b w:val="0"/>
          <w:bCs/>
          <w:color w:val="auto"/>
        </w:rPr>
        <w:t xml:space="preserve">   石油和天然气开采行业不同等级清洁生产企业综合评价指数</w:t>
      </w:r>
    </w:p>
    <w:tbl>
      <w:tblPr>
        <w:tblStyle w:val="51"/>
        <w:tblW w:w="0" w:type="auto"/>
        <w:tblInd w:w="0" w:type="dxa"/>
        <w:tblLayout w:type="fixed"/>
        <w:tblCellMar>
          <w:top w:w="0" w:type="dxa"/>
          <w:left w:w="108" w:type="dxa"/>
          <w:bottom w:w="0" w:type="dxa"/>
          <w:right w:w="108" w:type="dxa"/>
        </w:tblCellMar>
      </w:tblPr>
      <w:tblGrid>
        <w:gridCol w:w="4360"/>
        <w:gridCol w:w="4360"/>
      </w:tblGrid>
      <w:tr w14:paraId="4AA1EB6A">
        <w:tblPrEx>
          <w:tblCellMar>
            <w:top w:w="0" w:type="dxa"/>
            <w:left w:w="108" w:type="dxa"/>
            <w:bottom w:w="0" w:type="dxa"/>
            <w:right w:w="108" w:type="dxa"/>
          </w:tblCellMar>
        </w:tblPrEx>
        <w:trPr>
          <w:trHeight w:val="340" w:hRule="atLeast"/>
        </w:trPr>
        <w:tc>
          <w:tcPr>
            <w:tcW w:w="4360" w:type="dxa"/>
            <w:tcBorders>
              <w:top w:val="single" w:color="auto" w:sz="12" w:space="0"/>
              <w:bottom w:val="single" w:color="auto" w:sz="4" w:space="0"/>
              <w:right w:val="single" w:color="auto" w:sz="4" w:space="0"/>
            </w:tcBorders>
            <w:vAlign w:val="center"/>
          </w:tcPr>
          <w:p w14:paraId="38A00732">
            <w:pPr>
              <w:adjustRightInd w:val="0"/>
              <w:snapToGrid w:val="0"/>
              <w:spacing w:line="300" w:lineRule="exact"/>
              <w:jc w:val="center"/>
              <w:rPr>
                <w:rFonts w:hint="eastAsia" w:ascii="宋体" w:hAnsi="宋体"/>
                <w:color w:val="auto"/>
              </w:rPr>
            </w:pPr>
            <w:r>
              <w:rPr>
                <w:rFonts w:ascii="宋体" w:hAnsi="宋体"/>
                <w:color w:val="auto"/>
              </w:rPr>
              <w:t>清洁生产企业等级</w:t>
            </w:r>
          </w:p>
        </w:tc>
        <w:tc>
          <w:tcPr>
            <w:tcW w:w="4360" w:type="dxa"/>
            <w:tcBorders>
              <w:top w:val="single" w:color="auto" w:sz="12" w:space="0"/>
              <w:left w:val="single" w:color="auto" w:sz="4" w:space="0"/>
              <w:bottom w:val="single" w:color="auto" w:sz="4" w:space="0"/>
            </w:tcBorders>
            <w:vAlign w:val="center"/>
          </w:tcPr>
          <w:p w14:paraId="6E40E519">
            <w:pPr>
              <w:adjustRightInd w:val="0"/>
              <w:snapToGrid w:val="0"/>
              <w:spacing w:line="300" w:lineRule="exact"/>
              <w:jc w:val="center"/>
              <w:rPr>
                <w:rFonts w:hint="eastAsia" w:ascii="宋体" w:hAnsi="宋体"/>
                <w:color w:val="auto"/>
              </w:rPr>
            </w:pPr>
            <w:r>
              <w:rPr>
                <w:rFonts w:ascii="宋体" w:hAnsi="宋体"/>
                <w:color w:val="auto"/>
              </w:rPr>
              <w:t>清洁生产综合评价指数</w:t>
            </w:r>
          </w:p>
        </w:tc>
      </w:tr>
      <w:tr w14:paraId="4D676BA0">
        <w:tblPrEx>
          <w:tblCellMar>
            <w:top w:w="0" w:type="dxa"/>
            <w:left w:w="108" w:type="dxa"/>
            <w:bottom w:w="0" w:type="dxa"/>
            <w:right w:w="108" w:type="dxa"/>
          </w:tblCellMar>
        </w:tblPrEx>
        <w:trPr>
          <w:trHeight w:val="340" w:hRule="atLeast"/>
        </w:trPr>
        <w:tc>
          <w:tcPr>
            <w:tcW w:w="4360" w:type="dxa"/>
            <w:tcBorders>
              <w:top w:val="single" w:color="auto" w:sz="4" w:space="0"/>
              <w:bottom w:val="single" w:color="auto" w:sz="4" w:space="0"/>
              <w:right w:val="single" w:color="auto" w:sz="4" w:space="0"/>
            </w:tcBorders>
            <w:vAlign w:val="center"/>
          </w:tcPr>
          <w:p w14:paraId="40D11ABF">
            <w:pPr>
              <w:adjustRightInd w:val="0"/>
              <w:snapToGrid w:val="0"/>
              <w:spacing w:line="300" w:lineRule="exact"/>
              <w:jc w:val="center"/>
              <w:rPr>
                <w:rFonts w:hint="eastAsia" w:ascii="宋体" w:hAnsi="宋体"/>
                <w:color w:val="auto"/>
              </w:rPr>
            </w:pPr>
            <w:r>
              <w:rPr>
                <w:rFonts w:ascii="宋体" w:hAnsi="宋体"/>
                <w:color w:val="auto"/>
              </w:rPr>
              <w:t>清洁生产先进企业</w:t>
            </w:r>
          </w:p>
        </w:tc>
        <w:tc>
          <w:tcPr>
            <w:tcW w:w="4360" w:type="dxa"/>
            <w:tcBorders>
              <w:top w:val="single" w:color="auto" w:sz="4" w:space="0"/>
              <w:left w:val="single" w:color="auto" w:sz="4" w:space="0"/>
              <w:bottom w:val="single" w:color="auto" w:sz="4" w:space="0"/>
            </w:tcBorders>
            <w:vAlign w:val="center"/>
          </w:tcPr>
          <w:p w14:paraId="30FBF80A">
            <w:pPr>
              <w:adjustRightInd w:val="0"/>
              <w:snapToGrid w:val="0"/>
              <w:spacing w:line="300" w:lineRule="exact"/>
              <w:jc w:val="center"/>
              <w:rPr>
                <w:rFonts w:hint="eastAsia" w:ascii="宋体" w:hAnsi="宋体"/>
                <w:color w:val="auto"/>
              </w:rPr>
            </w:pPr>
            <w:r>
              <w:rPr>
                <w:rFonts w:ascii="宋体" w:hAnsi="宋体"/>
                <w:color w:val="auto"/>
              </w:rPr>
              <w:t>P≥90</w:t>
            </w:r>
          </w:p>
        </w:tc>
      </w:tr>
      <w:tr w14:paraId="5B538B25">
        <w:tblPrEx>
          <w:tblCellMar>
            <w:top w:w="0" w:type="dxa"/>
            <w:left w:w="108" w:type="dxa"/>
            <w:bottom w:w="0" w:type="dxa"/>
            <w:right w:w="108" w:type="dxa"/>
          </w:tblCellMar>
        </w:tblPrEx>
        <w:trPr>
          <w:trHeight w:val="340" w:hRule="atLeast"/>
        </w:trPr>
        <w:tc>
          <w:tcPr>
            <w:tcW w:w="4360" w:type="dxa"/>
            <w:tcBorders>
              <w:top w:val="single" w:color="auto" w:sz="4" w:space="0"/>
              <w:bottom w:val="single" w:color="auto" w:sz="12" w:space="0"/>
              <w:right w:val="single" w:color="auto" w:sz="4" w:space="0"/>
            </w:tcBorders>
            <w:vAlign w:val="center"/>
          </w:tcPr>
          <w:p w14:paraId="1398CAB8">
            <w:pPr>
              <w:adjustRightInd w:val="0"/>
              <w:snapToGrid w:val="0"/>
              <w:spacing w:line="300" w:lineRule="exact"/>
              <w:jc w:val="center"/>
              <w:rPr>
                <w:rFonts w:hint="eastAsia" w:ascii="宋体" w:hAnsi="宋体"/>
                <w:color w:val="auto"/>
              </w:rPr>
            </w:pPr>
            <w:r>
              <w:rPr>
                <w:rFonts w:ascii="宋体" w:hAnsi="宋体"/>
                <w:color w:val="auto"/>
              </w:rPr>
              <w:t>清洁生产企业</w:t>
            </w:r>
          </w:p>
        </w:tc>
        <w:tc>
          <w:tcPr>
            <w:tcW w:w="4360" w:type="dxa"/>
            <w:tcBorders>
              <w:top w:val="single" w:color="auto" w:sz="4" w:space="0"/>
              <w:left w:val="single" w:color="auto" w:sz="4" w:space="0"/>
              <w:bottom w:val="single" w:color="auto" w:sz="12" w:space="0"/>
            </w:tcBorders>
            <w:vAlign w:val="center"/>
          </w:tcPr>
          <w:p w14:paraId="67A5B667">
            <w:pPr>
              <w:adjustRightInd w:val="0"/>
              <w:snapToGrid w:val="0"/>
              <w:spacing w:line="300" w:lineRule="exact"/>
              <w:jc w:val="center"/>
              <w:rPr>
                <w:rFonts w:hint="eastAsia" w:ascii="宋体" w:hAnsi="宋体"/>
                <w:color w:val="auto"/>
              </w:rPr>
            </w:pPr>
            <w:r>
              <w:rPr>
                <w:rFonts w:ascii="宋体" w:hAnsi="宋体"/>
                <w:color w:val="auto"/>
              </w:rPr>
              <w:t>75≤P＜90</w:t>
            </w:r>
          </w:p>
        </w:tc>
      </w:tr>
    </w:tbl>
    <w:p w14:paraId="2F0E02B4">
      <w:pPr>
        <w:pStyle w:val="86"/>
        <w:ind w:firstLine="480"/>
        <w:rPr>
          <w:rFonts w:hint="eastAsia"/>
          <w:color w:val="auto"/>
        </w:rPr>
      </w:pPr>
      <w:r>
        <w:rPr>
          <w:rFonts w:hint="eastAsia"/>
          <w:color w:val="auto"/>
        </w:rPr>
        <w:t>由表3</w:t>
      </w:r>
      <w:r>
        <w:rPr>
          <w:color w:val="auto"/>
        </w:rPr>
        <w:t>.5</w:t>
      </w:r>
      <w:r>
        <w:rPr>
          <w:rFonts w:hint="eastAsia"/>
          <w:color w:val="auto"/>
        </w:rPr>
        <w:t>-</w:t>
      </w:r>
      <w:r>
        <w:rPr>
          <w:color w:val="auto"/>
        </w:rPr>
        <w:t>1</w:t>
      </w:r>
      <w:r>
        <w:rPr>
          <w:rFonts w:hint="eastAsia"/>
          <w:color w:val="auto"/>
        </w:rPr>
        <w:t>至表3.5-2计算可得：</w:t>
      </w:r>
    </w:p>
    <w:p w14:paraId="478A7B52">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w:t>
      </w:r>
      <w:r>
        <w:rPr>
          <w:rFonts w:ascii="宋体" w:hAnsi="宋体"/>
          <w:color w:val="auto"/>
          <w:sz w:val="24"/>
          <w:szCs w:val="24"/>
        </w:rPr>
        <w:t>井下作业：定量指标9</w:t>
      </w:r>
      <w:r>
        <w:rPr>
          <w:rFonts w:hint="eastAsia" w:ascii="宋体" w:hAnsi="宋体"/>
          <w:color w:val="auto"/>
          <w:sz w:val="24"/>
          <w:szCs w:val="24"/>
        </w:rPr>
        <w:t>5</w:t>
      </w:r>
      <w:r>
        <w:rPr>
          <w:rFonts w:ascii="宋体" w:hAnsi="宋体"/>
          <w:color w:val="auto"/>
          <w:sz w:val="24"/>
          <w:szCs w:val="24"/>
        </w:rPr>
        <w:t>分，定性指标100分，综合评价9</w:t>
      </w:r>
      <w:r>
        <w:rPr>
          <w:rFonts w:hint="eastAsia" w:ascii="宋体" w:hAnsi="宋体"/>
          <w:color w:val="auto"/>
          <w:sz w:val="24"/>
          <w:szCs w:val="24"/>
        </w:rPr>
        <w:t>7</w:t>
      </w:r>
      <w:r>
        <w:rPr>
          <w:rFonts w:ascii="宋体" w:hAnsi="宋体"/>
          <w:color w:val="auto"/>
          <w:sz w:val="24"/>
          <w:szCs w:val="24"/>
        </w:rPr>
        <w:t>分。</w:t>
      </w:r>
    </w:p>
    <w:p w14:paraId="26A9E104">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w:t>
      </w:r>
      <w:r>
        <w:rPr>
          <w:rFonts w:ascii="宋体" w:hAnsi="宋体"/>
          <w:color w:val="auto"/>
          <w:sz w:val="24"/>
          <w:szCs w:val="24"/>
        </w:rPr>
        <w:t>采</w:t>
      </w:r>
      <w:r>
        <w:rPr>
          <w:rFonts w:hint="eastAsia" w:ascii="宋体" w:hAnsi="宋体"/>
          <w:color w:val="auto"/>
          <w:sz w:val="24"/>
          <w:szCs w:val="24"/>
        </w:rPr>
        <w:t>油</w:t>
      </w:r>
      <w:r>
        <w:rPr>
          <w:rFonts w:ascii="宋体" w:hAnsi="宋体"/>
          <w:color w:val="auto"/>
          <w:sz w:val="24"/>
          <w:szCs w:val="24"/>
        </w:rPr>
        <w:t>和集输：定量指标</w:t>
      </w:r>
      <w:r>
        <w:rPr>
          <w:rFonts w:hint="eastAsia" w:ascii="宋体" w:hAnsi="宋体"/>
          <w:color w:val="auto"/>
          <w:sz w:val="24"/>
          <w:szCs w:val="24"/>
        </w:rPr>
        <w:t>100</w:t>
      </w:r>
      <w:r>
        <w:rPr>
          <w:rFonts w:ascii="宋体" w:hAnsi="宋体"/>
          <w:color w:val="auto"/>
          <w:sz w:val="24"/>
          <w:szCs w:val="24"/>
        </w:rPr>
        <w:t>分，定性指标</w:t>
      </w:r>
      <w:r>
        <w:rPr>
          <w:rFonts w:hint="eastAsia" w:ascii="宋体" w:hAnsi="宋体"/>
          <w:color w:val="auto"/>
          <w:sz w:val="24"/>
          <w:szCs w:val="24"/>
        </w:rPr>
        <w:t>100</w:t>
      </w:r>
      <w:r>
        <w:rPr>
          <w:rFonts w:ascii="宋体" w:hAnsi="宋体"/>
          <w:color w:val="auto"/>
          <w:sz w:val="24"/>
          <w:szCs w:val="24"/>
        </w:rPr>
        <w:t>分，综合评价</w:t>
      </w:r>
      <w:r>
        <w:rPr>
          <w:rFonts w:hint="eastAsia" w:ascii="宋体" w:hAnsi="宋体"/>
          <w:color w:val="auto"/>
          <w:sz w:val="24"/>
          <w:szCs w:val="24"/>
        </w:rPr>
        <w:t>100</w:t>
      </w:r>
      <w:r>
        <w:rPr>
          <w:rFonts w:ascii="宋体" w:hAnsi="宋体"/>
          <w:color w:val="auto"/>
          <w:sz w:val="24"/>
          <w:szCs w:val="24"/>
        </w:rPr>
        <w:t>分。</w:t>
      </w:r>
    </w:p>
    <w:p w14:paraId="5E2A2354">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本项目清洁生产水平分析</w:t>
      </w:r>
    </w:p>
    <w:p w14:paraId="119A354B">
      <w:pPr>
        <w:spacing w:line="520" w:lineRule="exact"/>
        <w:ind w:firstLine="480" w:firstLineChars="200"/>
        <w:rPr>
          <w:rFonts w:hint="eastAsia" w:ascii="宋体" w:hAnsi="宋体"/>
          <w:color w:val="auto"/>
        </w:rPr>
      </w:pPr>
      <w:r>
        <w:rPr>
          <w:rFonts w:ascii="宋体" w:hAnsi="宋体"/>
          <w:color w:val="auto"/>
          <w:kern w:val="0"/>
          <w:sz w:val="24"/>
          <w:szCs w:val="24"/>
        </w:rPr>
        <w:t>根据综合评价指数得分判定</w:t>
      </w:r>
      <w:r>
        <w:rPr>
          <w:rFonts w:hint="eastAsia" w:ascii="宋体" w:hAnsi="宋体"/>
          <w:color w:val="auto"/>
          <w:kern w:val="0"/>
          <w:sz w:val="24"/>
          <w:szCs w:val="24"/>
        </w:rPr>
        <w:t>，</w:t>
      </w:r>
      <w:r>
        <w:rPr>
          <w:rFonts w:ascii="宋体" w:hAnsi="宋体"/>
          <w:color w:val="auto"/>
          <w:kern w:val="0"/>
          <w:sz w:val="24"/>
          <w:szCs w:val="24"/>
        </w:rPr>
        <w:t>本项目清洁生产企业等级为清洁生产</w:t>
      </w:r>
      <w:r>
        <w:rPr>
          <w:rFonts w:hint="eastAsia" w:ascii="宋体" w:hAnsi="宋体"/>
          <w:color w:val="auto"/>
          <w:kern w:val="0"/>
          <w:sz w:val="24"/>
          <w:szCs w:val="24"/>
        </w:rPr>
        <w:t>先进</w:t>
      </w:r>
      <w:r>
        <w:rPr>
          <w:rFonts w:ascii="宋体" w:hAnsi="宋体"/>
          <w:color w:val="auto"/>
          <w:kern w:val="0"/>
          <w:sz w:val="24"/>
          <w:szCs w:val="24"/>
        </w:rPr>
        <w:t>企业</w:t>
      </w:r>
      <w:r>
        <w:rPr>
          <w:rFonts w:hint="eastAsia" w:ascii="宋体" w:hAnsi="宋体"/>
          <w:color w:val="auto"/>
          <w:kern w:val="0"/>
          <w:sz w:val="24"/>
          <w:szCs w:val="24"/>
        </w:rPr>
        <w:t>。</w:t>
      </w:r>
    </w:p>
    <w:bookmarkEnd w:id="350"/>
    <w:p w14:paraId="63FB47AD">
      <w:pPr>
        <w:pStyle w:val="86"/>
        <w:ind w:firstLine="480"/>
        <w:rPr>
          <w:rFonts w:hint="eastAsia"/>
          <w:color w:val="auto"/>
        </w:rPr>
      </w:pPr>
      <w:r>
        <w:rPr>
          <w:color w:val="auto"/>
        </w:rPr>
        <w:t>本项目</w:t>
      </w:r>
      <w:r>
        <w:rPr>
          <w:rFonts w:hint="eastAsia"/>
          <w:color w:val="auto"/>
        </w:rPr>
        <w:t>采用的清洁生产技术遵循“减量化、再利用、资源化”的原则。开发各阶段、各作业环境均采取了避免和减缓不利环境影响的措施，高效利用并节约使用各类能源、资源（水、土地等）；使用油气开发效率高的先进工艺技术与设备；制定了合理有效的废物管理方案，采用源削减技术，减少了油井开采过程中固体废物、废水、废气等污染物的产生量，实现了废物的循环利用与资源化利用。</w:t>
      </w:r>
    </w:p>
    <w:p w14:paraId="39F991FD">
      <w:pPr>
        <w:pStyle w:val="86"/>
        <w:ind w:firstLine="480"/>
        <w:rPr>
          <w:rFonts w:hint="eastAsia"/>
          <w:color w:val="auto"/>
          <w:kern w:val="0"/>
        </w:rPr>
      </w:pPr>
      <w:r>
        <w:rPr>
          <w:color w:val="auto"/>
        </w:rPr>
        <w:t>综上所述，本项目在严格执行落实各项环保措施，节约高效利用资源能源，使用质量合格的管线，制定合理有效的废物管理方案的前提下符合现行的清洁生产要求，项目实施后，</w:t>
      </w:r>
      <w:r>
        <w:rPr>
          <w:rFonts w:hint="eastAsia"/>
          <w:color w:val="auto"/>
        </w:rPr>
        <w:t>石西油田作业区</w:t>
      </w:r>
      <w:r>
        <w:rPr>
          <w:color w:val="auto"/>
          <w:kern w:val="0"/>
        </w:rPr>
        <w:t>仍为清洁生产先进企业</w:t>
      </w:r>
      <w:r>
        <w:rPr>
          <w:rFonts w:hint="eastAsia"/>
          <w:color w:val="auto"/>
          <w:kern w:val="0"/>
        </w:rPr>
        <w:t>。</w:t>
      </w:r>
    </w:p>
    <w:p w14:paraId="36625E18">
      <w:pPr>
        <w:pStyle w:val="86"/>
        <w:ind w:firstLine="480"/>
        <w:rPr>
          <w:rFonts w:hint="eastAsia"/>
          <w:color w:val="auto"/>
          <w:kern w:val="0"/>
        </w:rPr>
      </w:pPr>
    </w:p>
    <w:p w14:paraId="76C0879F">
      <w:pPr>
        <w:pStyle w:val="86"/>
        <w:ind w:firstLine="480"/>
        <w:rPr>
          <w:rFonts w:hint="eastAsia"/>
          <w:color w:val="auto"/>
        </w:rPr>
        <w:sectPr>
          <w:headerReference r:id="rId13" w:type="default"/>
          <w:pgSz w:w="11906" w:h="16838"/>
          <w:pgMar w:top="1418" w:right="1588" w:bottom="1418" w:left="1588" w:header="851" w:footer="992" w:gutter="0"/>
          <w:cols w:space="425" w:num="1"/>
          <w:docGrid w:type="lines" w:linePitch="312" w:charSpace="0"/>
        </w:sectPr>
      </w:pPr>
    </w:p>
    <w:p w14:paraId="531FD4D9">
      <w:pPr>
        <w:pStyle w:val="2"/>
        <w:keepLines w:val="0"/>
        <w:widowControl/>
        <w:numPr>
          <w:ilvl w:val="0"/>
          <w:numId w:val="2"/>
        </w:numPr>
        <w:spacing w:before="200" w:after="200" w:line="360" w:lineRule="auto"/>
        <w:ind w:hanging="567"/>
        <w:jc w:val="left"/>
        <w:rPr>
          <w:rFonts w:hint="eastAsia" w:ascii="黑体" w:hAnsi="黑体" w:eastAsia="黑体"/>
          <w:b w:val="0"/>
          <w:bCs w:val="0"/>
          <w:color w:val="auto"/>
          <w:kern w:val="2"/>
          <w:sz w:val="32"/>
          <w:szCs w:val="20"/>
          <w14:ligatures w14:val="none"/>
        </w:rPr>
      </w:pPr>
      <w:bookmarkStart w:id="351" w:name="_Toc224405930"/>
      <w:r>
        <w:rPr>
          <w:rFonts w:hint="eastAsia" w:ascii="黑体" w:hAnsi="黑体" w:eastAsia="黑体"/>
          <w:b w:val="0"/>
          <w:bCs w:val="0"/>
          <w:color w:val="auto"/>
          <w:kern w:val="2"/>
          <w:sz w:val="32"/>
          <w:szCs w:val="20"/>
          <w14:ligatures w14:val="none"/>
        </w:rPr>
        <w:t>环境质量现状调查与评价</w:t>
      </w:r>
      <w:bookmarkEnd w:id="351"/>
    </w:p>
    <w:p w14:paraId="07356CDD">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352" w:name="_Toc224405931"/>
      <w:r>
        <w:rPr>
          <w:rFonts w:hint="eastAsia" w:ascii="黑体" w:hAnsi="黑体" w:eastAsia="黑体" w:cs="Times New Roman"/>
          <w:bCs/>
          <w:color w:val="auto"/>
          <w:sz w:val="28"/>
          <w:szCs w:val="32"/>
          <w14:ligatures w14:val="none"/>
        </w:rPr>
        <w:t>自然环境现状调查与评价</w:t>
      </w:r>
      <w:bookmarkEnd w:id="352"/>
    </w:p>
    <w:p w14:paraId="279E2092">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地理位置</w:t>
      </w:r>
    </w:p>
    <w:p w14:paraId="7854430C">
      <w:pPr>
        <w:pStyle w:val="86"/>
        <w:ind w:firstLine="480"/>
        <w:rPr>
          <w:rFonts w:hint="eastAsia"/>
          <w:color w:val="auto"/>
        </w:rPr>
      </w:pPr>
      <w:r>
        <w:rPr>
          <w:rFonts w:hint="eastAsia"/>
          <w:color w:val="auto"/>
        </w:rPr>
        <w:t>本项目行政隶属于新疆维吾尔自治区昌吉回族自治州玛纳斯县，该县</w:t>
      </w:r>
      <w:r>
        <w:rPr>
          <w:color w:val="auto"/>
        </w:rPr>
        <w:t>地处新疆腹地，与北部</w:t>
      </w:r>
      <w:r>
        <w:rPr>
          <w:color w:val="auto"/>
        </w:rPr>
        <w:fldChar w:fldCharType="begin"/>
      </w:r>
      <w:r>
        <w:rPr>
          <w:color w:val="auto"/>
        </w:rPr>
        <w:instrText xml:space="preserve"> HYPERLINK "https://baike.so.com/doc/24057358-24640620.html" \t "_blank" </w:instrText>
      </w:r>
      <w:r>
        <w:rPr>
          <w:color w:val="auto"/>
        </w:rPr>
        <w:fldChar w:fldCharType="separate"/>
      </w:r>
      <w:r>
        <w:rPr>
          <w:color w:val="auto"/>
        </w:rPr>
        <w:t>塔城</w:t>
      </w:r>
      <w:r>
        <w:rPr>
          <w:color w:val="auto"/>
        </w:rPr>
        <w:fldChar w:fldCharType="end"/>
      </w:r>
      <w:r>
        <w:rPr>
          <w:color w:val="auto"/>
        </w:rPr>
        <w:t>、西部</w:t>
      </w:r>
      <w:r>
        <w:rPr>
          <w:color w:val="auto"/>
        </w:rPr>
        <w:fldChar w:fldCharType="begin"/>
      </w:r>
      <w:r>
        <w:rPr>
          <w:color w:val="auto"/>
        </w:rPr>
        <w:instrText xml:space="preserve"> HYPERLINK "https://baike.so.com/doc/24057360-24640622.html" \t "_blank" </w:instrText>
      </w:r>
      <w:r>
        <w:rPr>
          <w:color w:val="auto"/>
        </w:rPr>
        <w:fldChar w:fldCharType="separate"/>
      </w:r>
      <w:r>
        <w:rPr>
          <w:color w:val="auto"/>
        </w:rPr>
        <w:t>伊宁</w:t>
      </w:r>
      <w:r>
        <w:rPr>
          <w:color w:val="auto"/>
        </w:rPr>
        <w:fldChar w:fldCharType="end"/>
      </w:r>
      <w:r>
        <w:rPr>
          <w:color w:val="auto"/>
        </w:rPr>
        <w:t>呈三角鼎立之势，东距新疆首府乌鲁木齐市126</w:t>
      </w:r>
      <w:r>
        <w:rPr>
          <w:rFonts w:hint="eastAsia"/>
          <w:color w:val="auto"/>
        </w:rPr>
        <w:t>km</w:t>
      </w:r>
      <w:r>
        <w:rPr>
          <w:color w:val="auto"/>
        </w:rPr>
        <w:t>，距昌吉州政府所在地</w:t>
      </w:r>
      <w:r>
        <w:rPr>
          <w:color w:val="auto"/>
        </w:rPr>
        <w:fldChar w:fldCharType="begin"/>
      </w:r>
      <w:r>
        <w:rPr>
          <w:color w:val="auto"/>
        </w:rPr>
        <w:instrText xml:space="preserve"> HYPERLINK "https://baike.so.com/doc/1700234-1797699.html" \t "_blank" </w:instrText>
      </w:r>
      <w:r>
        <w:rPr>
          <w:color w:val="auto"/>
        </w:rPr>
        <w:fldChar w:fldCharType="separate"/>
      </w:r>
      <w:r>
        <w:rPr>
          <w:color w:val="auto"/>
        </w:rPr>
        <w:t>昌吉</w:t>
      </w:r>
      <w:r>
        <w:rPr>
          <w:color w:val="auto"/>
        </w:rPr>
        <w:fldChar w:fldCharType="end"/>
      </w:r>
      <w:r>
        <w:rPr>
          <w:color w:val="auto"/>
        </w:rPr>
        <w:t>市91</w:t>
      </w:r>
      <w:r>
        <w:rPr>
          <w:rFonts w:hint="eastAsia"/>
          <w:color w:val="auto"/>
        </w:rPr>
        <w:t>km，</w:t>
      </w:r>
      <w:r>
        <w:rPr>
          <w:color w:val="auto"/>
        </w:rPr>
        <w:t>总面积1</w:t>
      </w:r>
      <w:r>
        <w:rPr>
          <w:rFonts w:hint="eastAsia"/>
          <w:color w:val="auto"/>
        </w:rPr>
        <w:t>1000km</w:t>
      </w:r>
      <w:r>
        <w:rPr>
          <w:rFonts w:hint="eastAsia"/>
          <w:color w:val="auto"/>
          <w:vertAlign w:val="superscript"/>
        </w:rPr>
        <w:t>2</w:t>
      </w:r>
      <w:r>
        <w:rPr>
          <w:rFonts w:hint="eastAsia"/>
          <w:color w:val="auto"/>
        </w:rPr>
        <w:t>。地理位置见图</w:t>
      </w:r>
      <w:r>
        <w:rPr>
          <w:color w:val="auto"/>
        </w:rPr>
        <w:t>4.1</w:t>
      </w:r>
      <w:r>
        <w:rPr>
          <w:rFonts w:hint="eastAsia"/>
          <w:color w:val="auto"/>
        </w:rPr>
        <w:t>-</w:t>
      </w:r>
      <w:r>
        <w:rPr>
          <w:color w:val="auto"/>
        </w:rPr>
        <w:t>1</w:t>
      </w:r>
      <w:r>
        <w:rPr>
          <w:rFonts w:hint="eastAsia"/>
          <w:color w:val="auto"/>
        </w:rPr>
        <w:t>。</w:t>
      </w:r>
    </w:p>
    <w:p w14:paraId="539D2489">
      <w:pPr>
        <w:pStyle w:val="86"/>
        <w:spacing w:line="360" w:lineRule="auto"/>
        <w:ind w:firstLine="0" w:firstLineChars="0"/>
        <w:jc w:val="center"/>
        <w:rPr>
          <w:rFonts w:hint="eastAsia"/>
          <w:color w:val="auto"/>
        </w:rPr>
      </w:pPr>
      <w:r>
        <w:rPr>
          <w:color w:val="auto"/>
        </w:rPr>
        <w:drawing>
          <wp:inline distT="0" distB="0" distL="0" distR="0">
            <wp:extent cx="4019550" cy="5703570"/>
            <wp:effectExtent l="0" t="0" r="0" b="0"/>
            <wp:docPr id="19900727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072723" name="图片 1"/>
                    <pic:cNvPicPr>
                      <a:picLocks noChangeAspect="1"/>
                    </pic:cNvPicPr>
                  </pic:nvPicPr>
                  <pic:blipFill>
                    <a:blip r:embed="rId76" cstate="print">
                      <a:extLst>
                        <a:ext uri="{28A0092B-C50C-407E-A947-70E740481C1C}">
                          <a14:useLocalDpi xmlns:a14="http://schemas.microsoft.com/office/drawing/2010/main" val="0"/>
                        </a:ext>
                      </a:extLst>
                    </a:blip>
                    <a:srcRect l="3452" t="1886" r="4285" b="2462"/>
                    <a:stretch>
                      <a:fillRect/>
                    </a:stretch>
                  </pic:blipFill>
                  <pic:spPr>
                    <a:xfrm>
                      <a:off x="0" y="0"/>
                      <a:ext cx="4027754" cy="5715000"/>
                    </a:xfrm>
                    <a:prstGeom prst="rect">
                      <a:avLst/>
                    </a:prstGeom>
                    <a:ln>
                      <a:noFill/>
                    </a:ln>
                  </pic:spPr>
                </pic:pic>
              </a:graphicData>
            </a:graphic>
          </wp:inline>
        </w:drawing>
      </w:r>
    </w:p>
    <w:p w14:paraId="4E8F7B4D">
      <w:pPr>
        <w:pStyle w:val="86"/>
        <w:spacing w:line="240" w:lineRule="auto"/>
        <w:ind w:firstLine="0" w:firstLineChars="0"/>
        <w:jc w:val="center"/>
        <w:rPr>
          <w:rFonts w:hint="eastAsia" w:ascii="黑体" w:hAnsi="黑体" w:eastAsia="黑体"/>
          <w:color w:val="auto"/>
          <w:sz w:val="21"/>
          <w:szCs w:val="21"/>
        </w:rPr>
      </w:pPr>
      <w:r>
        <w:rPr>
          <w:rFonts w:hint="eastAsia" w:ascii="黑体" w:hAnsi="黑体" w:eastAsia="黑体"/>
          <w:color w:val="auto"/>
          <w:sz w:val="21"/>
          <w:szCs w:val="21"/>
        </w:rPr>
        <w:t>图4</w:t>
      </w:r>
      <w:r>
        <w:rPr>
          <w:rFonts w:ascii="黑体" w:hAnsi="黑体" w:eastAsia="黑体"/>
          <w:color w:val="auto"/>
          <w:sz w:val="21"/>
          <w:szCs w:val="21"/>
        </w:rPr>
        <w:t>.1</w:t>
      </w:r>
      <w:r>
        <w:rPr>
          <w:rFonts w:hint="eastAsia" w:ascii="黑体" w:hAnsi="黑体" w:eastAsia="黑体"/>
          <w:color w:val="auto"/>
          <w:sz w:val="21"/>
          <w:szCs w:val="21"/>
        </w:rPr>
        <w:t>-</w:t>
      </w:r>
      <w:r>
        <w:rPr>
          <w:rFonts w:ascii="黑体" w:hAnsi="黑体" w:eastAsia="黑体"/>
          <w:color w:val="auto"/>
          <w:sz w:val="21"/>
          <w:szCs w:val="21"/>
        </w:rPr>
        <w:t xml:space="preserve">1  </w:t>
      </w:r>
      <w:r>
        <w:rPr>
          <w:rFonts w:hint="eastAsia" w:ascii="黑体" w:hAnsi="黑体" w:eastAsia="黑体"/>
          <w:color w:val="auto"/>
          <w:sz w:val="21"/>
          <w:szCs w:val="21"/>
        </w:rPr>
        <w:t>地理位置示意图</w:t>
      </w:r>
    </w:p>
    <w:p w14:paraId="717A2983">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地形地貌</w:t>
      </w:r>
    </w:p>
    <w:p w14:paraId="7697800C">
      <w:pPr>
        <w:pStyle w:val="86"/>
        <w:ind w:firstLine="480"/>
        <w:rPr>
          <w:rFonts w:hint="eastAsia"/>
          <w:color w:val="auto"/>
        </w:rPr>
      </w:pPr>
      <w:bookmarkStart w:id="353" w:name="_Hlk92204470"/>
      <w:r>
        <w:rPr>
          <w:rFonts w:hint="eastAsia"/>
          <w:color w:val="auto"/>
        </w:rPr>
        <w:t>项目区所在区域在构造单元上属于准噶尔盆地中部，新构造运动特征以缓慢沉降为主。前第四系地层中中生界及新、老第三系均为陆相沉积，发育完整。第四系地层下部以洪积、湖相沉积为主，上部以风积成因为主。站场建设区地貌单元属于古尔班通古特沙漠区，地形相对平坦开阔。项目区为典型的风积沙漠地貌，属风蚀地貌，地形起伏，总体地势北高南低，海拔高程在 345</w:t>
      </w:r>
      <w:r>
        <w:rPr>
          <w:color w:val="auto"/>
        </w:rPr>
        <w:t>m</w:t>
      </w:r>
      <w:r>
        <w:rPr>
          <w:rFonts w:hint="eastAsia"/>
          <w:color w:val="auto"/>
        </w:rPr>
        <w:t>～</w:t>
      </w:r>
      <w:r>
        <w:rPr>
          <w:color w:val="auto"/>
        </w:rPr>
        <w:t>450m</w:t>
      </w:r>
      <w:r>
        <w:rPr>
          <w:rFonts w:hint="eastAsia"/>
          <w:color w:val="auto"/>
        </w:rPr>
        <w:t>之间，为低矮的未固定</w:t>
      </w:r>
      <w:r>
        <w:rPr>
          <w:color w:val="auto"/>
        </w:rPr>
        <w:t>-</w:t>
      </w:r>
      <w:r>
        <w:rPr>
          <w:rFonts w:hint="eastAsia"/>
          <w:color w:val="auto"/>
        </w:rPr>
        <w:t xml:space="preserve">半固定沙丘，沙丘呈长垄状，以南北走向为主；沙梁高度为 </w:t>
      </w:r>
      <w:r>
        <w:rPr>
          <w:color w:val="auto"/>
        </w:rPr>
        <w:t>15m</w:t>
      </w:r>
      <w:r>
        <w:rPr>
          <w:rFonts w:hint="eastAsia"/>
          <w:color w:val="auto"/>
        </w:rPr>
        <w:t>～</w:t>
      </w:r>
      <w:r>
        <w:rPr>
          <w:color w:val="auto"/>
        </w:rPr>
        <w:t>30m</w:t>
      </w:r>
      <w:r>
        <w:rPr>
          <w:rFonts w:hint="eastAsia"/>
          <w:color w:val="auto"/>
        </w:rPr>
        <w:t xml:space="preserve">，宽度 </w:t>
      </w:r>
      <w:r>
        <w:rPr>
          <w:color w:val="auto"/>
        </w:rPr>
        <w:t>20m</w:t>
      </w:r>
      <w:r>
        <w:rPr>
          <w:rFonts w:hint="eastAsia"/>
          <w:color w:val="auto"/>
        </w:rPr>
        <w:t>～</w:t>
      </w:r>
      <w:r>
        <w:rPr>
          <w:color w:val="auto"/>
        </w:rPr>
        <w:t xml:space="preserve">100m </w:t>
      </w:r>
      <w:r>
        <w:rPr>
          <w:rFonts w:hint="eastAsia"/>
          <w:color w:val="auto"/>
        </w:rPr>
        <w:t>不等。除在丘间低地中分布有少量的龟裂土外，井区内土壤类型大部分为风沙土。</w:t>
      </w:r>
    </w:p>
    <w:bookmarkEnd w:id="353"/>
    <w:p w14:paraId="2D183722">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水文地质</w:t>
      </w:r>
    </w:p>
    <w:p w14:paraId="1507E70D">
      <w:pPr>
        <w:pStyle w:val="86"/>
        <w:ind w:firstLine="480"/>
        <w:rPr>
          <w:rFonts w:hint="eastAsia"/>
          <w:color w:val="auto"/>
        </w:rPr>
      </w:pPr>
      <w:r>
        <w:rPr>
          <w:rFonts w:hint="eastAsia"/>
          <w:color w:val="auto"/>
        </w:rPr>
        <w:t>本区域在喜马拉雅山构造期运动时，从新生界基底上发育了3排纬向排列的褶盆</w:t>
      </w:r>
      <w:r>
        <w:rPr>
          <w:color w:val="auto"/>
        </w:rPr>
        <w:t>5</w:t>
      </w:r>
      <w:r>
        <w:rPr>
          <w:rFonts w:hint="eastAsia"/>
          <w:color w:val="auto"/>
        </w:rPr>
        <w:t>气田周围无地表水经过。该地区主要埋藏有两种类型的地下水，即第四系松散岩石类孔隙水和第三系碎屑岩类孔隙裂隙水。其中，第三系地层是由泥岩和砂岩为主的沉积物组成，含水层以细砂岩为 主，依水力特征分为潜水和承压水；第四系地层含水层岩性以粗砂为主，承压含水顶板埋深多大于</w:t>
      </w:r>
      <w:r>
        <w:rPr>
          <w:color w:val="auto"/>
        </w:rPr>
        <w:t>60m</w:t>
      </w:r>
      <w:r>
        <w:rPr>
          <w:rFonts w:hint="eastAsia"/>
          <w:color w:val="auto"/>
        </w:rPr>
        <w:t>，矿化度高，水量小。水化学类型以</w:t>
      </w:r>
      <w:r>
        <w:rPr>
          <w:color w:val="auto"/>
        </w:rPr>
        <w:t>Cl-Na</w:t>
      </w:r>
      <w:r>
        <w:rPr>
          <w:rFonts w:hint="eastAsia"/>
          <w:color w:val="auto"/>
        </w:rPr>
        <w:t>型和</w:t>
      </w:r>
      <w:r>
        <w:rPr>
          <w:color w:val="auto"/>
        </w:rPr>
        <w:t>Cl-SO</w:t>
      </w:r>
      <w:r>
        <w:rPr>
          <w:color w:val="auto"/>
          <w:vertAlign w:val="subscript"/>
        </w:rPr>
        <w:t>4</w:t>
      </w:r>
      <w:r>
        <w:rPr>
          <w:color w:val="auto"/>
        </w:rPr>
        <w:t>-Na</w:t>
      </w:r>
      <w:r>
        <w:rPr>
          <w:rFonts w:hint="eastAsia"/>
          <w:color w:val="auto"/>
        </w:rPr>
        <w:t>型为主，无开采利用价值。后者是由泥岩和砂岩为主的沉积物组成，含水层以细砂岩为主，依水力特征分为潜水和承 压水。承压水顶板埋深在</w:t>
      </w:r>
      <w:r>
        <w:rPr>
          <w:color w:val="auto"/>
        </w:rPr>
        <w:t>50</w:t>
      </w:r>
      <w:r>
        <w:rPr>
          <w:rFonts w:hint="eastAsia"/>
          <w:color w:val="auto"/>
        </w:rPr>
        <w:t>～</w:t>
      </w:r>
      <w:r>
        <w:rPr>
          <w:color w:val="auto"/>
        </w:rPr>
        <w:t>100m</w:t>
      </w:r>
      <w:r>
        <w:rPr>
          <w:rFonts w:hint="eastAsia"/>
          <w:color w:val="auto"/>
        </w:rPr>
        <w:t>，水化学类型</w:t>
      </w:r>
      <w:r>
        <w:rPr>
          <w:color w:val="auto"/>
        </w:rPr>
        <w:t>Cl-Na</w:t>
      </w:r>
      <w:r>
        <w:rPr>
          <w:rFonts w:hint="eastAsia"/>
          <w:color w:val="auto"/>
        </w:rPr>
        <w:t>型和</w:t>
      </w:r>
      <w:r>
        <w:rPr>
          <w:color w:val="auto"/>
        </w:rPr>
        <w:t>Cl-SO</w:t>
      </w:r>
      <w:r>
        <w:rPr>
          <w:color w:val="auto"/>
          <w:vertAlign w:val="subscript"/>
        </w:rPr>
        <w:t>4</w:t>
      </w:r>
      <w:r>
        <w:rPr>
          <w:color w:val="auto"/>
        </w:rPr>
        <w:t>-Na</w:t>
      </w:r>
      <w:r>
        <w:rPr>
          <w:rFonts w:hint="eastAsia"/>
          <w:color w:val="auto"/>
        </w:rPr>
        <w:t>型为主，无开采利用价值。</w:t>
      </w:r>
    </w:p>
    <w:p w14:paraId="6B378D13">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气候气象</w:t>
      </w:r>
    </w:p>
    <w:p w14:paraId="4D2C0A50">
      <w:pPr>
        <w:pStyle w:val="86"/>
        <w:ind w:firstLine="480"/>
        <w:rPr>
          <w:rFonts w:hint="eastAsia"/>
          <w:color w:val="auto"/>
        </w:rPr>
      </w:pPr>
      <w:bookmarkStart w:id="354" w:name="_Toc24528"/>
      <w:bookmarkStart w:id="355" w:name="_Toc474793581"/>
      <w:bookmarkStart w:id="356" w:name="_Toc474416132"/>
      <w:bookmarkStart w:id="357" w:name="_Toc475624476"/>
      <w:bookmarkStart w:id="358" w:name="_Hlk495686351"/>
      <w:r>
        <w:rPr>
          <w:color w:val="auto"/>
        </w:rPr>
        <w:t>玛纳斯县属中温带大陆性气候，冬季长而严寒，夏季短而酷热，昼夜温差大。年平均气温7.2</w:t>
      </w:r>
      <w:r>
        <w:rPr>
          <w:rFonts w:hint="eastAsia"/>
          <w:color w:val="auto"/>
        </w:rPr>
        <w:t>℃</w:t>
      </w:r>
      <w:r>
        <w:rPr>
          <w:color w:val="auto"/>
        </w:rPr>
        <w:t>，最热月</w:t>
      </w:r>
      <w:r>
        <w:rPr>
          <w:rFonts w:hint="eastAsia"/>
          <w:color w:val="auto"/>
        </w:rPr>
        <w:t>（</w:t>
      </w:r>
      <w:r>
        <w:rPr>
          <w:color w:val="auto"/>
        </w:rPr>
        <w:t>七月</w:t>
      </w:r>
      <w:r>
        <w:rPr>
          <w:rFonts w:hint="eastAsia"/>
          <w:color w:val="auto"/>
        </w:rPr>
        <w:t>）</w:t>
      </w:r>
      <w:r>
        <w:rPr>
          <w:color w:val="auto"/>
        </w:rPr>
        <w:t>平均气温24.4</w:t>
      </w:r>
      <w:r>
        <w:rPr>
          <w:rFonts w:hint="eastAsia"/>
          <w:color w:val="auto"/>
        </w:rPr>
        <w:t>℃</w:t>
      </w:r>
      <w:r>
        <w:rPr>
          <w:color w:val="auto"/>
        </w:rPr>
        <w:t>，最冷月</w:t>
      </w:r>
      <w:r>
        <w:rPr>
          <w:rFonts w:hint="eastAsia"/>
          <w:color w:val="auto"/>
        </w:rPr>
        <w:t>（</w:t>
      </w:r>
      <w:r>
        <w:rPr>
          <w:color w:val="auto"/>
        </w:rPr>
        <w:t>一月</w:t>
      </w:r>
      <w:r>
        <w:rPr>
          <w:rFonts w:hint="eastAsia"/>
          <w:color w:val="auto"/>
        </w:rPr>
        <w:t>）</w:t>
      </w:r>
      <w:r>
        <w:rPr>
          <w:color w:val="auto"/>
        </w:rPr>
        <w:t>平均气温零下18.4</w:t>
      </w:r>
      <w:r>
        <w:rPr>
          <w:rFonts w:hint="eastAsia"/>
          <w:color w:val="auto"/>
        </w:rPr>
        <w:t>℃</w:t>
      </w:r>
      <w:r>
        <w:rPr>
          <w:color w:val="auto"/>
        </w:rPr>
        <w:t>(-18.4</w:t>
      </w:r>
      <w:r>
        <w:rPr>
          <w:rFonts w:hint="eastAsia"/>
          <w:color w:val="auto"/>
        </w:rPr>
        <w:t>℃）</w:t>
      </w:r>
      <w:r>
        <w:rPr>
          <w:color w:val="auto"/>
        </w:rPr>
        <w:t>，极端最高气温39.6</w:t>
      </w:r>
      <w:r>
        <w:rPr>
          <w:rFonts w:hint="eastAsia"/>
          <w:color w:val="auto"/>
        </w:rPr>
        <w:t>℃</w:t>
      </w:r>
      <w:r>
        <w:rPr>
          <w:color w:val="auto"/>
        </w:rPr>
        <w:t>，极端最低气温零下37.4</w:t>
      </w:r>
      <w:r>
        <w:rPr>
          <w:rFonts w:hint="eastAsia"/>
          <w:color w:val="auto"/>
        </w:rPr>
        <w:t>℃</w:t>
      </w:r>
      <w:r>
        <w:rPr>
          <w:color w:val="auto"/>
        </w:rPr>
        <w:t>(-37.4</w:t>
      </w:r>
      <w:r>
        <w:rPr>
          <w:rFonts w:hint="eastAsia"/>
          <w:color w:val="auto"/>
        </w:rPr>
        <w:t>℃）</w:t>
      </w:r>
      <w:r>
        <w:rPr>
          <w:color w:val="auto"/>
        </w:rPr>
        <w:t>。全年无霜期165</w:t>
      </w:r>
      <w:r>
        <w:rPr>
          <w:rFonts w:hint="eastAsia"/>
          <w:color w:val="auto"/>
        </w:rPr>
        <w:t>～</w:t>
      </w:r>
      <w:r>
        <w:rPr>
          <w:color w:val="auto"/>
        </w:rPr>
        <w:t>172天，最长达190天。</w:t>
      </w:r>
      <w:r>
        <w:rPr>
          <w:rFonts w:hint="eastAsia"/>
          <w:color w:val="auto"/>
        </w:rPr>
        <w:t>平均年降水量</w:t>
      </w:r>
      <w:r>
        <w:rPr>
          <w:color w:val="auto"/>
        </w:rPr>
        <w:t>173.3</w:t>
      </w:r>
      <w:r>
        <w:rPr>
          <w:rFonts w:hint="eastAsia"/>
          <w:color w:val="auto"/>
        </w:rPr>
        <w:t>mm</w:t>
      </w:r>
      <w:r>
        <w:rPr>
          <w:color w:val="auto"/>
        </w:rPr>
        <w:t>，最大年份251.1</w:t>
      </w:r>
      <w:r>
        <w:rPr>
          <w:rFonts w:hint="eastAsia"/>
          <w:color w:val="auto"/>
        </w:rPr>
        <w:t>mm</w:t>
      </w:r>
      <w:r>
        <w:rPr>
          <w:color w:val="auto"/>
        </w:rPr>
        <w:t>，最大日降水量34.5</w:t>
      </w:r>
      <w:r>
        <w:rPr>
          <w:rFonts w:hint="eastAsia"/>
          <w:color w:val="auto"/>
        </w:rPr>
        <w:t>mm，</w:t>
      </w:r>
      <w:r>
        <w:rPr>
          <w:color w:val="auto"/>
        </w:rPr>
        <w:t>年均降雪量74.4</w:t>
      </w:r>
      <w:r>
        <w:rPr>
          <w:rFonts w:hint="eastAsia"/>
          <w:color w:val="auto"/>
        </w:rPr>
        <w:t>mm</w:t>
      </w:r>
      <w:r>
        <w:rPr>
          <w:color w:val="auto"/>
        </w:rPr>
        <w:t>，占全年降水量的27%。</w:t>
      </w:r>
      <w:r>
        <w:rPr>
          <w:color w:val="auto"/>
        </w:rPr>
        <w:fldChar w:fldCharType="begin"/>
      </w:r>
      <w:r>
        <w:rPr>
          <w:color w:val="auto"/>
        </w:rPr>
        <w:instrText xml:space="preserve"> HYPERLINK "https://baike.so.com/doc/807970-854619.html" \t "_blank" </w:instrText>
      </w:r>
      <w:r>
        <w:rPr>
          <w:color w:val="auto"/>
        </w:rPr>
        <w:fldChar w:fldCharType="separate"/>
      </w:r>
      <w:r>
        <w:rPr>
          <w:color w:val="auto"/>
        </w:rPr>
        <w:t>积雪深度</w:t>
      </w:r>
      <w:r>
        <w:rPr>
          <w:color w:val="auto"/>
        </w:rPr>
        <w:fldChar w:fldCharType="end"/>
      </w:r>
      <w:r>
        <w:rPr>
          <w:color w:val="auto"/>
        </w:rPr>
        <w:t>约15</w:t>
      </w:r>
      <w:r>
        <w:rPr>
          <w:rFonts w:hint="eastAsia"/>
          <w:color w:val="auto"/>
        </w:rPr>
        <w:t>～</w:t>
      </w:r>
      <w:r>
        <w:rPr>
          <w:color w:val="auto"/>
        </w:rPr>
        <w:t>25</w:t>
      </w:r>
      <w:r>
        <w:rPr>
          <w:rFonts w:hint="eastAsia"/>
          <w:color w:val="auto"/>
        </w:rPr>
        <w:t>cm</w:t>
      </w:r>
      <w:r>
        <w:rPr>
          <w:color w:val="auto"/>
        </w:rPr>
        <w:t>，最大年降雪量深度33厘米。全年主导风向西南风，在6</w:t>
      </w:r>
      <w:r>
        <w:rPr>
          <w:rFonts w:hint="eastAsia"/>
          <w:color w:val="auto"/>
        </w:rPr>
        <w:t>～</w:t>
      </w:r>
      <w:r>
        <w:rPr>
          <w:color w:val="auto"/>
        </w:rPr>
        <w:t>7月转为西风，平均风速2.5</w:t>
      </w:r>
      <w:r>
        <w:rPr>
          <w:rFonts w:hint="eastAsia"/>
          <w:color w:val="auto"/>
        </w:rPr>
        <w:t>m/s</w:t>
      </w:r>
      <w:r>
        <w:rPr>
          <w:color w:val="auto"/>
        </w:rPr>
        <w:t>，最大风速20</w:t>
      </w:r>
      <w:r>
        <w:rPr>
          <w:rFonts w:hint="eastAsia"/>
          <w:color w:val="auto"/>
        </w:rPr>
        <w:t>m/s。</w:t>
      </w:r>
    </w:p>
    <w:p w14:paraId="2D947502">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359" w:name="_Toc224405932"/>
      <w:r>
        <w:rPr>
          <w:rFonts w:hint="eastAsia" w:ascii="黑体" w:hAnsi="黑体" w:eastAsia="黑体" w:cs="Times New Roman"/>
          <w:bCs/>
          <w:color w:val="auto"/>
          <w:sz w:val="28"/>
          <w:szCs w:val="32"/>
          <w14:ligatures w14:val="none"/>
        </w:rPr>
        <w:t>环境保护目标调查</w:t>
      </w:r>
      <w:bookmarkEnd w:id="354"/>
      <w:bookmarkEnd w:id="359"/>
    </w:p>
    <w:p w14:paraId="33598E51">
      <w:pPr>
        <w:pStyle w:val="86"/>
        <w:ind w:firstLine="480"/>
        <w:rPr>
          <w:rFonts w:hint="eastAsia"/>
          <w:color w:val="auto"/>
        </w:rPr>
      </w:pPr>
      <w:r>
        <w:rPr>
          <w:rFonts w:hint="eastAsia"/>
          <w:color w:val="auto"/>
        </w:rPr>
        <w:t>评价范围内无自然保护区、风景名胜区、饮用水水源保护区、自然公园等环境敏感区、居民区、医院、学校等环境敏感目标。莫27井单井采油管线生态评价范围内涉及</w:t>
      </w:r>
      <w:r>
        <w:rPr>
          <w:rFonts w:hint="eastAsia" w:cs="宋体"/>
          <w:color w:val="auto"/>
        </w:rPr>
        <w:t>玛纳斯县土地沙化生态保护红线区</w:t>
      </w:r>
      <w:r>
        <w:rPr>
          <w:rFonts w:hint="eastAsia"/>
          <w:color w:val="auto"/>
        </w:rPr>
        <w:t>，不在</w:t>
      </w:r>
      <w:r>
        <w:rPr>
          <w:rFonts w:hint="eastAsia" w:cs="宋体"/>
          <w:color w:val="auto"/>
        </w:rPr>
        <w:t>玛纳斯县土地沙化生态保护红线区内临时穿越和占用。</w:t>
      </w:r>
    </w:p>
    <w:p w14:paraId="0DB582EF">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360" w:name="_Toc224405933"/>
      <w:r>
        <w:rPr>
          <w:rFonts w:hint="eastAsia" w:ascii="黑体" w:hAnsi="黑体" w:eastAsia="黑体" w:cs="Times New Roman"/>
          <w:bCs/>
          <w:color w:val="auto"/>
          <w:sz w:val="28"/>
          <w:szCs w:val="32"/>
          <w14:ligatures w14:val="none"/>
        </w:rPr>
        <w:t>环境</w:t>
      </w:r>
      <w:r>
        <w:rPr>
          <w:rFonts w:ascii="黑体" w:hAnsi="黑体" w:eastAsia="黑体" w:cs="Times New Roman"/>
          <w:bCs/>
          <w:color w:val="auto"/>
          <w:sz w:val="28"/>
          <w:szCs w:val="32"/>
          <w14:ligatures w14:val="none"/>
        </w:rPr>
        <w:t>质量现状调查与评价</w:t>
      </w:r>
      <w:bookmarkEnd w:id="355"/>
      <w:bookmarkEnd w:id="356"/>
      <w:bookmarkEnd w:id="357"/>
      <w:bookmarkEnd w:id="360"/>
    </w:p>
    <w:p w14:paraId="076CC592">
      <w:pPr>
        <w:pStyle w:val="86"/>
        <w:spacing w:line="480" w:lineRule="exact"/>
        <w:ind w:firstLine="480"/>
        <w:rPr>
          <w:rFonts w:hint="eastAsia"/>
          <w:color w:val="auto"/>
        </w:rPr>
      </w:pPr>
      <w:r>
        <w:rPr>
          <w:rFonts w:hint="eastAsia"/>
          <w:color w:val="auto"/>
        </w:rPr>
        <w:t>本次采用实测和引用资料相结合的方法调查区域环境质量现状。</w:t>
      </w:r>
    </w:p>
    <w:bookmarkEnd w:id="358"/>
    <w:p w14:paraId="72E43519">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361" w:name="_Toc474416133"/>
      <w:r>
        <w:rPr>
          <w:rFonts w:hint="eastAsia" w:ascii="黑体" w:hAnsi="黑体" w:eastAsia="黑体" w:cs="Times New Roman"/>
          <w:color w:val="auto"/>
          <w:sz w:val="24"/>
          <w:szCs w:val="21"/>
          <w:lang w:val="zh-CN"/>
          <w14:ligatures w14:val="none"/>
        </w:rPr>
        <w:t>大气</w:t>
      </w:r>
      <w:r>
        <w:rPr>
          <w:rFonts w:ascii="黑体" w:hAnsi="黑体" w:eastAsia="黑体" w:cs="Times New Roman"/>
          <w:color w:val="auto"/>
          <w:sz w:val="24"/>
          <w:szCs w:val="21"/>
          <w:lang w:val="zh-CN"/>
          <w14:ligatures w14:val="none"/>
        </w:rPr>
        <w:t>环境质量现状调查与评价</w:t>
      </w:r>
      <w:bookmarkEnd w:id="361"/>
    </w:p>
    <w:p w14:paraId="37D5EFBA">
      <w:pPr>
        <w:pStyle w:val="86"/>
        <w:spacing w:line="480" w:lineRule="exact"/>
        <w:ind w:firstLine="480"/>
        <w:rPr>
          <w:rFonts w:hint="eastAsia"/>
          <w:color w:val="auto"/>
          <w:kern w:val="0"/>
        </w:rPr>
      </w:pPr>
      <w:r>
        <w:rPr>
          <w:rFonts w:hint="eastAsia"/>
          <w:color w:val="auto"/>
        </w:rPr>
        <w:t>（1）区域大气环境质量达标判定</w:t>
      </w:r>
    </w:p>
    <w:p w14:paraId="255A7EED">
      <w:pPr>
        <w:pStyle w:val="86"/>
        <w:spacing w:line="480" w:lineRule="exact"/>
        <w:ind w:firstLine="480"/>
        <w:rPr>
          <w:rFonts w:hint="eastAsia"/>
          <w:color w:val="auto"/>
        </w:rPr>
      </w:pPr>
      <w:r>
        <w:rPr>
          <w:rFonts w:hint="eastAsia"/>
          <w:color w:val="auto"/>
        </w:rPr>
        <w:t>根据《新疆维吾尔自治区2024年生态环境状况公报》，项目所在的行政区―昌吉回族自治州属于环境空气不达标区。根据生态环境部环境工程评估中心“环境空气质量模型技术支持服务系统”发布的数据显示，昌吉回族自治州2024年基本污染物中SO</w:t>
      </w:r>
      <w:r>
        <w:rPr>
          <w:rFonts w:hint="eastAsia"/>
          <w:color w:val="auto"/>
          <w:vertAlign w:val="subscript"/>
        </w:rPr>
        <w:t>2</w:t>
      </w:r>
      <w:r>
        <w:rPr>
          <w:rFonts w:hint="eastAsia"/>
          <w:color w:val="auto"/>
        </w:rPr>
        <w:t>、NO</w:t>
      </w:r>
      <w:r>
        <w:rPr>
          <w:rFonts w:hint="eastAsia"/>
          <w:color w:val="auto"/>
          <w:vertAlign w:val="subscript"/>
        </w:rPr>
        <w:t>2</w:t>
      </w:r>
      <w:r>
        <w:rPr>
          <w:rFonts w:hint="eastAsia"/>
          <w:color w:val="auto"/>
        </w:rPr>
        <w:t>、CO、O</w:t>
      </w:r>
      <w:r>
        <w:rPr>
          <w:rFonts w:hint="eastAsia"/>
          <w:color w:val="auto"/>
          <w:vertAlign w:val="subscript"/>
        </w:rPr>
        <w:t>3</w:t>
      </w:r>
      <w:r>
        <w:rPr>
          <w:rFonts w:hint="eastAsia"/>
          <w:color w:val="auto"/>
        </w:rPr>
        <w:t>的现状浓度均符合《环境空气质量标准》（GB3095-2026）过渡阶段二级标准，</w:t>
      </w:r>
      <w:r>
        <w:rPr>
          <w:rFonts w:hint="eastAsia"/>
          <w:color w:val="auto"/>
          <w:kern w:val="0"/>
          <w:szCs w:val="21"/>
        </w:rPr>
        <w:t>PM</w:t>
      </w:r>
      <w:r>
        <w:rPr>
          <w:rFonts w:hint="eastAsia"/>
          <w:color w:val="auto"/>
          <w:kern w:val="0"/>
          <w:szCs w:val="21"/>
          <w:vertAlign w:val="subscript"/>
        </w:rPr>
        <w:t>10</w:t>
      </w:r>
      <w:r>
        <w:rPr>
          <w:rFonts w:hint="eastAsia"/>
          <w:color w:val="auto"/>
          <w:kern w:val="0"/>
          <w:szCs w:val="21"/>
        </w:rPr>
        <w:t>、</w:t>
      </w:r>
      <w:r>
        <w:rPr>
          <w:rFonts w:hint="eastAsia"/>
          <w:color w:val="auto"/>
        </w:rPr>
        <w:t>PM</w:t>
      </w:r>
      <w:r>
        <w:rPr>
          <w:rFonts w:hint="eastAsia"/>
          <w:color w:val="auto"/>
          <w:vertAlign w:val="subscript"/>
        </w:rPr>
        <w:t>2.5</w:t>
      </w:r>
      <w:r>
        <w:rPr>
          <w:rFonts w:hint="eastAsia"/>
          <w:color w:val="auto"/>
        </w:rPr>
        <w:t>的现状浓度超标。</w:t>
      </w:r>
      <w:r>
        <w:rPr>
          <w:rFonts w:hint="eastAsia"/>
          <w:color w:val="auto"/>
          <w:kern w:val="0"/>
        </w:rPr>
        <w:t>详见表</w:t>
      </w:r>
      <w:r>
        <w:rPr>
          <w:color w:val="auto"/>
          <w:kern w:val="0"/>
        </w:rPr>
        <w:t>4.3</w:t>
      </w:r>
      <w:r>
        <w:rPr>
          <w:rFonts w:hint="eastAsia"/>
          <w:color w:val="auto"/>
          <w:kern w:val="0"/>
        </w:rPr>
        <w:t>-</w:t>
      </w:r>
      <w:r>
        <w:rPr>
          <w:color w:val="auto"/>
          <w:kern w:val="0"/>
        </w:rPr>
        <w:t>1</w:t>
      </w:r>
      <w:r>
        <w:rPr>
          <w:rFonts w:hint="eastAsia"/>
          <w:color w:val="auto"/>
          <w:kern w:val="0"/>
        </w:rPr>
        <w:t>。</w:t>
      </w:r>
    </w:p>
    <w:p w14:paraId="1BC40119">
      <w:pPr>
        <w:widowControl/>
        <w:adjustRightInd w:val="0"/>
        <w:snapToGrid w:val="0"/>
        <w:spacing w:line="500" w:lineRule="exact"/>
        <w:jc w:val="center"/>
        <w:rPr>
          <w:rFonts w:hint="eastAsia" w:ascii="黑体" w:hAnsi="黑体" w:eastAsia="黑体"/>
          <w:color w:val="auto"/>
          <w:szCs w:val="21"/>
          <w:lang w:bidi="ar"/>
        </w:rPr>
      </w:pPr>
      <w:r>
        <w:rPr>
          <w:rFonts w:hint="eastAsia" w:ascii="黑体" w:hAnsi="黑体" w:eastAsia="黑体"/>
          <w:color w:val="auto"/>
          <w:szCs w:val="21"/>
          <w:lang w:bidi="ar"/>
        </w:rPr>
        <w:t>表</w:t>
      </w:r>
      <w:r>
        <w:rPr>
          <w:rFonts w:ascii="黑体" w:hAnsi="黑体" w:eastAsia="黑体"/>
          <w:color w:val="auto"/>
          <w:szCs w:val="21"/>
          <w:lang w:bidi="ar"/>
        </w:rPr>
        <w:t>4.3</w:t>
      </w:r>
      <w:r>
        <w:rPr>
          <w:rFonts w:hint="eastAsia" w:ascii="黑体" w:hAnsi="黑体" w:eastAsia="黑体"/>
          <w:color w:val="auto"/>
          <w:szCs w:val="21"/>
          <w:lang w:bidi="ar"/>
        </w:rPr>
        <w:t>-</w:t>
      </w:r>
      <w:r>
        <w:rPr>
          <w:rFonts w:ascii="黑体" w:hAnsi="黑体" w:eastAsia="黑体"/>
          <w:color w:val="auto"/>
          <w:szCs w:val="21"/>
          <w:lang w:bidi="ar"/>
        </w:rPr>
        <w:t>1</w:t>
      </w:r>
      <w:r>
        <w:rPr>
          <w:rFonts w:hint="eastAsia" w:ascii="黑体" w:hAnsi="黑体" w:eastAsia="黑体"/>
          <w:color w:val="auto"/>
          <w:szCs w:val="21"/>
          <w:lang w:bidi="ar"/>
        </w:rPr>
        <w:t xml:space="preserve"> </w:t>
      </w:r>
      <w:r>
        <w:rPr>
          <w:rFonts w:ascii="黑体" w:hAnsi="黑体" w:eastAsia="黑体"/>
          <w:color w:val="auto"/>
          <w:szCs w:val="21"/>
          <w:lang w:bidi="ar"/>
        </w:rPr>
        <w:t xml:space="preserve"> </w:t>
      </w:r>
      <w:r>
        <w:rPr>
          <w:rFonts w:hint="eastAsia" w:ascii="黑体" w:hAnsi="黑体" w:eastAsia="黑体"/>
          <w:color w:val="auto"/>
          <w:szCs w:val="21"/>
          <w:lang w:bidi="ar"/>
        </w:rPr>
        <w:t>大气质量及评价结果一览表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1068"/>
        <w:gridCol w:w="1643"/>
        <w:gridCol w:w="1996"/>
        <w:gridCol w:w="1713"/>
        <w:gridCol w:w="1285"/>
        <w:gridCol w:w="1081"/>
      </w:tblGrid>
      <w:tr w14:paraId="1531EA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608" w:type="pct"/>
            <w:vAlign w:val="center"/>
          </w:tcPr>
          <w:p w14:paraId="496ADBFF">
            <w:pPr>
              <w:widowControl/>
              <w:snapToGrid w:val="0"/>
              <w:spacing w:line="300" w:lineRule="exact"/>
              <w:jc w:val="center"/>
              <w:rPr>
                <w:rFonts w:hint="eastAsia" w:ascii="宋体" w:hAnsi="宋体" w:cs="宋体"/>
                <w:color w:val="auto"/>
                <w:spacing w:val="-4"/>
                <w:kern w:val="0"/>
                <w:szCs w:val="21"/>
              </w:rPr>
            </w:pPr>
            <w:r>
              <w:rPr>
                <w:rFonts w:hint="eastAsia" w:ascii="宋体" w:hAnsi="宋体" w:cs="宋体"/>
                <w:color w:val="auto"/>
                <w:spacing w:val="-4"/>
                <w:kern w:val="0"/>
                <w:szCs w:val="21"/>
              </w:rPr>
              <w:t>监测因子</w:t>
            </w:r>
          </w:p>
        </w:tc>
        <w:tc>
          <w:tcPr>
            <w:tcW w:w="935" w:type="pct"/>
            <w:vAlign w:val="center"/>
          </w:tcPr>
          <w:p w14:paraId="23869D28">
            <w:pPr>
              <w:widowControl/>
              <w:snapToGrid w:val="0"/>
              <w:spacing w:line="300" w:lineRule="exact"/>
              <w:jc w:val="center"/>
              <w:rPr>
                <w:rFonts w:hint="eastAsia" w:ascii="宋体" w:hAnsi="宋体" w:cs="宋体"/>
                <w:color w:val="auto"/>
                <w:spacing w:val="-4"/>
                <w:kern w:val="0"/>
                <w:szCs w:val="21"/>
              </w:rPr>
            </w:pPr>
            <w:r>
              <w:rPr>
                <w:rFonts w:hint="eastAsia" w:ascii="宋体" w:hAnsi="宋体" w:cs="宋体"/>
                <w:color w:val="auto"/>
                <w:spacing w:val="-4"/>
                <w:kern w:val="0"/>
                <w:szCs w:val="21"/>
              </w:rPr>
              <w:t>年评价指标</w:t>
            </w:r>
          </w:p>
        </w:tc>
        <w:tc>
          <w:tcPr>
            <w:tcW w:w="1136" w:type="pct"/>
            <w:vAlign w:val="center"/>
          </w:tcPr>
          <w:p w14:paraId="7E47C0FF">
            <w:pPr>
              <w:widowControl/>
              <w:snapToGrid w:val="0"/>
              <w:spacing w:line="300" w:lineRule="exact"/>
              <w:jc w:val="center"/>
              <w:rPr>
                <w:rFonts w:hint="eastAsia" w:ascii="宋体" w:hAnsi="宋体" w:cs="宋体"/>
                <w:color w:val="auto"/>
                <w:spacing w:val="-4"/>
                <w:kern w:val="0"/>
                <w:szCs w:val="21"/>
              </w:rPr>
            </w:pPr>
            <w:r>
              <w:rPr>
                <w:rFonts w:hint="eastAsia" w:ascii="宋体" w:hAnsi="宋体" w:cs="宋体"/>
                <w:color w:val="auto"/>
                <w:szCs w:val="21"/>
              </w:rPr>
              <w:t>现状浓度（μg/m</w:t>
            </w:r>
            <w:r>
              <w:rPr>
                <w:rFonts w:hint="eastAsia" w:ascii="宋体" w:hAnsi="宋体" w:cs="宋体"/>
                <w:color w:val="auto"/>
                <w:szCs w:val="21"/>
                <w:vertAlign w:val="superscript"/>
              </w:rPr>
              <w:t>3</w:t>
            </w:r>
            <w:r>
              <w:rPr>
                <w:rFonts w:hint="eastAsia" w:ascii="宋体" w:hAnsi="宋体" w:cs="宋体"/>
                <w:color w:val="auto"/>
                <w:szCs w:val="21"/>
              </w:rPr>
              <w:t>）</w:t>
            </w:r>
          </w:p>
        </w:tc>
        <w:tc>
          <w:tcPr>
            <w:tcW w:w="975" w:type="pct"/>
            <w:vAlign w:val="center"/>
          </w:tcPr>
          <w:p w14:paraId="21C4030E">
            <w:pPr>
              <w:widowControl/>
              <w:snapToGrid w:val="0"/>
              <w:spacing w:line="300" w:lineRule="exact"/>
              <w:jc w:val="center"/>
              <w:rPr>
                <w:rFonts w:hint="eastAsia" w:ascii="宋体" w:hAnsi="宋体" w:cs="宋体"/>
                <w:color w:val="auto"/>
                <w:spacing w:val="-4"/>
                <w:kern w:val="0"/>
                <w:szCs w:val="21"/>
              </w:rPr>
            </w:pPr>
            <w:r>
              <w:rPr>
                <w:rFonts w:hint="eastAsia" w:ascii="宋体" w:hAnsi="宋体" w:cs="宋体"/>
                <w:color w:val="auto"/>
                <w:szCs w:val="21"/>
              </w:rPr>
              <w:t>标准值（μg/m</w:t>
            </w:r>
            <w:r>
              <w:rPr>
                <w:rFonts w:hint="eastAsia" w:ascii="宋体" w:hAnsi="宋体" w:cs="宋体"/>
                <w:color w:val="auto"/>
                <w:szCs w:val="21"/>
                <w:vertAlign w:val="superscript"/>
              </w:rPr>
              <w:t>3</w:t>
            </w:r>
            <w:r>
              <w:rPr>
                <w:rFonts w:hint="eastAsia" w:ascii="宋体" w:hAnsi="宋体" w:cs="宋体"/>
                <w:color w:val="auto"/>
                <w:szCs w:val="21"/>
              </w:rPr>
              <w:t>）</w:t>
            </w:r>
          </w:p>
        </w:tc>
        <w:tc>
          <w:tcPr>
            <w:tcW w:w="731" w:type="pct"/>
            <w:vAlign w:val="center"/>
          </w:tcPr>
          <w:p w14:paraId="77B5F2D8">
            <w:pPr>
              <w:widowControl/>
              <w:snapToGrid w:val="0"/>
              <w:spacing w:line="300" w:lineRule="exact"/>
              <w:jc w:val="center"/>
              <w:rPr>
                <w:rFonts w:hint="eastAsia" w:ascii="宋体" w:hAnsi="宋体" w:cs="宋体"/>
                <w:color w:val="auto"/>
                <w:spacing w:val="-4"/>
                <w:kern w:val="0"/>
                <w:szCs w:val="21"/>
              </w:rPr>
            </w:pPr>
            <w:r>
              <w:rPr>
                <w:rFonts w:hint="eastAsia" w:ascii="宋体" w:hAnsi="宋体" w:cs="宋体"/>
                <w:color w:val="auto"/>
                <w:spacing w:val="-4"/>
                <w:kern w:val="0"/>
                <w:szCs w:val="21"/>
              </w:rPr>
              <w:t>占标率（%）</w:t>
            </w:r>
          </w:p>
        </w:tc>
        <w:tc>
          <w:tcPr>
            <w:tcW w:w="615" w:type="pct"/>
            <w:vAlign w:val="center"/>
          </w:tcPr>
          <w:p w14:paraId="1A32429B">
            <w:pPr>
              <w:widowControl/>
              <w:snapToGrid w:val="0"/>
              <w:spacing w:line="300" w:lineRule="exact"/>
              <w:jc w:val="center"/>
              <w:rPr>
                <w:rFonts w:hint="eastAsia" w:ascii="宋体" w:hAnsi="宋体" w:cs="宋体"/>
                <w:color w:val="auto"/>
                <w:spacing w:val="-4"/>
                <w:kern w:val="0"/>
                <w:szCs w:val="21"/>
              </w:rPr>
            </w:pPr>
            <w:r>
              <w:rPr>
                <w:rFonts w:hint="eastAsia" w:ascii="宋体" w:hAnsi="宋体" w:cs="宋体"/>
                <w:color w:val="auto"/>
                <w:spacing w:val="-4"/>
                <w:kern w:val="0"/>
                <w:szCs w:val="21"/>
              </w:rPr>
              <w:t>达标情况</w:t>
            </w:r>
          </w:p>
        </w:tc>
      </w:tr>
      <w:tr w14:paraId="4D823C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608" w:type="pct"/>
            <w:vAlign w:val="center"/>
          </w:tcPr>
          <w:p w14:paraId="3708D685">
            <w:pPr>
              <w:widowControl/>
              <w:overflowPunct w:val="0"/>
              <w:autoSpaceDE w:val="0"/>
              <w:autoSpaceDN w:val="0"/>
              <w:adjustRightInd w:val="0"/>
              <w:spacing w:line="300" w:lineRule="exact"/>
              <w:jc w:val="center"/>
              <w:textAlignment w:val="baseline"/>
              <w:rPr>
                <w:rFonts w:hint="eastAsia" w:ascii="宋体" w:hAnsi="宋体" w:cs="宋体"/>
                <w:color w:val="auto"/>
                <w:spacing w:val="-4"/>
                <w:kern w:val="0"/>
                <w:szCs w:val="21"/>
              </w:rPr>
            </w:pPr>
            <w:bookmarkStart w:id="362" w:name="_Hlk223368886"/>
            <w:r>
              <w:rPr>
                <w:rFonts w:hint="eastAsia" w:ascii="宋体" w:hAnsi="宋体"/>
                <w:color w:val="auto"/>
                <w:szCs w:val="21"/>
              </w:rPr>
              <w:t>SO</w:t>
            </w:r>
            <w:r>
              <w:rPr>
                <w:rFonts w:hint="eastAsia" w:ascii="宋体" w:hAnsi="宋体"/>
                <w:color w:val="auto"/>
                <w:szCs w:val="21"/>
                <w:vertAlign w:val="subscript"/>
              </w:rPr>
              <w:t>2</w:t>
            </w:r>
          </w:p>
        </w:tc>
        <w:tc>
          <w:tcPr>
            <w:tcW w:w="935" w:type="pct"/>
            <w:vAlign w:val="center"/>
          </w:tcPr>
          <w:p w14:paraId="691A7A51">
            <w:pPr>
              <w:widowControl/>
              <w:overflowPunct w:val="0"/>
              <w:autoSpaceDE w:val="0"/>
              <w:autoSpaceDN w:val="0"/>
              <w:adjustRightInd w:val="0"/>
              <w:spacing w:line="300" w:lineRule="exact"/>
              <w:jc w:val="center"/>
              <w:textAlignment w:val="baseline"/>
              <w:rPr>
                <w:rFonts w:hint="eastAsia" w:ascii="宋体" w:hAnsi="宋体" w:cs="宋体"/>
                <w:color w:val="auto"/>
                <w:spacing w:val="-4"/>
                <w:kern w:val="0"/>
                <w:szCs w:val="21"/>
              </w:rPr>
            </w:pPr>
            <w:r>
              <w:rPr>
                <w:rFonts w:hint="eastAsia" w:ascii="宋体" w:hAnsi="宋体"/>
                <w:color w:val="auto"/>
                <w:szCs w:val="21"/>
              </w:rPr>
              <w:t>年平均浓度</w:t>
            </w:r>
          </w:p>
        </w:tc>
        <w:tc>
          <w:tcPr>
            <w:tcW w:w="1136" w:type="pct"/>
            <w:vAlign w:val="center"/>
          </w:tcPr>
          <w:p w14:paraId="37D352A3">
            <w:pPr>
              <w:widowControl/>
              <w:overflowPunct w:val="0"/>
              <w:autoSpaceDE w:val="0"/>
              <w:autoSpaceDN w:val="0"/>
              <w:adjustRightInd w:val="0"/>
              <w:spacing w:line="300" w:lineRule="exact"/>
              <w:jc w:val="center"/>
              <w:textAlignment w:val="baseline"/>
              <w:rPr>
                <w:rFonts w:hint="eastAsia" w:ascii="宋体" w:hAnsi="宋体" w:cs="宋体"/>
                <w:color w:val="auto"/>
                <w:spacing w:val="-4"/>
                <w:kern w:val="0"/>
                <w:szCs w:val="21"/>
              </w:rPr>
            </w:pPr>
            <w:r>
              <w:rPr>
                <w:rFonts w:hint="eastAsia" w:ascii="宋体" w:hAnsi="宋体"/>
                <w:color w:val="auto"/>
              </w:rPr>
              <w:t>7</w:t>
            </w:r>
          </w:p>
        </w:tc>
        <w:tc>
          <w:tcPr>
            <w:tcW w:w="975" w:type="pct"/>
            <w:vAlign w:val="center"/>
          </w:tcPr>
          <w:p w14:paraId="41160F8E">
            <w:pPr>
              <w:widowControl/>
              <w:overflowPunct w:val="0"/>
              <w:autoSpaceDE w:val="0"/>
              <w:autoSpaceDN w:val="0"/>
              <w:adjustRightInd w:val="0"/>
              <w:spacing w:line="300" w:lineRule="exact"/>
              <w:jc w:val="center"/>
              <w:textAlignment w:val="baseline"/>
              <w:rPr>
                <w:rFonts w:hint="eastAsia" w:ascii="宋体" w:hAnsi="宋体" w:cs="宋体"/>
                <w:color w:val="auto"/>
                <w:spacing w:val="-4"/>
                <w:kern w:val="0"/>
                <w:szCs w:val="21"/>
              </w:rPr>
            </w:pPr>
            <w:r>
              <w:rPr>
                <w:rFonts w:hint="eastAsia" w:ascii="宋体" w:hAnsi="宋体"/>
                <w:color w:val="auto"/>
              </w:rPr>
              <w:t>60</w:t>
            </w:r>
          </w:p>
        </w:tc>
        <w:tc>
          <w:tcPr>
            <w:tcW w:w="731" w:type="pct"/>
            <w:vAlign w:val="center"/>
          </w:tcPr>
          <w:p w14:paraId="065F9A59">
            <w:pPr>
              <w:widowControl/>
              <w:overflowPunct w:val="0"/>
              <w:autoSpaceDE w:val="0"/>
              <w:autoSpaceDN w:val="0"/>
              <w:adjustRightInd w:val="0"/>
              <w:spacing w:line="300" w:lineRule="exact"/>
              <w:jc w:val="center"/>
              <w:textAlignment w:val="baseline"/>
              <w:rPr>
                <w:rFonts w:hint="eastAsia" w:ascii="宋体" w:hAnsi="宋体" w:cs="宋体"/>
                <w:color w:val="auto"/>
                <w:spacing w:val="-4"/>
                <w:kern w:val="0"/>
                <w:szCs w:val="21"/>
              </w:rPr>
            </w:pPr>
            <w:r>
              <w:rPr>
                <w:rFonts w:hint="eastAsia" w:ascii="宋体" w:hAnsi="宋体"/>
                <w:color w:val="auto"/>
              </w:rPr>
              <w:t>11.67</w:t>
            </w:r>
          </w:p>
        </w:tc>
        <w:tc>
          <w:tcPr>
            <w:tcW w:w="615" w:type="pct"/>
            <w:vAlign w:val="center"/>
          </w:tcPr>
          <w:p w14:paraId="1CB1010E">
            <w:pPr>
              <w:widowControl/>
              <w:overflowPunct w:val="0"/>
              <w:autoSpaceDE w:val="0"/>
              <w:autoSpaceDN w:val="0"/>
              <w:adjustRightInd w:val="0"/>
              <w:spacing w:line="300" w:lineRule="exact"/>
              <w:jc w:val="center"/>
              <w:textAlignment w:val="baseline"/>
              <w:rPr>
                <w:rFonts w:hint="eastAsia" w:ascii="宋体" w:hAnsi="宋体" w:cs="宋体"/>
                <w:color w:val="auto"/>
                <w:spacing w:val="-4"/>
                <w:kern w:val="0"/>
                <w:szCs w:val="21"/>
              </w:rPr>
            </w:pPr>
            <w:r>
              <w:rPr>
                <w:rFonts w:hint="eastAsia" w:ascii="宋体" w:hAnsi="宋体"/>
                <w:color w:val="auto"/>
              </w:rPr>
              <w:t>达标</w:t>
            </w:r>
          </w:p>
        </w:tc>
      </w:tr>
      <w:tr w14:paraId="132D9F7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608" w:type="pct"/>
            <w:vAlign w:val="center"/>
          </w:tcPr>
          <w:p w14:paraId="186409C0">
            <w:pPr>
              <w:widowControl/>
              <w:overflowPunct w:val="0"/>
              <w:autoSpaceDE w:val="0"/>
              <w:autoSpaceDN w:val="0"/>
              <w:adjustRightInd w:val="0"/>
              <w:spacing w:line="300" w:lineRule="exact"/>
              <w:jc w:val="center"/>
              <w:textAlignment w:val="baseline"/>
              <w:rPr>
                <w:rFonts w:hint="eastAsia" w:ascii="宋体" w:hAnsi="宋体" w:cs="宋体"/>
                <w:color w:val="auto"/>
                <w:spacing w:val="-4"/>
                <w:kern w:val="0"/>
                <w:szCs w:val="21"/>
              </w:rPr>
            </w:pPr>
            <w:r>
              <w:rPr>
                <w:rFonts w:hint="eastAsia" w:ascii="宋体" w:hAnsi="宋体"/>
                <w:color w:val="auto"/>
                <w:kern w:val="0"/>
                <w:szCs w:val="21"/>
              </w:rPr>
              <w:t>NO</w:t>
            </w:r>
            <w:r>
              <w:rPr>
                <w:rFonts w:hint="eastAsia" w:ascii="宋体" w:hAnsi="宋体"/>
                <w:color w:val="auto"/>
                <w:kern w:val="0"/>
                <w:szCs w:val="21"/>
                <w:vertAlign w:val="subscript"/>
              </w:rPr>
              <w:t>2</w:t>
            </w:r>
          </w:p>
        </w:tc>
        <w:tc>
          <w:tcPr>
            <w:tcW w:w="935" w:type="pct"/>
            <w:vAlign w:val="center"/>
          </w:tcPr>
          <w:p w14:paraId="50D6CCD6">
            <w:pPr>
              <w:widowControl/>
              <w:overflowPunct w:val="0"/>
              <w:autoSpaceDE w:val="0"/>
              <w:autoSpaceDN w:val="0"/>
              <w:adjustRightInd w:val="0"/>
              <w:spacing w:line="300" w:lineRule="exact"/>
              <w:jc w:val="center"/>
              <w:textAlignment w:val="baseline"/>
              <w:rPr>
                <w:rFonts w:hint="eastAsia" w:ascii="宋体" w:hAnsi="宋体" w:cs="宋体"/>
                <w:color w:val="auto"/>
                <w:spacing w:val="-4"/>
                <w:kern w:val="0"/>
                <w:szCs w:val="21"/>
              </w:rPr>
            </w:pPr>
            <w:r>
              <w:rPr>
                <w:rFonts w:hint="eastAsia" w:ascii="宋体" w:hAnsi="宋体"/>
                <w:color w:val="auto"/>
                <w:kern w:val="0"/>
                <w:szCs w:val="21"/>
              </w:rPr>
              <w:t>年平均值</w:t>
            </w:r>
          </w:p>
        </w:tc>
        <w:tc>
          <w:tcPr>
            <w:tcW w:w="1136" w:type="pct"/>
            <w:vAlign w:val="center"/>
          </w:tcPr>
          <w:p w14:paraId="5B7D0F86">
            <w:pPr>
              <w:widowControl/>
              <w:overflowPunct w:val="0"/>
              <w:autoSpaceDE w:val="0"/>
              <w:autoSpaceDN w:val="0"/>
              <w:adjustRightInd w:val="0"/>
              <w:spacing w:line="300" w:lineRule="exact"/>
              <w:jc w:val="center"/>
              <w:textAlignment w:val="baseline"/>
              <w:rPr>
                <w:rFonts w:hint="eastAsia" w:ascii="宋体" w:hAnsi="宋体" w:cs="宋体"/>
                <w:color w:val="auto"/>
                <w:spacing w:val="-4"/>
                <w:kern w:val="0"/>
                <w:szCs w:val="21"/>
              </w:rPr>
            </w:pPr>
            <w:r>
              <w:rPr>
                <w:rFonts w:hint="eastAsia" w:ascii="宋体" w:hAnsi="宋体"/>
                <w:color w:val="auto"/>
              </w:rPr>
              <w:t>30</w:t>
            </w:r>
          </w:p>
        </w:tc>
        <w:tc>
          <w:tcPr>
            <w:tcW w:w="975" w:type="pct"/>
            <w:vAlign w:val="center"/>
          </w:tcPr>
          <w:p w14:paraId="67C96317">
            <w:pPr>
              <w:widowControl/>
              <w:overflowPunct w:val="0"/>
              <w:autoSpaceDE w:val="0"/>
              <w:autoSpaceDN w:val="0"/>
              <w:adjustRightInd w:val="0"/>
              <w:spacing w:line="300" w:lineRule="exact"/>
              <w:jc w:val="center"/>
              <w:textAlignment w:val="baseline"/>
              <w:rPr>
                <w:rFonts w:hint="eastAsia" w:ascii="宋体" w:hAnsi="宋体" w:cs="宋体"/>
                <w:color w:val="auto"/>
                <w:spacing w:val="-4"/>
                <w:kern w:val="0"/>
                <w:szCs w:val="21"/>
              </w:rPr>
            </w:pPr>
            <w:r>
              <w:rPr>
                <w:rFonts w:hint="eastAsia" w:ascii="宋体" w:hAnsi="宋体"/>
                <w:color w:val="auto"/>
              </w:rPr>
              <w:t>40</w:t>
            </w:r>
          </w:p>
        </w:tc>
        <w:tc>
          <w:tcPr>
            <w:tcW w:w="731" w:type="pct"/>
            <w:vAlign w:val="center"/>
          </w:tcPr>
          <w:p w14:paraId="33EB5A46">
            <w:pPr>
              <w:widowControl/>
              <w:overflowPunct w:val="0"/>
              <w:autoSpaceDE w:val="0"/>
              <w:autoSpaceDN w:val="0"/>
              <w:adjustRightInd w:val="0"/>
              <w:spacing w:line="300" w:lineRule="exact"/>
              <w:jc w:val="center"/>
              <w:textAlignment w:val="baseline"/>
              <w:rPr>
                <w:rFonts w:hint="eastAsia" w:ascii="宋体" w:hAnsi="宋体" w:cs="宋体"/>
                <w:color w:val="auto"/>
                <w:spacing w:val="-4"/>
                <w:kern w:val="0"/>
                <w:szCs w:val="21"/>
              </w:rPr>
            </w:pPr>
            <w:r>
              <w:rPr>
                <w:rFonts w:hint="eastAsia" w:ascii="宋体" w:hAnsi="宋体"/>
                <w:color w:val="auto"/>
              </w:rPr>
              <w:t>75.00</w:t>
            </w:r>
          </w:p>
        </w:tc>
        <w:tc>
          <w:tcPr>
            <w:tcW w:w="615" w:type="pct"/>
            <w:vAlign w:val="center"/>
          </w:tcPr>
          <w:p w14:paraId="66F2FF00">
            <w:pPr>
              <w:widowControl/>
              <w:overflowPunct w:val="0"/>
              <w:autoSpaceDE w:val="0"/>
              <w:autoSpaceDN w:val="0"/>
              <w:adjustRightInd w:val="0"/>
              <w:spacing w:line="300" w:lineRule="exact"/>
              <w:jc w:val="center"/>
              <w:textAlignment w:val="baseline"/>
              <w:rPr>
                <w:rFonts w:hint="eastAsia" w:ascii="宋体" w:hAnsi="宋体" w:cs="宋体"/>
                <w:color w:val="auto"/>
                <w:spacing w:val="-4"/>
                <w:kern w:val="0"/>
                <w:szCs w:val="21"/>
              </w:rPr>
            </w:pPr>
            <w:r>
              <w:rPr>
                <w:rFonts w:hint="eastAsia" w:ascii="宋体" w:hAnsi="宋体"/>
                <w:color w:val="auto"/>
              </w:rPr>
              <w:t>达标</w:t>
            </w:r>
          </w:p>
        </w:tc>
      </w:tr>
      <w:tr w14:paraId="46FBD6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608" w:type="pct"/>
            <w:vAlign w:val="center"/>
          </w:tcPr>
          <w:p w14:paraId="584B1A07">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kern w:val="0"/>
                <w:szCs w:val="21"/>
              </w:rPr>
              <w:t>PM</w:t>
            </w:r>
            <w:r>
              <w:rPr>
                <w:rFonts w:hint="eastAsia" w:ascii="宋体" w:hAnsi="宋体"/>
                <w:color w:val="auto"/>
                <w:kern w:val="0"/>
                <w:szCs w:val="21"/>
                <w:vertAlign w:val="subscript"/>
              </w:rPr>
              <w:t>10</w:t>
            </w:r>
          </w:p>
        </w:tc>
        <w:tc>
          <w:tcPr>
            <w:tcW w:w="935" w:type="pct"/>
            <w:vAlign w:val="center"/>
          </w:tcPr>
          <w:p w14:paraId="5432662B">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kern w:val="0"/>
                <w:szCs w:val="21"/>
              </w:rPr>
              <w:t>年平均值</w:t>
            </w:r>
          </w:p>
        </w:tc>
        <w:tc>
          <w:tcPr>
            <w:tcW w:w="1136" w:type="pct"/>
            <w:vAlign w:val="center"/>
          </w:tcPr>
          <w:p w14:paraId="2C86617B">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rPr>
              <w:t>70</w:t>
            </w:r>
          </w:p>
        </w:tc>
        <w:tc>
          <w:tcPr>
            <w:tcW w:w="975" w:type="pct"/>
            <w:vAlign w:val="center"/>
          </w:tcPr>
          <w:p w14:paraId="3A5667B4">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rPr>
              <w:t>60</w:t>
            </w:r>
          </w:p>
        </w:tc>
        <w:tc>
          <w:tcPr>
            <w:tcW w:w="731" w:type="pct"/>
            <w:vAlign w:val="center"/>
          </w:tcPr>
          <w:p w14:paraId="1FD52AD3">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rPr>
              <w:t>116.67</w:t>
            </w:r>
          </w:p>
        </w:tc>
        <w:tc>
          <w:tcPr>
            <w:tcW w:w="615" w:type="pct"/>
            <w:vAlign w:val="center"/>
          </w:tcPr>
          <w:p w14:paraId="4FD8B09A">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rPr>
              <w:t>超标</w:t>
            </w:r>
          </w:p>
        </w:tc>
      </w:tr>
      <w:tr w14:paraId="6726B4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8" w:hRule="atLeast"/>
          <w:jc w:val="center"/>
        </w:trPr>
        <w:tc>
          <w:tcPr>
            <w:tcW w:w="608" w:type="pct"/>
            <w:vAlign w:val="center"/>
          </w:tcPr>
          <w:p w14:paraId="4661663C">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kern w:val="0"/>
                <w:szCs w:val="21"/>
              </w:rPr>
              <w:t>PM</w:t>
            </w:r>
            <w:r>
              <w:rPr>
                <w:rFonts w:hint="eastAsia" w:ascii="宋体" w:hAnsi="宋体"/>
                <w:color w:val="auto"/>
                <w:kern w:val="0"/>
                <w:szCs w:val="21"/>
                <w:vertAlign w:val="subscript"/>
              </w:rPr>
              <w:t>2.5</w:t>
            </w:r>
          </w:p>
        </w:tc>
        <w:tc>
          <w:tcPr>
            <w:tcW w:w="935" w:type="pct"/>
            <w:vAlign w:val="center"/>
          </w:tcPr>
          <w:p w14:paraId="219BF54C">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kern w:val="0"/>
                <w:szCs w:val="21"/>
              </w:rPr>
              <w:t>年平均值</w:t>
            </w:r>
          </w:p>
        </w:tc>
        <w:tc>
          <w:tcPr>
            <w:tcW w:w="1136" w:type="pct"/>
            <w:vAlign w:val="center"/>
          </w:tcPr>
          <w:p w14:paraId="771E34DB">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rPr>
              <w:t>40</w:t>
            </w:r>
          </w:p>
        </w:tc>
        <w:tc>
          <w:tcPr>
            <w:tcW w:w="975" w:type="pct"/>
            <w:vAlign w:val="center"/>
          </w:tcPr>
          <w:p w14:paraId="5CDEA400">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rPr>
              <w:t>30</w:t>
            </w:r>
          </w:p>
        </w:tc>
        <w:tc>
          <w:tcPr>
            <w:tcW w:w="731" w:type="pct"/>
            <w:vAlign w:val="center"/>
          </w:tcPr>
          <w:p w14:paraId="64468A4F">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rPr>
              <w:t>133.33</w:t>
            </w:r>
          </w:p>
        </w:tc>
        <w:tc>
          <w:tcPr>
            <w:tcW w:w="615" w:type="pct"/>
            <w:vAlign w:val="center"/>
          </w:tcPr>
          <w:p w14:paraId="0134F1A3">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rPr>
              <w:t>超标</w:t>
            </w:r>
          </w:p>
        </w:tc>
      </w:tr>
      <w:tr w14:paraId="70E470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608" w:type="pct"/>
            <w:vAlign w:val="center"/>
          </w:tcPr>
          <w:p w14:paraId="52D965DA">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kern w:val="0"/>
                <w:szCs w:val="21"/>
              </w:rPr>
              <w:t>CO</w:t>
            </w:r>
          </w:p>
        </w:tc>
        <w:tc>
          <w:tcPr>
            <w:tcW w:w="935" w:type="pct"/>
            <w:vAlign w:val="center"/>
          </w:tcPr>
          <w:p w14:paraId="792537E8">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kern w:val="0"/>
                <w:szCs w:val="21"/>
              </w:rPr>
              <w:t>24小时平均第95百分位数</w:t>
            </w:r>
          </w:p>
        </w:tc>
        <w:tc>
          <w:tcPr>
            <w:tcW w:w="1136" w:type="pct"/>
            <w:vAlign w:val="center"/>
          </w:tcPr>
          <w:p w14:paraId="23DEA5B6">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rPr>
              <w:t>1.8(mg/m</w:t>
            </w:r>
            <w:r>
              <w:rPr>
                <w:rFonts w:hint="eastAsia" w:ascii="宋体" w:hAnsi="宋体"/>
                <w:color w:val="auto"/>
                <w:vertAlign w:val="superscript"/>
              </w:rPr>
              <w:t>3</w:t>
            </w:r>
            <w:r>
              <w:rPr>
                <w:rFonts w:hint="eastAsia" w:ascii="宋体" w:hAnsi="宋体"/>
                <w:color w:val="auto"/>
              </w:rPr>
              <w:t>)</w:t>
            </w:r>
          </w:p>
        </w:tc>
        <w:tc>
          <w:tcPr>
            <w:tcW w:w="975" w:type="pct"/>
            <w:vAlign w:val="center"/>
          </w:tcPr>
          <w:p w14:paraId="2F87F648">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rPr>
              <w:t>4(mg/m</w:t>
            </w:r>
            <w:r>
              <w:rPr>
                <w:rFonts w:hint="eastAsia" w:ascii="宋体" w:hAnsi="宋体"/>
                <w:color w:val="auto"/>
                <w:vertAlign w:val="superscript"/>
              </w:rPr>
              <w:t>3</w:t>
            </w:r>
            <w:r>
              <w:rPr>
                <w:rFonts w:hint="eastAsia" w:ascii="宋体" w:hAnsi="宋体"/>
                <w:color w:val="auto"/>
              </w:rPr>
              <w:t>)</w:t>
            </w:r>
          </w:p>
        </w:tc>
        <w:tc>
          <w:tcPr>
            <w:tcW w:w="731" w:type="pct"/>
            <w:vAlign w:val="center"/>
          </w:tcPr>
          <w:p w14:paraId="0E0006B8">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rPr>
              <w:t>45.00</w:t>
            </w:r>
          </w:p>
        </w:tc>
        <w:tc>
          <w:tcPr>
            <w:tcW w:w="615" w:type="pct"/>
            <w:vAlign w:val="center"/>
          </w:tcPr>
          <w:p w14:paraId="320E7D2A">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rPr>
              <w:t>达标</w:t>
            </w:r>
          </w:p>
        </w:tc>
      </w:tr>
      <w:tr w14:paraId="7D0156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608" w:type="pct"/>
            <w:vAlign w:val="center"/>
          </w:tcPr>
          <w:p w14:paraId="06B13A5C">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kern w:val="0"/>
                <w:szCs w:val="21"/>
              </w:rPr>
              <w:t>O</w:t>
            </w:r>
            <w:r>
              <w:rPr>
                <w:rFonts w:hint="eastAsia" w:ascii="宋体" w:hAnsi="宋体"/>
                <w:color w:val="auto"/>
                <w:kern w:val="0"/>
                <w:szCs w:val="21"/>
                <w:vertAlign w:val="subscript"/>
              </w:rPr>
              <w:t>3</w:t>
            </w:r>
          </w:p>
        </w:tc>
        <w:tc>
          <w:tcPr>
            <w:tcW w:w="935" w:type="pct"/>
            <w:vAlign w:val="center"/>
          </w:tcPr>
          <w:p w14:paraId="58188934">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kern w:val="0"/>
                <w:szCs w:val="21"/>
              </w:rPr>
              <w:t>最大8小时平均第90百分位数</w:t>
            </w:r>
          </w:p>
        </w:tc>
        <w:tc>
          <w:tcPr>
            <w:tcW w:w="1136" w:type="pct"/>
            <w:vAlign w:val="center"/>
          </w:tcPr>
          <w:p w14:paraId="4054690E">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rPr>
              <w:t>134</w:t>
            </w:r>
          </w:p>
        </w:tc>
        <w:tc>
          <w:tcPr>
            <w:tcW w:w="975" w:type="pct"/>
            <w:vAlign w:val="center"/>
          </w:tcPr>
          <w:p w14:paraId="014F1DC6">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rPr>
              <w:t>160</w:t>
            </w:r>
          </w:p>
        </w:tc>
        <w:tc>
          <w:tcPr>
            <w:tcW w:w="731" w:type="pct"/>
            <w:vAlign w:val="center"/>
          </w:tcPr>
          <w:p w14:paraId="5335E6AE">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rPr>
              <w:t>83.75</w:t>
            </w:r>
          </w:p>
        </w:tc>
        <w:tc>
          <w:tcPr>
            <w:tcW w:w="615" w:type="pct"/>
            <w:vAlign w:val="center"/>
          </w:tcPr>
          <w:p w14:paraId="55DF926E">
            <w:pPr>
              <w:widowControl/>
              <w:overflowPunct w:val="0"/>
              <w:autoSpaceDE w:val="0"/>
              <w:autoSpaceDN w:val="0"/>
              <w:adjustRightInd w:val="0"/>
              <w:spacing w:line="300" w:lineRule="exact"/>
              <w:jc w:val="center"/>
              <w:textAlignment w:val="baseline"/>
              <w:rPr>
                <w:rFonts w:hint="eastAsia" w:ascii="宋体" w:hAnsi="宋体"/>
                <w:color w:val="auto"/>
                <w:kern w:val="0"/>
                <w:szCs w:val="21"/>
              </w:rPr>
            </w:pPr>
            <w:r>
              <w:rPr>
                <w:rFonts w:hint="eastAsia" w:ascii="宋体" w:hAnsi="宋体"/>
                <w:color w:val="auto"/>
              </w:rPr>
              <w:t>达标</w:t>
            </w:r>
          </w:p>
        </w:tc>
      </w:tr>
      <w:bookmarkEnd w:id="362"/>
    </w:tbl>
    <w:p w14:paraId="37609D2F">
      <w:pPr>
        <w:pStyle w:val="86"/>
        <w:spacing w:line="480" w:lineRule="exact"/>
        <w:ind w:firstLine="480"/>
        <w:rPr>
          <w:rFonts w:hint="eastAsia"/>
          <w:color w:val="auto"/>
        </w:rPr>
      </w:pPr>
      <w:r>
        <w:rPr>
          <w:rFonts w:hint="eastAsia"/>
          <w:color w:val="auto"/>
        </w:rPr>
        <w:t>（2）特征污染因子环境质量现状评价</w:t>
      </w:r>
    </w:p>
    <w:p w14:paraId="107AD38B">
      <w:pPr>
        <w:pStyle w:val="86"/>
        <w:spacing w:line="480" w:lineRule="exact"/>
        <w:ind w:firstLine="480"/>
        <w:rPr>
          <w:rFonts w:hint="eastAsia"/>
          <w:color w:val="auto"/>
        </w:rPr>
      </w:pPr>
      <w:r>
        <w:rPr>
          <w:rFonts w:hint="eastAsia"/>
          <w:color w:val="auto"/>
        </w:rPr>
        <w:t>①监测因子及监测点位</w:t>
      </w:r>
    </w:p>
    <w:p w14:paraId="53122934">
      <w:pPr>
        <w:pStyle w:val="86"/>
        <w:spacing w:line="480" w:lineRule="exact"/>
        <w:ind w:firstLine="480"/>
        <w:rPr>
          <w:rFonts w:hint="eastAsia"/>
          <w:color w:val="auto"/>
        </w:rPr>
      </w:pPr>
      <w:r>
        <w:rPr>
          <w:rFonts w:hint="eastAsia"/>
          <w:color w:val="auto"/>
        </w:rPr>
        <w:t>根据方案可知，天然气中未检出硫化氢，为保留本底值，本次评价对非甲烷总烃、硫化氢进行实测。</w:t>
      </w:r>
    </w:p>
    <w:p w14:paraId="7AC38215">
      <w:pPr>
        <w:pStyle w:val="86"/>
        <w:spacing w:line="480" w:lineRule="exact"/>
        <w:ind w:firstLine="480"/>
        <w:rPr>
          <w:rFonts w:hint="eastAsia"/>
          <w:color w:val="auto"/>
        </w:rPr>
      </w:pPr>
      <w:r>
        <w:rPr>
          <w:rFonts w:hint="eastAsia"/>
          <w:color w:val="auto"/>
        </w:rPr>
        <w:t>监测点位：</w:t>
      </w:r>
      <w:bookmarkStart w:id="363" w:name="_Hlk92219580"/>
      <w:r>
        <w:rPr>
          <w:rFonts w:hint="eastAsia" w:cs="宋体"/>
          <w:color w:val="auto"/>
        </w:rPr>
        <w:t>本次在莫172H井场处及其主导下风向13</w:t>
      </w:r>
      <w:r>
        <w:rPr>
          <w:rFonts w:cs="宋体"/>
          <w:color w:val="auto"/>
        </w:rPr>
        <w:t>00m</w:t>
      </w:r>
      <w:r>
        <w:rPr>
          <w:rFonts w:hint="eastAsia" w:cs="宋体"/>
          <w:color w:val="auto"/>
        </w:rPr>
        <w:t>处各布设1个监测点，共布设2个大气监测点</w:t>
      </w:r>
      <w:r>
        <w:rPr>
          <w:rFonts w:hint="eastAsia"/>
          <w:color w:val="auto"/>
        </w:rPr>
        <w:t>，监测点坐标</w:t>
      </w:r>
      <w:bookmarkEnd w:id="363"/>
      <w:r>
        <w:rPr>
          <w:rFonts w:hint="eastAsia"/>
          <w:color w:val="auto"/>
        </w:rPr>
        <w:t>见表</w:t>
      </w:r>
      <w:r>
        <w:rPr>
          <w:color w:val="auto"/>
        </w:rPr>
        <w:t>4.3-2</w:t>
      </w:r>
      <w:r>
        <w:rPr>
          <w:rFonts w:hint="eastAsia"/>
          <w:color w:val="auto"/>
        </w:rPr>
        <w:t>和图4.3-1。</w:t>
      </w:r>
    </w:p>
    <w:p w14:paraId="396269CC">
      <w:pPr>
        <w:spacing w:line="500" w:lineRule="exact"/>
        <w:jc w:val="center"/>
        <w:rPr>
          <w:rFonts w:hint="eastAsia" w:ascii="黑体" w:hAnsi="黑体" w:eastAsia="黑体"/>
          <w:bCs/>
          <w:color w:val="auto"/>
          <w:szCs w:val="21"/>
        </w:rPr>
      </w:pPr>
      <w:r>
        <w:rPr>
          <w:rFonts w:hint="eastAsia" w:ascii="黑体" w:hAnsi="黑体" w:eastAsia="黑体"/>
          <w:bCs/>
          <w:color w:val="auto"/>
          <w:szCs w:val="21"/>
        </w:rPr>
        <w:t>表</w:t>
      </w:r>
      <w:r>
        <w:rPr>
          <w:rFonts w:ascii="黑体" w:hAnsi="黑体" w:eastAsia="黑体"/>
          <w:bCs/>
          <w:color w:val="auto"/>
          <w:szCs w:val="21"/>
        </w:rPr>
        <w:t xml:space="preserve">4.3-2  </w:t>
      </w:r>
      <w:r>
        <w:rPr>
          <w:rFonts w:hint="eastAsia" w:ascii="黑体" w:hAnsi="黑体" w:eastAsia="黑体"/>
          <w:bCs/>
          <w:color w:val="auto"/>
          <w:szCs w:val="21"/>
        </w:rPr>
        <w:t>大气监测点坐标一览表</w:t>
      </w:r>
    </w:p>
    <w:tbl>
      <w:tblPr>
        <w:tblStyle w:val="51"/>
        <w:tblW w:w="487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3874"/>
        <w:gridCol w:w="2085"/>
        <w:gridCol w:w="2025"/>
      </w:tblGrid>
      <w:tr w14:paraId="5CE322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pct"/>
            <w:vMerge w:val="restart"/>
            <w:vAlign w:val="center"/>
          </w:tcPr>
          <w:p w14:paraId="0F818EDB">
            <w:pPr>
              <w:pStyle w:val="296"/>
              <w:adjustRightInd w:val="0"/>
              <w:snapToGrid w:val="0"/>
              <w:spacing w:line="300" w:lineRule="exact"/>
              <w:rPr>
                <w:rFonts w:hint="eastAsia"/>
                <w:color w:val="auto"/>
              </w:rPr>
            </w:pPr>
            <w:r>
              <w:rPr>
                <w:rFonts w:hint="eastAsia"/>
                <w:color w:val="auto"/>
              </w:rPr>
              <w:t>序号</w:t>
            </w:r>
          </w:p>
        </w:tc>
        <w:tc>
          <w:tcPr>
            <w:tcW w:w="2218" w:type="pct"/>
            <w:vMerge w:val="restart"/>
            <w:vAlign w:val="center"/>
          </w:tcPr>
          <w:p w14:paraId="78520F91">
            <w:pPr>
              <w:pStyle w:val="296"/>
              <w:adjustRightInd w:val="0"/>
              <w:snapToGrid w:val="0"/>
              <w:spacing w:line="300" w:lineRule="exact"/>
              <w:rPr>
                <w:rFonts w:hint="eastAsia"/>
                <w:color w:val="auto"/>
              </w:rPr>
            </w:pPr>
            <w:r>
              <w:rPr>
                <w:rFonts w:hint="eastAsia"/>
                <w:color w:val="auto"/>
              </w:rPr>
              <w:t>监测点描述</w:t>
            </w:r>
          </w:p>
        </w:tc>
        <w:tc>
          <w:tcPr>
            <w:tcW w:w="2353" w:type="pct"/>
            <w:gridSpan w:val="2"/>
            <w:vAlign w:val="center"/>
          </w:tcPr>
          <w:p w14:paraId="7F2C2DBA">
            <w:pPr>
              <w:pStyle w:val="296"/>
              <w:adjustRightInd w:val="0"/>
              <w:snapToGrid w:val="0"/>
              <w:spacing w:line="300" w:lineRule="exact"/>
              <w:rPr>
                <w:rFonts w:hint="eastAsia" w:cs="宋体"/>
                <w:color w:val="auto"/>
              </w:rPr>
            </w:pPr>
            <w:r>
              <w:rPr>
                <w:rFonts w:hint="eastAsia" w:cs="宋体"/>
                <w:color w:val="auto"/>
              </w:rPr>
              <w:t>坐标</w:t>
            </w:r>
          </w:p>
        </w:tc>
      </w:tr>
      <w:tr w14:paraId="772CED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pct"/>
            <w:vMerge w:val="continue"/>
            <w:vAlign w:val="center"/>
          </w:tcPr>
          <w:p w14:paraId="10B8BBB4">
            <w:pPr>
              <w:pStyle w:val="296"/>
              <w:adjustRightInd w:val="0"/>
              <w:snapToGrid w:val="0"/>
              <w:spacing w:line="300" w:lineRule="exact"/>
              <w:rPr>
                <w:rFonts w:hint="eastAsia"/>
                <w:color w:val="auto"/>
              </w:rPr>
            </w:pPr>
          </w:p>
        </w:tc>
        <w:tc>
          <w:tcPr>
            <w:tcW w:w="2218" w:type="pct"/>
            <w:vMerge w:val="continue"/>
            <w:vAlign w:val="center"/>
          </w:tcPr>
          <w:p w14:paraId="1A05925A">
            <w:pPr>
              <w:pStyle w:val="296"/>
              <w:adjustRightInd w:val="0"/>
              <w:snapToGrid w:val="0"/>
              <w:spacing w:line="300" w:lineRule="exact"/>
              <w:rPr>
                <w:rFonts w:hint="eastAsia"/>
                <w:color w:val="auto"/>
              </w:rPr>
            </w:pPr>
          </w:p>
        </w:tc>
        <w:tc>
          <w:tcPr>
            <w:tcW w:w="1194" w:type="pct"/>
            <w:vAlign w:val="center"/>
          </w:tcPr>
          <w:p w14:paraId="62CC55BE">
            <w:pPr>
              <w:pStyle w:val="296"/>
              <w:adjustRightInd w:val="0"/>
              <w:snapToGrid w:val="0"/>
              <w:spacing w:line="300" w:lineRule="exact"/>
              <w:rPr>
                <w:rFonts w:hint="eastAsia"/>
                <w:color w:val="auto"/>
              </w:rPr>
            </w:pPr>
            <w:r>
              <w:rPr>
                <w:rFonts w:hint="eastAsia"/>
                <w:color w:val="auto"/>
              </w:rPr>
              <w:t>N</w:t>
            </w:r>
          </w:p>
        </w:tc>
        <w:tc>
          <w:tcPr>
            <w:tcW w:w="1159" w:type="pct"/>
            <w:vAlign w:val="center"/>
          </w:tcPr>
          <w:p w14:paraId="54024C10">
            <w:pPr>
              <w:pStyle w:val="296"/>
              <w:adjustRightInd w:val="0"/>
              <w:snapToGrid w:val="0"/>
              <w:spacing w:line="300" w:lineRule="exact"/>
              <w:rPr>
                <w:rFonts w:hint="eastAsia"/>
                <w:color w:val="auto"/>
              </w:rPr>
            </w:pPr>
            <w:r>
              <w:rPr>
                <w:rFonts w:hint="eastAsia"/>
                <w:color w:val="auto"/>
              </w:rPr>
              <w:t>E</w:t>
            </w:r>
          </w:p>
        </w:tc>
      </w:tr>
      <w:tr w14:paraId="0332DA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427" w:type="pct"/>
            <w:vAlign w:val="center"/>
          </w:tcPr>
          <w:p w14:paraId="11940915">
            <w:pPr>
              <w:pStyle w:val="296"/>
              <w:adjustRightInd w:val="0"/>
              <w:snapToGrid w:val="0"/>
              <w:spacing w:line="300" w:lineRule="exact"/>
              <w:rPr>
                <w:rFonts w:hint="eastAsia"/>
                <w:color w:val="auto"/>
              </w:rPr>
            </w:pPr>
            <w:r>
              <w:rPr>
                <w:rFonts w:hint="eastAsia"/>
                <w:color w:val="auto"/>
              </w:rPr>
              <w:t>G</w:t>
            </w:r>
            <w:r>
              <w:rPr>
                <w:color w:val="auto"/>
              </w:rPr>
              <w:t>1</w:t>
            </w:r>
          </w:p>
        </w:tc>
        <w:tc>
          <w:tcPr>
            <w:tcW w:w="2218" w:type="pct"/>
            <w:vAlign w:val="center"/>
          </w:tcPr>
          <w:p w14:paraId="772D1868">
            <w:pPr>
              <w:pStyle w:val="296"/>
              <w:adjustRightInd w:val="0"/>
              <w:snapToGrid w:val="0"/>
              <w:spacing w:line="300" w:lineRule="exact"/>
              <w:rPr>
                <w:rFonts w:hint="eastAsia"/>
                <w:color w:val="auto"/>
              </w:rPr>
            </w:pPr>
            <w:r>
              <w:rPr>
                <w:rFonts w:hint="eastAsia" w:cs="宋体"/>
                <w:color w:val="auto"/>
              </w:rPr>
              <w:t>莫172H井</w:t>
            </w:r>
            <w:r>
              <w:rPr>
                <w:rFonts w:hint="eastAsia"/>
                <w:color w:val="auto"/>
              </w:rPr>
              <w:t>井场处</w:t>
            </w:r>
          </w:p>
        </w:tc>
        <w:tc>
          <w:tcPr>
            <w:tcW w:w="1194" w:type="pct"/>
            <w:vAlign w:val="center"/>
          </w:tcPr>
          <w:p w14:paraId="180E4D50">
            <w:pPr>
              <w:pStyle w:val="296"/>
              <w:adjustRightInd w:val="0"/>
              <w:snapToGrid w:val="0"/>
              <w:spacing w:line="300" w:lineRule="exact"/>
              <w:rPr>
                <w:rFonts w:hint="eastAsia"/>
                <w:color w:val="auto"/>
              </w:rPr>
            </w:pPr>
            <w:r>
              <w:rPr>
                <w:color w:val="auto"/>
              </w:rPr>
              <w:t>45°8'8.86"</w:t>
            </w:r>
          </w:p>
        </w:tc>
        <w:tc>
          <w:tcPr>
            <w:tcW w:w="1159" w:type="pct"/>
            <w:vAlign w:val="center"/>
          </w:tcPr>
          <w:p w14:paraId="77B8AF88">
            <w:pPr>
              <w:pStyle w:val="296"/>
              <w:adjustRightInd w:val="0"/>
              <w:snapToGrid w:val="0"/>
              <w:spacing w:line="300" w:lineRule="exact"/>
              <w:rPr>
                <w:rFonts w:hint="eastAsia"/>
                <w:color w:val="auto"/>
              </w:rPr>
            </w:pPr>
            <w:r>
              <w:rPr>
                <w:color w:val="auto"/>
              </w:rPr>
              <w:t>86°27'56.46"</w:t>
            </w:r>
          </w:p>
        </w:tc>
      </w:tr>
      <w:tr w14:paraId="357C6E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pct"/>
            <w:vAlign w:val="center"/>
          </w:tcPr>
          <w:p w14:paraId="50F3A3A1">
            <w:pPr>
              <w:pStyle w:val="296"/>
              <w:adjustRightInd w:val="0"/>
              <w:snapToGrid w:val="0"/>
              <w:spacing w:line="300" w:lineRule="exact"/>
              <w:rPr>
                <w:rFonts w:hint="eastAsia"/>
                <w:color w:val="auto"/>
              </w:rPr>
            </w:pPr>
            <w:r>
              <w:rPr>
                <w:rFonts w:hint="eastAsia"/>
                <w:color w:val="auto"/>
              </w:rPr>
              <w:t>G</w:t>
            </w:r>
            <w:r>
              <w:rPr>
                <w:color w:val="auto"/>
              </w:rPr>
              <w:t>2</w:t>
            </w:r>
          </w:p>
        </w:tc>
        <w:tc>
          <w:tcPr>
            <w:tcW w:w="2218" w:type="pct"/>
            <w:vAlign w:val="center"/>
          </w:tcPr>
          <w:p w14:paraId="2DD92B43">
            <w:pPr>
              <w:pStyle w:val="296"/>
              <w:adjustRightInd w:val="0"/>
              <w:snapToGrid w:val="0"/>
              <w:spacing w:line="300" w:lineRule="exact"/>
              <w:rPr>
                <w:rFonts w:hint="eastAsia"/>
                <w:color w:val="auto"/>
              </w:rPr>
            </w:pPr>
            <w:r>
              <w:rPr>
                <w:rFonts w:hint="eastAsia" w:cs="宋体"/>
                <w:color w:val="auto"/>
              </w:rPr>
              <w:t>莫172H井</w:t>
            </w:r>
            <w:r>
              <w:rPr>
                <w:rFonts w:hint="eastAsia"/>
                <w:color w:val="auto"/>
              </w:rPr>
              <w:t>井场下风向13</w:t>
            </w:r>
            <w:r>
              <w:rPr>
                <w:color w:val="auto"/>
              </w:rPr>
              <w:t>00m</w:t>
            </w:r>
            <w:r>
              <w:rPr>
                <w:rFonts w:hint="eastAsia"/>
                <w:color w:val="auto"/>
              </w:rPr>
              <w:t>处</w:t>
            </w:r>
          </w:p>
        </w:tc>
        <w:tc>
          <w:tcPr>
            <w:tcW w:w="1194" w:type="pct"/>
            <w:vAlign w:val="center"/>
          </w:tcPr>
          <w:p w14:paraId="7F5D76AA">
            <w:pPr>
              <w:pStyle w:val="296"/>
              <w:adjustRightInd w:val="0"/>
              <w:snapToGrid w:val="0"/>
              <w:spacing w:line="300" w:lineRule="exact"/>
              <w:rPr>
                <w:rFonts w:hint="eastAsia"/>
                <w:color w:val="auto"/>
              </w:rPr>
            </w:pPr>
            <w:r>
              <w:rPr>
                <w:rFonts w:hint="eastAsia" w:cs="宋体"/>
                <w:color w:val="auto"/>
              </w:rPr>
              <w:t>45°8'50.79"</w:t>
            </w:r>
          </w:p>
        </w:tc>
        <w:tc>
          <w:tcPr>
            <w:tcW w:w="1159" w:type="pct"/>
            <w:vAlign w:val="center"/>
          </w:tcPr>
          <w:p w14:paraId="3F9E42FB">
            <w:pPr>
              <w:pStyle w:val="296"/>
              <w:adjustRightInd w:val="0"/>
              <w:snapToGrid w:val="0"/>
              <w:spacing w:line="300" w:lineRule="exact"/>
              <w:rPr>
                <w:rFonts w:hint="eastAsia"/>
                <w:color w:val="auto"/>
              </w:rPr>
            </w:pPr>
            <w:r>
              <w:rPr>
                <w:rFonts w:hint="eastAsia" w:cs="宋体"/>
                <w:color w:val="auto"/>
              </w:rPr>
              <w:t>86°28'10.32"</w:t>
            </w:r>
          </w:p>
        </w:tc>
      </w:tr>
    </w:tbl>
    <w:p w14:paraId="01A14983">
      <w:pPr>
        <w:pStyle w:val="86"/>
        <w:spacing w:line="480" w:lineRule="exact"/>
        <w:ind w:firstLine="480" w:firstLineChars="0"/>
        <w:rPr>
          <w:rFonts w:hint="eastAsia"/>
          <w:color w:val="auto"/>
        </w:rPr>
      </w:pPr>
      <w:r>
        <w:rPr>
          <w:rFonts w:hint="eastAsia"/>
          <w:color w:val="auto"/>
        </w:rPr>
        <w:t>②监测频次</w:t>
      </w:r>
    </w:p>
    <w:p w14:paraId="238DD486">
      <w:pPr>
        <w:pStyle w:val="86"/>
        <w:spacing w:line="480" w:lineRule="exact"/>
        <w:ind w:firstLine="480" w:firstLineChars="0"/>
        <w:rPr>
          <w:rFonts w:hint="eastAsia"/>
          <w:color w:val="auto"/>
        </w:rPr>
      </w:pPr>
      <w:r>
        <w:rPr>
          <w:rFonts w:hint="eastAsia"/>
          <w:color w:val="auto"/>
        </w:rPr>
        <w:t>非甲烷总烃和硫化氢均连续监测7天，其中非甲烷总烃每天测4次，每次取4次样；硫化氢每天测4次。</w:t>
      </w:r>
    </w:p>
    <w:p w14:paraId="131ED96C">
      <w:pPr>
        <w:pStyle w:val="86"/>
        <w:spacing w:line="480" w:lineRule="exact"/>
        <w:ind w:firstLine="480" w:firstLineChars="0"/>
        <w:rPr>
          <w:rFonts w:hint="eastAsia"/>
          <w:color w:val="auto"/>
        </w:rPr>
      </w:pPr>
      <w:r>
        <w:rPr>
          <w:rFonts w:hint="eastAsia"/>
          <w:color w:val="auto"/>
        </w:rPr>
        <w:t>③监测时间及监测单位</w:t>
      </w:r>
    </w:p>
    <w:p w14:paraId="2187C0D1">
      <w:pPr>
        <w:pStyle w:val="86"/>
        <w:spacing w:line="480" w:lineRule="exact"/>
        <w:ind w:firstLine="480"/>
        <w:rPr>
          <w:rFonts w:hint="eastAsia"/>
          <w:color w:val="auto"/>
        </w:rPr>
      </w:pPr>
      <w:r>
        <w:rPr>
          <w:rFonts w:hint="eastAsia"/>
          <w:color w:val="auto"/>
        </w:rPr>
        <w:t>监测时间：2025年12月9日～12月15日。</w:t>
      </w:r>
    </w:p>
    <w:p w14:paraId="6FFCD313">
      <w:pPr>
        <w:pStyle w:val="86"/>
        <w:spacing w:line="480" w:lineRule="exact"/>
        <w:ind w:firstLine="480"/>
        <w:rPr>
          <w:rFonts w:hint="eastAsia"/>
          <w:color w:val="auto"/>
        </w:rPr>
      </w:pPr>
      <w:r>
        <w:rPr>
          <w:rFonts w:hint="eastAsia"/>
          <w:color w:val="auto"/>
        </w:rPr>
        <w:t>监测单位：新疆中检联检测有限公司。</w:t>
      </w:r>
    </w:p>
    <w:p w14:paraId="513A6A7D">
      <w:pPr>
        <w:pStyle w:val="86"/>
        <w:spacing w:line="480" w:lineRule="exact"/>
        <w:ind w:firstLine="480"/>
        <w:rPr>
          <w:rFonts w:hint="eastAsia"/>
          <w:color w:val="auto"/>
        </w:rPr>
      </w:pPr>
      <w:r>
        <w:rPr>
          <w:rFonts w:hint="eastAsia"/>
          <w:color w:val="auto"/>
        </w:rPr>
        <w:t>④评价标准</w:t>
      </w:r>
    </w:p>
    <w:p w14:paraId="491412E7">
      <w:pPr>
        <w:pStyle w:val="86"/>
        <w:spacing w:line="480" w:lineRule="exact"/>
        <w:ind w:firstLine="480"/>
        <w:rPr>
          <w:rFonts w:hint="eastAsia"/>
          <w:color w:val="auto"/>
        </w:rPr>
      </w:pPr>
      <w:r>
        <w:rPr>
          <w:rFonts w:hint="eastAsia"/>
          <w:color w:val="auto"/>
        </w:rPr>
        <w:t>NMHC参照执行《〈大气污染物综合排放标准〉详解》中的推荐值2.0mg/m</w:t>
      </w:r>
      <w:r>
        <w:rPr>
          <w:rFonts w:hint="eastAsia"/>
          <w:color w:val="auto"/>
          <w:vertAlign w:val="superscript"/>
        </w:rPr>
        <w:t>3</w:t>
      </w:r>
      <w:r>
        <w:rPr>
          <w:rFonts w:hint="eastAsia"/>
          <w:color w:val="auto"/>
        </w:rPr>
        <w:t>执行，H</w:t>
      </w:r>
      <w:r>
        <w:rPr>
          <w:rFonts w:hint="eastAsia"/>
          <w:color w:val="auto"/>
          <w:vertAlign w:val="subscript"/>
        </w:rPr>
        <w:t>2</w:t>
      </w:r>
      <w:r>
        <w:rPr>
          <w:rFonts w:hint="eastAsia"/>
          <w:color w:val="auto"/>
        </w:rPr>
        <w:t>S执行《环境影响评价技术导则大气环境》（</w:t>
      </w:r>
      <w:r>
        <w:rPr>
          <w:color w:val="auto"/>
        </w:rPr>
        <w:t>HJ2.2-2018）附录D中</w:t>
      </w:r>
      <w:r>
        <w:rPr>
          <w:rFonts w:hint="eastAsia"/>
          <w:color w:val="auto"/>
        </w:rPr>
        <w:t>推荐值。</w:t>
      </w:r>
    </w:p>
    <w:p w14:paraId="22260B6D">
      <w:pPr>
        <w:spacing w:line="360" w:lineRule="auto"/>
        <w:jc w:val="center"/>
        <w:rPr>
          <w:rFonts w:hint="eastAsia" w:ascii="黑体" w:hAnsi="黑体" w:eastAsia="黑体"/>
          <w:bCs/>
          <w:color w:val="auto"/>
          <w:szCs w:val="21"/>
        </w:rPr>
      </w:pPr>
      <w:r>
        <w:rPr>
          <w:color w:val="auto"/>
        </w:rPr>
        <w:drawing>
          <wp:inline distT="0" distB="0" distL="0" distR="0">
            <wp:extent cx="5177790" cy="3725545"/>
            <wp:effectExtent l="0" t="0" r="3810" b="8255"/>
            <wp:docPr id="191461705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17059" name="图片 5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5180980" cy="3728169"/>
                    </a:xfrm>
                    <a:prstGeom prst="rect">
                      <a:avLst/>
                    </a:prstGeom>
                    <a:noFill/>
                    <a:ln>
                      <a:noFill/>
                    </a:ln>
                  </pic:spPr>
                </pic:pic>
              </a:graphicData>
            </a:graphic>
          </wp:inline>
        </w:drawing>
      </w:r>
    </w:p>
    <w:p w14:paraId="28911078">
      <w:pPr>
        <w:spacing w:line="500" w:lineRule="exact"/>
        <w:jc w:val="center"/>
        <w:rPr>
          <w:color w:val="auto"/>
        </w:rPr>
      </w:pPr>
      <w:r>
        <w:rPr>
          <w:rFonts w:hint="eastAsia" w:ascii="黑体" w:hAnsi="黑体" w:eastAsia="黑体"/>
          <w:bCs/>
          <w:color w:val="auto"/>
          <w:szCs w:val="21"/>
        </w:rPr>
        <w:t>图4.3-1  大气、噪声监测布点示意图</w:t>
      </w:r>
    </w:p>
    <w:p w14:paraId="60318417">
      <w:pPr>
        <w:pStyle w:val="86"/>
        <w:spacing w:line="480" w:lineRule="exact"/>
        <w:ind w:firstLine="480"/>
        <w:rPr>
          <w:rFonts w:hint="eastAsia"/>
          <w:color w:val="auto"/>
          <w:kern w:val="0"/>
        </w:rPr>
      </w:pPr>
      <w:r>
        <w:rPr>
          <w:rFonts w:hint="eastAsia"/>
          <w:color w:val="auto"/>
        </w:rPr>
        <w:t>⑤评价方法</w:t>
      </w:r>
    </w:p>
    <w:p w14:paraId="66A53E8B">
      <w:pPr>
        <w:pStyle w:val="86"/>
        <w:spacing w:line="480" w:lineRule="exact"/>
        <w:ind w:firstLine="480"/>
        <w:rPr>
          <w:rFonts w:hint="eastAsia"/>
          <w:color w:val="auto"/>
        </w:rPr>
      </w:pPr>
      <w:r>
        <w:rPr>
          <w:rFonts w:hint="eastAsia"/>
          <w:color w:val="auto"/>
        </w:rPr>
        <w:t>采用最大占标率法来评价大气污染物在评价区域内的环境质量现状，计算公式如下：</w:t>
      </w:r>
    </w:p>
    <w:p w14:paraId="6C5D52AE">
      <w:pPr>
        <w:pStyle w:val="134"/>
        <w:spacing w:line="240" w:lineRule="auto"/>
        <w:ind w:firstLine="480"/>
        <w:rPr>
          <w:rFonts w:hint="eastAsia"/>
          <w:color w:val="auto"/>
        </w:rPr>
      </w:pPr>
      <w:r>
        <w:rPr>
          <w:color w:val="auto"/>
        </w:rPr>
        <w:drawing>
          <wp:inline distT="0" distB="0" distL="0" distR="0">
            <wp:extent cx="972820" cy="446405"/>
            <wp:effectExtent l="0" t="0" r="0" b="0"/>
            <wp:docPr id="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972820" cy="446405"/>
                    </a:xfrm>
                    <a:prstGeom prst="rect">
                      <a:avLst/>
                    </a:prstGeom>
                    <a:noFill/>
                    <a:ln>
                      <a:noFill/>
                    </a:ln>
                  </pic:spPr>
                </pic:pic>
              </a:graphicData>
            </a:graphic>
          </wp:inline>
        </w:drawing>
      </w:r>
    </w:p>
    <w:p w14:paraId="5339C489">
      <w:pPr>
        <w:pStyle w:val="86"/>
        <w:spacing w:line="480" w:lineRule="exact"/>
        <w:ind w:firstLine="1274" w:firstLineChars="531"/>
        <w:rPr>
          <w:rFonts w:hint="eastAsia"/>
          <w:color w:val="auto"/>
        </w:rPr>
      </w:pPr>
      <w:r>
        <w:rPr>
          <w:rFonts w:hint="eastAsia"/>
          <w:color w:val="auto"/>
        </w:rPr>
        <w:t>P</w:t>
      </w:r>
      <w:r>
        <w:rPr>
          <w:rFonts w:hint="eastAsia"/>
          <w:color w:val="auto"/>
          <w:vertAlign w:val="subscript"/>
        </w:rPr>
        <w:t>i</w:t>
      </w:r>
      <w:r>
        <w:rPr>
          <w:rFonts w:hint="eastAsia"/>
          <w:color w:val="auto"/>
        </w:rPr>
        <w:t>—第i种污染物的最大地面质量浓度占标率，%；</w:t>
      </w:r>
    </w:p>
    <w:p w14:paraId="6A35A830">
      <w:pPr>
        <w:pStyle w:val="86"/>
        <w:spacing w:line="480" w:lineRule="exact"/>
        <w:ind w:firstLine="1200" w:firstLineChars="500"/>
        <w:rPr>
          <w:rFonts w:hint="eastAsia"/>
          <w:color w:val="auto"/>
        </w:rPr>
      </w:pPr>
      <w:r>
        <w:rPr>
          <w:rFonts w:hint="eastAsia"/>
          <w:color w:val="auto"/>
        </w:rPr>
        <w:t>C</w:t>
      </w:r>
      <w:r>
        <w:rPr>
          <w:rFonts w:hint="eastAsia"/>
          <w:color w:val="auto"/>
          <w:vertAlign w:val="subscript"/>
        </w:rPr>
        <w:t>i</w:t>
      </w:r>
      <w:r>
        <w:rPr>
          <w:rFonts w:hint="eastAsia"/>
          <w:color w:val="auto"/>
        </w:rPr>
        <w:t>—</w:t>
      </w:r>
      <w:bookmarkStart w:id="364" w:name="_Hlk511383737"/>
      <w:r>
        <w:rPr>
          <w:rFonts w:hint="eastAsia"/>
          <w:color w:val="auto"/>
        </w:rPr>
        <w:t>污染物i的实测浓度，μg/m</w:t>
      </w:r>
      <w:r>
        <w:rPr>
          <w:rFonts w:hint="eastAsia"/>
          <w:color w:val="auto"/>
          <w:vertAlign w:val="superscript"/>
        </w:rPr>
        <w:t>3</w:t>
      </w:r>
      <w:r>
        <w:rPr>
          <w:rFonts w:hint="eastAsia"/>
          <w:color w:val="auto"/>
        </w:rPr>
        <w:t>；</w:t>
      </w:r>
    </w:p>
    <w:p w14:paraId="27823346">
      <w:pPr>
        <w:pStyle w:val="86"/>
        <w:spacing w:line="480" w:lineRule="exact"/>
        <w:ind w:firstLine="1159" w:firstLineChars="483"/>
        <w:rPr>
          <w:rFonts w:hint="eastAsia"/>
          <w:color w:val="auto"/>
        </w:rPr>
      </w:pPr>
      <w:r>
        <w:rPr>
          <w:rFonts w:hint="eastAsia"/>
          <w:color w:val="auto"/>
        </w:rPr>
        <w:t>C</w:t>
      </w:r>
      <w:r>
        <w:rPr>
          <w:rFonts w:hint="eastAsia"/>
          <w:color w:val="auto"/>
          <w:vertAlign w:val="subscript"/>
        </w:rPr>
        <w:t>oi</w:t>
      </w:r>
      <w:r>
        <w:rPr>
          <w:rFonts w:hint="eastAsia"/>
          <w:color w:val="auto"/>
        </w:rPr>
        <w:t>—污染物i的环境空气标准浓度，μg/m</w:t>
      </w:r>
      <w:r>
        <w:rPr>
          <w:rFonts w:hint="eastAsia"/>
          <w:color w:val="auto"/>
          <w:vertAlign w:val="superscript"/>
        </w:rPr>
        <w:t>3</w:t>
      </w:r>
      <w:r>
        <w:rPr>
          <w:rFonts w:hint="eastAsia"/>
          <w:color w:val="auto"/>
        </w:rPr>
        <w:t>。</w:t>
      </w:r>
    </w:p>
    <w:p w14:paraId="48F5C53E">
      <w:pPr>
        <w:pStyle w:val="86"/>
        <w:spacing w:line="480" w:lineRule="exact"/>
        <w:ind w:firstLine="480"/>
        <w:rPr>
          <w:rFonts w:hint="eastAsia"/>
          <w:color w:val="auto"/>
        </w:rPr>
      </w:pPr>
      <w:r>
        <w:rPr>
          <w:rFonts w:hint="eastAsia"/>
          <w:color w:val="auto"/>
        </w:rPr>
        <w:t>⑥评价结果</w:t>
      </w:r>
    </w:p>
    <w:p w14:paraId="179CB9F0">
      <w:pPr>
        <w:pStyle w:val="86"/>
        <w:spacing w:line="480" w:lineRule="exact"/>
        <w:ind w:firstLine="480"/>
        <w:rPr>
          <w:rFonts w:hint="eastAsia"/>
          <w:color w:val="auto"/>
        </w:rPr>
      </w:pPr>
      <w:r>
        <w:rPr>
          <w:rFonts w:hint="eastAsia"/>
          <w:color w:val="auto"/>
        </w:rPr>
        <w:t>监测数据及评价结果详见表</w:t>
      </w:r>
      <w:r>
        <w:rPr>
          <w:color w:val="auto"/>
        </w:rPr>
        <w:t>4</w:t>
      </w:r>
      <w:r>
        <w:rPr>
          <w:rFonts w:hint="eastAsia"/>
          <w:color w:val="auto"/>
        </w:rPr>
        <w:t>.3-</w:t>
      </w:r>
      <w:r>
        <w:rPr>
          <w:color w:val="auto"/>
        </w:rPr>
        <w:t>3</w:t>
      </w:r>
      <w:r>
        <w:rPr>
          <w:rFonts w:hint="eastAsia"/>
          <w:color w:val="auto"/>
        </w:rPr>
        <w:t>。</w:t>
      </w:r>
    </w:p>
    <w:p w14:paraId="7295DA91">
      <w:pPr>
        <w:pStyle w:val="15"/>
        <w:rPr>
          <w:rFonts w:hint="eastAsia"/>
          <w:color w:val="auto"/>
        </w:rPr>
      </w:pPr>
      <w:r>
        <w:rPr>
          <w:rFonts w:hint="eastAsia"/>
          <w:color w:val="auto"/>
        </w:rPr>
        <w:t>表</w:t>
      </w:r>
      <w:r>
        <w:rPr>
          <w:color w:val="auto"/>
        </w:rPr>
        <w:t>4.3</w:t>
      </w:r>
      <w:r>
        <w:rPr>
          <w:rFonts w:hint="eastAsia"/>
          <w:color w:val="auto"/>
        </w:rPr>
        <w:t>-</w:t>
      </w:r>
      <w:r>
        <w:rPr>
          <w:color w:val="auto"/>
        </w:rPr>
        <w:t>3</w:t>
      </w:r>
      <w:r>
        <w:rPr>
          <w:rFonts w:hint="eastAsia"/>
          <w:color w:val="auto"/>
        </w:rPr>
        <w:t xml:space="preserve">  大气环境质量现状监测及评价结果一览表</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276"/>
        <w:gridCol w:w="1276"/>
        <w:gridCol w:w="1417"/>
        <w:gridCol w:w="1418"/>
        <w:gridCol w:w="1134"/>
        <w:gridCol w:w="988"/>
      </w:tblGrid>
      <w:tr w14:paraId="46310A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Align w:val="center"/>
          </w:tcPr>
          <w:p w14:paraId="79EED738">
            <w:pPr>
              <w:spacing w:line="300" w:lineRule="exact"/>
              <w:jc w:val="center"/>
              <w:rPr>
                <w:rFonts w:hint="eastAsia" w:ascii="宋体" w:hAnsi="宋体" w:cs="宋体"/>
                <w:color w:val="auto"/>
                <w:szCs w:val="21"/>
              </w:rPr>
            </w:pPr>
            <w:r>
              <w:rPr>
                <w:rFonts w:hint="eastAsia" w:ascii="宋体" w:hAnsi="宋体" w:cs="宋体"/>
                <w:color w:val="auto"/>
                <w:szCs w:val="21"/>
              </w:rPr>
              <w:t>监测点位</w:t>
            </w:r>
          </w:p>
        </w:tc>
        <w:tc>
          <w:tcPr>
            <w:tcW w:w="1276" w:type="dxa"/>
            <w:vAlign w:val="center"/>
          </w:tcPr>
          <w:p w14:paraId="5AC38AEF">
            <w:pPr>
              <w:spacing w:line="300" w:lineRule="exact"/>
              <w:jc w:val="center"/>
              <w:rPr>
                <w:rFonts w:hint="eastAsia" w:ascii="宋体" w:hAnsi="宋体" w:cs="宋体"/>
                <w:color w:val="auto"/>
                <w:szCs w:val="21"/>
              </w:rPr>
            </w:pPr>
            <w:r>
              <w:rPr>
                <w:rFonts w:hint="eastAsia" w:ascii="宋体" w:hAnsi="宋体" w:cs="宋体"/>
                <w:color w:val="auto"/>
                <w:szCs w:val="21"/>
              </w:rPr>
              <w:t>监测因子</w:t>
            </w:r>
          </w:p>
        </w:tc>
        <w:tc>
          <w:tcPr>
            <w:tcW w:w="1276" w:type="dxa"/>
            <w:vAlign w:val="center"/>
          </w:tcPr>
          <w:p w14:paraId="1AB5DBF4">
            <w:pPr>
              <w:spacing w:line="300" w:lineRule="exact"/>
              <w:jc w:val="center"/>
              <w:rPr>
                <w:rFonts w:hint="eastAsia" w:ascii="宋体" w:hAnsi="宋体" w:cs="宋体"/>
                <w:color w:val="auto"/>
                <w:szCs w:val="21"/>
              </w:rPr>
            </w:pPr>
            <w:r>
              <w:rPr>
                <w:rFonts w:hint="eastAsia" w:ascii="宋体" w:hAnsi="宋体" w:cs="宋体"/>
                <w:color w:val="auto"/>
                <w:szCs w:val="21"/>
              </w:rPr>
              <w:t>评价指标</w:t>
            </w:r>
          </w:p>
        </w:tc>
        <w:tc>
          <w:tcPr>
            <w:tcW w:w="1417" w:type="dxa"/>
            <w:vAlign w:val="center"/>
          </w:tcPr>
          <w:p w14:paraId="4DC3CD0C">
            <w:pPr>
              <w:spacing w:line="300" w:lineRule="exact"/>
              <w:jc w:val="center"/>
              <w:rPr>
                <w:rFonts w:hint="eastAsia" w:ascii="宋体" w:hAnsi="宋体" w:cs="宋体"/>
                <w:color w:val="auto"/>
                <w:szCs w:val="21"/>
              </w:rPr>
            </w:pPr>
            <w:r>
              <w:rPr>
                <w:rFonts w:hint="eastAsia" w:ascii="宋体" w:hAnsi="宋体" w:cs="宋体"/>
                <w:color w:val="auto"/>
                <w:szCs w:val="21"/>
              </w:rPr>
              <w:t>标准值</w:t>
            </w:r>
          </w:p>
          <w:p w14:paraId="6B9E220B">
            <w:pPr>
              <w:spacing w:line="300" w:lineRule="exact"/>
              <w:jc w:val="center"/>
              <w:rPr>
                <w:rFonts w:hint="eastAsia" w:ascii="宋体" w:hAnsi="宋体" w:cs="宋体"/>
                <w:color w:val="auto"/>
                <w:szCs w:val="21"/>
              </w:rPr>
            </w:pPr>
            <w:r>
              <w:rPr>
                <w:rFonts w:hint="eastAsia" w:ascii="宋体" w:hAnsi="宋体" w:cs="宋体"/>
                <w:color w:val="auto"/>
                <w:szCs w:val="21"/>
              </w:rPr>
              <w:t>(μg/m</w:t>
            </w:r>
            <w:r>
              <w:rPr>
                <w:rFonts w:hint="eastAsia" w:ascii="宋体" w:hAnsi="宋体" w:cs="宋体"/>
                <w:color w:val="auto"/>
                <w:szCs w:val="21"/>
                <w:vertAlign w:val="superscript"/>
              </w:rPr>
              <w:t>3</w:t>
            </w:r>
            <w:r>
              <w:rPr>
                <w:rFonts w:hint="eastAsia" w:ascii="宋体" w:hAnsi="宋体" w:cs="宋体"/>
                <w:color w:val="auto"/>
                <w:szCs w:val="21"/>
              </w:rPr>
              <w:t>)</w:t>
            </w:r>
          </w:p>
        </w:tc>
        <w:tc>
          <w:tcPr>
            <w:tcW w:w="1418" w:type="dxa"/>
            <w:vAlign w:val="center"/>
          </w:tcPr>
          <w:p w14:paraId="2C8CF449">
            <w:pPr>
              <w:spacing w:line="300" w:lineRule="exact"/>
              <w:jc w:val="center"/>
              <w:rPr>
                <w:rFonts w:hint="eastAsia" w:ascii="宋体" w:hAnsi="宋体" w:cs="宋体"/>
                <w:color w:val="auto"/>
                <w:szCs w:val="21"/>
              </w:rPr>
            </w:pPr>
            <w:r>
              <w:rPr>
                <w:rFonts w:hint="eastAsia" w:ascii="宋体" w:hAnsi="宋体" w:cs="宋体"/>
                <w:color w:val="auto"/>
                <w:szCs w:val="21"/>
              </w:rPr>
              <w:t>现状浓度</w:t>
            </w:r>
          </w:p>
          <w:p w14:paraId="36846AC3">
            <w:pPr>
              <w:spacing w:line="300" w:lineRule="exact"/>
              <w:jc w:val="center"/>
              <w:rPr>
                <w:rFonts w:hint="eastAsia" w:ascii="宋体" w:hAnsi="宋体" w:cs="宋体"/>
                <w:color w:val="auto"/>
                <w:szCs w:val="21"/>
              </w:rPr>
            </w:pPr>
            <w:r>
              <w:rPr>
                <w:rFonts w:hint="eastAsia" w:ascii="宋体" w:hAnsi="宋体" w:cs="宋体"/>
                <w:color w:val="auto"/>
                <w:szCs w:val="21"/>
              </w:rPr>
              <w:t>(μg/m</w:t>
            </w:r>
            <w:r>
              <w:rPr>
                <w:rFonts w:hint="eastAsia" w:ascii="宋体" w:hAnsi="宋体" w:cs="宋体"/>
                <w:color w:val="auto"/>
                <w:szCs w:val="21"/>
                <w:vertAlign w:val="superscript"/>
              </w:rPr>
              <w:t>3</w:t>
            </w:r>
            <w:r>
              <w:rPr>
                <w:rFonts w:hint="eastAsia" w:ascii="宋体" w:hAnsi="宋体" w:cs="宋体"/>
                <w:color w:val="auto"/>
                <w:szCs w:val="21"/>
              </w:rPr>
              <w:t>)</w:t>
            </w:r>
          </w:p>
        </w:tc>
        <w:tc>
          <w:tcPr>
            <w:tcW w:w="1134" w:type="dxa"/>
            <w:vAlign w:val="center"/>
          </w:tcPr>
          <w:p w14:paraId="1100974E">
            <w:pPr>
              <w:spacing w:line="300" w:lineRule="exact"/>
              <w:jc w:val="center"/>
              <w:rPr>
                <w:rFonts w:hint="eastAsia" w:ascii="宋体" w:hAnsi="宋体" w:cs="宋体"/>
                <w:color w:val="auto"/>
                <w:szCs w:val="21"/>
              </w:rPr>
            </w:pPr>
            <w:r>
              <w:rPr>
                <w:rFonts w:hint="eastAsia" w:ascii="宋体" w:hAnsi="宋体" w:cs="宋体"/>
                <w:color w:val="auto"/>
                <w:szCs w:val="21"/>
              </w:rPr>
              <w:t>最大占标率（%）</w:t>
            </w:r>
          </w:p>
        </w:tc>
        <w:tc>
          <w:tcPr>
            <w:tcW w:w="988" w:type="dxa"/>
            <w:vAlign w:val="center"/>
          </w:tcPr>
          <w:p w14:paraId="5EB9445B">
            <w:pPr>
              <w:spacing w:line="300" w:lineRule="exact"/>
              <w:jc w:val="center"/>
              <w:rPr>
                <w:rFonts w:hint="eastAsia" w:ascii="宋体" w:hAnsi="宋体" w:cs="宋体"/>
                <w:color w:val="auto"/>
                <w:szCs w:val="21"/>
              </w:rPr>
            </w:pPr>
            <w:r>
              <w:rPr>
                <w:rFonts w:hint="eastAsia" w:ascii="宋体" w:hAnsi="宋体" w:cs="宋体"/>
                <w:color w:val="auto"/>
                <w:szCs w:val="21"/>
              </w:rPr>
              <w:t>达标</w:t>
            </w:r>
          </w:p>
          <w:p w14:paraId="048039AB">
            <w:pPr>
              <w:spacing w:line="300" w:lineRule="exact"/>
              <w:jc w:val="center"/>
              <w:rPr>
                <w:rFonts w:hint="eastAsia" w:ascii="宋体" w:hAnsi="宋体" w:cs="宋体"/>
                <w:color w:val="auto"/>
                <w:szCs w:val="21"/>
              </w:rPr>
            </w:pPr>
            <w:r>
              <w:rPr>
                <w:rFonts w:hint="eastAsia" w:ascii="宋体" w:hAnsi="宋体" w:cs="宋体"/>
                <w:color w:val="auto"/>
                <w:szCs w:val="21"/>
              </w:rPr>
              <w:t>情况</w:t>
            </w:r>
          </w:p>
        </w:tc>
      </w:tr>
      <w:tr w14:paraId="5D9538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restart"/>
            <w:vAlign w:val="center"/>
          </w:tcPr>
          <w:p w14:paraId="625D24AA">
            <w:pPr>
              <w:spacing w:line="300" w:lineRule="exact"/>
              <w:jc w:val="center"/>
              <w:rPr>
                <w:rFonts w:hint="eastAsia" w:ascii="宋体" w:hAnsi="宋体" w:cs="宋体"/>
                <w:color w:val="auto"/>
                <w:szCs w:val="21"/>
              </w:rPr>
            </w:pPr>
            <w:r>
              <w:rPr>
                <w:rFonts w:hint="eastAsia" w:ascii="宋体" w:hAnsi="宋体" w:cs="宋体"/>
                <w:color w:val="auto"/>
                <w:szCs w:val="21"/>
              </w:rPr>
              <w:t>G1</w:t>
            </w:r>
          </w:p>
        </w:tc>
        <w:tc>
          <w:tcPr>
            <w:tcW w:w="1276" w:type="dxa"/>
            <w:vAlign w:val="center"/>
          </w:tcPr>
          <w:p w14:paraId="2A5487D1">
            <w:pPr>
              <w:spacing w:line="300" w:lineRule="exact"/>
              <w:jc w:val="center"/>
              <w:rPr>
                <w:rFonts w:hint="eastAsia" w:ascii="宋体" w:hAnsi="宋体" w:cs="宋体"/>
                <w:color w:val="auto"/>
                <w:szCs w:val="21"/>
              </w:rPr>
            </w:pPr>
            <w:r>
              <w:rPr>
                <w:rFonts w:hint="eastAsia" w:ascii="宋体" w:hAnsi="宋体" w:cs="宋体"/>
                <w:color w:val="auto"/>
                <w:szCs w:val="21"/>
              </w:rPr>
              <w:t>NMHC</w:t>
            </w:r>
          </w:p>
        </w:tc>
        <w:tc>
          <w:tcPr>
            <w:tcW w:w="1276" w:type="dxa"/>
            <w:vAlign w:val="center"/>
          </w:tcPr>
          <w:p w14:paraId="07EB32A6">
            <w:pPr>
              <w:spacing w:line="300" w:lineRule="exact"/>
              <w:jc w:val="center"/>
              <w:rPr>
                <w:rFonts w:hint="eastAsia" w:ascii="宋体" w:hAnsi="宋体" w:cs="宋体"/>
                <w:color w:val="auto"/>
                <w:szCs w:val="21"/>
              </w:rPr>
            </w:pPr>
            <w:r>
              <w:rPr>
                <w:rFonts w:hint="eastAsia" w:ascii="宋体" w:hAnsi="宋体" w:cs="宋体"/>
                <w:color w:val="auto"/>
                <w:szCs w:val="21"/>
              </w:rPr>
              <w:t>一次值</w:t>
            </w:r>
          </w:p>
        </w:tc>
        <w:tc>
          <w:tcPr>
            <w:tcW w:w="1417" w:type="dxa"/>
            <w:vAlign w:val="center"/>
          </w:tcPr>
          <w:p w14:paraId="6502B5FC">
            <w:pPr>
              <w:spacing w:line="300" w:lineRule="exact"/>
              <w:jc w:val="center"/>
              <w:rPr>
                <w:rFonts w:hint="eastAsia" w:ascii="宋体" w:hAnsi="宋体" w:cs="宋体"/>
                <w:color w:val="auto"/>
                <w:szCs w:val="21"/>
              </w:rPr>
            </w:pPr>
            <w:r>
              <w:rPr>
                <w:rFonts w:hint="eastAsia" w:ascii="宋体" w:hAnsi="宋体" w:cs="宋体"/>
                <w:color w:val="auto"/>
                <w:szCs w:val="21"/>
              </w:rPr>
              <w:t>2000</w:t>
            </w:r>
          </w:p>
        </w:tc>
        <w:tc>
          <w:tcPr>
            <w:tcW w:w="1418" w:type="dxa"/>
            <w:vAlign w:val="center"/>
          </w:tcPr>
          <w:p w14:paraId="340C80C7">
            <w:pPr>
              <w:spacing w:line="300" w:lineRule="exact"/>
              <w:jc w:val="center"/>
              <w:rPr>
                <w:rFonts w:hint="eastAsia" w:ascii="宋体" w:hAnsi="宋体" w:cs="宋体"/>
                <w:color w:val="auto"/>
                <w:szCs w:val="21"/>
              </w:rPr>
            </w:pPr>
            <w:r>
              <w:rPr>
                <w:rFonts w:hint="eastAsia" w:ascii="宋体" w:hAnsi="宋体" w:cs="宋体"/>
                <w:color w:val="auto"/>
                <w:szCs w:val="21"/>
              </w:rPr>
              <w:t>35～40</w:t>
            </w:r>
          </w:p>
        </w:tc>
        <w:tc>
          <w:tcPr>
            <w:tcW w:w="1134" w:type="dxa"/>
            <w:vAlign w:val="center"/>
          </w:tcPr>
          <w:p w14:paraId="5EB53246">
            <w:pPr>
              <w:spacing w:line="300" w:lineRule="exact"/>
              <w:jc w:val="center"/>
              <w:rPr>
                <w:rFonts w:hint="eastAsia" w:ascii="宋体" w:hAnsi="宋体" w:cs="宋体"/>
                <w:color w:val="auto"/>
                <w:szCs w:val="21"/>
              </w:rPr>
            </w:pPr>
            <w:r>
              <w:rPr>
                <w:rFonts w:hint="eastAsia" w:ascii="宋体" w:hAnsi="宋体" w:cs="宋体"/>
                <w:color w:val="auto"/>
                <w:szCs w:val="21"/>
              </w:rPr>
              <w:t>2</w:t>
            </w:r>
          </w:p>
        </w:tc>
        <w:tc>
          <w:tcPr>
            <w:tcW w:w="988" w:type="dxa"/>
            <w:vAlign w:val="center"/>
          </w:tcPr>
          <w:p w14:paraId="68569B6B">
            <w:pPr>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3E792D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vAlign w:val="center"/>
          </w:tcPr>
          <w:p w14:paraId="40A958E4">
            <w:pPr>
              <w:spacing w:line="300" w:lineRule="exact"/>
              <w:jc w:val="center"/>
              <w:rPr>
                <w:rFonts w:hint="eastAsia" w:ascii="宋体" w:hAnsi="宋体" w:cs="宋体"/>
                <w:color w:val="auto"/>
                <w:szCs w:val="21"/>
              </w:rPr>
            </w:pPr>
          </w:p>
        </w:tc>
        <w:tc>
          <w:tcPr>
            <w:tcW w:w="1276" w:type="dxa"/>
            <w:vAlign w:val="center"/>
          </w:tcPr>
          <w:p w14:paraId="3BC400B7">
            <w:pPr>
              <w:spacing w:line="300" w:lineRule="exact"/>
              <w:jc w:val="center"/>
              <w:rPr>
                <w:rFonts w:hint="eastAsia" w:ascii="宋体" w:hAnsi="宋体" w:cs="宋体"/>
                <w:color w:val="auto"/>
                <w:szCs w:val="21"/>
              </w:rPr>
            </w:pPr>
            <w:r>
              <w:rPr>
                <w:rFonts w:hint="eastAsia" w:ascii="宋体" w:hAnsi="宋体" w:cs="宋体"/>
                <w:color w:val="auto"/>
                <w:szCs w:val="21"/>
              </w:rPr>
              <w:t>H</w:t>
            </w:r>
            <w:r>
              <w:rPr>
                <w:rFonts w:hint="eastAsia" w:ascii="宋体" w:hAnsi="宋体" w:cs="宋体"/>
                <w:color w:val="auto"/>
                <w:szCs w:val="21"/>
                <w:vertAlign w:val="subscript"/>
              </w:rPr>
              <w:t>2</w:t>
            </w:r>
            <w:r>
              <w:rPr>
                <w:rFonts w:hint="eastAsia" w:ascii="宋体" w:hAnsi="宋体" w:cs="宋体"/>
                <w:color w:val="auto"/>
                <w:szCs w:val="21"/>
              </w:rPr>
              <w:t>S</w:t>
            </w:r>
          </w:p>
        </w:tc>
        <w:tc>
          <w:tcPr>
            <w:tcW w:w="1276" w:type="dxa"/>
            <w:vAlign w:val="center"/>
          </w:tcPr>
          <w:p w14:paraId="695C36CF">
            <w:pPr>
              <w:spacing w:line="300" w:lineRule="exact"/>
              <w:jc w:val="center"/>
              <w:rPr>
                <w:rFonts w:hint="eastAsia" w:ascii="宋体" w:hAnsi="宋体" w:cs="宋体"/>
                <w:color w:val="auto"/>
                <w:szCs w:val="21"/>
              </w:rPr>
            </w:pPr>
            <w:r>
              <w:rPr>
                <w:rFonts w:hint="eastAsia" w:ascii="宋体" w:hAnsi="宋体" w:cs="宋体"/>
                <w:color w:val="auto"/>
                <w:szCs w:val="21"/>
              </w:rPr>
              <w:t>一次值</w:t>
            </w:r>
          </w:p>
        </w:tc>
        <w:tc>
          <w:tcPr>
            <w:tcW w:w="1417" w:type="dxa"/>
            <w:vAlign w:val="center"/>
          </w:tcPr>
          <w:p w14:paraId="11AF843C">
            <w:pPr>
              <w:spacing w:line="300" w:lineRule="exact"/>
              <w:jc w:val="center"/>
              <w:rPr>
                <w:rFonts w:hint="eastAsia" w:ascii="宋体" w:hAnsi="宋体" w:cs="宋体"/>
                <w:color w:val="auto"/>
                <w:szCs w:val="21"/>
              </w:rPr>
            </w:pPr>
            <w:r>
              <w:rPr>
                <w:rFonts w:hint="eastAsia" w:ascii="宋体" w:hAnsi="宋体" w:cs="宋体"/>
                <w:color w:val="auto"/>
                <w:szCs w:val="21"/>
              </w:rPr>
              <w:t>10</w:t>
            </w:r>
          </w:p>
        </w:tc>
        <w:tc>
          <w:tcPr>
            <w:tcW w:w="1418" w:type="dxa"/>
            <w:vAlign w:val="center"/>
          </w:tcPr>
          <w:p w14:paraId="1570ADE4">
            <w:pPr>
              <w:spacing w:line="300" w:lineRule="exact"/>
              <w:jc w:val="center"/>
              <w:rPr>
                <w:rFonts w:hint="eastAsia" w:ascii="宋体" w:hAnsi="宋体" w:cs="宋体"/>
                <w:color w:val="auto"/>
                <w:szCs w:val="21"/>
              </w:rPr>
            </w:pPr>
            <w:r>
              <w:rPr>
                <w:rFonts w:hint="eastAsia" w:ascii="宋体" w:hAnsi="宋体" w:cs="宋体"/>
                <w:color w:val="auto"/>
                <w:szCs w:val="21"/>
              </w:rPr>
              <w:t>ND</w:t>
            </w:r>
          </w:p>
        </w:tc>
        <w:tc>
          <w:tcPr>
            <w:tcW w:w="1134" w:type="dxa"/>
            <w:vAlign w:val="center"/>
          </w:tcPr>
          <w:p w14:paraId="1ECBD13B">
            <w:pPr>
              <w:spacing w:line="300" w:lineRule="exact"/>
              <w:jc w:val="center"/>
              <w:rPr>
                <w:rFonts w:hint="eastAsia" w:ascii="宋体" w:hAnsi="宋体" w:cs="宋体"/>
                <w:color w:val="auto"/>
                <w:szCs w:val="21"/>
              </w:rPr>
            </w:pPr>
            <w:r>
              <w:rPr>
                <w:rFonts w:hint="eastAsia" w:ascii="宋体" w:hAnsi="宋体" w:cs="宋体"/>
                <w:color w:val="auto"/>
                <w:szCs w:val="21"/>
              </w:rPr>
              <w:t>/</w:t>
            </w:r>
          </w:p>
        </w:tc>
        <w:tc>
          <w:tcPr>
            <w:tcW w:w="988" w:type="dxa"/>
            <w:vAlign w:val="center"/>
          </w:tcPr>
          <w:p w14:paraId="0C269044">
            <w:pPr>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4D73A3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restart"/>
            <w:vAlign w:val="center"/>
          </w:tcPr>
          <w:p w14:paraId="49CB2648">
            <w:pPr>
              <w:spacing w:line="300" w:lineRule="exact"/>
              <w:jc w:val="center"/>
              <w:rPr>
                <w:rFonts w:hint="eastAsia" w:ascii="宋体" w:hAnsi="宋体" w:cs="宋体"/>
                <w:color w:val="auto"/>
                <w:szCs w:val="21"/>
              </w:rPr>
            </w:pPr>
            <w:r>
              <w:rPr>
                <w:rFonts w:hint="eastAsia" w:ascii="宋体" w:hAnsi="宋体" w:cs="宋体"/>
                <w:color w:val="auto"/>
                <w:szCs w:val="21"/>
              </w:rPr>
              <w:t>G</w:t>
            </w:r>
            <w:r>
              <w:rPr>
                <w:rFonts w:ascii="宋体" w:hAnsi="宋体" w:cs="宋体"/>
                <w:color w:val="auto"/>
                <w:szCs w:val="21"/>
              </w:rPr>
              <w:t>2</w:t>
            </w:r>
          </w:p>
        </w:tc>
        <w:tc>
          <w:tcPr>
            <w:tcW w:w="1276" w:type="dxa"/>
            <w:vAlign w:val="center"/>
          </w:tcPr>
          <w:p w14:paraId="11886D0E">
            <w:pPr>
              <w:spacing w:line="300" w:lineRule="exact"/>
              <w:jc w:val="center"/>
              <w:rPr>
                <w:rFonts w:hint="eastAsia" w:ascii="宋体" w:hAnsi="宋体" w:cs="宋体"/>
                <w:color w:val="auto"/>
                <w:szCs w:val="21"/>
              </w:rPr>
            </w:pPr>
            <w:r>
              <w:rPr>
                <w:rFonts w:hint="eastAsia" w:ascii="宋体" w:hAnsi="宋体" w:cs="宋体"/>
                <w:color w:val="auto"/>
                <w:szCs w:val="21"/>
              </w:rPr>
              <w:t>NMHC</w:t>
            </w:r>
          </w:p>
        </w:tc>
        <w:tc>
          <w:tcPr>
            <w:tcW w:w="1276" w:type="dxa"/>
            <w:vAlign w:val="center"/>
          </w:tcPr>
          <w:p w14:paraId="39CC5DD8">
            <w:pPr>
              <w:spacing w:line="300" w:lineRule="exact"/>
              <w:jc w:val="center"/>
              <w:rPr>
                <w:rFonts w:hint="eastAsia" w:ascii="宋体" w:hAnsi="宋体" w:cs="宋体"/>
                <w:color w:val="auto"/>
                <w:szCs w:val="21"/>
              </w:rPr>
            </w:pPr>
            <w:r>
              <w:rPr>
                <w:rFonts w:hint="eastAsia" w:ascii="宋体" w:hAnsi="宋体" w:cs="宋体"/>
                <w:color w:val="auto"/>
                <w:szCs w:val="21"/>
              </w:rPr>
              <w:t>一次值</w:t>
            </w:r>
          </w:p>
        </w:tc>
        <w:tc>
          <w:tcPr>
            <w:tcW w:w="1417" w:type="dxa"/>
            <w:vAlign w:val="center"/>
          </w:tcPr>
          <w:p w14:paraId="7039044D">
            <w:pPr>
              <w:spacing w:line="300" w:lineRule="exact"/>
              <w:jc w:val="center"/>
              <w:rPr>
                <w:rFonts w:hint="eastAsia" w:ascii="宋体" w:hAnsi="宋体" w:cs="宋体"/>
                <w:color w:val="auto"/>
                <w:szCs w:val="21"/>
              </w:rPr>
            </w:pPr>
            <w:r>
              <w:rPr>
                <w:rFonts w:hint="eastAsia" w:ascii="宋体" w:hAnsi="宋体" w:cs="宋体"/>
                <w:color w:val="auto"/>
                <w:szCs w:val="21"/>
              </w:rPr>
              <w:t>2000</w:t>
            </w:r>
          </w:p>
        </w:tc>
        <w:tc>
          <w:tcPr>
            <w:tcW w:w="1418" w:type="dxa"/>
            <w:vAlign w:val="center"/>
          </w:tcPr>
          <w:p w14:paraId="56670032">
            <w:pPr>
              <w:spacing w:line="300" w:lineRule="exact"/>
              <w:jc w:val="center"/>
              <w:rPr>
                <w:rFonts w:hint="eastAsia" w:ascii="宋体" w:hAnsi="宋体" w:cs="宋体"/>
                <w:color w:val="auto"/>
                <w:szCs w:val="21"/>
              </w:rPr>
            </w:pPr>
            <w:r>
              <w:rPr>
                <w:rFonts w:hint="eastAsia" w:ascii="宋体" w:hAnsi="宋体" w:cs="宋体"/>
                <w:color w:val="auto"/>
                <w:szCs w:val="21"/>
              </w:rPr>
              <w:t>30～35</w:t>
            </w:r>
          </w:p>
        </w:tc>
        <w:tc>
          <w:tcPr>
            <w:tcW w:w="1134" w:type="dxa"/>
            <w:vAlign w:val="center"/>
          </w:tcPr>
          <w:p w14:paraId="487F72AD">
            <w:pPr>
              <w:spacing w:line="300" w:lineRule="exact"/>
              <w:jc w:val="center"/>
              <w:rPr>
                <w:rFonts w:hint="eastAsia" w:ascii="宋体" w:hAnsi="宋体" w:cs="宋体"/>
                <w:color w:val="auto"/>
                <w:szCs w:val="21"/>
              </w:rPr>
            </w:pPr>
            <w:r>
              <w:rPr>
                <w:rFonts w:hint="eastAsia" w:ascii="宋体" w:hAnsi="宋体" w:cs="宋体"/>
                <w:color w:val="auto"/>
                <w:szCs w:val="21"/>
              </w:rPr>
              <w:t>1.75</w:t>
            </w:r>
          </w:p>
        </w:tc>
        <w:tc>
          <w:tcPr>
            <w:tcW w:w="988" w:type="dxa"/>
            <w:vAlign w:val="center"/>
          </w:tcPr>
          <w:p w14:paraId="5C5F41FE">
            <w:pPr>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74671C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vAlign w:val="center"/>
          </w:tcPr>
          <w:p w14:paraId="685D43CD">
            <w:pPr>
              <w:spacing w:line="300" w:lineRule="exact"/>
              <w:jc w:val="center"/>
              <w:rPr>
                <w:rFonts w:hint="eastAsia" w:ascii="宋体" w:hAnsi="宋体" w:cs="宋体"/>
                <w:color w:val="auto"/>
                <w:szCs w:val="21"/>
              </w:rPr>
            </w:pPr>
          </w:p>
        </w:tc>
        <w:tc>
          <w:tcPr>
            <w:tcW w:w="1276" w:type="dxa"/>
            <w:vAlign w:val="center"/>
          </w:tcPr>
          <w:p w14:paraId="5CFF0DE0">
            <w:pPr>
              <w:spacing w:line="300" w:lineRule="exact"/>
              <w:jc w:val="center"/>
              <w:rPr>
                <w:rFonts w:hint="eastAsia" w:ascii="宋体" w:hAnsi="宋体" w:cs="宋体"/>
                <w:color w:val="auto"/>
                <w:szCs w:val="21"/>
              </w:rPr>
            </w:pPr>
            <w:r>
              <w:rPr>
                <w:rFonts w:hint="eastAsia" w:ascii="宋体" w:hAnsi="宋体" w:cs="宋体"/>
                <w:color w:val="auto"/>
                <w:szCs w:val="21"/>
              </w:rPr>
              <w:t>H</w:t>
            </w:r>
            <w:r>
              <w:rPr>
                <w:rFonts w:hint="eastAsia" w:ascii="宋体" w:hAnsi="宋体" w:cs="宋体"/>
                <w:color w:val="auto"/>
                <w:szCs w:val="21"/>
                <w:vertAlign w:val="subscript"/>
              </w:rPr>
              <w:t>2</w:t>
            </w:r>
            <w:r>
              <w:rPr>
                <w:rFonts w:hint="eastAsia" w:ascii="宋体" w:hAnsi="宋体" w:cs="宋体"/>
                <w:color w:val="auto"/>
                <w:szCs w:val="21"/>
              </w:rPr>
              <w:t>S</w:t>
            </w:r>
          </w:p>
        </w:tc>
        <w:tc>
          <w:tcPr>
            <w:tcW w:w="1276" w:type="dxa"/>
            <w:vAlign w:val="center"/>
          </w:tcPr>
          <w:p w14:paraId="3FC434A0">
            <w:pPr>
              <w:spacing w:line="300" w:lineRule="exact"/>
              <w:jc w:val="center"/>
              <w:rPr>
                <w:rFonts w:hint="eastAsia" w:ascii="宋体" w:hAnsi="宋体" w:cs="宋体"/>
                <w:color w:val="auto"/>
                <w:szCs w:val="21"/>
              </w:rPr>
            </w:pPr>
            <w:r>
              <w:rPr>
                <w:rFonts w:hint="eastAsia" w:ascii="宋体" w:hAnsi="宋体" w:cs="宋体"/>
                <w:color w:val="auto"/>
                <w:szCs w:val="21"/>
              </w:rPr>
              <w:t>一次值</w:t>
            </w:r>
          </w:p>
        </w:tc>
        <w:tc>
          <w:tcPr>
            <w:tcW w:w="1417" w:type="dxa"/>
            <w:vAlign w:val="center"/>
          </w:tcPr>
          <w:p w14:paraId="6523A754">
            <w:pPr>
              <w:spacing w:line="300" w:lineRule="exact"/>
              <w:jc w:val="center"/>
              <w:rPr>
                <w:rFonts w:hint="eastAsia" w:ascii="宋体" w:hAnsi="宋体" w:cs="宋体"/>
                <w:color w:val="auto"/>
                <w:szCs w:val="21"/>
              </w:rPr>
            </w:pPr>
            <w:r>
              <w:rPr>
                <w:rFonts w:hint="eastAsia" w:ascii="宋体" w:hAnsi="宋体" w:cs="宋体"/>
                <w:color w:val="auto"/>
                <w:szCs w:val="21"/>
              </w:rPr>
              <w:t>10</w:t>
            </w:r>
          </w:p>
        </w:tc>
        <w:tc>
          <w:tcPr>
            <w:tcW w:w="1418" w:type="dxa"/>
            <w:vAlign w:val="center"/>
          </w:tcPr>
          <w:p w14:paraId="23D72D1D">
            <w:pPr>
              <w:spacing w:line="300" w:lineRule="exact"/>
              <w:jc w:val="center"/>
              <w:rPr>
                <w:rFonts w:hint="eastAsia" w:ascii="宋体" w:hAnsi="宋体" w:cs="宋体"/>
                <w:color w:val="auto"/>
                <w:szCs w:val="21"/>
              </w:rPr>
            </w:pPr>
            <w:r>
              <w:rPr>
                <w:rFonts w:hint="eastAsia" w:ascii="宋体" w:hAnsi="宋体" w:cs="宋体"/>
                <w:color w:val="auto"/>
                <w:szCs w:val="21"/>
              </w:rPr>
              <w:t>ND</w:t>
            </w:r>
          </w:p>
        </w:tc>
        <w:tc>
          <w:tcPr>
            <w:tcW w:w="1134" w:type="dxa"/>
            <w:vAlign w:val="center"/>
          </w:tcPr>
          <w:p w14:paraId="10EA8515">
            <w:pPr>
              <w:spacing w:line="300" w:lineRule="exact"/>
              <w:jc w:val="center"/>
              <w:rPr>
                <w:rFonts w:hint="eastAsia" w:ascii="宋体" w:hAnsi="宋体" w:cs="宋体"/>
                <w:color w:val="auto"/>
                <w:szCs w:val="21"/>
              </w:rPr>
            </w:pPr>
            <w:r>
              <w:rPr>
                <w:rFonts w:hint="eastAsia" w:ascii="宋体" w:hAnsi="宋体" w:cs="宋体"/>
                <w:color w:val="auto"/>
                <w:szCs w:val="21"/>
              </w:rPr>
              <w:t>/</w:t>
            </w:r>
          </w:p>
        </w:tc>
        <w:tc>
          <w:tcPr>
            <w:tcW w:w="988" w:type="dxa"/>
            <w:vAlign w:val="center"/>
          </w:tcPr>
          <w:p w14:paraId="10003E6A">
            <w:pPr>
              <w:spacing w:line="300" w:lineRule="exact"/>
              <w:jc w:val="center"/>
              <w:rPr>
                <w:rFonts w:hint="eastAsia" w:ascii="宋体" w:hAnsi="宋体" w:cs="宋体"/>
                <w:color w:val="auto"/>
                <w:szCs w:val="21"/>
              </w:rPr>
            </w:pPr>
            <w:r>
              <w:rPr>
                <w:rFonts w:hint="eastAsia" w:ascii="宋体" w:hAnsi="宋体" w:cs="宋体"/>
                <w:color w:val="auto"/>
                <w:szCs w:val="21"/>
              </w:rPr>
              <w:t>达标</w:t>
            </w:r>
          </w:p>
        </w:tc>
      </w:tr>
    </w:tbl>
    <w:p w14:paraId="32BAA372">
      <w:pPr>
        <w:pStyle w:val="86"/>
        <w:spacing w:line="480" w:lineRule="exact"/>
        <w:ind w:firstLine="480"/>
        <w:rPr>
          <w:rFonts w:hint="eastAsia"/>
          <w:color w:val="auto"/>
        </w:rPr>
      </w:pPr>
      <w:r>
        <w:rPr>
          <w:rFonts w:hint="eastAsia"/>
          <w:color w:val="auto"/>
        </w:rPr>
        <w:t>由表</w:t>
      </w:r>
      <w:r>
        <w:rPr>
          <w:color w:val="auto"/>
        </w:rPr>
        <w:t>4.3</w:t>
      </w:r>
      <w:r>
        <w:rPr>
          <w:rFonts w:hint="eastAsia"/>
          <w:color w:val="auto"/>
        </w:rPr>
        <w:t>-</w:t>
      </w:r>
      <w:r>
        <w:rPr>
          <w:color w:val="auto"/>
        </w:rPr>
        <w:t>3</w:t>
      </w:r>
      <w:r>
        <w:rPr>
          <w:rFonts w:hint="eastAsia"/>
          <w:color w:val="auto"/>
        </w:rPr>
        <w:t>可知，</w:t>
      </w:r>
      <w:r>
        <w:rPr>
          <w:color w:val="auto"/>
        </w:rPr>
        <w:t>NMHC</w:t>
      </w:r>
      <w:r>
        <w:rPr>
          <w:rFonts w:hint="eastAsia"/>
          <w:color w:val="auto"/>
        </w:rPr>
        <w:t>监测浓度</w:t>
      </w:r>
      <w:r>
        <w:rPr>
          <w:color w:val="auto"/>
        </w:rPr>
        <w:t>满足《</w:t>
      </w:r>
      <w:r>
        <w:rPr>
          <w:rFonts w:hint="eastAsia"/>
          <w:color w:val="auto"/>
        </w:rPr>
        <w:t>〈</w:t>
      </w:r>
      <w:r>
        <w:rPr>
          <w:color w:val="auto"/>
        </w:rPr>
        <w:t>大气污染物综合排放标准</w:t>
      </w:r>
      <w:r>
        <w:rPr>
          <w:rFonts w:hint="eastAsia"/>
          <w:color w:val="auto"/>
        </w:rPr>
        <w:t>〉</w:t>
      </w:r>
      <w:r>
        <w:rPr>
          <w:color w:val="auto"/>
        </w:rPr>
        <w:t>详解》中推荐值2.0mg/m</w:t>
      </w:r>
      <w:r>
        <w:rPr>
          <w:color w:val="auto"/>
          <w:vertAlign w:val="superscript"/>
        </w:rPr>
        <w:t>3</w:t>
      </w:r>
      <w:r>
        <w:rPr>
          <w:color w:val="auto"/>
        </w:rPr>
        <w:t>要求</w:t>
      </w:r>
      <w:bookmarkStart w:id="365" w:name="_Hlk92466348"/>
      <w:r>
        <w:rPr>
          <w:rFonts w:hint="eastAsia"/>
          <w:color w:val="auto"/>
        </w:rPr>
        <w:t>，H</w:t>
      </w:r>
      <w:r>
        <w:rPr>
          <w:rFonts w:hint="eastAsia"/>
          <w:color w:val="auto"/>
          <w:vertAlign w:val="subscript"/>
        </w:rPr>
        <w:t>2</w:t>
      </w:r>
      <w:r>
        <w:rPr>
          <w:rFonts w:hint="eastAsia"/>
          <w:color w:val="auto"/>
        </w:rPr>
        <w:t>S监测浓度满足《环境影响评价技术导则大气环境》（</w:t>
      </w:r>
      <w:r>
        <w:rPr>
          <w:color w:val="auto"/>
        </w:rPr>
        <w:t>HJ2.2-2018）附录D中</w:t>
      </w:r>
      <w:r>
        <w:rPr>
          <w:rFonts w:hint="eastAsia"/>
          <w:color w:val="auto"/>
        </w:rPr>
        <w:t>推荐值要求。</w:t>
      </w:r>
      <w:bookmarkEnd w:id="364"/>
    </w:p>
    <w:bookmarkEnd w:id="365"/>
    <w:p w14:paraId="3D1D0D14">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水环境质量现状调查与评价</w:t>
      </w:r>
    </w:p>
    <w:p w14:paraId="1E8B88BE">
      <w:pPr>
        <w:adjustRightInd w:val="0"/>
        <w:snapToGrid w:val="0"/>
        <w:spacing w:line="500" w:lineRule="exact"/>
        <w:ind w:firstLine="480" w:firstLineChars="200"/>
        <w:rPr>
          <w:rFonts w:hint="eastAsia" w:ascii="宋体" w:hAnsi="宋体" w:cs="宋体"/>
          <w:color w:val="auto"/>
          <w:sz w:val="24"/>
          <w:szCs w:val="24"/>
          <w:lang w:bidi="ar"/>
        </w:rPr>
      </w:pPr>
      <w:r>
        <w:rPr>
          <w:rFonts w:hint="eastAsia" w:ascii="宋体" w:hAnsi="宋体" w:cs="宋体"/>
          <w:color w:val="auto"/>
          <w:sz w:val="24"/>
          <w:szCs w:val="24"/>
          <w:lang w:bidi="ar"/>
        </w:rPr>
        <w:t>本项目地表水评价等级为三级B，根据</w:t>
      </w:r>
      <w:r>
        <w:rPr>
          <w:rFonts w:ascii="宋体" w:hAnsi="宋体" w:cs="宋体"/>
          <w:color w:val="auto"/>
          <w:kern w:val="0"/>
          <w:sz w:val="24"/>
          <w:szCs w:val="20"/>
          <w:lang w:bidi="ar"/>
        </w:rPr>
        <w:t>《环境影响评价技术导则  地表水环境》（HJ2.3-2018）</w:t>
      </w:r>
      <w:r>
        <w:rPr>
          <w:rFonts w:hint="eastAsia" w:ascii="宋体" w:hAnsi="宋体" w:cs="宋体"/>
          <w:color w:val="auto"/>
          <w:kern w:val="0"/>
          <w:sz w:val="24"/>
          <w:szCs w:val="20"/>
          <w:lang w:bidi="ar"/>
        </w:rPr>
        <w:t>中的相关要求，不</w:t>
      </w:r>
      <w:r>
        <w:rPr>
          <w:rFonts w:hint="eastAsia" w:ascii="宋体" w:hAnsi="宋体" w:cs="宋体"/>
          <w:color w:val="auto"/>
          <w:sz w:val="24"/>
          <w:szCs w:val="24"/>
          <w:lang w:bidi="ar"/>
        </w:rPr>
        <w:t>需对地表水环境质量现状调查，本次仅对地下水环境质量现状进行调查和评价。</w:t>
      </w:r>
    </w:p>
    <w:p w14:paraId="6A0997A5">
      <w:pPr>
        <w:adjustRightInd w:val="0"/>
        <w:snapToGrid w:val="0"/>
        <w:spacing w:line="500" w:lineRule="exact"/>
        <w:ind w:firstLine="480" w:firstLineChars="200"/>
        <w:rPr>
          <w:rFonts w:hint="eastAsia" w:ascii="宋体" w:hAnsi="宋体" w:cs="宋体"/>
          <w:color w:val="auto"/>
          <w:sz w:val="24"/>
          <w:szCs w:val="24"/>
          <w:lang w:bidi="ar"/>
        </w:rPr>
      </w:pPr>
      <w:bookmarkStart w:id="366" w:name="_Hlk160376314"/>
      <w:bookmarkStart w:id="367" w:name="_Hlk177302544"/>
      <w:r>
        <w:rPr>
          <w:rFonts w:hint="eastAsia" w:ascii="宋体" w:hAnsi="宋体" w:cs="宋体"/>
          <w:color w:val="auto"/>
          <w:sz w:val="24"/>
          <w:szCs w:val="24"/>
          <w:lang w:bidi="ar"/>
        </w:rPr>
        <w:t>（1）监测点位和监测因子</w:t>
      </w:r>
    </w:p>
    <w:p w14:paraId="0D0B7EBE">
      <w:pPr>
        <w:adjustRightInd w:val="0"/>
        <w:snapToGrid w:val="0"/>
        <w:spacing w:line="500" w:lineRule="exact"/>
        <w:ind w:firstLine="480" w:firstLineChars="200"/>
        <w:rPr>
          <w:rFonts w:hint="eastAsia" w:ascii="宋体" w:hAnsi="宋体" w:cs="宋体"/>
          <w:color w:val="auto"/>
          <w:sz w:val="24"/>
          <w:szCs w:val="24"/>
          <w:lang w:bidi="ar"/>
        </w:rPr>
      </w:pPr>
      <w:r>
        <w:rPr>
          <w:rFonts w:hint="eastAsia" w:ascii="宋体" w:hAnsi="宋体" w:cs="宋体"/>
          <w:color w:val="auto"/>
          <w:sz w:val="24"/>
          <w:szCs w:val="24"/>
          <w:lang w:bidi="ar"/>
        </w:rPr>
        <w:t>本项目周边地下水井较少，本次采用现场实测和数据引用的方法来说明区域地下水环境质量现状，10口地下水井均与本项目地下水区域位于同一水文地质单元。本次共引用3个地下水水质监测点，6个地下水水位监测点，引用监测点位来源、监测时间具体如下：引用新疆钧仪衡环境技术有限公司于2024年5月29日在“湾探1井、盆10井地面建设工程环评现状监测”的数据。因此本次选取距离项目区最近的4口地下水井监测水质和水位。监测点位坐标见表4.3-5和图4.3-2。</w:t>
      </w:r>
    </w:p>
    <w:p w14:paraId="0D0A04C9">
      <w:pPr>
        <w:pStyle w:val="86"/>
        <w:adjustRightInd w:val="0"/>
        <w:snapToGrid w:val="0"/>
        <w:ind w:firstLine="0" w:firstLineChars="0"/>
        <w:jc w:val="center"/>
        <w:rPr>
          <w:rFonts w:hint="eastAsia" w:ascii="黑体" w:hAnsi="黑体" w:eastAsia="黑体"/>
          <w:color w:val="auto"/>
          <w:sz w:val="21"/>
          <w:szCs w:val="21"/>
        </w:rPr>
      </w:pPr>
      <w:r>
        <w:rPr>
          <w:rFonts w:hint="eastAsia" w:ascii="黑体" w:hAnsi="黑体" w:eastAsia="黑体"/>
          <w:color w:val="auto"/>
          <w:sz w:val="21"/>
          <w:szCs w:val="21"/>
        </w:rPr>
        <w:t>表</w:t>
      </w:r>
      <w:r>
        <w:rPr>
          <w:rFonts w:ascii="黑体" w:hAnsi="黑体" w:eastAsia="黑体"/>
          <w:color w:val="auto"/>
          <w:sz w:val="21"/>
          <w:szCs w:val="21"/>
        </w:rPr>
        <w:t>4.3</w:t>
      </w:r>
      <w:r>
        <w:rPr>
          <w:rFonts w:hint="eastAsia" w:ascii="黑体" w:hAnsi="黑体" w:eastAsia="黑体"/>
          <w:color w:val="auto"/>
          <w:sz w:val="21"/>
          <w:szCs w:val="21"/>
        </w:rPr>
        <w:t>-5</w:t>
      </w:r>
      <w:r>
        <w:rPr>
          <w:rFonts w:ascii="黑体" w:hAnsi="黑体" w:eastAsia="黑体"/>
          <w:color w:val="auto"/>
          <w:sz w:val="21"/>
          <w:szCs w:val="21"/>
        </w:rPr>
        <w:t xml:space="preserve">  </w:t>
      </w:r>
      <w:r>
        <w:rPr>
          <w:rFonts w:hint="eastAsia" w:ascii="黑体" w:hAnsi="黑体" w:eastAsia="黑体"/>
          <w:color w:val="auto"/>
          <w:sz w:val="21"/>
          <w:szCs w:val="21"/>
        </w:rPr>
        <w:t>地下水监测坐标一览表</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567"/>
        <w:gridCol w:w="1134"/>
        <w:gridCol w:w="1701"/>
        <w:gridCol w:w="1574"/>
        <w:gridCol w:w="694"/>
        <w:gridCol w:w="647"/>
        <w:gridCol w:w="1279"/>
      </w:tblGrid>
      <w:tr w14:paraId="0CF34D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134" w:type="dxa"/>
            <w:vMerge w:val="restart"/>
            <w:vAlign w:val="center"/>
          </w:tcPr>
          <w:p w14:paraId="54664A9E">
            <w:pPr>
              <w:pStyle w:val="219"/>
              <w:adjustRightInd w:val="0"/>
              <w:snapToGrid w:val="0"/>
              <w:spacing w:line="300" w:lineRule="exact"/>
              <w:ind w:firstLine="0" w:firstLineChars="0"/>
              <w:jc w:val="center"/>
              <w:rPr>
                <w:rFonts w:hint="eastAsia" w:cs="宋体"/>
                <w:color w:val="auto"/>
                <w:sz w:val="21"/>
              </w:rPr>
            </w:pPr>
            <w:bookmarkStart w:id="368" w:name="_Toc224405934"/>
            <w:r>
              <w:rPr>
                <w:rFonts w:hint="eastAsia" w:cs="宋体"/>
                <w:color w:val="auto"/>
                <w:sz w:val="21"/>
              </w:rPr>
              <w:t>项目名称</w:t>
            </w:r>
            <w:bookmarkEnd w:id="368"/>
          </w:p>
        </w:tc>
        <w:tc>
          <w:tcPr>
            <w:tcW w:w="567" w:type="dxa"/>
            <w:vMerge w:val="restart"/>
            <w:vAlign w:val="center"/>
          </w:tcPr>
          <w:p w14:paraId="734960B1">
            <w:pPr>
              <w:pStyle w:val="219"/>
              <w:adjustRightInd w:val="0"/>
              <w:snapToGrid w:val="0"/>
              <w:spacing w:line="300" w:lineRule="exact"/>
              <w:ind w:firstLine="0" w:firstLineChars="0"/>
              <w:jc w:val="center"/>
              <w:rPr>
                <w:rFonts w:hint="eastAsia" w:cs="宋体"/>
                <w:color w:val="auto"/>
                <w:sz w:val="21"/>
              </w:rPr>
            </w:pPr>
            <w:bookmarkStart w:id="369" w:name="_Toc165551519"/>
            <w:bookmarkStart w:id="370" w:name="_Toc220605913"/>
            <w:bookmarkStart w:id="371" w:name="_Toc171076911"/>
            <w:bookmarkStart w:id="372" w:name="_Toc221283827"/>
            <w:bookmarkStart w:id="373" w:name="_Toc224405935"/>
            <w:r>
              <w:rPr>
                <w:rFonts w:hint="eastAsia" w:cs="宋体"/>
                <w:color w:val="auto"/>
                <w:sz w:val="21"/>
              </w:rPr>
              <w:t>监测点</w:t>
            </w:r>
            <w:bookmarkEnd w:id="369"/>
            <w:bookmarkEnd w:id="370"/>
            <w:bookmarkEnd w:id="371"/>
            <w:bookmarkEnd w:id="372"/>
            <w:bookmarkEnd w:id="373"/>
          </w:p>
        </w:tc>
        <w:tc>
          <w:tcPr>
            <w:tcW w:w="1134" w:type="dxa"/>
            <w:vMerge w:val="restart"/>
            <w:vAlign w:val="center"/>
          </w:tcPr>
          <w:p w14:paraId="610F6993">
            <w:pPr>
              <w:pStyle w:val="219"/>
              <w:adjustRightInd w:val="0"/>
              <w:snapToGrid w:val="0"/>
              <w:spacing w:line="300" w:lineRule="exact"/>
              <w:ind w:firstLine="0" w:firstLineChars="0"/>
              <w:jc w:val="center"/>
              <w:rPr>
                <w:rFonts w:hint="eastAsia" w:cs="宋体"/>
                <w:color w:val="auto"/>
                <w:sz w:val="21"/>
              </w:rPr>
            </w:pPr>
            <w:bookmarkStart w:id="374" w:name="_Toc224405936"/>
            <w:bookmarkStart w:id="375" w:name="_Toc171076912"/>
            <w:bookmarkStart w:id="376" w:name="_Toc221283828"/>
            <w:bookmarkStart w:id="377" w:name="_Toc220605914"/>
            <w:bookmarkStart w:id="378" w:name="_Toc165551520"/>
            <w:r>
              <w:rPr>
                <w:rFonts w:hint="eastAsia" w:cs="宋体"/>
                <w:color w:val="auto"/>
                <w:sz w:val="21"/>
              </w:rPr>
              <w:t>水源井名称</w:t>
            </w:r>
            <w:bookmarkEnd w:id="374"/>
            <w:bookmarkEnd w:id="375"/>
            <w:bookmarkEnd w:id="376"/>
            <w:bookmarkEnd w:id="377"/>
            <w:bookmarkEnd w:id="378"/>
          </w:p>
        </w:tc>
        <w:tc>
          <w:tcPr>
            <w:tcW w:w="3275" w:type="dxa"/>
            <w:gridSpan w:val="2"/>
            <w:vAlign w:val="center"/>
          </w:tcPr>
          <w:p w14:paraId="27520F3C">
            <w:pPr>
              <w:pStyle w:val="219"/>
              <w:adjustRightInd w:val="0"/>
              <w:snapToGrid w:val="0"/>
              <w:spacing w:line="300" w:lineRule="exact"/>
              <w:ind w:firstLine="0" w:firstLineChars="0"/>
              <w:jc w:val="center"/>
              <w:rPr>
                <w:rFonts w:hint="eastAsia" w:cs="宋体"/>
                <w:color w:val="auto"/>
                <w:sz w:val="21"/>
              </w:rPr>
            </w:pPr>
            <w:bookmarkStart w:id="379" w:name="_Toc220605915"/>
            <w:bookmarkStart w:id="380" w:name="_Toc165551521"/>
            <w:bookmarkStart w:id="381" w:name="_Toc224405937"/>
            <w:bookmarkStart w:id="382" w:name="_Toc171076913"/>
            <w:bookmarkStart w:id="383" w:name="_Toc221283829"/>
            <w:r>
              <w:rPr>
                <w:rFonts w:hint="eastAsia" w:cs="宋体"/>
                <w:color w:val="auto"/>
                <w:sz w:val="21"/>
              </w:rPr>
              <w:t>坐标</w:t>
            </w:r>
            <w:bookmarkEnd w:id="379"/>
            <w:bookmarkEnd w:id="380"/>
            <w:bookmarkEnd w:id="381"/>
            <w:bookmarkEnd w:id="382"/>
            <w:bookmarkEnd w:id="383"/>
          </w:p>
        </w:tc>
        <w:tc>
          <w:tcPr>
            <w:tcW w:w="694" w:type="dxa"/>
            <w:vMerge w:val="restart"/>
            <w:vAlign w:val="center"/>
          </w:tcPr>
          <w:p w14:paraId="121F3AAE">
            <w:pPr>
              <w:pStyle w:val="219"/>
              <w:adjustRightInd w:val="0"/>
              <w:snapToGrid w:val="0"/>
              <w:spacing w:line="300" w:lineRule="exact"/>
              <w:ind w:firstLine="0" w:firstLineChars="0"/>
              <w:jc w:val="center"/>
              <w:rPr>
                <w:rFonts w:hint="eastAsia" w:cs="宋体"/>
                <w:color w:val="auto"/>
                <w:sz w:val="21"/>
              </w:rPr>
            </w:pPr>
            <w:bookmarkStart w:id="384" w:name="_Toc224405938"/>
            <w:bookmarkStart w:id="385" w:name="_Toc220605916"/>
            <w:bookmarkStart w:id="386" w:name="_Toc221283830"/>
            <w:bookmarkStart w:id="387" w:name="_Toc171076914"/>
            <w:r>
              <w:rPr>
                <w:rFonts w:hint="eastAsia" w:cs="宋体"/>
                <w:color w:val="auto"/>
                <w:sz w:val="21"/>
              </w:rPr>
              <w:t>水位（m）</w:t>
            </w:r>
            <w:bookmarkEnd w:id="384"/>
            <w:bookmarkEnd w:id="385"/>
            <w:bookmarkEnd w:id="386"/>
            <w:bookmarkEnd w:id="387"/>
          </w:p>
        </w:tc>
        <w:tc>
          <w:tcPr>
            <w:tcW w:w="647" w:type="dxa"/>
            <w:vMerge w:val="restart"/>
            <w:vAlign w:val="center"/>
          </w:tcPr>
          <w:p w14:paraId="531ADC6F">
            <w:pPr>
              <w:pStyle w:val="219"/>
              <w:adjustRightInd w:val="0"/>
              <w:snapToGrid w:val="0"/>
              <w:spacing w:line="300" w:lineRule="exact"/>
              <w:ind w:firstLine="0" w:firstLineChars="0"/>
              <w:jc w:val="center"/>
              <w:rPr>
                <w:rFonts w:hint="eastAsia" w:cs="宋体"/>
                <w:color w:val="auto"/>
                <w:sz w:val="21"/>
              </w:rPr>
            </w:pPr>
            <w:bookmarkStart w:id="388" w:name="_Toc220605917"/>
            <w:bookmarkStart w:id="389" w:name="_Toc224405939"/>
            <w:bookmarkStart w:id="390" w:name="_Toc221283831"/>
            <w:r>
              <w:rPr>
                <w:rFonts w:hint="eastAsia" w:cs="宋体"/>
                <w:color w:val="auto"/>
                <w:sz w:val="21"/>
              </w:rPr>
              <w:t>层位</w:t>
            </w:r>
            <w:bookmarkEnd w:id="388"/>
            <w:bookmarkEnd w:id="389"/>
            <w:bookmarkEnd w:id="390"/>
          </w:p>
        </w:tc>
        <w:tc>
          <w:tcPr>
            <w:tcW w:w="1279" w:type="dxa"/>
            <w:vMerge w:val="restart"/>
            <w:vAlign w:val="center"/>
          </w:tcPr>
          <w:p w14:paraId="48876325">
            <w:pPr>
              <w:pStyle w:val="219"/>
              <w:adjustRightInd w:val="0"/>
              <w:snapToGrid w:val="0"/>
              <w:spacing w:line="300" w:lineRule="exact"/>
              <w:ind w:firstLine="0" w:firstLineChars="0"/>
              <w:jc w:val="center"/>
              <w:rPr>
                <w:rFonts w:hint="eastAsia" w:cs="宋体"/>
                <w:color w:val="auto"/>
                <w:sz w:val="21"/>
              </w:rPr>
            </w:pPr>
            <w:bookmarkStart w:id="391" w:name="_Toc220605918"/>
            <w:bookmarkStart w:id="392" w:name="_Toc224405940"/>
            <w:bookmarkStart w:id="393" w:name="_Toc221283832"/>
            <w:r>
              <w:rPr>
                <w:rFonts w:hint="eastAsia" w:cs="宋体"/>
                <w:color w:val="auto"/>
                <w:sz w:val="21"/>
              </w:rPr>
              <w:t>与项目区的相对位置关系</w:t>
            </w:r>
            <w:bookmarkEnd w:id="391"/>
            <w:bookmarkEnd w:id="392"/>
            <w:bookmarkEnd w:id="393"/>
          </w:p>
        </w:tc>
      </w:tr>
      <w:tr w14:paraId="040799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vAlign w:val="center"/>
          </w:tcPr>
          <w:p w14:paraId="6CF4A12C">
            <w:pPr>
              <w:pStyle w:val="219"/>
              <w:adjustRightInd w:val="0"/>
              <w:snapToGrid w:val="0"/>
              <w:spacing w:line="300" w:lineRule="exact"/>
              <w:ind w:firstLine="0" w:firstLineChars="0"/>
              <w:jc w:val="center"/>
              <w:rPr>
                <w:rFonts w:hint="eastAsia" w:cs="宋体"/>
                <w:color w:val="auto"/>
                <w:sz w:val="21"/>
              </w:rPr>
            </w:pPr>
          </w:p>
        </w:tc>
        <w:tc>
          <w:tcPr>
            <w:tcW w:w="567" w:type="dxa"/>
            <w:vMerge w:val="continue"/>
            <w:vAlign w:val="center"/>
          </w:tcPr>
          <w:p w14:paraId="7FD816D5">
            <w:pPr>
              <w:pStyle w:val="219"/>
              <w:adjustRightInd w:val="0"/>
              <w:snapToGrid w:val="0"/>
              <w:spacing w:line="300" w:lineRule="exact"/>
              <w:ind w:firstLine="0" w:firstLineChars="0"/>
              <w:jc w:val="center"/>
              <w:rPr>
                <w:rFonts w:hint="eastAsia" w:cs="宋体"/>
                <w:color w:val="auto"/>
                <w:sz w:val="21"/>
              </w:rPr>
            </w:pPr>
          </w:p>
        </w:tc>
        <w:tc>
          <w:tcPr>
            <w:tcW w:w="1134" w:type="dxa"/>
            <w:vMerge w:val="continue"/>
            <w:vAlign w:val="center"/>
          </w:tcPr>
          <w:p w14:paraId="1FF0E157">
            <w:pPr>
              <w:pStyle w:val="219"/>
              <w:adjustRightInd w:val="0"/>
              <w:snapToGrid w:val="0"/>
              <w:spacing w:line="300" w:lineRule="exact"/>
              <w:ind w:firstLine="0" w:firstLineChars="0"/>
              <w:jc w:val="center"/>
              <w:rPr>
                <w:rFonts w:hint="eastAsia" w:cs="宋体"/>
                <w:color w:val="auto"/>
                <w:sz w:val="21"/>
              </w:rPr>
            </w:pPr>
          </w:p>
        </w:tc>
        <w:tc>
          <w:tcPr>
            <w:tcW w:w="1701" w:type="dxa"/>
            <w:vAlign w:val="center"/>
          </w:tcPr>
          <w:p w14:paraId="77019919">
            <w:pPr>
              <w:pStyle w:val="219"/>
              <w:adjustRightInd w:val="0"/>
              <w:snapToGrid w:val="0"/>
              <w:spacing w:line="300" w:lineRule="exact"/>
              <w:ind w:firstLine="0" w:firstLineChars="0"/>
              <w:jc w:val="center"/>
              <w:rPr>
                <w:rFonts w:hint="eastAsia" w:cs="宋体"/>
                <w:color w:val="auto"/>
                <w:sz w:val="21"/>
              </w:rPr>
            </w:pPr>
            <w:bookmarkStart w:id="394" w:name="_Toc221283833"/>
            <w:bookmarkStart w:id="395" w:name="_Toc224405941"/>
            <w:bookmarkStart w:id="396" w:name="_Toc171076915"/>
            <w:bookmarkStart w:id="397" w:name="_Toc220605919"/>
            <w:bookmarkStart w:id="398" w:name="_Toc165551526"/>
            <w:r>
              <w:rPr>
                <w:rFonts w:hint="eastAsia" w:cs="宋体"/>
                <w:color w:val="auto"/>
                <w:sz w:val="21"/>
              </w:rPr>
              <w:t>N</w:t>
            </w:r>
            <w:bookmarkEnd w:id="394"/>
            <w:bookmarkEnd w:id="395"/>
            <w:bookmarkEnd w:id="396"/>
            <w:bookmarkEnd w:id="397"/>
            <w:bookmarkEnd w:id="398"/>
          </w:p>
        </w:tc>
        <w:tc>
          <w:tcPr>
            <w:tcW w:w="1574" w:type="dxa"/>
            <w:vAlign w:val="center"/>
          </w:tcPr>
          <w:p w14:paraId="135B53C3">
            <w:pPr>
              <w:pStyle w:val="219"/>
              <w:adjustRightInd w:val="0"/>
              <w:snapToGrid w:val="0"/>
              <w:spacing w:line="300" w:lineRule="exact"/>
              <w:ind w:firstLine="0" w:firstLineChars="0"/>
              <w:jc w:val="center"/>
              <w:rPr>
                <w:rFonts w:hint="eastAsia" w:cs="宋体"/>
                <w:color w:val="auto"/>
                <w:sz w:val="21"/>
              </w:rPr>
            </w:pPr>
            <w:bookmarkStart w:id="399" w:name="_Toc171076916"/>
            <w:bookmarkStart w:id="400" w:name="_Toc165551527"/>
            <w:bookmarkStart w:id="401" w:name="_Toc220605920"/>
            <w:bookmarkStart w:id="402" w:name="_Toc221283834"/>
            <w:bookmarkStart w:id="403" w:name="_Toc224405942"/>
            <w:r>
              <w:rPr>
                <w:rFonts w:hint="eastAsia" w:cs="宋体"/>
                <w:color w:val="auto"/>
                <w:sz w:val="21"/>
              </w:rPr>
              <w:t>E</w:t>
            </w:r>
            <w:bookmarkEnd w:id="399"/>
            <w:bookmarkEnd w:id="400"/>
            <w:bookmarkEnd w:id="401"/>
            <w:bookmarkEnd w:id="402"/>
            <w:bookmarkEnd w:id="403"/>
          </w:p>
        </w:tc>
        <w:tc>
          <w:tcPr>
            <w:tcW w:w="694" w:type="dxa"/>
            <w:vMerge w:val="continue"/>
            <w:vAlign w:val="center"/>
          </w:tcPr>
          <w:p w14:paraId="31A92719">
            <w:pPr>
              <w:pStyle w:val="219"/>
              <w:adjustRightInd w:val="0"/>
              <w:snapToGrid w:val="0"/>
              <w:spacing w:line="300" w:lineRule="exact"/>
              <w:ind w:firstLine="0" w:firstLineChars="0"/>
              <w:jc w:val="center"/>
              <w:rPr>
                <w:rFonts w:hint="eastAsia" w:cs="宋体"/>
                <w:color w:val="auto"/>
                <w:sz w:val="21"/>
              </w:rPr>
            </w:pPr>
          </w:p>
        </w:tc>
        <w:tc>
          <w:tcPr>
            <w:tcW w:w="647" w:type="dxa"/>
            <w:vMerge w:val="continue"/>
            <w:vAlign w:val="center"/>
          </w:tcPr>
          <w:p w14:paraId="414DB9F5">
            <w:pPr>
              <w:pStyle w:val="219"/>
              <w:adjustRightInd w:val="0"/>
              <w:snapToGrid w:val="0"/>
              <w:spacing w:line="300" w:lineRule="exact"/>
              <w:ind w:firstLine="0" w:firstLineChars="0"/>
              <w:jc w:val="center"/>
              <w:rPr>
                <w:rFonts w:hint="eastAsia" w:cs="宋体"/>
                <w:color w:val="auto"/>
                <w:sz w:val="21"/>
              </w:rPr>
            </w:pPr>
          </w:p>
        </w:tc>
        <w:tc>
          <w:tcPr>
            <w:tcW w:w="1279" w:type="dxa"/>
            <w:vMerge w:val="continue"/>
            <w:vAlign w:val="center"/>
          </w:tcPr>
          <w:p w14:paraId="5DE3B79B">
            <w:pPr>
              <w:pStyle w:val="219"/>
              <w:adjustRightInd w:val="0"/>
              <w:snapToGrid w:val="0"/>
              <w:spacing w:line="300" w:lineRule="exact"/>
              <w:ind w:firstLine="0" w:firstLineChars="0"/>
              <w:jc w:val="center"/>
              <w:rPr>
                <w:rFonts w:hint="eastAsia" w:cs="宋体"/>
                <w:color w:val="auto"/>
                <w:sz w:val="21"/>
              </w:rPr>
            </w:pPr>
          </w:p>
        </w:tc>
      </w:tr>
      <w:tr w14:paraId="388C3D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restart"/>
            <w:vAlign w:val="center"/>
          </w:tcPr>
          <w:p w14:paraId="32A0C43E">
            <w:pPr>
              <w:pStyle w:val="219"/>
              <w:adjustRightInd w:val="0"/>
              <w:snapToGrid w:val="0"/>
              <w:spacing w:line="300" w:lineRule="exact"/>
              <w:ind w:firstLine="0" w:firstLineChars="0"/>
              <w:jc w:val="center"/>
              <w:rPr>
                <w:rFonts w:hint="eastAsia" w:cs="宋体"/>
                <w:color w:val="auto"/>
                <w:sz w:val="21"/>
              </w:rPr>
            </w:pPr>
            <w:bookmarkStart w:id="404" w:name="_Toc224405943"/>
            <w:r>
              <w:rPr>
                <w:rFonts w:hint="eastAsia" w:cs="宋体"/>
                <w:color w:val="auto"/>
                <w:sz w:val="21"/>
              </w:rPr>
              <w:t>湾探1井、盆10井地面建设工程环评现状监测</w:t>
            </w:r>
            <w:bookmarkEnd w:id="404"/>
          </w:p>
        </w:tc>
        <w:tc>
          <w:tcPr>
            <w:tcW w:w="567" w:type="dxa"/>
            <w:vAlign w:val="center"/>
          </w:tcPr>
          <w:p w14:paraId="5C95524B">
            <w:pPr>
              <w:pStyle w:val="219"/>
              <w:adjustRightInd w:val="0"/>
              <w:snapToGrid w:val="0"/>
              <w:spacing w:line="300" w:lineRule="exact"/>
              <w:ind w:firstLine="0" w:firstLineChars="0"/>
              <w:jc w:val="center"/>
              <w:rPr>
                <w:rFonts w:hint="eastAsia" w:cs="宋体"/>
                <w:color w:val="auto"/>
                <w:sz w:val="21"/>
              </w:rPr>
            </w:pPr>
            <w:bookmarkStart w:id="405" w:name="_Toc221283835"/>
            <w:bookmarkStart w:id="406" w:name="_Toc171076917"/>
            <w:bookmarkStart w:id="407" w:name="_Toc224405944"/>
            <w:bookmarkStart w:id="408" w:name="_Toc220605921"/>
            <w:bookmarkStart w:id="409" w:name="_Toc165551528"/>
            <w:r>
              <w:rPr>
                <w:rFonts w:hint="eastAsia" w:cs="宋体"/>
                <w:color w:val="auto"/>
                <w:sz w:val="21"/>
              </w:rPr>
              <w:t>W1</w:t>
            </w:r>
            <w:bookmarkEnd w:id="405"/>
            <w:bookmarkEnd w:id="406"/>
            <w:bookmarkEnd w:id="407"/>
            <w:bookmarkEnd w:id="408"/>
            <w:bookmarkEnd w:id="409"/>
          </w:p>
        </w:tc>
        <w:tc>
          <w:tcPr>
            <w:tcW w:w="1134" w:type="dxa"/>
            <w:vAlign w:val="center"/>
          </w:tcPr>
          <w:p w14:paraId="6782E3EE">
            <w:pPr>
              <w:pStyle w:val="219"/>
              <w:adjustRightInd w:val="0"/>
              <w:snapToGrid w:val="0"/>
              <w:spacing w:line="300" w:lineRule="exact"/>
              <w:ind w:firstLine="0" w:firstLineChars="0"/>
              <w:jc w:val="center"/>
              <w:rPr>
                <w:rFonts w:hint="eastAsia" w:cs="宋体"/>
                <w:color w:val="auto"/>
                <w:sz w:val="21"/>
              </w:rPr>
            </w:pPr>
            <w:bookmarkStart w:id="410" w:name="OLE_LINK172"/>
            <w:bookmarkStart w:id="411" w:name="_Toc221283836"/>
            <w:bookmarkStart w:id="412" w:name="_Toc224405945"/>
            <w:r>
              <w:rPr>
                <w:rFonts w:hint="eastAsia" w:cs="宋体"/>
                <w:color w:val="auto"/>
                <w:sz w:val="21"/>
              </w:rPr>
              <w:t>克水8井</w:t>
            </w:r>
            <w:bookmarkEnd w:id="410"/>
            <w:bookmarkEnd w:id="411"/>
            <w:bookmarkEnd w:id="412"/>
          </w:p>
        </w:tc>
        <w:tc>
          <w:tcPr>
            <w:tcW w:w="1701" w:type="dxa"/>
            <w:vAlign w:val="center"/>
          </w:tcPr>
          <w:p w14:paraId="236F15C0">
            <w:pPr>
              <w:pStyle w:val="219"/>
              <w:adjustRightInd w:val="0"/>
              <w:snapToGrid w:val="0"/>
              <w:spacing w:line="300" w:lineRule="exact"/>
              <w:ind w:firstLine="0" w:firstLineChars="0"/>
              <w:jc w:val="center"/>
              <w:rPr>
                <w:rFonts w:hint="eastAsia" w:cs="宋体"/>
                <w:color w:val="auto"/>
                <w:sz w:val="21"/>
              </w:rPr>
            </w:pPr>
            <w:bookmarkStart w:id="413" w:name="_Toc224405946"/>
            <w:bookmarkStart w:id="414" w:name="_Toc221283837"/>
            <w:r>
              <w:rPr>
                <w:rFonts w:hint="eastAsia" w:cs="宋体"/>
                <w:color w:val="auto"/>
                <w:sz w:val="21"/>
              </w:rPr>
              <w:t>45°06′39.00″</w:t>
            </w:r>
            <w:bookmarkEnd w:id="413"/>
            <w:bookmarkEnd w:id="414"/>
          </w:p>
        </w:tc>
        <w:tc>
          <w:tcPr>
            <w:tcW w:w="1574" w:type="dxa"/>
            <w:vAlign w:val="center"/>
          </w:tcPr>
          <w:p w14:paraId="77A23CFD">
            <w:pPr>
              <w:pStyle w:val="219"/>
              <w:adjustRightInd w:val="0"/>
              <w:snapToGrid w:val="0"/>
              <w:spacing w:line="300" w:lineRule="exact"/>
              <w:ind w:firstLine="0" w:firstLineChars="0"/>
              <w:jc w:val="center"/>
              <w:rPr>
                <w:rFonts w:hint="eastAsia" w:cs="宋体"/>
                <w:color w:val="auto"/>
                <w:sz w:val="21"/>
              </w:rPr>
            </w:pPr>
            <w:bookmarkStart w:id="415" w:name="_Toc224405947"/>
            <w:bookmarkStart w:id="416" w:name="_Toc221283838"/>
            <w:r>
              <w:rPr>
                <w:rFonts w:hint="eastAsia" w:cs="宋体"/>
                <w:color w:val="auto"/>
                <w:sz w:val="21"/>
              </w:rPr>
              <w:t>86°35′32.00″</w:t>
            </w:r>
            <w:bookmarkEnd w:id="415"/>
            <w:bookmarkEnd w:id="416"/>
          </w:p>
        </w:tc>
        <w:tc>
          <w:tcPr>
            <w:tcW w:w="694" w:type="dxa"/>
            <w:vAlign w:val="center"/>
          </w:tcPr>
          <w:p w14:paraId="260AB8BD">
            <w:pPr>
              <w:pStyle w:val="219"/>
              <w:adjustRightInd w:val="0"/>
              <w:snapToGrid w:val="0"/>
              <w:spacing w:line="300" w:lineRule="exact"/>
              <w:ind w:firstLine="0" w:firstLineChars="0"/>
              <w:jc w:val="center"/>
              <w:rPr>
                <w:rFonts w:hint="eastAsia" w:cs="宋体"/>
                <w:color w:val="auto"/>
                <w:sz w:val="21"/>
              </w:rPr>
            </w:pPr>
            <w:bookmarkStart w:id="417" w:name="_Toc224405948"/>
            <w:bookmarkStart w:id="418" w:name="_Toc221283839"/>
            <w:r>
              <w:rPr>
                <w:rFonts w:hint="eastAsia" w:cs="宋体"/>
                <w:color w:val="auto"/>
                <w:sz w:val="21"/>
              </w:rPr>
              <w:t>110</w:t>
            </w:r>
            <w:bookmarkEnd w:id="417"/>
            <w:bookmarkEnd w:id="418"/>
          </w:p>
        </w:tc>
        <w:tc>
          <w:tcPr>
            <w:tcW w:w="647" w:type="dxa"/>
            <w:vAlign w:val="center"/>
          </w:tcPr>
          <w:p w14:paraId="045DE3D6">
            <w:pPr>
              <w:pStyle w:val="219"/>
              <w:adjustRightInd w:val="0"/>
              <w:snapToGrid w:val="0"/>
              <w:spacing w:line="300" w:lineRule="exact"/>
              <w:ind w:firstLine="0" w:firstLineChars="0"/>
              <w:jc w:val="center"/>
              <w:rPr>
                <w:rFonts w:hint="eastAsia" w:cs="宋体"/>
                <w:color w:val="auto"/>
                <w:sz w:val="21"/>
              </w:rPr>
            </w:pPr>
            <w:bookmarkStart w:id="419" w:name="_Toc224405949"/>
            <w:bookmarkStart w:id="420" w:name="_Toc220605922"/>
            <w:bookmarkStart w:id="421" w:name="_Toc221283840"/>
            <w:r>
              <w:rPr>
                <w:rFonts w:hint="eastAsia" w:cs="宋体"/>
                <w:color w:val="auto"/>
                <w:sz w:val="21"/>
              </w:rPr>
              <w:t>潜水层</w:t>
            </w:r>
            <w:bookmarkEnd w:id="419"/>
            <w:bookmarkEnd w:id="420"/>
            <w:bookmarkEnd w:id="421"/>
          </w:p>
        </w:tc>
        <w:tc>
          <w:tcPr>
            <w:tcW w:w="1279" w:type="dxa"/>
            <w:vAlign w:val="center"/>
          </w:tcPr>
          <w:p w14:paraId="20FA2C8F">
            <w:pPr>
              <w:pStyle w:val="219"/>
              <w:adjustRightInd w:val="0"/>
              <w:snapToGrid w:val="0"/>
              <w:spacing w:line="300" w:lineRule="exact"/>
              <w:ind w:firstLine="0" w:firstLineChars="0"/>
              <w:jc w:val="center"/>
              <w:rPr>
                <w:rFonts w:hint="eastAsia" w:cs="宋体"/>
                <w:color w:val="auto"/>
                <w:sz w:val="21"/>
              </w:rPr>
            </w:pPr>
            <w:bookmarkStart w:id="422" w:name="_Toc221283841"/>
            <w:bookmarkStart w:id="423" w:name="_Toc224405950"/>
            <w:r>
              <w:rPr>
                <w:rFonts w:hint="eastAsia" w:cs="宋体"/>
                <w:color w:val="auto"/>
                <w:sz w:val="21"/>
              </w:rPr>
              <w:t>莫174H井东北侧8.8km</w:t>
            </w:r>
            <w:bookmarkEnd w:id="422"/>
            <w:bookmarkEnd w:id="423"/>
          </w:p>
        </w:tc>
      </w:tr>
      <w:tr w14:paraId="2DD83B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vAlign w:val="center"/>
          </w:tcPr>
          <w:p w14:paraId="770EB9B1">
            <w:pPr>
              <w:pStyle w:val="219"/>
              <w:adjustRightInd w:val="0"/>
              <w:snapToGrid w:val="0"/>
              <w:spacing w:line="300" w:lineRule="exact"/>
              <w:ind w:firstLine="0" w:firstLineChars="0"/>
              <w:jc w:val="center"/>
              <w:rPr>
                <w:rFonts w:hint="eastAsia" w:cs="宋体"/>
                <w:color w:val="auto"/>
                <w:sz w:val="21"/>
              </w:rPr>
            </w:pPr>
          </w:p>
        </w:tc>
        <w:tc>
          <w:tcPr>
            <w:tcW w:w="567" w:type="dxa"/>
            <w:vAlign w:val="center"/>
          </w:tcPr>
          <w:p w14:paraId="0AF6AE52">
            <w:pPr>
              <w:pStyle w:val="219"/>
              <w:adjustRightInd w:val="0"/>
              <w:snapToGrid w:val="0"/>
              <w:spacing w:line="300" w:lineRule="exact"/>
              <w:ind w:firstLine="0" w:firstLineChars="0"/>
              <w:jc w:val="center"/>
              <w:rPr>
                <w:rFonts w:hint="eastAsia" w:cs="宋体"/>
                <w:color w:val="auto"/>
                <w:sz w:val="21"/>
              </w:rPr>
            </w:pPr>
            <w:bookmarkStart w:id="424" w:name="_Toc224405951"/>
            <w:bookmarkStart w:id="425" w:name="_Toc220605923"/>
            <w:bookmarkStart w:id="426" w:name="_Toc165551536"/>
            <w:bookmarkStart w:id="427" w:name="_Toc171076922"/>
            <w:bookmarkStart w:id="428" w:name="_Toc221283842"/>
            <w:r>
              <w:rPr>
                <w:rFonts w:hint="eastAsia" w:cs="宋体"/>
                <w:color w:val="auto"/>
                <w:sz w:val="21"/>
              </w:rPr>
              <w:t>W2</w:t>
            </w:r>
            <w:bookmarkEnd w:id="424"/>
            <w:bookmarkEnd w:id="425"/>
            <w:bookmarkEnd w:id="426"/>
            <w:bookmarkEnd w:id="427"/>
            <w:bookmarkEnd w:id="428"/>
          </w:p>
        </w:tc>
        <w:tc>
          <w:tcPr>
            <w:tcW w:w="1134" w:type="dxa"/>
            <w:vAlign w:val="center"/>
          </w:tcPr>
          <w:p w14:paraId="348A2C5F">
            <w:pPr>
              <w:pStyle w:val="219"/>
              <w:adjustRightInd w:val="0"/>
              <w:snapToGrid w:val="0"/>
              <w:spacing w:line="300" w:lineRule="exact"/>
              <w:ind w:firstLine="0" w:firstLineChars="0"/>
              <w:jc w:val="center"/>
              <w:rPr>
                <w:rFonts w:hint="eastAsia" w:cs="宋体"/>
                <w:color w:val="auto"/>
                <w:sz w:val="21"/>
              </w:rPr>
            </w:pPr>
            <w:bookmarkStart w:id="429" w:name="_Toc221283843"/>
            <w:bookmarkStart w:id="430" w:name="OLE_LINK173"/>
            <w:bookmarkStart w:id="431" w:name="_Toc224405952"/>
            <w:r>
              <w:rPr>
                <w:rFonts w:hint="eastAsia" w:cs="宋体"/>
                <w:color w:val="auto"/>
                <w:sz w:val="21"/>
              </w:rPr>
              <w:t>莫水7井</w:t>
            </w:r>
            <w:bookmarkEnd w:id="429"/>
            <w:bookmarkEnd w:id="430"/>
            <w:bookmarkEnd w:id="431"/>
          </w:p>
        </w:tc>
        <w:tc>
          <w:tcPr>
            <w:tcW w:w="1701" w:type="dxa"/>
            <w:vAlign w:val="center"/>
          </w:tcPr>
          <w:p w14:paraId="33D51546">
            <w:pPr>
              <w:pStyle w:val="219"/>
              <w:adjustRightInd w:val="0"/>
              <w:snapToGrid w:val="0"/>
              <w:spacing w:line="300" w:lineRule="exact"/>
              <w:ind w:firstLine="0" w:firstLineChars="0"/>
              <w:jc w:val="center"/>
              <w:rPr>
                <w:rFonts w:hint="eastAsia" w:cs="宋体"/>
                <w:color w:val="auto"/>
                <w:sz w:val="21"/>
              </w:rPr>
            </w:pPr>
            <w:bookmarkStart w:id="432" w:name="_Toc221283844"/>
            <w:bookmarkStart w:id="433" w:name="_Toc224405953"/>
            <w:r>
              <w:rPr>
                <w:rFonts w:hint="eastAsia" w:cs="宋体"/>
                <w:color w:val="auto"/>
                <w:sz w:val="21"/>
              </w:rPr>
              <w:t>45°05′41.00″</w:t>
            </w:r>
            <w:bookmarkEnd w:id="432"/>
            <w:bookmarkEnd w:id="433"/>
          </w:p>
        </w:tc>
        <w:tc>
          <w:tcPr>
            <w:tcW w:w="1574" w:type="dxa"/>
            <w:vAlign w:val="center"/>
          </w:tcPr>
          <w:p w14:paraId="109DF354">
            <w:pPr>
              <w:pStyle w:val="219"/>
              <w:adjustRightInd w:val="0"/>
              <w:snapToGrid w:val="0"/>
              <w:spacing w:line="300" w:lineRule="exact"/>
              <w:ind w:firstLine="0" w:firstLineChars="0"/>
              <w:jc w:val="center"/>
              <w:rPr>
                <w:rFonts w:hint="eastAsia" w:cs="宋体"/>
                <w:color w:val="auto"/>
                <w:sz w:val="21"/>
              </w:rPr>
            </w:pPr>
            <w:bookmarkStart w:id="434" w:name="_Toc221283845"/>
            <w:bookmarkStart w:id="435" w:name="_Toc224405954"/>
            <w:r>
              <w:rPr>
                <w:rFonts w:hint="eastAsia" w:cs="宋体"/>
                <w:color w:val="auto"/>
                <w:sz w:val="21"/>
              </w:rPr>
              <w:t>86°35′56.00″</w:t>
            </w:r>
            <w:bookmarkEnd w:id="434"/>
            <w:bookmarkEnd w:id="435"/>
          </w:p>
        </w:tc>
        <w:tc>
          <w:tcPr>
            <w:tcW w:w="694" w:type="dxa"/>
            <w:vAlign w:val="center"/>
          </w:tcPr>
          <w:p w14:paraId="168C8947">
            <w:pPr>
              <w:pStyle w:val="219"/>
              <w:adjustRightInd w:val="0"/>
              <w:snapToGrid w:val="0"/>
              <w:spacing w:line="300" w:lineRule="exact"/>
              <w:ind w:firstLine="0" w:firstLineChars="0"/>
              <w:jc w:val="center"/>
              <w:rPr>
                <w:rFonts w:hint="eastAsia" w:cs="宋体"/>
                <w:color w:val="auto"/>
                <w:sz w:val="21"/>
              </w:rPr>
            </w:pPr>
            <w:bookmarkStart w:id="436" w:name="_Toc221283846"/>
            <w:bookmarkStart w:id="437" w:name="_Toc224405955"/>
            <w:r>
              <w:rPr>
                <w:rFonts w:hint="eastAsia" w:cs="宋体"/>
                <w:color w:val="auto"/>
                <w:sz w:val="21"/>
              </w:rPr>
              <w:t>96</w:t>
            </w:r>
            <w:bookmarkEnd w:id="436"/>
            <w:bookmarkEnd w:id="437"/>
          </w:p>
        </w:tc>
        <w:tc>
          <w:tcPr>
            <w:tcW w:w="647" w:type="dxa"/>
            <w:vAlign w:val="center"/>
          </w:tcPr>
          <w:p w14:paraId="287B1F45">
            <w:pPr>
              <w:pStyle w:val="219"/>
              <w:adjustRightInd w:val="0"/>
              <w:snapToGrid w:val="0"/>
              <w:spacing w:line="300" w:lineRule="exact"/>
              <w:ind w:firstLine="0" w:firstLineChars="0"/>
              <w:jc w:val="center"/>
              <w:rPr>
                <w:rFonts w:hint="eastAsia" w:cs="宋体"/>
                <w:color w:val="auto"/>
                <w:sz w:val="21"/>
              </w:rPr>
            </w:pPr>
            <w:bookmarkStart w:id="438" w:name="_Toc224405956"/>
            <w:bookmarkStart w:id="439" w:name="_Toc220605924"/>
            <w:bookmarkStart w:id="440" w:name="_Toc221283847"/>
            <w:r>
              <w:rPr>
                <w:rFonts w:hint="eastAsia" w:cs="宋体"/>
                <w:color w:val="auto"/>
                <w:sz w:val="21"/>
              </w:rPr>
              <w:t>潜水层</w:t>
            </w:r>
            <w:bookmarkEnd w:id="438"/>
            <w:bookmarkEnd w:id="439"/>
            <w:bookmarkEnd w:id="440"/>
          </w:p>
        </w:tc>
        <w:tc>
          <w:tcPr>
            <w:tcW w:w="1279" w:type="dxa"/>
            <w:vAlign w:val="center"/>
          </w:tcPr>
          <w:p w14:paraId="166B4F91">
            <w:pPr>
              <w:pStyle w:val="219"/>
              <w:adjustRightInd w:val="0"/>
              <w:snapToGrid w:val="0"/>
              <w:spacing w:line="300" w:lineRule="exact"/>
              <w:ind w:firstLine="0" w:firstLineChars="0"/>
              <w:jc w:val="center"/>
              <w:rPr>
                <w:rFonts w:hint="eastAsia" w:cs="宋体"/>
                <w:color w:val="auto"/>
                <w:sz w:val="21"/>
              </w:rPr>
            </w:pPr>
            <w:bookmarkStart w:id="441" w:name="_Toc224405957"/>
            <w:bookmarkStart w:id="442" w:name="_Toc221283848"/>
            <w:r>
              <w:rPr>
                <w:rFonts w:hint="eastAsia" w:cs="宋体"/>
                <w:color w:val="auto"/>
                <w:sz w:val="21"/>
              </w:rPr>
              <w:t>莫174H井东侧9.3km</w:t>
            </w:r>
            <w:bookmarkEnd w:id="441"/>
            <w:bookmarkEnd w:id="442"/>
          </w:p>
        </w:tc>
      </w:tr>
      <w:tr w14:paraId="73336D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4" w:type="dxa"/>
            <w:vMerge w:val="continue"/>
            <w:vAlign w:val="center"/>
          </w:tcPr>
          <w:p w14:paraId="5B76390F">
            <w:pPr>
              <w:pStyle w:val="219"/>
              <w:adjustRightInd w:val="0"/>
              <w:snapToGrid w:val="0"/>
              <w:spacing w:line="300" w:lineRule="exact"/>
              <w:ind w:firstLine="0" w:firstLineChars="0"/>
              <w:jc w:val="center"/>
              <w:rPr>
                <w:rFonts w:hint="eastAsia" w:cs="宋体"/>
                <w:color w:val="auto"/>
                <w:sz w:val="21"/>
              </w:rPr>
            </w:pPr>
          </w:p>
        </w:tc>
        <w:tc>
          <w:tcPr>
            <w:tcW w:w="567" w:type="dxa"/>
            <w:vAlign w:val="center"/>
          </w:tcPr>
          <w:p w14:paraId="6177CCCA">
            <w:pPr>
              <w:pStyle w:val="219"/>
              <w:adjustRightInd w:val="0"/>
              <w:snapToGrid w:val="0"/>
              <w:spacing w:line="300" w:lineRule="exact"/>
              <w:ind w:firstLine="0" w:firstLineChars="0"/>
              <w:jc w:val="center"/>
              <w:rPr>
                <w:rFonts w:hint="eastAsia" w:cs="宋体"/>
                <w:color w:val="auto"/>
                <w:sz w:val="21"/>
              </w:rPr>
            </w:pPr>
            <w:bookmarkStart w:id="443" w:name="_Toc165551543"/>
            <w:bookmarkStart w:id="444" w:name="_Toc220605925"/>
            <w:bookmarkStart w:id="445" w:name="_Toc171076927"/>
            <w:bookmarkStart w:id="446" w:name="_Toc221283849"/>
            <w:bookmarkStart w:id="447" w:name="_Toc224405958"/>
            <w:r>
              <w:rPr>
                <w:rFonts w:hint="eastAsia" w:cs="宋体"/>
                <w:color w:val="auto"/>
                <w:sz w:val="21"/>
              </w:rPr>
              <w:t>W3</w:t>
            </w:r>
            <w:bookmarkEnd w:id="443"/>
            <w:bookmarkEnd w:id="444"/>
            <w:bookmarkEnd w:id="445"/>
            <w:bookmarkEnd w:id="446"/>
            <w:bookmarkEnd w:id="447"/>
          </w:p>
        </w:tc>
        <w:tc>
          <w:tcPr>
            <w:tcW w:w="1134" w:type="dxa"/>
            <w:vAlign w:val="center"/>
          </w:tcPr>
          <w:p w14:paraId="4BF84124">
            <w:pPr>
              <w:pStyle w:val="219"/>
              <w:adjustRightInd w:val="0"/>
              <w:snapToGrid w:val="0"/>
              <w:spacing w:line="300" w:lineRule="exact"/>
              <w:ind w:firstLine="0" w:firstLineChars="0"/>
              <w:jc w:val="center"/>
              <w:rPr>
                <w:rFonts w:hint="eastAsia" w:cs="宋体"/>
                <w:color w:val="auto"/>
                <w:sz w:val="21"/>
              </w:rPr>
            </w:pPr>
            <w:bookmarkStart w:id="448" w:name="_Toc224405959"/>
            <w:bookmarkStart w:id="449" w:name="_Toc221283850"/>
            <w:r>
              <w:rPr>
                <w:rFonts w:hint="eastAsia" w:cs="宋体"/>
                <w:color w:val="auto"/>
                <w:sz w:val="21"/>
              </w:rPr>
              <w:t>一四九团十五连</w:t>
            </w:r>
            <w:bookmarkEnd w:id="448"/>
            <w:bookmarkEnd w:id="449"/>
          </w:p>
        </w:tc>
        <w:tc>
          <w:tcPr>
            <w:tcW w:w="1701" w:type="dxa"/>
            <w:vAlign w:val="center"/>
          </w:tcPr>
          <w:p w14:paraId="0DE7E12A">
            <w:pPr>
              <w:pStyle w:val="219"/>
              <w:adjustRightInd w:val="0"/>
              <w:snapToGrid w:val="0"/>
              <w:spacing w:line="300" w:lineRule="exact"/>
              <w:ind w:firstLine="0" w:firstLineChars="0"/>
              <w:jc w:val="center"/>
              <w:rPr>
                <w:rFonts w:hint="eastAsia" w:cs="宋体"/>
                <w:color w:val="auto"/>
                <w:sz w:val="21"/>
              </w:rPr>
            </w:pPr>
            <w:bookmarkStart w:id="450" w:name="_Toc221283851"/>
            <w:bookmarkStart w:id="451" w:name="_Toc224405960"/>
            <w:r>
              <w:rPr>
                <w:rFonts w:hint="eastAsia" w:cs="宋体"/>
                <w:color w:val="auto"/>
                <w:sz w:val="21"/>
              </w:rPr>
              <w:t>44°58′40.72″</w:t>
            </w:r>
            <w:bookmarkEnd w:id="450"/>
            <w:bookmarkEnd w:id="451"/>
          </w:p>
        </w:tc>
        <w:tc>
          <w:tcPr>
            <w:tcW w:w="1574" w:type="dxa"/>
            <w:vAlign w:val="center"/>
          </w:tcPr>
          <w:p w14:paraId="13B5CEFE">
            <w:pPr>
              <w:pStyle w:val="219"/>
              <w:adjustRightInd w:val="0"/>
              <w:snapToGrid w:val="0"/>
              <w:spacing w:line="300" w:lineRule="exact"/>
              <w:ind w:firstLine="0" w:firstLineChars="0"/>
              <w:jc w:val="center"/>
              <w:rPr>
                <w:rFonts w:hint="eastAsia" w:cs="宋体"/>
                <w:color w:val="auto"/>
                <w:sz w:val="21"/>
              </w:rPr>
            </w:pPr>
            <w:bookmarkStart w:id="452" w:name="_Toc221283852"/>
            <w:bookmarkStart w:id="453" w:name="_Toc224405961"/>
            <w:r>
              <w:rPr>
                <w:rFonts w:hint="eastAsia" w:cs="宋体"/>
                <w:color w:val="auto"/>
                <w:sz w:val="21"/>
              </w:rPr>
              <w:t>86°14′07.15″</w:t>
            </w:r>
            <w:bookmarkEnd w:id="452"/>
            <w:bookmarkEnd w:id="453"/>
          </w:p>
        </w:tc>
        <w:tc>
          <w:tcPr>
            <w:tcW w:w="694" w:type="dxa"/>
            <w:vAlign w:val="center"/>
          </w:tcPr>
          <w:p w14:paraId="40D2ABBB">
            <w:pPr>
              <w:pStyle w:val="219"/>
              <w:adjustRightInd w:val="0"/>
              <w:snapToGrid w:val="0"/>
              <w:spacing w:line="300" w:lineRule="exact"/>
              <w:ind w:firstLine="0" w:firstLineChars="0"/>
              <w:jc w:val="center"/>
              <w:rPr>
                <w:rFonts w:hint="eastAsia" w:cs="宋体"/>
                <w:color w:val="auto"/>
                <w:sz w:val="21"/>
              </w:rPr>
            </w:pPr>
            <w:bookmarkStart w:id="454" w:name="_Toc224405962"/>
            <w:bookmarkStart w:id="455" w:name="_Toc221283853"/>
            <w:r>
              <w:rPr>
                <w:rFonts w:hint="eastAsia" w:cs="宋体"/>
                <w:color w:val="auto"/>
                <w:sz w:val="21"/>
              </w:rPr>
              <w:t>66</w:t>
            </w:r>
            <w:bookmarkEnd w:id="454"/>
            <w:bookmarkEnd w:id="455"/>
          </w:p>
        </w:tc>
        <w:tc>
          <w:tcPr>
            <w:tcW w:w="647" w:type="dxa"/>
            <w:vAlign w:val="center"/>
          </w:tcPr>
          <w:p w14:paraId="6D130D62">
            <w:pPr>
              <w:pStyle w:val="219"/>
              <w:adjustRightInd w:val="0"/>
              <w:snapToGrid w:val="0"/>
              <w:spacing w:line="300" w:lineRule="exact"/>
              <w:ind w:firstLine="0" w:firstLineChars="0"/>
              <w:jc w:val="center"/>
              <w:rPr>
                <w:rFonts w:hint="eastAsia" w:cs="宋体"/>
                <w:color w:val="auto"/>
                <w:sz w:val="21"/>
              </w:rPr>
            </w:pPr>
            <w:bookmarkStart w:id="456" w:name="_Toc220605926"/>
            <w:bookmarkStart w:id="457" w:name="_Toc224405963"/>
            <w:bookmarkStart w:id="458" w:name="_Toc221283854"/>
            <w:r>
              <w:rPr>
                <w:rFonts w:hint="eastAsia" w:cs="宋体"/>
                <w:color w:val="auto"/>
                <w:sz w:val="21"/>
              </w:rPr>
              <w:t>潜水层</w:t>
            </w:r>
            <w:bookmarkEnd w:id="456"/>
            <w:bookmarkEnd w:id="457"/>
            <w:bookmarkEnd w:id="458"/>
          </w:p>
        </w:tc>
        <w:tc>
          <w:tcPr>
            <w:tcW w:w="1279" w:type="dxa"/>
            <w:vAlign w:val="center"/>
          </w:tcPr>
          <w:p w14:paraId="0EF54A63">
            <w:pPr>
              <w:pStyle w:val="219"/>
              <w:adjustRightInd w:val="0"/>
              <w:snapToGrid w:val="0"/>
              <w:spacing w:line="300" w:lineRule="exact"/>
              <w:ind w:firstLine="0" w:firstLineChars="0"/>
              <w:jc w:val="center"/>
              <w:rPr>
                <w:rFonts w:hint="eastAsia" w:cs="宋体"/>
                <w:color w:val="auto"/>
                <w:sz w:val="21"/>
              </w:rPr>
            </w:pPr>
            <w:bookmarkStart w:id="459" w:name="_Toc221283855"/>
            <w:bookmarkStart w:id="460" w:name="_Toc224405964"/>
            <w:r>
              <w:rPr>
                <w:rFonts w:hint="eastAsia" w:cs="宋体"/>
                <w:color w:val="auto"/>
                <w:sz w:val="21"/>
              </w:rPr>
              <w:t>莫174H井西南侧23.9km</w:t>
            </w:r>
            <w:bookmarkEnd w:id="459"/>
            <w:bookmarkEnd w:id="460"/>
          </w:p>
        </w:tc>
      </w:tr>
      <w:tr w14:paraId="668375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4" w:type="dxa"/>
            <w:vMerge w:val="continue"/>
            <w:vAlign w:val="center"/>
          </w:tcPr>
          <w:p w14:paraId="16ECDCE1">
            <w:pPr>
              <w:pStyle w:val="219"/>
              <w:adjustRightInd w:val="0"/>
              <w:snapToGrid w:val="0"/>
              <w:spacing w:line="300" w:lineRule="exact"/>
              <w:ind w:firstLine="0" w:firstLineChars="0"/>
              <w:jc w:val="center"/>
              <w:rPr>
                <w:rFonts w:hint="eastAsia" w:cs="宋体"/>
                <w:color w:val="auto"/>
                <w:sz w:val="21"/>
              </w:rPr>
            </w:pPr>
            <w:bookmarkStart w:id="461" w:name="_Hlk219990665"/>
          </w:p>
        </w:tc>
        <w:tc>
          <w:tcPr>
            <w:tcW w:w="567" w:type="dxa"/>
            <w:vAlign w:val="center"/>
          </w:tcPr>
          <w:p w14:paraId="17E26F32">
            <w:pPr>
              <w:pStyle w:val="219"/>
              <w:adjustRightInd w:val="0"/>
              <w:snapToGrid w:val="0"/>
              <w:spacing w:line="300" w:lineRule="exact"/>
              <w:ind w:firstLine="0" w:firstLineChars="0"/>
              <w:jc w:val="center"/>
              <w:rPr>
                <w:rFonts w:hint="eastAsia" w:cs="宋体"/>
                <w:color w:val="auto"/>
                <w:sz w:val="21"/>
              </w:rPr>
            </w:pPr>
            <w:bookmarkStart w:id="462" w:name="_Toc221283856"/>
            <w:bookmarkStart w:id="463" w:name="_Toc224405965"/>
            <w:bookmarkStart w:id="464" w:name="_Toc171076932"/>
            <w:bookmarkStart w:id="465" w:name="_Toc220605927"/>
            <w:r>
              <w:rPr>
                <w:rFonts w:hint="eastAsia" w:cs="宋体"/>
                <w:color w:val="auto"/>
                <w:sz w:val="21"/>
              </w:rPr>
              <w:t>W4</w:t>
            </w:r>
            <w:bookmarkEnd w:id="462"/>
            <w:bookmarkEnd w:id="463"/>
            <w:bookmarkEnd w:id="464"/>
            <w:bookmarkEnd w:id="465"/>
          </w:p>
        </w:tc>
        <w:tc>
          <w:tcPr>
            <w:tcW w:w="1134" w:type="dxa"/>
            <w:vAlign w:val="center"/>
          </w:tcPr>
          <w:p w14:paraId="64D08144">
            <w:pPr>
              <w:pStyle w:val="219"/>
              <w:adjustRightInd w:val="0"/>
              <w:snapToGrid w:val="0"/>
              <w:spacing w:line="300" w:lineRule="exact"/>
              <w:ind w:firstLine="0" w:firstLineChars="0"/>
              <w:jc w:val="center"/>
              <w:rPr>
                <w:rFonts w:hint="eastAsia" w:cs="宋体"/>
                <w:color w:val="auto"/>
                <w:sz w:val="21"/>
              </w:rPr>
            </w:pPr>
            <w:bookmarkStart w:id="466" w:name="_Toc224405966"/>
            <w:bookmarkStart w:id="467" w:name="_Toc221283857"/>
            <w:r>
              <w:rPr>
                <w:rFonts w:hint="eastAsia" w:cs="宋体"/>
                <w:color w:val="auto"/>
                <w:sz w:val="21"/>
              </w:rPr>
              <w:t>莫水4井</w:t>
            </w:r>
            <w:bookmarkEnd w:id="466"/>
            <w:bookmarkEnd w:id="467"/>
          </w:p>
        </w:tc>
        <w:tc>
          <w:tcPr>
            <w:tcW w:w="1701" w:type="dxa"/>
            <w:vAlign w:val="center"/>
          </w:tcPr>
          <w:p w14:paraId="2DFBFF12">
            <w:pPr>
              <w:pStyle w:val="219"/>
              <w:adjustRightInd w:val="0"/>
              <w:snapToGrid w:val="0"/>
              <w:spacing w:line="300" w:lineRule="exact"/>
              <w:ind w:firstLine="0" w:firstLineChars="0"/>
              <w:jc w:val="center"/>
              <w:rPr>
                <w:rFonts w:hint="eastAsia" w:cs="宋体"/>
                <w:color w:val="auto"/>
                <w:sz w:val="21"/>
              </w:rPr>
            </w:pPr>
            <w:bookmarkStart w:id="468" w:name="_Toc221283858"/>
            <w:bookmarkStart w:id="469" w:name="_Toc224405967"/>
            <w:r>
              <w:rPr>
                <w:rFonts w:hint="eastAsia" w:cs="宋体"/>
                <w:color w:val="auto"/>
                <w:sz w:val="21"/>
              </w:rPr>
              <w:t>45°06'58.00"</w:t>
            </w:r>
            <w:bookmarkEnd w:id="468"/>
            <w:bookmarkEnd w:id="469"/>
          </w:p>
        </w:tc>
        <w:tc>
          <w:tcPr>
            <w:tcW w:w="1574" w:type="dxa"/>
            <w:vAlign w:val="center"/>
          </w:tcPr>
          <w:p w14:paraId="3775288F">
            <w:pPr>
              <w:pStyle w:val="219"/>
              <w:adjustRightInd w:val="0"/>
              <w:snapToGrid w:val="0"/>
              <w:spacing w:line="300" w:lineRule="exact"/>
              <w:ind w:firstLine="0" w:firstLineChars="0"/>
              <w:jc w:val="center"/>
              <w:rPr>
                <w:rFonts w:hint="eastAsia" w:cs="宋体"/>
                <w:color w:val="auto"/>
                <w:sz w:val="21"/>
              </w:rPr>
            </w:pPr>
            <w:bookmarkStart w:id="470" w:name="_Toc221283859"/>
            <w:bookmarkStart w:id="471" w:name="_Toc224405968"/>
            <w:r>
              <w:rPr>
                <w:rFonts w:hint="eastAsia" w:cs="宋体"/>
                <w:color w:val="auto"/>
                <w:sz w:val="21"/>
              </w:rPr>
              <w:t>86°37'03.00"</w:t>
            </w:r>
            <w:bookmarkEnd w:id="470"/>
            <w:bookmarkEnd w:id="471"/>
          </w:p>
        </w:tc>
        <w:tc>
          <w:tcPr>
            <w:tcW w:w="694" w:type="dxa"/>
            <w:vAlign w:val="center"/>
          </w:tcPr>
          <w:p w14:paraId="24A1D9AE">
            <w:pPr>
              <w:pStyle w:val="219"/>
              <w:adjustRightInd w:val="0"/>
              <w:snapToGrid w:val="0"/>
              <w:spacing w:line="300" w:lineRule="exact"/>
              <w:ind w:firstLine="0" w:firstLineChars="0"/>
              <w:jc w:val="center"/>
              <w:rPr>
                <w:rFonts w:hint="eastAsia" w:cs="宋体"/>
                <w:color w:val="auto"/>
                <w:sz w:val="21"/>
              </w:rPr>
            </w:pPr>
            <w:bookmarkStart w:id="472" w:name="_Toc224405969"/>
            <w:bookmarkStart w:id="473" w:name="_Toc221283860"/>
            <w:r>
              <w:rPr>
                <w:rFonts w:hint="eastAsia" w:cs="宋体"/>
                <w:color w:val="auto"/>
                <w:sz w:val="21"/>
              </w:rPr>
              <w:t>138</w:t>
            </w:r>
            <w:bookmarkEnd w:id="472"/>
            <w:bookmarkEnd w:id="473"/>
          </w:p>
        </w:tc>
        <w:tc>
          <w:tcPr>
            <w:tcW w:w="647" w:type="dxa"/>
            <w:vAlign w:val="center"/>
          </w:tcPr>
          <w:p w14:paraId="7028B8FB">
            <w:pPr>
              <w:pStyle w:val="219"/>
              <w:adjustRightInd w:val="0"/>
              <w:snapToGrid w:val="0"/>
              <w:spacing w:line="300" w:lineRule="exact"/>
              <w:ind w:firstLine="0" w:firstLineChars="0"/>
              <w:jc w:val="center"/>
              <w:rPr>
                <w:rFonts w:hint="eastAsia" w:cs="宋体"/>
                <w:color w:val="auto"/>
                <w:sz w:val="21"/>
              </w:rPr>
            </w:pPr>
            <w:bookmarkStart w:id="474" w:name="_Toc220605928"/>
            <w:bookmarkStart w:id="475" w:name="_Toc224405970"/>
            <w:bookmarkStart w:id="476" w:name="_Toc221283861"/>
            <w:r>
              <w:rPr>
                <w:rFonts w:hint="eastAsia" w:cs="宋体"/>
                <w:color w:val="auto"/>
                <w:sz w:val="21"/>
              </w:rPr>
              <w:t>潜水层</w:t>
            </w:r>
            <w:bookmarkEnd w:id="474"/>
            <w:bookmarkEnd w:id="475"/>
            <w:bookmarkEnd w:id="476"/>
          </w:p>
        </w:tc>
        <w:tc>
          <w:tcPr>
            <w:tcW w:w="1279" w:type="dxa"/>
            <w:vAlign w:val="center"/>
          </w:tcPr>
          <w:p w14:paraId="654D6E0A">
            <w:pPr>
              <w:pStyle w:val="219"/>
              <w:adjustRightInd w:val="0"/>
              <w:snapToGrid w:val="0"/>
              <w:spacing w:line="300" w:lineRule="exact"/>
              <w:ind w:firstLine="0" w:firstLineChars="0"/>
              <w:jc w:val="center"/>
              <w:rPr>
                <w:rFonts w:hint="eastAsia" w:cs="宋体"/>
                <w:color w:val="auto"/>
                <w:sz w:val="21"/>
              </w:rPr>
            </w:pPr>
            <w:bookmarkStart w:id="477" w:name="_Toc221283862"/>
            <w:bookmarkStart w:id="478" w:name="_Toc224405971"/>
            <w:r>
              <w:rPr>
                <w:rFonts w:hint="eastAsia" w:cs="宋体"/>
                <w:color w:val="auto"/>
                <w:sz w:val="21"/>
              </w:rPr>
              <w:t>莫174H井东北侧2.57km</w:t>
            </w:r>
            <w:bookmarkEnd w:id="477"/>
            <w:bookmarkEnd w:id="478"/>
          </w:p>
        </w:tc>
      </w:tr>
      <w:tr w14:paraId="09D123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4" w:type="dxa"/>
            <w:vMerge w:val="continue"/>
            <w:vAlign w:val="center"/>
          </w:tcPr>
          <w:p w14:paraId="5C3B2530">
            <w:pPr>
              <w:pStyle w:val="219"/>
              <w:adjustRightInd w:val="0"/>
              <w:snapToGrid w:val="0"/>
              <w:spacing w:line="300" w:lineRule="exact"/>
              <w:ind w:firstLine="0" w:firstLineChars="0"/>
              <w:jc w:val="center"/>
              <w:rPr>
                <w:rFonts w:hint="eastAsia" w:cs="宋体"/>
                <w:color w:val="auto"/>
                <w:sz w:val="21"/>
              </w:rPr>
            </w:pPr>
          </w:p>
          <w:bookmarkEnd w:id="461"/>
        </w:tc>
        <w:tc>
          <w:tcPr>
            <w:tcW w:w="567" w:type="dxa"/>
            <w:vAlign w:val="center"/>
          </w:tcPr>
          <w:p w14:paraId="640E948D">
            <w:pPr>
              <w:pStyle w:val="219"/>
              <w:adjustRightInd w:val="0"/>
              <w:snapToGrid w:val="0"/>
              <w:spacing w:line="300" w:lineRule="exact"/>
              <w:ind w:firstLine="0" w:firstLineChars="0"/>
              <w:jc w:val="center"/>
              <w:rPr>
                <w:rFonts w:hint="eastAsia" w:cs="宋体"/>
                <w:color w:val="auto"/>
                <w:sz w:val="21"/>
              </w:rPr>
            </w:pPr>
            <w:bookmarkStart w:id="479" w:name="_Toc220605929"/>
            <w:bookmarkStart w:id="480" w:name="_Toc221283863"/>
            <w:bookmarkStart w:id="481" w:name="_Toc171076937"/>
            <w:bookmarkStart w:id="482" w:name="_Toc224405972"/>
            <w:r>
              <w:rPr>
                <w:rFonts w:hint="eastAsia" w:cs="宋体"/>
                <w:color w:val="auto"/>
                <w:sz w:val="21"/>
              </w:rPr>
              <w:t>W5</w:t>
            </w:r>
            <w:bookmarkEnd w:id="479"/>
            <w:bookmarkEnd w:id="480"/>
            <w:bookmarkEnd w:id="481"/>
            <w:bookmarkEnd w:id="482"/>
          </w:p>
        </w:tc>
        <w:tc>
          <w:tcPr>
            <w:tcW w:w="1134" w:type="dxa"/>
            <w:vAlign w:val="center"/>
          </w:tcPr>
          <w:p w14:paraId="1E65D791">
            <w:pPr>
              <w:pStyle w:val="219"/>
              <w:adjustRightInd w:val="0"/>
              <w:snapToGrid w:val="0"/>
              <w:spacing w:line="300" w:lineRule="exact"/>
              <w:ind w:firstLine="0" w:firstLineChars="0"/>
              <w:jc w:val="center"/>
              <w:rPr>
                <w:rFonts w:hint="eastAsia" w:cs="宋体"/>
                <w:color w:val="auto"/>
                <w:sz w:val="21"/>
              </w:rPr>
            </w:pPr>
            <w:bookmarkStart w:id="483" w:name="_Toc224405973"/>
            <w:bookmarkStart w:id="484" w:name="_Toc221283864"/>
            <w:r>
              <w:rPr>
                <w:rFonts w:hint="eastAsia" w:cs="宋体"/>
                <w:color w:val="auto"/>
                <w:sz w:val="21"/>
              </w:rPr>
              <w:t>莫水5井</w:t>
            </w:r>
            <w:bookmarkEnd w:id="483"/>
            <w:bookmarkEnd w:id="484"/>
          </w:p>
        </w:tc>
        <w:tc>
          <w:tcPr>
            <w:tcW w:w="1701" w:type="dxa"/>
            <w:vAlign w:val="center"/>
          </w:tcPr>
          <w:p w14:paraId="440B9032">
            <w:pPr>
              <w:pStyle w:val="219"/>
              <w:adjustRightInd w:val="0"/>
              <w:snapToGrid w:val="0"/>
              <w:spacing w:line="300" w:lineRule="exact"/>
              <w:ind w:firstLine="0" w:firstLineChars="0"/>
              <w:jc w:val="center"/>
              <w:rPr>
                <w:rFonts w:hint="eastAsia" w:cs="宋体"/>
                <w:color w:val="auto"/>
                <w:sz w:val="21"/>
              </w:rPr>
            </w:pPr>
            <w:bookmarkStart w:id="485" w:name="_Toc221283865"/>
            <w:bookmarkStart w:id="486" w:name="_Toc224405974"/>
            <w:r>
              <w:rPr>
                <w:rFonts w:hint="eastAsia" w:cs="宋体"/>
                <w:color w:val="auto"/>
                <w:sz w:val="21"/>
              </w:rPr>
              <w:t>45°06'27.80"</w:t>
            </w:r>
            <w:bookmarkEnd w:id="485"/>
            <w:bookmarkEnd w:id="486"/>
          </w:p>
        </w:tc>
        <w:tc>
          <w:tcPr>
            <w:tcW w:w="1574" w:type="dxa"/>
            <w:vAlign w:val="center"/>
          </w:tcPr>
          <w:p w14:paraId="0AA7A2B0">
            <w:pPr>
              <w:pStyle w:val="219"/>
              <w:adjustRightInd w:val="0"/>
              <w:snapToGrid w:val="0"/>
              <w:spacing w:line="300" w:lineRule="exact"/>
              <w:ind w:firstLine="0" w:firstLineChars="0"/>
              <w:jc w:val="center"/>
              <w:rPr>
                <w:rFonts w:hint="eastAsia" w:cs="宋体"/>
                <w:color w:val="auto"/>
                <w:sz w:val="21"/>
              </w:rPr>
            </w:pPr>
            <w:bookmarkStart w:id="487" w:name="_Toc224405975"/>
            <w:bookmarkStart w:id="488" w:name="_Toc221283866"/>
            <w:r>
              <w:rPr>
                <w:rFonts w:hint="eastAsia" w:cs="宋体"/>
                <w:color w:val="auto"/>
                <w:sz w:val="21"/>
              </w:rPr>
              <w:t>86°36'29.99"</w:t>
            </w:r>
            <w:bookmarkEnd w:id="487"/>
            <w:bookmarkEnd w:id="488"/>
          </w:p>
        </w:tc>
        <w:tc>
          <w:tcPr>
            <w:tcW w:w="694" w:type="dxa"/>
            <w:vAlign w:val="center"/>
          </w:tcPr>
          <w:p w14:paraId="5C18E937">
            <w:pPr>
              <w:pStyle w:val="219"/>
              <w:adjustRightInd w:val="0"/>
              <w:snapToGrid w:val="0"/>
              <w:spacing w:line="300" w:lineRule="exact"/>
              <w:ind w:firstLine="0" w:firstLineChars="0"/>
              <w:jc w:val="center"/>
              <w:rPr>
                <w:rFonts w:hint="eastAsia" w:cs="宋体"/>
                <w:color w:val="auto"/>
                <w:sz w:val="21"/>
              </w:rPr>
            </w:pPr>
            <w:bookmarkStart w:id="489" w:name="_Toc224405976"/>
            <w:bookmarkStart w:id="490" w:name="_Toc221283867"/>
            <w:r>
              <w:rPr>
                <w:rFonts w:hint="eastAsia" w:cs="宋体"/>
                <w:color w:val="auto"/>
                <w:sz w:val="21"/>
              </w:rPr>
              <w:t>128</w:t>
            </w:r>
            <w:bookmarkEnd w:id="489"/>
            <w:bookmarkEnd w:id="490"/>
          </w:p>
        </w:tc>
        <w:tc>
          <w:tcPr>
            <w:tcW w:w="647" w:type="dxa"/>
            <w:vAlign w:val="center"/>
          </w:tcPr>
          <w:p w14:paraId="42B7D46C">
            <w:pPr>
              <w:pStyle w:val="219"/>
              <w:adjustRightInd w:val="0"/>
              <w:snapToGrid w:val="0"/>
              <w:spacing w:line="300" w:lineRule="exact"/>
              <w:ind w:firstLine="0" w:firstLineChars="0"/>
              <w:jc w:val="center"/>
              <w:rPr>
                <w:rFonts w:hint="eastAsia" w:cs="宋体"/>
                <w:color w:val="auto"/>
                <w:sz w:val="21"/>
              </w:rPr>
            </w:pPr>
            <w:bookmarkStart w:id="491" w:name="_Toc220605930"/>
            <w:bookmarkStart w:id="492" w:name="_Toc224405977"/>
            <w:bookmarkStart w:id="493" w:name="_Toc221283868"/>
            <w:r>
              <w:rPr>
                <w:rFonts w:hint="eastAsia" w:cs="宋体"/>
                <w:color w:val="auto"/>
                <w:sz w:val="21"/>
              </w:rPr>
              <w:t>潜水层</w:t>
            </w:r>
            <w:bookmarkEnd w:id="491"/>
            <w:bookmarkEnd w:id="492"/>
            <w:bookmarkEnd w:id="493"/>
          </w:p>
        </w:tc>
        <w:tc>
          <w:tcPr>
            <w:tcW w:w="1279" w:type="dxa"/>
            <w:vAlign w:val="center"/>
          </w:tcPr>
          <w:p w14:paraId="215D0D3A">
            <w:pPr>
              <w:pStyle w:val="219"/>
              <w:adjustRightInd w:val="0"/>
              <w:snapToGrid w:val="0"/>
              <w:spacing w:line="300" w:lineRule="exact"/>
              <w:ind w:firstLine="0" w:firstLineChars="0"/>
              <w:jc w:val="center"/>
              <w:rPr>
                <w:rFonts w:hint="eastAsia" w:cs="宋体"/>
                <w:color w:val="auto"/>
                <w:sz w:val="21"/>
              </w:rPr>
            </w:pPr>
            <w:bookmarkStart w:id="494" w:name="_Toc224405978"/>
            <w:bookmarkStart w:id="495" w:name="_Toc221283869"/>
            <w:r>
              <w:rPr>
                <w:rFonts w:hint="eastAsia" w:cs="宋体"/>
                <w:color w:val="auto"/>
                <w:sz w:val="21"/>
              </w:rPr>
              <w:t>莫174H井东侧9.96km</w:t>
            </w:r>
            <w:bookmarkEnd w:id="494"/>
            <w:bookmarkEnd w:id="495"/>
          </w:p>
        </w:tc>
      </w:tr>
      <w:tr w14:paraId="627516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4" w:type="dxa"/>
            <w:vMerge w:val="continue"/>
            <w:vAlign w:val="center"/>
          </w:tcPr>
          <w:p w14:paraId="3744AB93">
            <w:pPr>
              <w:pStyle w:val="219"/>
              <w:adjustRightInd w:val="0"/>
              <w:snapToGrid w:val="0"/>
              <w:spacing w:line="300" w:lineRule="exact"/>
              <w:ind w:firstLine="0" w:firstLineChars="0"/>
              <w:jc w:val="center"/>
              <w:rPr>
                <w:rFonts w:hint="eastAsia" w:cs="宋体"/>
                <w:color w:val="auto"/>
                <w:sz w:val="21"/>
              </w:rPr>
            </w:pPr>
          </w:p>
        </w:tc>
        <w:tc>
          <w:tcPr>
            <w:tcW w:w="567" w:type="dxa"/>
            <w:vAlign w:val="center"/>
          </w:tcPr>
          <w:p w14:paraId="6076F560">
            <w:pPr>
              <w:pStyle w:val="219"/>
              <w:adjustRightInd w:val="0"/>
              <w:snapToGrid w:val="0"/>
              <w:spacing w:line="300" w:lineRule="exact"/>
              <w:ind w:firstLine="0" w:firstLineChars="0"/>
              <w:jc w:val="center"/>
              <w:rPr>
                <w:rFonts w:hint="eastAsia" w:cs="宋体"/>
                <w:color w:val="auto"/>
                <w:sz w:val="21"/>
              </w:rPr>
            </w:pPr>
            <w:bookmarkStart w:id="496" w:name="_Toc171076942"/>
            <w:bookmarkStart w:id="497" w:name="_Toc221283870"/>
            <w:bookmarkStart w:id="498" w:name="_Toc220605931"/>
            <w:bookmarkStart w:id="499" w:name="_Toc224405979"/>
            <w:r>
              <w:rPr>
                <w:rFonts w:hint="eastAsia" w:cs="宋体"/>
                <w:color w:val="auto"/>
                <w:sz w:val="21"/>
              </w:rPr>
              <w:t>W6</w:t>
            </w:r>
            <w:bookmarkEnd w:id="496"/>
            <w:bookmarkEnd w:id="497"/>
            <w:bookmarkEnd w:id="498"/>
            <w:bookmarkEnd w:id="499"/>
          </w:p>
        </w:tc>
        <w:tc>
          <w:tcPr>
            <w:tcW w:w="1134" w:type="dxa"/>
            <w:vAlign w:val="center"/>
          </w:tcPr>
          <w:p w14:paraId="4EB04EF2">
            <w:pPr>
              <w:pStyle w:val="219"/>
              <w:adjustRightInd w:val="0"/>
              <w:snapToGrid w:val="0"/>
              <w:spacing w:line="300" w:lineRule="exact"/>
              <w:ind w:firstLine="0" w:firstLineChars="0"/>
              <w:jc w:val="center"/>
              <w:rPr>
                <w:rFonts w:hint="eastAsia" w:cs="宋体"/>
                <w:color w:val="auto"/>
                <w:sz w:val="21"/>
              </w:rPr>
            </w:pPr>
            <w:bookmarkStart w:id="500" w:name="_Toc221283871"/>
            <w:bookmarkStart w:id="501" w:name="_Toc224405980"/>
            <w:r>
              <w:rPr>
                <w:rFonts w:hint="eastAsia" w:cs="宋体"/>
                <w:color w:val="auto"/>
                <w:sz w:val="21"/>
              </w:rPr>
              <w:t>莫水6井</w:t>
            </w:r>
            <w:bookmarkEnd w:id="500"/>
            <w:bookmarkEnd w:id="501"/>
          </w:p>
        </w:tc>
        <w:tc>
          <w:tcPr>
            <w:tcW w:w="1701" w:type="dxa"/>
            <w:vAlign w:val="center"/>
          </w:tcPr>
          <w:p w14:paraId="5CD18968">
            <w:pPr>
              <w:pStyle w:val="219"/>
              <w:adjustRightInd w:val="0"/>
              <w:snapToGrid w:val="0"/>
              <w:spacing w:line="300" w:lineRule="exact"/>
              <w:ind w:firstLine="0" w:firstLineChars="0"/>
              <w:jc w:val="center"/>
              <w:rPr>
                <w:rFonts w:hint="eastAsia" w:cs="宋体"/>
                <w:color w:val="auto"/>
                <w:sz w:val="21"/>
              </w:rPr>
            </w:pPr>
            <w:bookmarkStart w:id="502" w:name="_Toc224405981"/>
            <w:bookmarkStart w:id="503" w:name="_Toc221283872"/>
            <w:r>
              <w:rPr>
                <w:rFonts w:hint="eastAsia" w:cs="宋体"/>
                <w:color w:val="auto"/>
                <w:sz w:val="21"/>
              </w:rPr>
              <w:t>45°06'04.35"</w:t>
            </w:r>
            <w:bookmarkEnd w:id="502"/>
            <w:bookmarkEnd w:id="503"/>
          </w:p>
        </w:tc>
        <w:tc>
          <w:tcPr>
            <w:tcW w:w="1574" w:type="dxa"/>
            <w:vAlign w:val="center"/>
          </w:tcPr>
          <w:p w14:paraId="6D913F68">
            <w:pPr>
              <w:pStyle w:val="219"/>
              <w:adjustRightInd w:val="0"/>
              <w:snapToGrid w:val="0"/>
              <w:spacing w:line="300" w:lineRule="exact"/>
              <w:ind w:firstLine="0" w:firstLineChars="0"/>
              <w:jc w:val="center"/>
              <w:rPr>
                <w:rFonts w:hint="eastAsia" w:cs="宋体"/>
                <w:color w:val="auto"/>
                <w:sz w:val="21"/>
              </w:rPr>
            </w:pPr>
            <w:bookmarkStart w:id="504" w:name="_Toc224405982"/>
            <w:bookmarkStart w:id="505" w:name="_Toc221283873"/>
            <w:bookmarkStart w:id="506" w:name="OLE_LINK174"/>
            <w:r>
              <w:rPr>
                <w:rFonts w:hint="eastAsia" w:cs="宋体"/>
                <w:color w:val="auto"/>
                <w:sz w:val="21"/>
              </w:rPr>
              <w:t>86°36'12.36"</w:t>
            </w:r>
            <w:bookmarkEnd w:id="504"/>
            <w:bookmarkEnd w:id="505"/>
            <w:bookmarkEnd w:id="506"/>
          </w:p>
        </w:tc>
        <w:tc>
          <w:tcPr>
            <w:tcW w:w="694" w:type="dxa"/>
            <w:vAlign w:val="center"/>
          </w:tcPr>
          <w:p w14:paraId="783A76CF">
            <w:pPr>
              <w:pStyle w:val="219"/>
              <w:adjustRightInd w:val="0"/>
              <w:snapToGrid w:val="0"/>
              <w:spacing w:line="300" w:lineRule="exact"/>
              <w:ind w:firstLine="0" w:firstLineChars="0"/>
              <w:jc w:val="center"/>
              <w:rPr>
                <w:rFonts w:hint="eastAsia" w:cs="宋体"/>
                <w:color w:val="auto"/>
                <w:sz w:val="21"/>
              </w:rPr>
            </w:pPr>
            <w:bookmarkStart w:id="507" w:name="_Toc221283874"/>
            <w:bookmarkStart w:id="508" w:name="_Toc224405983"/>
            <w:r>
              <w:rPr>
                <w:rFonts w:hint="eastAsia" w:cs="宋体"/>
                <w:color w:val="auto"/>
                <w:sz w:val="21"/>
              </w:rPr>
              <w:t>138</w:t>
            </w:r>
            <w:bookmarkEnd w:id="507"/>
            <w:bookmarkEnd w:id="508"/>
          </w:p>
        </w:tc>
        <w:tc>
          <w:tcPr>
            <w:tcW w:w="647" w:type="dxa"/>
            <w:vAlign w:val="center"/>
          </w:tcPr>
          <w:p w14:paraId="75ECD11E">
            <w:pPr>
              <w:pStyle w:val="219"/>
              <w:adjustRightInd w:val="0"/>
              <w:snapToGrid w:val="0"/>
              <w:spacing w:line="300" w:lineRule="exact"/>
              <w:ind w:firstLine="0" w:firstLineChars="0"/>
              <w:jc w:val="center"/>
              <w:rPr>
                <w:rFonts w:hint="eastAsia" w:cs="宋体"/>
                <w:color w:val="auto"/>
                <w:sz w:val="21"/>
              </w:rPr>
            </w:pPr>
            <w:bookmarkStart w:id="509" w:name="_Toc220605932"/>
            <w:bookmarkStart w:id="510" w:name="_Toc221283875"/>
            <w:bookmarkStart w:id="511" w:name="_Toc224405984"/>
            <w:r>
              <w:rPr>
                <w:rFonts w:hint="eastAsia" w:cs="宋体"/>
                <w:color w:val="auto"/>
                <w:sz w:val="21"/>
              </w:rPr>
              <w:t>潜水层</w:t>
            </w:r>
            <w:bookmarkEnd w:id="509"/>
            <w:bookmarkEnd w:id="510"/>
            <w:bookmarkEnd w:id="511"/>
          </w:p>
        </w:tc>
        <w:tc>
          <w:tcPr>
            <w:tcW w:w="1279" w:type="dxa"/>
            <w:vAlign w:val="center"/>
          </w:tcPr>
          <w:p w14:paraId="191F57B9">
            <w:pPr>
              <w:pStyle w:val="219"/>
              <w:adjustRightInd w:val="0"/>
              <w:snapToGrid w:val="0"/>
              <w:spacing w:line="300" w:lineRule="exact"/>
              <w:ind w:firstLine="0" w:firstLineChars="0"/>
              <w:jc w:val="center"/>
              <w:rPr>
                <w:rFonts w:hint="eastAsia" w:cs="宋体"/>
                <w:color w:val="auto"/>
                <w:sz w:val="21"/>
              </w:rPr>
            </w:pPr>
            <w:bookmarkStart w:id="512" w:name="_Toc224405985"/>
            <w:bookmarkStart w:id="513" w:name="_Toc221283876"/>
            <w:r>
              <w:rPr>
                <w:rFonts w:hint="eastAsia" w:cs="宋体"/>
                <w:color w:val="auto"/>
                <w:sz w:val="21"/>
              </w:rPr>
              <w:t>莫174H井东侧9.62km</w:t>
            </w:r>
            <w:bookmarkEnd w:id="512"/>
            <w:bookmarkEnd w:id="513"/>
          </w:p>
        </w:tc>
      </w:tr>
      <w:tr w14:paraId="40E08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4" w:type="dxa"/>
            <w:vMerge w:val="restart"/>
            <w:vAlign w:val="center"/>
          </w:tcPr>
          <w:p w14:paraId="40E7FCE6">
            <w:pPr>
              <w:pStyle w:val="219"/>
              <w:adjustRightInd w:val="0"/>
              <w:snapToGrid w:val="0"/>
              <w:spacing w:line="300" w:lineRule="exact"/>
              <w:ind w:firstLine="0" w:firstLineChars="0"/>
              <w:jc w:val="center"/>
              <w:rPr>
                <w:rFonts w:hint="eastAsia" w:cs="宋体"/>
                <w:color w:val="auto"/>
                <w:sz w:val="21"/>
              </w:rPr>
            </w:pPr>
            <w:bookmarkStart w:id="514" w:name="_Toc224405986"/>
            <w:bookmarkStart w:id="515" w:name="_Hlk94003221"/>
            <w:r>
              <w:rPr>
                <w:rFonts w:hint="eastAsia" w:cs="宋体"/>
                <w:color w:val="auto"/>
                <w:sz w:val="21"/>
              </w:rPr>
              <w:t>实测数据</w:t>
            </w:r>
            <w:bookmarkEnd w:id="514"/>
          </w:p>
        </w:tc>
        <w:tc>
          <w:tcPr>
            <w:tcW w:w="567" w:type="dxa"/>
            <w:vAlign w:val="center"/>
          </w:tcPr>
          <w:p w14:paraId="1EDDDAD9">
            <w:pPr>
              <w:pStyle w:val="219"/>
              <w:adjustRightInd w:val="0"/>
              <w:snapToGrid w:val="0"/>
              <w:spacing w:line="300" w:lineRule="exact"/>
              <w:ind w:firstLine="0" w:firstLineChars="0"/>
              <w:jc w:val="center"/>
              <w:rPr>
                <w:rFonts w:hint="eastAsia" w:cs="宋体"/>
                <w:color w:val="auto"/>
                <w:sz w:val="21"/>
              </w:rPr>
            </w:pPr>
            <w:bookmarkStart w:id="516" w:name="_Toc224405987"/>
            <w:bookmarkStart w:id="517" w:name="_Toc220605933"/>
            <w:bookmarkStart w:id="518" w:name="_Toc221283877"/>
            <w:r>
              <w:rPr>
                <w:rFonts w:hint="eastAsia" w:cs="宋体"/>
                <w:color w:val="auto"/>
                <w:sz w:val="21"/>
              </w:rPr>
              <w:t>W7</w:t>
            </w:r>
            <w:bookmarkEnd w:id="516"/>
            <w:bookmarkEnd w:id="517"/>
            <w:bookmarkEnd w:id="518"/>
          </w:p>
        </w:tc>
        <w:tc>
          <w:tcPr>
            <w:tcW w:w="1134" w:type="dxa"/>
            <w:vAlign w:val="center"/>
          </w:tcPr>
          <w:p w14:paraId="402181C3">
            <w:pPr>
              <w:pStyle w:val="219"/>
              <w:adjustRightInd w:val="0"/>
              <w:snapToGrid w:val="0"/>
              <w:spacing w:line="300" w:lineRule="exact"/>
              <w:ind w:firstLine="0" w:firstLineChars="0"/>
              <w:jc w:val="center"/>
              <w:rPr>
                <w:rFonts w:hint="eastAsia" w:cs="宋体"/>
                <w:color w:val="auto"/>
                <w:sz w:val="21"/>
              </w:rPr>
            </w:pPr>
            <w:bookmarkStart w:id="519" w:name="_Toc224405988"/>
            <w:bookmarkStart w:id="520" w:name="_Toc221283878"/>
            <w:r>
              <w:rPr>
                <w:rFonts w:hint="eastAsia" w:cs="宋体"/>
                <w:color w:val="auto"/>
                <w:sz w:val="21"/>
              </w:rPr>
              <w:t>莫北水8井</w:t>
            </w:r>
            <w:bookmarkEnd w:id="519"/>
            <w:bookmarkEnd w:id="520"/>
          </w:p>
        </w:tc>
        <w:tc>
          <w:tcPr>
            <w:tcW w:w="1701" w:type="dxa"/>
            <w:vAlign w:val="center"/>
          </w:tcPr>
          <w:p w14:paraId="607BE1E4">
            <w:pPr>
              <w:pStyle w:val="219"/>
              <w:adjustRightInd w:val="0"/>
              <w:snapToGrid w:val="0"/>
              <w:spacing w:line="300" w:lineRule="exact"/>
              <w:ind w:firstLine="0" w:firstLineChars="0"/>
              <w:jc w:val="center"/>
              <w:rPr>
                <w:rFonts w:hint="eastAsia" w:cs="宋体"/>
                <w:color w:val="auto"/>
                <w:sz w:val="21"/>
              </w:rPr>
            </w:pPr>
            <w:bookmarkStart w:id="521" w:name="_Toc224405989"/>
            <w:bookmarkStart w:id="522" w:name="_Toc221283879"/>
            <w:r>
              <w:rPr>
                <w:rFonts w:cs="宋体"/>
                <w:color w:val="auto"/>
                <w:sz w:val="21"/>
              </w:rPr>
              <w:t>45°13'2.00"</w:t>
            </w:r>
            <w:bookmarkEnd w:id="521"/>
            <w:bookmarkEnd w:id="522"/>
          </w:p>
        </w:tc>
        <w:tc>
          <w:tcPr>
            <w:tcW w:w="1574" w:type="dxa"/>
            <w:vAlign w:val="center"/>
          </w:tcPr>
          <w:p w14:paraId="0B95CFAF">
            <w:pPr>
              <w:pStyle w:val="219"/>
              <w:adjustRightInd w:val="0"/>
              <w:snapToGrid w:val="0"/>
              <w:spacing w:line="300" w:lineRule="exact"/>
              <w:ind w:firstLine="0" w:firstLineChars="0"/>
              <w:jc w:val="center"/>
              <w:rPr>
                <w:rFonts w:hint="eastAsia" w:cs="宋体"/>
                <w:color w:val="auto"/>
                <w:sz w:val="21"/>
              </w:rPr>
            </w:pPr>
            <w:bookmarkStart w:id="523" w:name="_Toc224405990"/>
            <w:bookmarkStart w:id="524" w:name="_Toc221283880"/>
            <w:r>
              <w:rPr>
                <w:rFonts w:cs="宋体"/>
                <w:color w:val="auto"/>
                <w:sz w:val="21"/>
              </w:rPr>
              <w:t>86°46'8.00"</w:t>
            </w:r>
            <w:bookmarkEnd w:id="523"/>
            <w:bookmarkEnd w:id="524"/>
          </w:p>
        </w:tc>
        <w:tc>
          <w:tcPr>
            <w:tcW w:w="694" w:type="dxa"/>
            <w:vAlign w:val="center"/>
          </w:tcPr>
          <w:p w14:paraId="0D4D169D">
            <w:pPr>
              <w:pStyle w:val="219"/>
              <w:adjustRightInd w:val="0"/>
              <w:snapToGrid w:val="0"/>
              <w:spacing w:line="300" w:lineRule="exact"/>
              <w:ind w:firstLine="0" w:firstLineChars="0"/>
              <w:jc w:val="center"/>
              <w:rPr>
                <w:rFonts w:hint="eastAsia" w:cs="宋体"/>
                <w:color w:val="auto"/>
                <w:sz w:val="21"/>
              </w:rPr>
            </w:pPr>
            <w:bookmarkStart w:id="525" w:name="_Toc224405991"/>
            <w:bookmarkStart w:id="526" w:name="_Toc221283881"/>
            <w:r>
              <w:rPr>
                <w:rFonts w:hint="eastAsia" w:cs="宋体"/>
                <w:color w:val="auto"/>
                <w:sz w:val="21"/>
              </w:rPr>
              <w:t>34</w:t>
            </w:r>
            <w:bookmarkEnd w:id="525"/>
            <w:bookmarkEnd w:id="526"/>
          </w:p>
        </w:tc>
        <w:tc>
          <w:tcPr>
            <w:tcW w:w="647" w:type="dxa"/>
            <w:vAlign w:val="center"/>
          </w:tcPr>
          <w:p w14:paraId="616934B0">
            <w:pPr>
              <w:pStyle w:val="219"/>
              <w:adjustRightInd w:val="0"/>
              <w:snapToGrid w:val="0"/>
              <w:spacing w:line="300" w:lineRule="exact"/>
              <w:ind w:firstLine="0" w:firstLineChars="0"/>
              <w:jc w:val="center"/>
              <w:rPr>
                <w:rFonts w:hint="eastAsia" w:cs="宋体"/>
                <w:color w:val="auto"/>
                <w:sz w:val="21"/>
              </w:rPr>
            </w:pPr>
            <w:bookmarkStart w:id="527" w:name="_Toc224405992"/>
            <w:bookmarkStart w:id="528" w:name="_Toc221283882"/>
            <w:bookmarkStart w:id="529" w:name="_Toc220605934"/>
            <w:r>
              <w:rPr>
                <w:rFonts w:hint="eastAsia" w:cs="宋体"/>
                <w:color w:val="auto"/>
                <w:sz w:val="21"/>
              </w:rPr>
              <w:t>潜水层</w:t>
            </w:r>
            <w:bookmarkEnd w:id="527"/>
            <w:bookmarkEnd w:id="528"/>
            <w:bookmarkEnd w:id="529"/>
          </w:p>
        </w:tc>
        <w:tc>
          <w:tcPr>
            <w:tcW w:w="1279" w:type="dxa"/>
            <w:vAlign w:val="center"/>
          </w:tcPr>
          <w:p w14:paraId="1C1731DC">
            <w:pPr>
              <w:pStyle w:val="219"/>
              <w:adjustRightInd w:val="0"/>
              <w:snapToGrid w:val="0"/>
              <w:spacing w:line="300" w:lineRule="exact"/>
              <w:ind w:firstLine="0" w:firstLineChars="0"/>
              <w:jc w:val="center"/>
              <w:rPr>
                <w:rFonts w:hint="eastAsia" w:cs="宋体"/>
                <w:color w:val="auto"/>
                <w:sz w:val="21"/>
              </w:rPr>
            </w:pPr>
            <w:bookmarkStart w:id="530" w:name="_Toc224405993"/>
            <w:bookmarkStart w:id="531" w:name="_Toc221283883"/>
            <w:r>
              <w:rPr>
                <w:rFonts w:hint="eastAsia" w:cs="宋体"/>
                <w:color w:val="auto"/>
                <w:sz w:val="21"/>
              </w:rPr>
              <w:t>莫174H井东北侧26.05km</w:t>
            </w:r>
            <w:bookmarkEnd w:id="530"/>
            <w:bookmarkEnd w:id="531"/>
          </w:p>
        </w:tc>
      </w:tr>
      <w:tr w14:paraId="116990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4" w:type="dxa"/>
            <w:vMerge w:val="continue"/>
            <w:vAlign w:val="center"/>
          </w:tcPr>
          <w:p w14:paraId="0126B3D2">
            <w:pPr>
              <w:pStyle w:val="219"/>
              <w:adjustRightInd w:val="0"/>
              <w:snapToGrid w:val="0"/>
              <w:spacing w:line="300" w:lineRule="exact"/>
              <w:ind w:firstLine="0" w:firstLineChars="0"/>
              <w:jc w:val="center"/>
              <w:rPr>
                <w:rFonts w:hint="eastAsia" w:cs="宋体"/>
                <w:color w:val="auto"/>
                <w:sz w:val="21"/>
              </w:rPr>
            </w:pPr>
          </w:p>
        </w:tc>
        <w:tc>
          <w:tcPr>
            <w:tcW w:w="567" w:type="dxa"/>
            <w:vAlign w:val="center"/>
          </w:tcPr>
          <w:p w14:paraId="44CD3ED4">
            <w:pPr>
              <w:pStyle w:val="219"/>
              <w:adjustRightInd w:val="0"/>
              <w:snapToGrid w:val="0"/>
              <w:spacing w:line="300" w:lineRule="exact"/>
              <w:ind w:firstLine="0" w:firstLineChars="0"/>
              <w:jc w:val="center"/>
              <w:rPr>
                <w:rFonts w:hint="eastAsia" w:cs="宋体"/>
                <w:color w:val="auto"/>
                <w:sz w:val="21"/>
              </w:rPr>
            </w:pPr>
            <w:bookmarkStart w:id="532" w:name="_Toc220605935"/>
            <w:bookmarkStart w:id="533" w:name="_Toc224405994"/>
            <w:bookmarkStart w:id="534" w:name="_Toc221283884"/>
            <w:r>
              <w:rPr>
                <w:rFonts w:hint="eastAsia" w:cs="宋体"/>
                <w:color w:val="auto"/>
                <w:sz w:val="21"/>
              </w:rPr>
              <w:t>W8</w:t>
            </w:r>
            <w:bookmarkEnd w:id="532"/>
            <w:bookmarkEnd w:id="533"/>
            <w:bookmarkEnd w:id="534"/>
          </w:p>
        </w:tc>
        <w:tc>
          <w:tcPr>
            <w:tcW w:w="1134" w:type="dxa"/>
            <w:vAlign w:val="center"/>
          </w:tcPr>
          <w:p w14:paraId="10F0260F">
            <w:pPr>
              <w:pStyle w:val="219"/>
              <w:adjustRightInd w:val="0"/>
              <w:snapToGrid w:val="0"/>
              <w:spacing w:line="300" w:lineRule="exact"/>
              <w:ind w:firstLine="0" w:firstLineChars="0"/>
              <w:jc w:val="center"/>
              <w:rPr>
                <w:rFonts w:hint="eastAsia" w:cs="宋体"/>
                <w:color w:val="auto"/>
                <w:sz w:val="21"/>
              </w:rPr>
            </w:pPr>
            <w:bookmarkStart w:id="535" w:name="_Toc221283885"/>
            <w:bookmarkStart w:id="536" w:name="_Toc224405995"/>
            <w:r>
              <w:rPr>
                <w:rFonts w:hint="eastAsia" w:cs="宋体"/>
                <w:color w:val="auto"/>
                <w:sz w:val="21"/>
              </w:rPr>
              <w:t>石水2井</w:t>
            </w:r>
            <w:bookmarkEnd w:id="535"/>
            <w:bookmarkEnd w:id="536"/>
          </w:p>
        </w:tc>
        <w:tc>
          <w:tcPr>
            <w:tcW w:w="1701" w:type="dxa"/>
            <w:vAlign w:val="center"/>
          </w:tcPr>
          <w:p w14:paraId="67F0C0A0">
            <w:pPr>
              <w:pStyle w:val="219"/>
              <w:adjustRightInd w:val="0"/>
              <w:snapToGrid w:val="0"/>
              <w:spacing w:line="300" w:lineRule="exact"/>
              <w:ind w:firstLine="0" w:firstLineChars="0"/>
              <w:jc w:val="center"/>
              <w:rPr>
                <w:rFonts w:hint="eastAsia" w:cs="宋体"/>
                <w:color w:val="auto"/>
                <w:sz w:val="21"/>
              </w:rPr>
            </w:pPr>
            <w:bookmarkStart w:id="537" w:name="_Toc221283886"/>
            <w:bookmarkStart w:id="538" w:name="_Toc224405996"/>
            <w:r>
              <w:rPr>
                <w:rFonts w:cs="宋体"/>
                <w:color w:val="auto"/>
                <w:sz w:val="21"/>
              </w:rPr>
              <w:t>45°26'12.59"</w:t>
            </w:r>
            <w:bookmarkEnd w:id="537"/>
            <w:bookmarkEnd w:id="538"/>
          </w:p>
        </w:tc>
        <w:tc>
          <w:tcPr>
            <w:tcW w:w="1574" w:type="dxa"/>
            <w:vAlign w:val="center"/>
          </w:tcPr>
          <w:p w14:paraId="1A1A964A">
            <w:pPr>
              <w:pStyle w:val="219"/>
              <w:adjustRightInd w:val="0"/>
              <w:snapToGrid w:val="0"/>
              <w:spacing w:line="300" w:lineRule="exact"/>
              <w:ind w:firstLine="0" w:firstLineChars="0"/>
              <w:jc w:val="center"/>
              <w:rPr>
                <w:rFonts w:hint="eastAsia" w:cs="宋体"/>
                <w:color w:val="auto"/>
                <w:sz w:val="21"/>
              </w:rPr>
            </w:pPr>
            <w:bookmarkStart w:id="539" w:name="_Toc221283887"/>
            <w:bookmarkStart w:id="540" w:name="OLE_LINK175"/>
            <w:bookmarkStart w:id="541" w:name="_Toc224405997"/>
            <w:r>
              <w:rPr>
                <w:rFonts w:cs="宋体"/>
                <w:color w:val="auto"/>
                <w:sz w:val="21"/>
              </w:rPr>
              <w:t>86°52'2.23"</w:t>
            </w:r>
            <w:bookmarkEnd w:id="539"/>
            <w:bookmarkEnd w:id="540"/>
            <w:bookmarkEnd w:id="541"/>
          </w:p>
        </w:tc>
        <w:tc>
          <w:tcPr>
            <w:tcW w:w="694" w:type="dxa"/>
            <w:vAlign w:val="center"/>
          </w:tcPr>
          <w:p w14:paraId="09045866">
            <w:pPr>
              <w:pStyle w:val="219"/>
              <w:adjustRightInd w:val="0"/>
              <w:snapToGrid w:val="0"/>
              <w:spacing w:line="300" w:lineRule="exact"/>
              <w:ind w:firstLine="0" w:firstLineChars="0"/>
              <w:jc w:val="center"/>
              <w:rPr>
                <w:rFonts w:hint="eastAsia" w:cs="宋体"/>
                <w:color w:val="auto"/>
                <w:sz w:val="21"/>
              </w:rPr>
            </w:pPr>
            <w:bookmarkStart w:id="542" w:name="_Toc224405998"/>
            <w:bookmarkStart w:id="543" w:name="_Toc221283888"/>
            <w:r>
              <w:rPr>
                <w:rFonts w:hint="eastAsia" w:cs="宋体"/>
                <w:color w:val="auto"/>
                <w:sz w:val="21"/>
              </w:rPr>
              <w:t>36</w:t>
            </w:r>
            <w:bookmarkEnd w:id="542"/>
            <w:bookmarkEnd w:id="543"/>
          </w:p>
        </w:tc>
        <w:tc>
          <w:tcPr>
            <w:tcW w:w="647" w:type="dxa"/>
            <w:vAlign w:val="center"/>
          </w:tcPr>
          <w:p w14:paraId="06BFE76C">
            <w:pPr>
              <w:pStyle w:val="219"/>
              <w:adjustRightInd w:val="0"/>
              <w:snapToGrid w:val="0"/>
              <w:spacing w:line="300" w:lineRule="exact"/>
              <w:ind w:firstLine="0" w:firstLineChars="0"/>
              <w:jc w:val="center"/>
              <w:rPr>
                <w:rFonts w:hint="eastAsia" w:cs="宋体"/>
                <w:color w:val="auto"/>
                <w:sz w:val="21"/>
              </w:rPr>
            </w:pPr>
            <w:bookmarkStart w:id="544" w:name="_Toc224405999"/>
            <w:bookmarkStart w:id="545" w:name="_Toc220605936"/>
            <w:bookmarkStart w:id="546" w:name="_Toc221283889"/>
            <w:r>
              <w:rPr>
                <w:rFonts w:hint="eastAsia" w:cs="宋体"/>
                <w:color w:val="auto"/>
                <w:sz w:val="21"/>
              </w:rPr>
              <w:t>潜水层</w:t>
            </w:r>
            <w:bookmarkEnd w:id="544"/>
            <w:bookmarkEnd w:id="545"/>
            <w:bookmarkEnd w:id="546"/>
          </w:p>
        </w:tc>
        <w:tc>
          <w:tcPr>
            <w:tcW w:w="1279" w:type="dxa"/>
            <w:vAlign w:val="center"/>
          </w:tcPr>
          <w:p w14:paraId="0B1DCDB7">
            <w:pPr>
              <w:pStyle w:val="219"/>
              <w:adjustRightInd w:val="0"/>
              <w:snapToGrid w:val="0"/>
              <w:spacing w:line="300" w:lineRule="exact"/>
              <w:ind w:firstLine="0" w:firstLineChars="0"/>
              <w:jc w:val="center"/>
              <w:rPr>
                <w:rFonts w:hint="eastAsia" w:cs="宋体"/>
                <w:color w:val="auto"/>
                <w:sz w:val="21"/>
              </w:rPr>
            </w:pPr>
            <w:bookmarkStart w:id="547" w:name="_Toc224406000"/>
            <w:bookmarkStart w:id="548" w:name="_Toc221283890"/>
            <w:r>
              <w:rPr>
                <w:rFonts w:hint="eastAsia" w:cs="宋体"/>
                <w:color w:val="auto"/>
                <w:sz w:val="21"/>
              </w:rPr>
              <w:t>莫172H井东北侧45.75km</w:t>
            </w:r>
            <w:bookmarkEnd w:id="547"/>
            <w:bookmarkEnd w:id="548"/>
          </w:p>
        </w:tc>
      </w:tr>
      <w:tr w14:paraId="3C96AF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4" w:type="dxa"/>
            <w:vMerge w:val="continue"/>
            <w:vAlign w:val="center"/>
          </w:tcPr>
          <w:p w14:paraId="19E46EC6">
            <w:pPr>
              <w:pStyle w:val="219"/>
              <w:adjustRightInd w:val="0"/>
              <w:snapToGrid w:val="0"/>
              <w:spacing w:line="300" w:lineRule="exact"/>
              <w:ind w:firstLine="0" w:firstLineChars="0"/>
              <w:jc w:val="center"/>
              <w:rPr>
                <w:rFonts w:hint="eastAsia" w:cs="宋体"/>
                <w:color w:val="auto"/>
                <w:sz w:val="21"/>
              </w:rPr>
            </w:pPr>
          </w:p>
        </w:tc>
        <w:tc>
          <w:tcPr>
            <w:tcW w:w="567" w:type="dxa"/>
            <w:vAlign w:val="center"/>
          </w:tcPr>
          <w:p w14:paraId="6B7A7027">
            <w:pPr>
              <w:pStyle w:val="219"/>
              <w:adjustRightInd w:val="0"/>
              <w:snapToGrid w:val="0"/>
              <w:spacing w:line="300" w:lineRule="exact"/>
              <w:ind w:firstLine="0" w:firstLineChars="0"/>
              <w:jc w:val="center"/>
              <w:rPr>
                <w:rFonts w:hint="eastAsia" w:cs="宋体"/>
                <w:color w:val="auto"/>
                <w:sz w:val="21"/>
              </w:rPr>
            </w:pPr>
            <w:bookmarkStart w:id="549" w:name="_Toc224406001"/>
            <w:bookmarkStart w:id="550" w:name="_Toc221283891"/>
            <w:bookmarkStart w:id="551" w:name="_Toc220605937"/>
            <w:r>
              <w:rPr>
                <w:rFonts w:hint="eastAsia" w:cs="宋体"/>
                <w:color w:val="auto"/>
                <w:sz w:val="21"/>
              </w:rPr>
              <w:t>W9</w:t>
            </w:r>
            <w:bookmarkEnd w:id="549"/>
            <w:bookmarkEnd w:id="550"/>
            <w:bookmarkEnd w:id="551"/>
          </w:p>
        </w:tc>
        <w:tc>
          <w:tcPr>
            <w:tcW w:w="1134" w:type="dxa"/>
            <w:vAlign w:val="center"/>
          </w:tcPr>
          <w:p w14:paraId="532D7A48">
            <w:pPr>
              <w:pStyle w:val="219"/>
              <w:adjustRightInd w:val="0"/>
              <w:snapToGrid w:val="0"/>
              <w:spacing w:line="300" w:lineRule="exact"/>
              <w:ind w:firstLine="0" w:firstLineChars="0"/>
              <w:jc w:val="center"/>
              <w:rPr>
                <w:rFonts w:hint="eastAsia" w:cs="宋体"/>
                <w:color w:val="auto"/>
                <w:sz w:val="21"/>
              </w:rPr>
            </w:pPr>
            <w:bookmarkStart w:id="552" w:name="_Toc221283892"/>
            <w:bookmarkStart w:id="553" w:name="_Toc224406002"/>
            <w:r>
              <w:rPr>
                <w:rFonts w:hint="eastAsia" w:cs="宋体"/>
                <w:color w:val="auto"/>
                <w:sz w:val="21"/>
              </w:rPr>
              <w:t>石水3井</w:t>
            </w:r>
            <w:bookmarkEnd w:id="552"/>
            <w:bookmarkEnd w:id="553"/>
          </w:p>
        </w:tc>
        <w:tc>
          <w:tcPr>
            <w:tcW w:w="1701" w:type="dxa"/>
            <w:vAlign w:val="center"/>
          </w:tcPr>
          <w:p w14:paraId="12B90E93">
            <w:pPr>
              <w:pStyle w:val="219"/>
              <w:adjustRightInd w:val="0"/>
              <w:snapToGrid w:val="0"/>
              <w:spacing w:line="300" w:lineRule="exact"/>
              <w:ind w:firstLine="0" w:firstLineChars="0"/>
              <w:jc w:val="center"/>
              <w:rPr>
                <w:rFonts w:hint="eastAsia" w:cs="宋体"/>
                <w:color w:val="auto"/>
                <w:sz w:val="21"/>
              </w:rPr>
            </w:pPr>
            <w:bookmarkStart w:id="554" w:name="_Toc224406003"/>
            <w:bookmarkStart w:id="555" w:name="_Toc221283893"/>
            <w:r>
              <w:rPr>
                <w:rFonts w:cs="宋体"/>
                <w:color w:val="auto"/>
                <w:sz w:val="21"/>
              </w:rPr>
              <w:t>45°27'12.00"</w:t>
            </w:r>
            <w:bookmarkEnd w:id="554"/>
            <w:bookmarkEnd w:id="555"/>
          </w:p>
        </w:tc>
        <w:tc>
          <w:tcPr>
            <w:tcW w:w="1574" w:type="dxa"/>
            <w:vAlign w:val="center"/>
          </w:tcPr>
          <w:p w14:paraId="6070DEE3">
            <w:pPr>
              <w:pStyle w:val="219"/>
              <w:adjustRightInd w:val="0"/>
              <w:snapToGrid w:val="0"/>
              <w:spacing w:line="300" w:lineRule="exact"/>
              <w:ind w:firstLine="0" w:firstLineChars="0"/>
              <w:jc w:val="center"/>
              <w:rPr>
                <w:rFonts w:hint="eastAsia" w:cs="宋体"/>
                <w:color w:val="auto"/>
                <w:sz w:val="21"/>
              </w:rPr>
            </w:pPr>
            <w:bookmarkStart w:id="556" w:name="_Toc221283894"/>
            <w:bookmarkStart w:id="557" w:name="_Toc224406004"/>
            <w:r>
              <w:rPr>
                <w:rFonts w:cs="宋体"/>
                <w:color w:val="auto"/>
                <w:sz w:val="21"/>
              </w:rPr>
              <w:t>86°47'24.00"</w:t>
            </w:r>
            <w:bookmarkEnd w:id="556"/>
            <w:bookmarkEnd w:id="557"/>
          </w:p>
        </w:tc>
        <w:tc>
          <w:tcPr>
            <w:tcW w:w="694" w:type="dxa"/>
            <w:vAlign w:val="center"/>
          </w:tcPr>
          <w:p w14:paraId="6523A139">
            <w:pPr>
              <w:pStyle w:val="219"/>
              <w:adjustRightInd w:val="0"/>
              <w:snapToGrid w:val="0"/>
              <w:spacing w:line="300" w:lineRule="exact"/>
              <w:ind w:firstLine="0" w:firstLineChars="0"/>
              <w:jc w:val="center"/>
              <w:rPr>
                <w:rFonts w:hint="eastAsia" w:cs="宋体"/>
                <w:color w:val="auto"/>
                <w:sz w:val="21"/>
              </w:rPr>
            </w:pPr>
            <w:bookmarkStart w:id="558" w:name="_Toc221283895"/>
            <w:bookmarkStart w:id="559" w:name="_Toc224406005"/>
            <w:r>
              <w:rPr>
                <w:rFonts w:hint="eastAsia" w:cs="宋体"/>
                <w:color w:val="auto"/>
                <w:sz w:val="21"/>
              </w:rPr>
              <w:t>43</w:t>
            </w:r>
            <w:bookmarkEnd w:id="558"/>
            <w:bookmarkEnd w:id="559"/>
          </w:p>
        </w:tc>
        <w:tc>
          <w:tcPr>
            <w:tcW w:w="647" w:type="dxa"/>
            <w:vAlign w:val="center"/>
          </w:tcPr>
          <w:p w14:paraId="22ED0417">
            <w:pPr>
              <w:pStyle w:val="219"/>
              <w:adjustRightInd w:val="0"/>
              <w:snapToGrid w:val="0"/>
              <w:spacing w:line="300" w:lineRule="exact"/>
              <w:ind w:firstLine="0" w:firstLineChars="0"/>
              <w:jc w:val="center"/>
              <w:rPr>
                <w:rFonts w:hint="eastAsia" w:cs="宋体"/>
                <w:color w:val="auto"/>
                <w:sz w:val="21"/>
              </w:rPr>
            </w:pPr>
            <w:bookmarkStart w:id="560" w:name="_Toc220605938"/>
            <w:bookmarkStart w:id="561" w:name="_Toc221283896"/>
            <w:bookmarkStart w:id="562" w:name="_Toc224406006"/>
            <w:r>
              <w:rPr>
                <w:rFonts w:hint="eastAsia" w:cs="宋体"/>
                <w:color w:val="auto"/>
                <w:sz w:val="21"/>
              </w:rPr>
              <w:t>潜水层</w:t>
            </w:r>
            <w:bookmarkEnd w:id="560"/>
            <w:bookmarkEnd w:id="561"/>
            <w:bookmarkEnd w:id="562"/>
          </w:p>
        </w:tc>
        <w:tc>
          <w:tcPr>
            <w:tcW w:w="1279" w:type="dxa"/>
            <w:vAlign w:val="center"/>
          </w:tcPr>
          <w:p w14:paraId="79C2ADE9">
            <w:pPr>
              <w:pStyle w:val="219"/>
              <w:adjustRightInd w:val="0"/>
              <w:snapToGrid w:val="0"/>
              <w:spacing w:line="300" w:lineRule="exact"/>
              <w:ind w:firstLine="0" w:firstLineChars="0"/>
              <w:jc w:val="center"/>
              <w:rPr>
                <w:rFonts w:hint="eastAsia" w:cs="宋体"/>
                <w:color w:val="auto"/>
                <w:sz w:val="21"/>
              </w:rPr>
            </w:pPr>
            <w:bookmarkStart w:id="563" w:name="_Toc224406007"/>
            <w:bookmarkStart w:id="564" w:name="_Toc221283897"/>
            <w:r>
              <w:rPr>
                <w:rFonts w:hint="eastAsia" w:cs="宋体"/>
                <w:color w:val="auto"/>
                <w:sz w:val="21"/>
              </w:rPr>
              <w:t>莫172H井东北侧43.4km</w:t>
            </w:r>
            <w:bookmarkEnd w:id="563"/>
            <w:bookmarkEnd w:id="564"/>
          </w:p>
        </w:tc>
      </w:tr>
      <w:tr w14:paraId="1E94EF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4" w:type="dxa"/>
            <w:vMerge w:val="continue"/>
            <w:vAlign w:val="center"/>
          </w:tcPr>
          <w:p w14:paraId="7BD370F5">
            <w:pPr>
              <w:pStyle w:val="219"/>
              <w:adjustRightInd w:val="0"/>
              <w:snapToGrid w:val="0"/>
              <w:spacing w:line="300" w:lineRule="exact"/>
              <w:ind w:firstLine="0" w:firstLineChars="0"/>
              <w:jc w:val="center"/>
              <w:rPr>
                <w:rFonts w:hint="eastAsia" w:cs="宋体"/>
                <w:color w:val="auto"/>
                <w:sz w:val="21"/>
              </w:rPr>
            </w:pPr>
          </w:p>
        </w:tc>
        <w:tc>
          <w:tcPr>
            <w:tcW w:w="567" w:type="dxa"/>
            <w:vAlign w:val="center"/>
          </w:tcPr>
          <w:p w14:paraId="79A15AD7">
            <w:pPr>
              <w:pStyle w:val="219"/>
              <w:adjustRightInd w:val="0"/>
              <w:snapToGrid w:val="0"/>
              <w:spacing w:line="300" w:lineRule="exact"/>
              <w:ind w:firstLine="0" w:firstLineChars="0"/>
              <w:jc w:val="center"/>
              <w:rPr>
                <w:rFonts w:hint="eastAsia" w:cs="宋体"/>
                <w:color w:val="auto"/>
                <w:sz w:val="21"/>
              </w:rPr>
            </w:pPr>
            <w:bookmarkStart w:id="565" w:name="_Toc221283898"/>
            <w:bookmarkStart w:id="566" w:name="_Toc220605939"/>
            <w:bookmarkStart w:id="567" w:name="_Toc224406008"/>
            <w:r>
              <w:rPr>
                <w:rFonts w:hint="eastAsia" w:cs="宋体"/>
                <w:color w:val="auto"/>
                <w:sz w:val="21"/>
              </w:rPr>
              <w:t>W10</w:t>
            </w:r>
            <w:bookmarkEnd w:id="565"/>
            <w:bookmarkEnd w:id="566"/>
            <w:bookmarkEnd w:id="567"/>
          </w:p>
        </w:tc>
        <w:tc>
          <w:tcPr>
            <w:tcW w:w="1134" w:type="dxa"/>
            <w:vAlign w:val="center"/>
          </w:tcPr>
          <w:p w14:paraId="3E26E36A">
            <w:pPr>
              <w:pStyle w:val="219"/>
              <w:adjustRightInd w:val="0"/>
              <w:snapToGrid w:val="0"/>
              <w:spacing w:line="300" w:lineRule="exact"/>
              <w:ind w:firstLine="0" w:firstLineChars="0"/>
              <w:jc w:val="center"/>
              <w:rPr>
                <w:rFonts w:hint="eastAsia" w:cs="宋体"/>
                <w:color w:val="auto"/>
                <w:sz w:val="21"/>
              </w:rPr>
            </w:pPr>
            <w:bookmarkStart w:id="568" w:name="_Toc224406009"/>
            <w:bookmarkStart w:id="569" w:name="_Toc221283899"/>
            <w:r>
              <w:rPr>
                <w:rFonts w:hint="eastAsia" w:cs="宋体"/>
                <w:color w:val="auto"/>
                <w:sz w:val="21"/>
              </w:rPr>
              <w:t>莫北水4井</w:t>
            </w:r>
            <w:bookmarkEnd w:id="568"/>
            <w:bookmarkEnd w:id="569"/>
          </w:p>
        </w:tc>
        <w:tc>
          <w:tcPr>
            <w:tcW w:w="1701" w:type="dxa"/>
            <w:vAlign w:val="center"/>
          </w:tcPr>
          <w:p w14:paraId="74EF3657">
            <w:pPr>
              <w:pStyle w:val="219"/>
              <w:adjustRightInd w:val="0"/>
              <w:snapToGrid w:val="0"/>
              <w:spacing w:line="300" w:lineRule="exact"/>
              <w:ind w:firstLine="0" w:firstLineChars="0"/>
              <w:jc w:val="center"/>
              <w:rPr>
                <w:rFonts w:hint="eastAsia" w:cs="宋体"/>
                <w:color w:val="auto"/>
                <w:sz w:val="21"/>
              </w:rPr>
            </w:pPr>
            <w:bookmarkStart w:id="570" w:name="_Toc224406010"/>
            <w:bookmarkStart w:id="571" w:name="_Toc221283900"/>
            <w:r>
              <w:rPr>
                <w:rFonts w:cs="宋体"/>
                <w:color w:val="auto"/>
                <w:sz w:val="21"/>
              </w:rPr>
              <w:t>45°14'20.34"</w:t>
            </w:r>
            <w:bookmarkEnd w:id="570"/>
            <w:bookmarkEnd w:id="571"/>
          </w:p>
        </w:tc>
        <w:tc>
          <w:tcPr>
            <w:tcW w:w="1574" w:type="dxa"/>
            <w:vAlign w:val="center"/>
          </w:tcPr>
          <w:p w14:paraId="1804A9D5">
            <w:pPr>
              <w:pStyle w:val="219"/>
              <w:adjustRightInd w:val="0"/>
              <w:snapToGrid w:val="0"/>
              <w:spacing w:line="300" w:lineRule="exact"/>
              <w:ind w:firstLine="0" w:firstLineChars="0"/>
              <w:jc w:val="center"/>
              <w:rPr>
                <w:rFonts w:hint="eastAsia" w:cs="宋体"/>
                <w:color w:val="auto"/>
                <w:sz w:val="21"/>
              </w:rPr>
            </w:pPr>
            <w:bookmarkStart w:id="572" w:name="_Toc221283901"/>
            <w:bookmarkStart w:id="573" w:name="_Toc224406011"/>
            <w:r>
              <w:rPr>
                <w:rFonts w:cs="宋体"/>
                <w:color w:val="auto"/>
                <w:sz w:val="21"/>
              </w:rPr>
              <w:t>86°46'9.51"</w:t>
            </w:r>
            <w:bookmarkEnd w:id="572"/>
            <w:bookmarkEnd w:id="573"/>
          </w:p>
        </w:tc>
        <w:tc>
          <w:tcPr>
            <w:tcW w:w="694" w:type="dxa"/>
            <w:vAlign w:val="center"/>
          </w:tcPr>
          <w:p w14:paraId="05F41E88">
            <w:pPr>
              <w:pStyle w:val="219"/>
              <w:adjustRightInd w:val="0"/>
              <w:snapToGrid w:val="0"/>
              <w:spacing w:line="300" w:lineRule="exact"/>
              <w:ind w:firstLine="0" w:firstLineChars="0"/>
              <w:jc w:val="center"/>
              <w:rPr>
                <w:rFonts w:hint="eastAsia" w:cs="宋体"/>
                <w:color w:val="auto"/>
                <w:sz w:val="21"/>
              </w:rPr>
            </w:pPr>
            <w:bookmarkStart w:id="574" w:name="_Toc221283902"/>
            <w:bookmarkStart w:id="575" w:name="_Toc224406012"/>
            <w:r>
              <w:rPr>
                <w:rFonts w:hint="eastAsia" w:cs="宋体"/>
                <w:color w:val="auto"/>
                <w:sz w:val="21"/>
              </w:rPr>
              <w:t>41</w:t>
            </w:r>
            <w:bookmarkEnd w:id="574"/>
            <w:bookmarkEnd w:id="575"/>
          </w:p>
        </w:tc>
        <w:tc>
          <w:tcPr>
            <w:tcW w:w="647" w:type="dxa"/>
            <w:vAlign w:val="center"/>
          </w:tcPr>
          <w:p w14:paraId="01440C32">
            <w:pPr>
              <w:pStyle w:val="219"/>
              <w:adjustRightInd w:val="0"/>
              <w:snapToGrid w:val="0"/>
              <w:spacing w:line="300" w:lineRule="exact"/>
              <w:ind w:firstLine="0" w:firstLineChars="0"/>
              <w:jc w:val="center"/>
              <w:rPr>
                <w:rFonts w:hint="eastAsia" w:cs="宋体"/>
                <w:color w:val="auto"/>
                <w:sz w:val="21"/>
              </w:rPr>
            </w:pPr>
            <w:bookmarkStart w:id="576" w:name="_Toc224406013"/>
            <w:bookmarkStart w:id="577" w:name="_Toc221283903"/>
            <w:bookmarkStart w:id="578" w:name="_Toc220605940"/>
            <w:r>
              <w:rPr>
                <w:rFonts w:hint="eastAsia" w:cs="宋体"/>
                <w:color w:val="auto"/>
                <w:sz w:val="21"/>
              </w:rPr>
              <w:t>潜水层</w:t>
            </w:r>
            <w:bookmarkEnd w:id="576"/>
            <w:bookmarkEnd w:id="577"/>
            <w:bookmarkEnd w:id="578"/>
          </w:p>
        </w:tc>
        <w:tc>
          <w:tcPr>
            <w:tcW w:w="1279" w:type="dxa"/>
            <w:vAlign w:val="center"/>
          </w:tcPr>
          <w:p w14:paraId="2A9483E7">
            <w:pPr>
              <w:pStyle w:val="219"/>
              <w:adjustRightInd w:val="0"/>
              <w:snapToGrid w:val="0"/>
              <w:spacing w:line="300" w:lineRule="exact"/>
              <w:ind w:firstLine="0" w:firstLineChars="0"/>
              <w:jc w:val="center"/>
              <w:rPr>
                <w:rFonts w:hint="eastAsia" w:cs="宋体"/>
                <w:color w:val="auto"/>
                <w:sz w:val="21"/>
              </w:rPr>
            </w:pPr>
            <w:bookmarkStart w:id="579" w:name="_Toc224406014"/>
            <w:bookmarkStart w:id="580" w:name="_Toc221283904"/>
            <w:r>
              <w:rPr>
                <w:rFonts w:hint="eastAsia" w:cs="宋体"/>
                <w:color w:val="auto"/>
                <w:sz w:val="21"/>
              </w:rPr>
              <w:t>莫172H井东北侧26.18km</w:t>
            </w:r>
            <w:bookmarkEnd w:id="579"/>
            <w:bookmarkEnd w:id="580"/>
          </w:p>
        </w:tc>
      </w:tr>
      <w:bookmarkEnd w:id="366"/>
      <w:bookmarkEnd w:id="515"/>
    </w:tbl>
    <w:p w14:paraId="52A41C5B">
      <w:pPr>
        <w:adjustRightInd w:val="0"/>
        <w:snapToGrid w:val="0"/>
        <w:spacing w:line="360" w:lineRule="auto"/>
        <w:jc w:val="center"/>
        <w:rPr>
          <w:rFonts w:hint="eastAsia" w:ascii="宋体" w:hAnsi="宋体" w:cs="宋体"/>
          <w:color w:val="auto"/>
          <w:sz w:val="24"/>
          <w:szCs w:val="24"/>
          <w:lang w:bidi="ar"/>
        </w:rPr>
      </w:pPr>
      <w:r>
        <w:rPr>
          <w:color w:val="auto"/>
        </w:rPr>
        <w:drawing>
          <wp:inline distT="0" distB="0" distL="0" distR="0">
            <wp:extent cx="5281930" cy="3583940"/>
            <wp:effectExtent l="0" t="0" r="0" b="0"/>
            <wp:docPr id="185803922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039224" name="图片 5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5286815" cy="3587524"/>
                    </a:xfrm>
                    <a:prstGeom prst="rect">
                      <a:avLst/>
                    </a:prstGeom>
                    <a:noFill/>
                    <a:ln>
                      <a:noFill/>
                    </a:ln>
                  </pic:spPr>
                </pic:pic>
              </a:graphicData>
            </a:graphic>
          </wp:inline>
        </w:drawing>
      </w:r>
    </w:p>
    <w:p w14:paraId="7CE0A197">
      <w:pPr>
        <w:pStyle w:val="86"/>
        <w:adjustRightInd w:val="0"/>
        <w:snapToGrid w:val="0"/>
        <w:spacing w:line="240" w:lineRule="auto"/>
        <w:ind w:firstLine="0" w:firstLineChars="0"/>
        <w:jc w:val="center"/>
        <w:rPr>
          <w:rFonts w:hint="eastAsia" w:ascii="黑体" w:hAnsi="黑体" w:eastAsia="黑体"/>
          <w:color w:val="auto"/>
          <w:sz w:val="21"/>
          <w:szCs w:val="21"/>
        </w:rPr>
      </w:pPr>
      <w:r>
        <w:rPr>
          <w:rFonts w:hint="eastAsia" w:ascii="黑体" w:hAnsi="黑体" w:eastAsia="黑体"/>
          <w:color w:val="auto"/>
          <w:sz w:val="21"/>
          <w:szCs w:val="21"/>
        </w:rPr>
        <w:t>图4.3-2  地下水监测布点示意图</w:t>
      </w:r>
    </w:p>
    <w:bookmarkEnd w:id="367"/>
    <w:p w14:paraId="50A40DCC">
      <w:pPr>
        <w:adjustRightInd w:val="0"/>
        <w:snapToGrid w:val="0"/>
        <w:spacing w:line="500" w:lineRule="exact"/>
        <w:ind w:firstLine="480" w:firstLineChars="200"/>
        <w:rPr>
          <w:rFonts w:hint="eastAsia" w:ascii="宋体" w:hAnsi="宋体" w:cs="宋体"/>
          <w:color w:val="auto"/>
          <w:sz w:val="24"/>
          <w:szCs w:val="24"/>
          <w:lang w:bidi="ar"/>
        </w:rPr>
      </w:pPr>
      <w:r>
        <w:rPr>
          <w:rFonts w:hint="eastAsia" w:ascii="宋体" w:hAnsi="宋体" w:cs="宋体"/>
          <w:color w:val="auto"/>
          <w:sz w:val="24"/>
          <w:szCs w:val="24"/>
          <w:lang w:bidi="ar"/>
        </w:rPr>
        <w:t>（2）监测因子</w:t>
      </w:r>
    </w:p>
    <w:p w14:paraId="40B23356">
      <w:pPr>
        <w:adjustRightInd w:val="0"/>
        <w:snapToGrid w:val="0"/>
        <w:spacing w:line="500" w:lineRule="exact"/>
        <w:ind w:firstLine="480" w:firstLineChars="200"/>
        <w:rPr>
          <w:rFonts w:hint="eastAsia" w:ascii="宋体" w:hAnsi="宋体" w:cs="宋体"/>
          <w:color w:val="auto"/>
          <w:sz w:val="24"/>
          <w:szCs w:val="24"/>
          <w:lang w:bidi="ar"/>
        </w:rPr>
      </w:pPr>
      <w:r>
        <w:rPr>
          <w:rFonts w:hint="eastAsia" w:ascii="宋体" w:hAnsi="宋体" w:cs="宋体"/>
          <w:color w:val="auto"/>
          <w:sz w:val="24"/>
          <w:szCs w:val="24"/>
        </w:rPr>
        <w:t>W1～W3、W7～W8监测因子为</w:t>
      </w:r>
      <w:r>
        <w:rPr>
          <w:rFonts w:ascii="宋体" w:hAnsi="宋体" w:cs="宋体"/>
          <w:color w:val="auto"/>
          <w:sz w:val="24"/>
          <w:szCs w:val="24"/>
        </w:rPr>
        <w:t>K</w:t>
      </w:r>
      <w:r>
        <w:rPr>
          <w:rFonts w:ascii="宋体" w:hAnsi="宋体" w:cs="宋体"/>
          <w:color w:val="auto"/>
          <w:sz w:val="24"/>
          <w:szCs w:val="24"/>
          <w:vertAlign w:val="superscript"/>
        </w:rPr>
        <w:t>+</w:t>
      </w:r>
      <w:r>
        <w:rPr>
          <w:rFonts w:hint="eastAsia" w:ascii="宋体" w:hAnsi="宋体" w:cs="宋体"/>
          <w:color w:val="auto"/>
          <w:sz w:val="24"/>
          <w:szCs w:val="24"/>
        </w:rPr>
        <w:t>、</w:t>
      </w:r>
      <w:r>
        <w:rPr>
          <w:rFonts w:ascii="宋体" w:hAnsi="宋体" w:cs="宋体"/>
          <w:color w:val="auto"/>
          <w:sz w:val="24"/>
          <w:szCs w:val="24"/>
        </w:rPr>
        <w:t>Na</w:t>
      </w:r>
      <w:r>
        <w:rPr>
          <w:rFonts w:ascii="宋体" w:hAnsi="宋体" w:cs="宋体"/>
          <w:color w:val="auto"/>
          <w:sz w:val="24"/>
          <w:szCs w:val="24"/>
          <w:vertAlign w:val="superscript"/>
        </w:rPr>
        <w:t>+</w:t>
      </w:r>
      <w:r>
        <w:rPr>
          <w:rFonts w:hint="eastAsia" w:ascii="宋体" w:hAnsi="宋体" w:cs="宋体"/>
          <w:color w:val="auto"/>
          <w:sz w:val="24"/>
          <w:szCs w:val="24"/>
        </w:rPr>
        <w:t>、</w:t>
      </w:r>
      <w:r>
        <w:rPr>
          <w:rFonts w:ascii="宋体" w:hAnsi="宋体" w:cs="宋体"/>
          <w:color w:val="auto"/>
          <w:sz w:val="24"/>
          <w:szCs w:val="24"/>
        </w:rPr>
        <w:t>Ca</w:t>
      </w:r>
      <w:r>
        <w:rPr>
          <w:rFonts w:ascii="宋体" w:hAnsi="宋体" w:cs="宋体"/>
          <w:color w:val="auto"/>
          <w:sz w:val="24"/>
          <w:szCs w:val="24"/>
          <w:vertAlign w:val="superscript"/>
        </w:rPr>
        <w:t>2+</w:t>
      </w:r>
      <w:r>
        <w:rPr>
          <w:rFonts w:hint="eastAsia" w:ascii="宋体" w:hAnsi="宋体" w:cs="宋体"/>
          <w:color w:val="auto"/>
          <w:sz w:val="24"/>
          <w:szCs w:val="24"/>
        </w:rPr>
        <w:t>、</w:t>
      </w:r>
      <w:r>
        <w:rPr>
          <w:rFonts w:ascii="宋体" w:hAnsi="宋体" w:cs="宋体"/>
          <w:color w:val="auto"/>
          <w:sz w:val="24"/>
          <w:szCs w:val="24"/>
        </w:rPr>
        <w:t>Mg</w:t>
      </w:r>
      <w:r>
        <w:rPr>
          <w:rFonts w:ascii="宋体" w:hAnsi="宋体" w:cs="宋体"/>
          <w:color w:val="auto"/>
          <w:sz w:val="24"/>
          <w:szCs w:val="24"/>
          <w:vertAlign w:val="superscript"/>
        </w:rPr>
        <w:t>2+</w:t>
      </w:r>
      <w:r>
        <w:rPr>
          <w:rFonts w:hint="eastAsia" w:ascii="宋体" w:hAnsi="宋体" w:cs="宋体"/>
          <w:color w:val="auto"/>
          <w:sz w:val="24"/>
          <w:szCs w:val="24"/>
        </w:rPr>
        <w:t>、</w:t>
      </w:r>
      <w:r>
        <w:rPr>
          <w:rFonts w:ascii="宋体" w:hAnsi="宋体" w:cs="宋体"/>
          <w:color w:val="auto"/>
          <w:sz w:val="24"/>
          <w:szCs w:val="24"/>
        </w:rPr>
        <w:t>CO</w:t>
      </w:r>
      <w:r>
        <w:rPr>
          <w:rFonts w:ascii="宋体" w:hAnsi="宋体" w:cs="宋体"/>
          <w:color w:val="auto"/>
          <w:sz w:val="24"/>
          <w:szCs w:val="24"/>
          <w:vertAlign w:val="subscript"/>
        </w:rPr>
        <w:t>3</w:t>
      </w:r>
      <w:r>
        <w:rPr>
          <w:rFonts w:ascii="宋体" w:hAnsi="宋体" w:cs="宋体"/>
          <w:color w:val="auto"/>
          <w:sz w:val="24"/>
          <w:szCs w:val="24"/>
          <w:vertAlign w:val="superscript"/>
        </w:rPr>
        <w:t>2-</w:t>
      </w:r>
      <w:r>
        <w:rPr>
          <w:rFonts w:hint="eastAsia" w:ascii="宋体" w:hAnsi="宋体" w:cs="宋体"/>
          <w:color w:val="auto"/>
          <w:sz w:val="24"/>
          <w:szCs w:val="24"/>
        </w:rPr>
        <w:t>、</w:t>
      </w:r>
      <w:r>
        <w:rPr>
          <w:rFonts w:ascii="宋体" w:hAnsi="宋体" w:cs="宋体"/>
          <w:color w:val="auto"/>
          <w:sz w:val="24"/>
          <w:szCs w:val="24"/>
        </w:rPr>
        <w:t>HCO</w:t>
      </w:r>
      <w:r>
        <w:rPr>
          <w:rFonts w:ascii="宋体" w:hAnsi="宋体" w:cs="宋体"/>
          <w:color w:val="auto"/>
          <w:sz w:val="24"/>
          <w:szCs w:val="24"/>
          <w:vertAlign w:val="subscript"/>
        </w:rPr>
        <w:t>3</w:t>
      </w:r>
      <w:r>
        <w:rPr>
          <w:rFonts w:ascii="宋体" w:hAnsi="宋体" w:cs="宋体"/>
          <w:color w:val="auto"/>
          <w:sz w:val="24"/>
          <w:szCs w:val="24"/>
          <w:vertAlign w:val="superscript"/>
        </w:rPr>
        <w:t>-</w:t>
      </w:r>
      <w:r>
        <w:rPr>
          <w:rFonts w:hint="eastAsia" w:ascii="宋体" w:hAnsi="宋体" w:cs="宋体"/>
          <w:color w:val="auto"/>
          <w:sz w:val="24"/>
          <w:szCs w:val="24"/>
        </w:rPr>
        <w:t>、</w:t>
      </w:r>
      <w:r>
        <w:rPr>
          <w:rFonts w:ascii="宋体" w:hAnsi="宋体" w:cs="宋体"/>
          <w:color w:val="auto"/>
          <w:sz w:val="24"/>
          <w:szCs w:val="24"/>
        </w:rPr>
        <w:t>Cl</w:t>
      </w:r>
      <w:r>
        <w:rPr>
          <w:rFonts w:ascii="宋体" w:hAnsi="宋体" w:cs="宋体"/>
          <w:color w:val="auto"/>
          <w:sz w:val="24"/>
          <w:szCs w:val="24"/>
          <w:vertAlign w:val="superscript"/>
        </w:rPr>
        <w:t>-</w:t>
      </w:r>
      <w:r>
        <w:rPr>
          <w:rFonts w:hint="eastAsia" w:ascii="宋体" w:hAnsi="宋体" w:cs="宋体"/>
          <w:color w:val="auto"/>
          <w:sz w:val="24"/>
          <w:szCs w:val="24"/>
        </w:rPr>
        <w:t>、</w:t>
      </w:r>
      <w:r>
        <w:rPr>
          <w:rFonts w:ascii="宋体" w:hAnsi="宋体" w:cs="宋体"/>
          <w:color w:val="auto"/>
          <w:sz w:val="24"/>
          <w:szCs w:val="24"/>
        </w:rPr>
        <w:t>SO</w:t>
      </w:r>
      <w:r>
        <w:rPr>
          <w:rFonts w:ascii="宋体" w:hAnsi="宋体" w:cs="宋体"/>
          <w:color w:val="auto"/>
          <w:sz w:val="24"/>
          <w:szCs w:val="24"/>
          <w:vertAlign w:val="subscript"/>
        </w:rPr>
        <w:t>4</w:t>
      </w:r>
      <w:r>
        <w:rPr>
          <w:rFonts w:ascii="宋体" w:hAnsi="宋体" w:cs="宋体"/>
          <w:color w:val="auto"/>
          <w:sz w:val="24"/>
          <w:szCs w:val="24"/>
          <w:vertAlign w:val="superscript"/>
        </w:rPr>
        <w:t>2-</w:t>
      </w:r>
      <w:r>
        <w:rPr>
          <w:rFonts w:hint="eastAsia" w:ascii="宋体" w:hAnsi="宋体" w:cs="宋体"/>
          <w:color w:val="auto"/>
          <w:sz w:val="24"/>
          <w:szCs w:val="24"/>
        </w:rPr>
        <w:t>的浓度，</w:t>
      </w:r>
      <w:r>
        <w:rPr>
          <w:rFonts w:ascii="宋体" w:hAnsi="宋体" w:cs="宋体"/>
          <w:color w:val="auto"/>
          <w:sz w:val="24"/>
          <w:szCs w:val="24"/>
        </w:rPr>
        <w:t>pH</w:t>
      </w:r>
      <w:r>
        <w:rPr>
          <w:rFonts w:hint="eastAsia" w:ascii="宋体" w:hAnsi="宋体" w:cs="宋体"/>
          <w:color w:val="auto"/>
          <w:sz w:val="24"/>
          <w:szCs w:val="24"/>
        </w:rPr>
        <w:t>、氨氮、硝酸盐氮、亚硝酸盐氮、挥发性酚类、氰化物、砷、汞、铬（六价）、总硬度、铅、氟化物、镉、铁、锰、溶解性总固体、耗氧量、硫酸盐、氯化物、石油类、总大肠菌群、细菌总数、钠、硫化物、钡，水位、水温。</w:t>
      </w:r>
    </w:p>
    <w:p w14:paraId="0F68371F">
      <w:pPr>
        <w:adjustRightInd w:val="0"/>
        <w:snapToGrid w:val="0"/>
        <w:spacing w:line="500" w:lineRule="exact"/>
        <w:ind w:firstLine="480" w:firstLineChars="200"/>
        <w:rPr>
          <w:rFonts w:hint="eastAsia" w:ascii="宋体" w:hAnsi="宋体" w:cs="宋体"/>
          <w:color w:val="auto"/>
          <w:sz w:val="24"/>
          <w:szCs w:val="24"/>
          <w:lang w:bidi="ar"/>
        </w:rPr>
      </w:pPr>
      <w:r>
        <w:rPr>
          <w:rFonts w:hint="eastAsia" w:ascii="宋体" w:hAnsi="宋体" w:cs="宋体"/>
          <w:color w:val="auto"/>
          <w:sz w:val="24"/>
          <w:szCs w:val="24"/>
        </w:rPr>
        <w:t>W4～W5、W9～W10监测因子为水位。</w:t>
      </w:r>
    </w:p>
    <w:p w14:paraId="2C1761AD">
      <w:pPr>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（3）监测时间及监测单位</w:t>
      </w:r>
    </w:p>
    <w:p w14:paraId="180AF348">
      <w:pPr>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采样时间：2025年12月9日。</w:t>
      </w:r>
    </w:p>
    <w:p w14:paraId="7723C4EE">
      <w:pPr>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监测单位：新疆中检联检测有限公司。</w:t>
      </w:r>
    </w:p>
    <w:p w14:paraId="3246CC02">
      <w:pPr>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（4）评价标准</w:t>
      </w:r>
    </w:p>
    <w:p w14:paraId="610D31C8">
      <w:pPr>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执行《地下水质量标准》（GB/T14848-2017）Ⅲ类标准，石油类参照《地表水环境质量标准》（GB3838-2002）中的Ⅲ类标准。</w:t>
      </w:r>
    </w:p>
    <w:p w14:paraId="523BA351">
      <w:pPr>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rPr>
        <w:t>（5）评价方法</w:t>
      </w:r>
    </w:p>
    <w:p w14:paraId="54F53636">
      <w:pPr>
        <w:adjustRightInd w:val="0"/>
        <w:snapToGrid w:val="0"/>
        <w:spacing w:line="500" w:lineRule="exact"/>
        <w:ind w:firstLine="480" w:firstLineChars="200"/>
        <w:rPr>
          <w:rFonts w:hint="eastAsia" w:ascii="宋体" w:hAnsi="宋体" w:cs="宋体"/>
          <w:color w:val="auto"/>
          <w:sz w:val="24"/>
          <w:szCs w:val="24"/>
        </w:rPr>
      </w:pPr>
      <w:bookmarkStart w:id="581" w:name="_Hlk78400630"/>
      <w:r>
        <w:rPr>
          <w:rFonts w:hint="eastAsia" w:ascii="宋体" w:hAnsi="宋体" w:cs="宋体"/>
          <w:color w:val="auto"/>
          <w:sz w:val="24"/>
          <w:szCs w:val="24"/>
        </w:rPr>
        <w:t>采用单项标准指数法对地下水进行评价。</w:t>
      </w:r>
    </w:p>
    <w:p w14:paraId="5E2DA303">
      <w:pPr>
        <w:adjustRightInd w:val="0"/>
        <w:snapToGrid w:val="0"/>
        <w:spacing w:line="500" w:lineRule="exact"/>
        <w:ind w:firstLine="496" w:firstLineChars="200"/>
        <w:jc w:val="center"/>
        <w:rPr>
          <w:rFonts w:hint="eastAsia" w:ascii="宋体" w:hAnsi="宋体" w:cs="宋体"/>
          <w:color w:val="auto"/>
          <w:spacing w:val="4"/>
          <w:sz w:val="24"/>
          <w:szCs w:val="24"/>
        </w:rPr>
      </w:pPr>
      <w:r>
        <w:rPr>
          <w:rFonts w:hint="eastAsia" w:ascii="宋体" w:hAnsi="宋体" w:cs="宋体"/>
          <w:color w:val="auto"/>
          <w:spacing w:val="4"/>
          <w:sz w:val="24"/>
          <w:szCs w:val="24"/>
          <w:lang w:bidi="ar"/>
        </w:rPr>
        <w:t>P</w:t>
      </w:r>
      <w:r>
        <w:rPr>
          <w:rFonts w:hint="eastAsia" w:ascii="宋体" w:hAnsi="宋体" w:cs="宋体"/>
          <w:color w:val="auto"/>
          <w:spacing w:val="4"/>
          <w:sz w:val="24"/>
          <w:szCs w:val="24"/>
          <w:vertAlign w:val="subscript"/>
          <w:lang w:bidi="ar"/>
        </w:rPr>
        <w:t>i</w:t>
      </w:r>
      <w:r>
        <w:rPr>
          <w:rFonts w:hint="eastAsia" w:ascii="宋体" w:hAnsi="宋体" w:cs="宋体"/>
          <w:color w:val="auto"/>
          <w:spacing w:val="4"/>
          <w:sz w:val="24"/>
          <w:szCs w:val="24"/>
          <w:lang w:bidi="ar"/>
        </w:rPr>
        <w:t>=C</w:t>
      </w:r>
      <w:r>
        <w:rPr>
          <w:rFonts w:hint="eastAsia" w:ascii="宋体" w:hAnsi="宋体" w:cs="宋体"/>
          <w:color w:val="auto"/>
          <w:spacing w:val="4"/>
          <w:sz w:val="24"/>
          <w:szCs w:val="24"/>
          <w:vertAlign w:val="subscript"/>
          <w:lang w:bidi="ar"/>
        </w:rPr>
        <w:t>i</w:t>
      </w:r>
      <w:r>
        <w:rPr>
          <w:rFonts w:hint="eastAsia" w:ascii="宋体" w:hAnsi="宋体" w:cs="宋体"/>
          <w:color w:val="auto"/>
          <w:spacing w:val="4"/>
          <w:sz w:val="24"/>
          <w:szCs w:val="24"/>
          <w:lang w:bidi="ar"/>
        </w:rPr>
        <w:t>/C</w:t>
      </w:r>
      <w:r>
        <w:rPr>
          <w:rFonts w:hint="eastAsia" w:ascii="宋体" w:hAnsi="宋体" w:cs="宋体"/>
          <w:color w:val="auto"/>
          <w:spacing w:val="4"/>
          <w:sz w:val="24"/>
          <w:szCs w:val="24"/>
          <w:vertAlign w:val="subscript"/>
          <w:lang w:bidi="ar"/>
        </w:rPr>
        <w:t>si</w:t>
      </w:r>
    </w:p>
    <w:p w14:paraId="17D38B6D">
      <w:pPr>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lang w:bidi="ar"/>
        </w:rPr>
        <w:t>式中：P</w:t>
      </w:r>
      <w:r>
        <w:rPr>
          <w:rFonts w:hint="eastAsia" w:ascii="宋体" w:hAnsi="宋体" w:cs="宋体"/>
          <w:color w:val="auto"/>
          <w:sz w:val="24"/>
          <w:szCs w:val="24"/>
          <w:vertAlign w:val="subscript"/>
          <w:lang w:bidi="ar"/>
        </w:rPr>
        <w:t>i</w:t>
      </w:r>
      <w:r>
        <w:rPr>
          <w:rFonts w:hint="eastAsia" w:ascii="宋体" w:hAnsi="宋体" w:cs="宋体"/>
          <w:color w:val="auto"/>
          <w:sz w:val="24"/>
          <w:szCs w:val="24"/>
          <w:lang w:bidi="ar"/>
        </w:rPr>
        <w:t>——水质单项标准指数；</w:t>
      </w:r>
    </w:p>
    <w:p w14:paraId="29988634">
      <w:pPr>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lang w:bidi="ar"/>
        </w:rPr>
        <w:t xml:space="preserve">      C</w:t>
      </w:r>
      <w:r>
        <w:rPr>
          <w:rFonts w:hint="eastAsia" w:ascii="宋体" w:hAnsi="宋体" w:cs="宋体"/>
          <w:color w:val="auto"/>
          <w:sz w:val="24"/>
          <w:szCs w:val="24"/>
          <w:vertAlign w:val="subscript"/>
          <w:lang w:bidi="ar"/>
        </w:rPr>
        <w:t>i,j</w:t>
      </w:r>
      <w:r>
        <w:rPr>
          <w:rFonts w:hint="eastAsia" w:ascii="宋体" w:hAnsi="宋体" w:cs="宋体"/>
          <w:color w:val="auto"/>
          <w:sz w:val="24"/>
          <w:szCs w:val="24"/>
          <w:lang w:bidi="ar"/>
        </w:rPr>
        <w:t>——水质评价因子i在第j取样点的浓度，mg/L；</w:t>
      </w:r>
    </w:p>
    <w:p w14:paraId="5B6135CE">
      <w:pPr>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lang w:bidi="ar"/>
        </w:rPr>
        <w:t xml:space="preserve">      C</w:t>
      </w:r>
      <w:r>
        <w:rPr>
          <w:rFonts w:hint="eastAsia" w:ascii="宋体" w:hAnsi="宋体" w:cs="宋体"/>
          <w:color w:val="auto"/>
          <w:sz w:val="24"/>
          <w:szCs w:val="24"/>
          <w:vertAlign w:val="subscript"/>
          <w:lang w:bidi="ar"/>
        </w:rPr>
        <w:t xml:space="preserve">si </w:t>
      </w:r>
      <w:r>
        <w:rPr>
          <w:rFonts w:hint="eastAsia" w:ascii="宋体" w:hAnsi="宋体" w:cs="宋体"/>
          <w:color w:val="auto"/>
          <w:sz w:val="24"/>
          <w:szCs w:val="24"/>
          <w:lang w:bidi="ar"/>
        </w:rPr>
        <w:t>——i因子的评价标准，mg/L；</w:t>
      </w:r>
    </w:p>
    <w:p w14:paraId="3B5A1387">
      <w:pPr>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lang w:bidi="ar"/>
        </w:rPr>
        <w:t>pH的单项标准指数表达式为：</w:t>
      </w:r>
    </w:p>
    <w:p w14:paraId="09ABE6E8">
      <w:pPr>
        <w:adjustRightInd w:val="0"/>
        <w:snapToGrid w:val="0"/>
        <w:spacing w:line="360" w:lineRule="auto"/>
        <w:ind w:firstLine="496" w:firstLineChars="200"/>
        <w:jc w:val="center"/>
        <w:rPr>
          <w:rFonts w:hint="eastAsia" w:ascii="宋体" w:hAnsi="宋体" w:cs="宋体"/>
          <w:color w:val="auto"/>
          <w:spacing w:val="4"/>
          <w:sz w:val="24"/>
          <w:szCs w:val="24"/>
        </w:rPr>
      </w:pPr>
      <w:r>
        <w:rPr>
          <w:rFonts w:hint="eastAsia" w:ascii="宋体" w:hAnsi="宋体" w:cs="宋体"/>
          <w:color w:val="auto"/>
          <w:spacing w:val="4"/>
          <w:sz w:val="24"/>
          <w:szCs w:val="24"/>
          <w:lang w:bidi="ar"/>
        </w:rPr>
        <w:t>pH</w:t>
      </w:r>
      <w:r>
        <w:rPr>
          <w:rFonts w:hint="eastAsia" w:ascii="宋体" w:hAnsi="宋体" w:cs="宋体"/>
          <w:color w:val="auto"/>
          <w:spacing w:val="4"/>
          <w:sz w:val="24"/>
          <w:szCs w:val="24"/>
          <w:vertAlign w:val="subscript"/>
          <w:lang w:bidi="ar"/>
        </w:rPr>
        <w:t>j</w:t>
      </w:r>
      <w:r>
        <w:rPr>
          <w:rFonts w:hint="eastAsia" w:ascii="宋体" w:hAnsi="宋体" w:cs="宋体"/>
          <w:color w:val="auto"/>
          <w:spacing w:val="4"/>
          <w:sz w:val="24"/>
          <w:szCs w:val="24"/>
          <w:lang w:bidi="ar"/>
        </w:rPr>
        <w:t xml:space="preserve">≤7.0时；  </w:t>
      </w:r>
      <w:r>
        <w:rPr>
          <w:rFonts w:hint="eastAsia" w:ascii="宋体" w:hAnsi="宋体" w:cs="宋体"/>
          <w:color w:val="auto"/>
          <w:spacing w:val="4"/>
          <w:position w:val="-30"/>
          <w:sz w:val="24"/>
          <w:szCs w:val="24"/>
          <w:lang w:bidi="ar"/>
        </w:rPr>
        <w:drawing>
          <wp:inline distT="0" distB="0" distL="0" distR="0">
            <wp:extent cx="1217295" cy="454660"/>
            <wp:effectExtent l="0" t="0" r="0" b="0"/>
            <wp:docPr id="23"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1217295" cy="454660"/>
                    </a:xfrm>
                    <a:prstGeom prst="rect">
                      <a:avLst/>
                    </a:prstGeom>
                    <a:noFill/>
                    <a:ln>
                      <a:noFill/>
                    </a:ln>
                  </pic:spPr>
                </pic:pic>
              </a:graphicData>
            </a:graphic>
          </wp:inline>
        </w:drawing>
      </w:r>
    </w:p>
    <w:p w14:paraId="22C602FD">
      <w:pPr>
        <w:adjustRightInd w:val="0"/>
        <w:snapToGrid w:val="0"/>
        <w:spacing w:line="360" w:lineRule="auto"/>
        <w:ind w:firstLine="496" w:firstLineChars="200"/>
        <w:jc w:val="center"/>
        <w:rPr>
          <w:rFonts w:hint="eastAsia" w:ascii="宋体" w:hAnsi="宋体" w:cs="宋体"/>
          <w:color w:val="auto"/>
          <w:spacing w:val="4"/>
          <w:sz w:val="24"/>
          <w:szCs w:val="24"/>
        </w:rPr>
      </w:pPr>
      <w:r>
        <w:rPr>
          <w:rFonts w:hint="eastAsia" w:ascii="宋体" w:hAnsi="宋体" w:cs="宋体"/>
          <w:color w:val="auto"/>
          <w:spacing w:val="4"/>
          <w:sz w:val="24"/>
          <w:szCs w:val="24"/>
          <w:lang w:bidi="ar"/>
        </w:rPr>
        <w:t>pH</w:t>
      </w:r>
      <w:r>
        <w:rPr>
          <w:rFonts w:hint="eastAsia" w:ascii="宋体" w:hAnsi="宋体" w:cs="宋体"/>
          <w:color w:val="auto"/>
          <w:spacing w:val="4"/>
          <w:sz w:val="24"/>
          <w:szCs w:val="24"/>
          <w:vertAlign w:val="subscript"/>
          <w:lang w:bidi="ar"/>
        </w:rPr>
        <w:t>j</w:t>
      </w:r>
      <w:r>
        <w:rPr>
          <w:rFonts w:hint="eastAsia" w:ascii="宋体" w:hAnsi="宋体" w:cs="宋体"/>
          <w:color w:val="auto"/>
          <w:spacing w:val="4"/>
          <w:sz w:val="24"/>
          <w:szCs w:val="24"/>
          <w:lang w:bidi="ar"/>
        </w:rPr>
        <w:t xml:space="preserve">＞7.0时；  </w:t>
      </w:r>
      <w:r>
        <w:rPr>
          <w:rFonts w:hint="eastAsia" w:ascii="宋体" w:hAnsi="宋体" w:cs="宋体"/>
          <w:color w:val="auto"/>
          <w:spacing w:val="4"/>
          <w:position w:val="-30"/>
          <w:sz w:val="24"/>
          <w:szCs w:val="24"/>
          <w:lang w:bidi="ar"/>
        </w:rPr>
        <w:drawing>
          <wp:inline distT="0" distB="0" distL="0" distR="0">
            <wp:extent cx="1217295" cy="454660"/>
            <wp:effectExtent l="0" t="0" r="0" b="0"/>
            <wp:docPr id="24"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1217295" cy="454660"/>
                    </a:xfrm>
                    <a:prstGeom prst="rect">
                      <a:avLst/>
                    </a:prstGeom>
                    <a:noFill/>
                    <a:ln>
                      <a:noFill/>
                    </a:ln>
                  </pic:spPr>
                </pic:pic>
              </a:graphicData>
            </a:graphic>
          </wp:inline>
        </w:drawing>
      </w:r>
    </w:p>
    <w:p w14:paraId="216D59F0">
      <w:pPr>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lang w:bidi="ar"/>
        </w:rPr>
        <w:t>式中：S</w:t>
      </w:r>
      <w:r>
        <w:rPr>
          <w:rFonts w:hint="eastAsia" w:ascii="宋体" w:hAnsi="宋体" w:cs="宋体"/>
          <w:color w:val="auto"/>
          <w:sz w:val="24"/>
          <w:szCs w:val="24"/>
          <w:vertAlign w:val="subscript"/>
          <w:lang w:bidi="ar"/>
        </w:rPr>
        <w:t>pH,j</w:t>
      </w:r>
      <w:r>
        <w:rPr>
          <w:rFonts w:hint="eastAsia" w:ascii="宋体" w:hAnsi="宋体" w:cs="宋体"/>
          <w:color w:val="auto"/>
          <w:sz w:val="24"/>
          <w:szCs w:val="24"/>
          <w:lang w:bidi="ar"/>
        </w:rPr>
        <w:t>—pH标准指数；</w:t>
      </w:r>
    </w:p>
    <w:p w14:paraId="7B1FFE3C">
      <w:pPr>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lang w:bidi="ar"/>
        </w:rPr>
        <w:t xml:space="preserve">      pH</w:t>
      </w:r>
      <w:r>
        <w:rPr>
          <w:rFonts w:hint="eastAsia" w:ascii="宋体" w:hAnsi="宋体" w:cs="宋体"/>
          <w:color w:val="auto"/>
          <w:sz w:val="24"/>
          <w:szCs w:val="24"/>
          <w:vertAlign w:val="subscript"/>
          <w:lang w:bidi="ar"/>
        </w:rPr>
        <w:t xml:space="preserve">j </w:t>
      </w:r>
      <w:r>
        <w:rPr>
          <w:rFonts w:hint="eastAsia" w:ascii="宋体" w:hAnsi="宋体" w:cs="宋体"/>
          <w:color w:val="auto"/>
          <w:sz w:val="24"/>
          <w:szCs w:val="24"/>
          <w:lang w:bidi="ar"/>
        </w:rPr>
        <w:t>—j点实测pH值；</w:t>
      </w:r>
    </w:p>
    <w:p w14:paraId="156950E4">
      <w:pPr>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lang w:bidi="ar"/>
        </w:rPr>
        <w:t xml:space="preserve">      pH</w:t>
      </w:r>
      <w:r>
        <w:rPr>
          <w:rFonts w:hint="eastAsia" w:ascii="宋体" w:hAnsi="宋体" w:cs="宋体"/>
          <w:color w:val="auto"/>
          <w:sz w:val="24"/>
          <w:szCs w:val="24"/>
          <w:vertAlign w:val="subscript"/>
          <w:lang w:bidi="ar"/>
        </w:rPr>
        <w:t>sd</w:t>
      </w:r>
      <w:r>
        <w:rPr>
          <w:rFonts w:hint="eastAsia" w:ascii="宋体" w:hAnsi="宋体" w:cs="宋体"/>
          <w:color w:val="auto"/>
          <w:sz w:val="24"/>
          <w:szCs w:val="24"/>
          <w:lang w:bidi="ar"/>
        </w:rPr>
        <w:t>—标准中的pH值的下限值；</w:t>
      </w:r>
    </w:p>
    <w:p w14:paraId="0450EF82">
      <w:pPr>
        <w:adjustRightInd w:val="0"/>
        <w:snapToGrid w:val="0"/>
        <w:spacing w:line="500" w:lineRule="exact"/>
        <w:ind w:firstLine="480" w:firstLineChars="200"/>
        <w:rPr>
          <w:rFonts w:hint="eastAsia" w:ascii="宋体" w:hAnsi="宋体" w:cs="宋体"/>
          <w:color w:val="auto"/>
          <w:sz w:val="24"/>
          <w:szCs w:val="24"/>
        </w:rPr>
      </w:pPr>
      <w:r>
        <w:rPr>
          <w:rFonts w:hint="eastAsia" w:ascii="宋体" w:hAnsi="宋体" w:cs="宋体"/>
          <w:color w:val="auto"/>
          <w:sz w:val="24"/>
          <w:szCs w:val="24"/>
          <w:lang w:bidi="ar"/>
        </w:rPr>
        <w:t xml:space="preserve">      pH</w:t>
      </w:r>
      <w:r>
        <w:rPr>
          <w:rFonts w:hint="eastAsia" w:ascii="宋体" w:hAnsi="宋体" w:cs="宋体"/>
          <w:color w:val="auto"/>
          <w:sz w:val="24"/>
          <w:szCs w:val="24"/>
          <w:vertAlign w:val="subscript"/>
          <w:lang w:bidi="ar"/>
        </w:rPr>
        <w:t>SU</w:t>
      </w:r>
      <w:r>
        <w:rPr>
          <w:rFonts w:hint="eastAsia" w:ascii="宋体" w:hAnsi="宋体" w:cs="宋体"/>
          <w:color w:val="auto"/>
          <w:sz w:val="24"/>
          <w:szCs w:val="24"/>
          <w:lang w:bidi="ar"/>
        </w:rPr>
        <w:t>—标准中的pH值的上限值。</w:t>
      </w:r>
    </w:p>
    <w:bookmarkEnd w:id="581"/>
    <w:p w14:paraId="3000F5F1">
      <w:pPr>
        <w:adjustRightInd w:val="0"/>
        <w:snapToGrid w:val="0"/>
        <w:spacing w:line="500" w:lineRule="exact"/>
        <w:ind w:firstLine="480" w:firstLineChars="200"/>
        <w:rPr>
          <w:rStyle w:val="208"/>
          <w:rFonts w:hint="eastAsia"/>
          <w:color w:val="auto"/>
        </w:rPr>
      </w:pPr>
      <w:bookmarkStart w:id="582" w:name="_Hlk160376379"/>
      <w:r>
        <w:rPr>
          <w:rStyle w:val="208"/>
          <w:rFonts w:hint="eastAsia"/>
          <w:color w:val="auto"/>
        </w:rPr>
        <w:t>（</w:t>
      </w:r>
      <w:r>
        <w:rPr>
          <w:rStyle w:val="208"/>
          <w:color w:val="auto"/>
        </w:rPr>
        <w:t>6</w:t>
      </w:r>
      <w:r>
        <w:rPr>
          <w:rStyle w:val="208"/>
          <w:rFonts w:hint="eastAsia"/>
          <w:color w:val="auto"/>
        </w:rPr>
        <w:t>）评价结果</w:t>
      </w:r>
    </w:p>
    <w:p w14:paraId="2FE7DC5E">
      <w:pPr>
        <w:adjustRightInd w:val="0"/>
        <w:snapToGrid w:val="0"/>
        <w:spacing w:line="500" w:lineRule="exact"/>
        <w:ind w:firstLine="480" w:firstLineChars="200"/>
        <w:rPr>
          <w:rStyle w:val="208"/>
          <w:rFonts w:hint="eastAsia"/>
          <w:color w:val="auto"/>
        </w:rPr>
      </w:pPr>
      <w:r>
        <w:rPr>
          <w:rStyle w:val="208"/>
          <w:rFonts w:hint="eastAsia"/>
          <w:color w:val="auto"/>
        </w:rPr>
        <w:t>监测及评价结果见表</w:t>
      </w:r>
      <w:r>
        <w:rPr>
          <w:rStyle w:val="208"/>
          <w:color w:val="auto"/>
        </w:rPr>
        <w:t>4.3</w:t>
      </w:r>
      <w:r>
        <w:rPr>
          <w:rStyle w:val="208"/>
          <w:rFonts w:hint="eastAsia"/>
          <w:color w:val="auto"/>
        </w:rPr>
        <w:t>-6。</w:t>
      </w:r>
      <w:bookmarkEnd w:id="582"/>
      <w:bookmarkStart w:id="583" w:name="_Hlk520568237"/>
    </w:p>
    <w:p w14:paraId="6CFDD65E">
      <w:pPr>
        <w:adjustRightInd w:val="0"/>
        <w:snapToGrid w:val="0"/>
        <w:spacing w:line="500" w:lineRule="exact"/>
        <w:ind w:firstLine="480" w:firstLineChars="200"/>
        <w:rPr>
          <w:rFonts w:hint="eastAsia" w:ascii="宋体" w:hAnsi="宋体" w:cs="宋体"/>
          <w:color w:val="auto"/>
          <w:sz w:val="24"/>
          <w:szCs w:val="24"/>
          <w:lang w:bidi="ar"/>
        </w:rPr>
      </w:pPr>
      <w:r>
        <w:rPr>
          <w:rStyle w:val="208"/>
          <w:rFonts w:hint="eastAsia"/>
          <w:color w:val="auto"/>
        </w:rPr>
        <w:t>由表</w:t>
      </w:r>
      <w:r>
        <w:rPr>
          <w:rStyle w:val="208"/>
          <w:color w:val="auto"/>
        </w:rPr>
        <w:t>4.3</w:t>
      </w:r>
      <w:r>
        <w:rPr>
          <w:rStyle w:val="208"/>
          <w:rFonts w:hint="eastAsia"/>
          <w:color w:val="auto"/>
        </w:rPr>
        <w:t>-6可知，</w:t>
      </w:r>
      <w:bookmarkStart w:id="584" w:name="_Hlk165763903"/>
      <w:r>
        <w:rPr>
          <w:rFonts w:hint="eastAsia" w:ascii="宋体" w:hAnsi="宋体" w:cs="宋体"/>
          <w:color w:val="auto"/>
          <w:sz w:val="24"/>
          <w:szCs w:val="24"/>
          <w:lang w:bidi="ar"/>
        </w:rPr>
        <w:t>石油类满足《地表水环境质量标准》（GB3838-2002）中的Ⅲ类标准要求，其余监测因子中除了溶解性总固体、氯化物、硫酸盐、总硬度、钠超标外，其余各监测因子均满足</w:t>
      </w:r>
      <w:r>
        <w:rPr>
          <w:rFonts w:ascii="宋体" w:hAnsi="宋体" w:cs="宋体"/>
          <w:color w:val="auto"/>
          <w:sz w:val="24"/>
          <w:szCs w:val="24"/>
          <w:lang w:bidi="ar"/>
        </w:rPr>
        <w:t>《地下水质量标准》（GB/T14848-</w:t>
      </w:r>
      <w:r>
        <w:rPr>
          <w:rFonts w:hint="eastAsia" w:ascii="宋体" w:hAnsi="宋体" w:cs="宋体"/>
          <w:color w:val="auto"/>
          <w:sz w:val="24"/>
          <w:szCs w:val="24"/>
          <w:lang w:bidi="ar"/>
        </w:rPr>
        <w:t>2017</w:t>
      </w:r>
      <w:r>
        <w:rPr>
          <w:rFonts w:ascii="宋体" w:hAnsi="宋体" w:cs="宋体"/>
          <w:color w:val="auto"/>
          <w:sz w:val="24"/>
          <w:szCs w:val="24"/>
          <w:lang w:bidi="ar"/>
        </w:rPr>
        <w:t>）</w:t>
      </w:r>
      <w:r>
        <w:rPr>
          <w:rFonts w:hint="eastAsia" w:ascii="宋体" w:hAnsi="宋体" w:cs="宋体"/>
          <w:color w:val="auto"/>
          <w:sz w:val="24"/>
          <w:szCs w:val="24"/>
          <w:lang w:bidi="ar"/>
        </w:rPr>
        <w:t>Ⅲ</w:t>
      </w:r>
      <w:r>
        <w:rPr>
          <w:rFonts w:ascii="宋体" w:hAnsi="宋体" w:cs="宋体"/>
          <w:color w:val="auto"/>
          <w:sz w:val="24"/>
          <w:szCs w:val="24"/>
          <w:lang w:bidi="ar"/>
        </w:rPr>
        <w:t>类标准</w:t>
      </w:r>
      <w:r>
        <w:rPr>
          <w:rFonts w:hint="eastAsia" w:ascii="宋体" w:hAnsi="宋体" w:cs="宋体"/>
          <w:color w:val="auto"/>
          <w:sz w:val="24"/>
          <w:szCs w:val="24"/>
          <w:lang w:bidi="ar"/>
        </w:rPr>
        <w:t>，超标原因是天然背景值偏高。</w:t>
      </w:r>
      <w:bookmarkEnd w:id="584"/>
    </w:p>
    <w:p w14:paraId="6115B448">
      <w:pPr>
        <w:adjustRightInd w:val="0"/>
        <w:snapToGrid w:val="0"/>
        <w:spacing w:line="500" w:lineRule="exact"/>
        <w:rPr>
          <w:color w:val="auto"/>
        </w:rPr>
        <w:sectPr>
          <w:footerReference r:id="rId14" w:type="default"/>
          <w:pgSz w:w="11906" w:h="16838"/>
          <w:pgMar w:top="1418" w:right="1588" w:bottom="1418" w:left="1588" w:header="1020" w:footer="1020" w:gutter="0"/>
          <w:cols w:space="720" w:num="1"/>
          <w:docGrid w:type="lines" w:linePitch="312" w:charSpace="0"/>
        </w:sectPr>
      </w:pPr>
    </w:p>
    <w:p w14:paraId="18B209CC">
      <w:pPr>
        <w:adjustRightInd w:val="0"/>
        <w:snapToGrid w:val="0"/>
        <w:spacing w:line="500" w:lineRule="exact"/>
        <w:jc w:val="center"/>
        <w:rPr>
          <w:rStyle w:val="184"/>
          <w:rFonts w:hint="eastAsia"/>
          <w:color w:val="auto"/>
        </w:rPr>
      </w:pPr>
      <w:r>
        <w:rPr>
          <w:rStyle w:val="184"/>
          <w:rFonts w:hint="eastAsia"/>
          <w:color w:val="auto"/>
        </w:rPr>
        <w:t>表</w:t>
      </w:r>
      <w:r>
        <w:rPr>
          <w:rStyle w:val="184"/>
          <w:color w:val="auto"/>
        </w:rPr>
        <w:t>4.3</w:t>
      </w:r>
      <w:r>
        <w:rPr>
          <w:rStyle w:val="184"/>
          <w:rFonts w:hint="eastAsia"/>
          <w:color w:val="auto"/>
        </w:rPr>
        <w:t>-6  地下水现状监测数据一览表    （单位：mg/L，pH无量纲）</w:t>
      </w:r>
    </w:p>
    <w:tbl>
      <w:tblPr>
        <w:tblStyle w:val="4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59"/>
        <w:gridCol w:w="1119"/>
        <w:gridCol w:w="1016"/>
        <w:gridCol w:w="772"/>
        <w:gridCol w:w="783"/>
        <w:gridCol w:w="698"/>
        <w:gridCol w:w="814"/>
        <w:gridCol w:w="803"/>
        <w:gridCol w:w="655"/>
        <w:gridCol w:w="749"/>
        <w:gridCol w:w="802"/>
        <w:gridCol w:w="711"/>
        <w:gridCol w:w="782"/>
        <w:gridCol w:w="802"/>
        <w:gridCol w:w="665"/>
        <w:gridCol w:w="867"/>
        <w:gridCol w:w="952"/>
        <w:gridCol w:w="768"/>
      </w:tblGrid>
      <w:tr w14:paraId="686958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Merge w:val="restart"/>
            <w:vAlign w:val="center"/>
          </w:tcPr>
          <w:p w14:paraId="012E903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序号</w:t>
            </w:r>
          </w:p>
        </w:tc>
        <w:tc>
          <w:tcPr>
            <w:tcW w:w="393" w:type="pct"/>
            <w:vMerge w:val="restart"/>
            <w:vAlign w:val="center"/>
          </w:tcPr>
          <w:p w14:paraId="725F047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监测项目</w:t>
            </w:r>
          </w:p>
        </w:tc>
        <w:tc>
          <w:tcPr>
            <w:tcW w:w="357" w:type="pct"/>
            <w:vMerge w:val="restart"/>
            <w:vAlign w:val="center"/>
          </w:tcPr>
          <w:p w14:paraId="423B207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标准值</w:t>
            </w:r>
          </w:p>
        </w:tc>
        <w:tc>
          <w:tcPr>
            <w:tcW w:w="791" w:type="pct"/>
            <w:gridSpan w:val="3"/>
            <w:vAlign w:val="center"/>
          </w:tcPr>
          <w:p w14:paraId="7158AB4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W1</w:t>
            </w:r>
          </w:p>
        </w:tc>
        <w:tc>
          <w:tcPr>
            <w:tcW w:w="798" w:type="pct"/>
            <w:gridSpan w:val="3"/>
            <w:vAlign w:val="center"/>
          </w:tcPr>
          <w:p w14:paraId="71AF91E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W2</w:t>
            </w:r>
          </w:p>
        </w:tc>
        <w:tc>
          <w:tcPr>
            <w:tcW w:w="795" w:type="pct"/>
            <w:gridSpan w:val="3"/>
            <w:vAlign w:val="center"/>
          </w:tcPr>
          <w:p w14:paraId="777DB70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W3</w:t>
            </w:r>
          </w:p>
        </w:tc>
        <w:tc>
          <w:tcPr>
            <w:tcW w:w="791" w:type="pct"/>
            <w:gridSpan w:val="3"/>
            <w:vAlign w:val="center"/>
          </w:tcPr>
          <w:p w14:paraId="2CE2FBC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W7</w:t>
            </w:r>
          </w:p>
        </w:tc>
        <w:tc>
          <w:tcPr>
            <w:tcW w:w="910" w:type="pct"/>
            <w:gridSpan w:val="3"/>
            <w:vAlign w:val="center"/>
          </w:tcPr>
          <w:p w14:paraId="1AE1EDB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W8</w:t>
            </w:r>
          </w:p>
        </w:tc>
      </w:tr>
      <w:tr w14:paraId="7823CF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Merge w:val="continue"/>
            <w:vAlign w:val="center"/>
          </w:tcPr>
          <w:p w14:paraId="2C864975">
            <w:pPr>
              <w:widowControl/>
              <w:adjustRightInd w:val="0"/>
              <w:snapToGrid w:val="0"/>
              <w:spacing w:line="300" w:lineRule="exact"/>
              <w:jc w:val="center"/>
              <w:rPr>
                <w:rFonts w:hint="eastAsia" w:ascii="宋体" w:hAnsi="宋体" w:cs="宋体"/>
                <w:color w:val="auto"/>
                <w:kern w:val="0"/>
                <w:szCs w:val="21"/>
              </w:rPr>
            </w:pPr>
          </w:p>
        </w:tc>
        <w:tc>
          <w:tcPr>
            <w:tcW w:w="393" w:type="pct"/>
            <w:vMerge w:val="continue"/>
            <w:vAlign w:val="center"/>
          </w:tcPr>
          <w:p w14:paraId="36BCC58D">
            <w:pPr>
              <w:widowControl/>
              <w:adjustRightInd w:val="0"/>
              <w:snapToGrid w:val="0"/>
              <w:spacing w:line="300" w:lineRule="exact"/>
              <w:jc w:val="center"/>
              <w:rPr>
                <w:rFonts w:hint="eastAsia" w:ascii="宋体" w:hAnsi="宋体" w:cs="宋体"/>
                <w:color w:val="auto"/>
                <w:kern w:val="0"/>
                <w:szCs w:val="21"/>
              </w:rPr>
            </w:pPr>
          </w:p>
        </w:tc>
        <w:tc>
          <w:tcPr>
            <w:tcW w:w="357" w:type="pct"/>
            <w:vMerge w:val="continue"/>
            <w:vAlign w:val="center"/>
          </w:tcPr>
          <w:p w14:paraId="02F386F8">
            <w:pPr>
              <w:widowControl/>
              <w:adjustRightInd w:val="0"/>
              <w:snapToGrid w:val="0"/>
              <w:spacing w:line="300" w:lineRule="exact"/>
              <w:jc w:val="center"/>
              <w:rPr>
                <w:rFonts w:hint="eastAsia" w:ascii="宋体" w:hAnsi="宋体" w:cs="宋体"/>
                <w:color w:val="auto"/>
                <w:kern w:val="0"/>
                <w:szCs w:val="21"/>
              </w:rPr>
            </w:pPr>
          </w:p>
        </w:tc>
        <w:tc>
          <w:tcPr>
            <w:tcW w:w="271" w:type="pct"/>
            <w:vAlign w:val="center"/>
          </w:tcPr>
          <w:p w14:paraId="538D9C4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监测值</w:t>
            </w:r>
          </w:p>
        </w:tc>
        <w:tc>
          <w:tcPr>
            <w:tcW w:w="275" w:type="pct"/>
            <w:vAlign w:val="center"/>
          </w:tcPr>
          <w:p w14:paraId="7AB134D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标准指数</w:t>
            </w:r>
          </w:p>
        </w:tc>
        <w:tc>
          <w:tcPr>
            <w:tcW w:w="245" w:type="pct"/>
            <w:vAlign w:val="center"/>
          </w:tcPr>
          <w:p w14:paraId="7B46412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达标情况</w:t>
            </w:r>
          </w:p>
        </w:tc>
        <w:tc>
          <w:tcPr>
            <w:tcW w:w="286" w:type="pct"/>
            <w:vAlign w:val="center"/>
          </w:tcPr>
          <w:p w14:paraId="513D5B0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监测值</w:t>
            </w:r>
          </w:p>
        </w:tc>
        <w:tc>
          <w:tcPr>
            <w:tcW w:w="282" w:type="pct"/>
            <w:vAlign w:val="center"/>
          </w:tcPr>
          <w:p w14:paraId="39DA768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标准指数</w:t>
            </w:r>
          </w:p>
        </w:tc>
        <w:tc>
          <w:tcPr>
            <w:tcW w:w="229" w:type="pct"/>
            <w:vAlign w:val="center"/>
          </w:tcPr>
          <w:p w14:paraId="0D03235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达标情况</w:t>
            </w:r>
          </w:p>
        </w:tc>
        <w:tc>
          <w:tcPr>
            <w:tcW w:w="263" w:type="pct"/>
            <w:vAlign w:val="center"/>
          </w:tcPr>
          <w:p w14:paraId="4C6EAC5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监测值</w:t>
            </w:r>
          </w:p>
        </w:tc>
        <w:tc>
          <w:tcPr>
            <w:tcW w:w="282" w:type="pct"/>
            <w:vAlign w:val="center"/>
          </w:tcPr>
          <w:p w14:paraId="4CD5B41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标准指数</w:t>
            </w:r>
          </w:p>
        </w:tc>
        <w:tc>
          <w:tcPr>
            <w:tcW w:w="248" w:type="pct"/>
            <w:vAlign w:val="center"/>
          </w:tcPr>
          <w:p w14:paraId="3D6A71D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达标情况</w:t>
            </w:r>
          </w:p>
        </w:tc>
        <w:tc>
          <w:tcPr>
            <w:tcW w:w="275" w:type="pct"/>
            <w:vAlign w:val="center"/>
          </w:tcPr>
          <w:p w14:paraId="379EAB7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监测值</w:t>
            </w:r>
          </w:p>
        </w:tc>
        <w:tc>
          <w:tcPr>
            <w:tcW w:w="282" w:type="pct"/>
            <w:vAlign w:val="center"/>
          </w:tcPr>
          <w:p w14:paraId="5D23A91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标准指数</w:t>
            </w:r>
          </w:p>
        </w:tc>
        <w:tc>
          <w:tcPr>
            <w:tcW w:w="233" w:type="pct"/>
            <w:vAlign w:val="center"/>
          </w:tcPr>
          <w:p w14:paraId="3C1B13E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达标情况</w:t>
            </w:r>
          </w:p>
        </w:tc>
        <w:tc>
          <w:tcPr>
            <w:tcW w:w="305" w:type="pct"/>
            <w:vAlign w:val="center"/>
          </w:tcPr>
          <w:p w14:paraId="75D6528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监测值</w:t>
            </w:r>
          </w:p>
        </w:tc>
        <w:tc>
          <w:tcPr>
            <w:tcW w:w="335" w:type="pct"/>
            <w:vAlign w:val="center"/>
          </w:tcPr>
          <w:p w14:paraId="3A28592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标准指数</w:t>
            </w:r>
          </w:p>
        </w:tc>
        <w:tc>
          <w:tcPr>
            <w:tcW w:w="270" w:type="pct"/>
            <w:vAlign w:val="center"/>
          </w:tcPr>
          <w:p w14:paraId="38F05CC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达标情况</w:t>
            </w:r>
          </w:p>
        </w:tc>
      </w:tr>
      <w:tr w14:paraId="6965B3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10D1BFD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w:t>
            </w:r>
          </w:p>
        </w:tc>
        <w:tc>
          <w:tcPr>
            <w:tcW w:w="393" w:type="pct"/>
            <w:vAlign w:val="center"/>
          </w:tcPr>
          <w:p w14:paraId="59BA220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pH值</w:t>
            </w:r>
          </w:p>
        </w:tc>
        <w:tc>
          <w:tcPr>
            <w:tcW w:w="357" w:type="pct"/>
            <w:vAlign w:val="center"/>
          </w:tcPr>
          <w:p w14:paraId="54B84ED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6.5-8.5</w:t>
            </w:r>
          </w:p>
        </w:tc>
        <w:tc>
          <w:tcPr>
            <w:tcW w:w="271" w:type="pct"/>
            <w:vAlign w:val="center"/>
          </w:tcPr>
          <w:p w14:paraId="3DB5885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7.86</w:t>
            </w:r>
          </w:p>
        </w:tc>
        <w:tc>
          <w:tcPr>
            <w:tcW w:w="275" w:type="pct"/>
            <w:vAlign w:val="center"/>
          </w:tcPr>
          <w:p w14:paraId="783B48B7">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0.57</w:t>
            </w:r>
          </w:p>
        </w:tc>
        <w:tc>
          <w:tcPr>
            <w:tcW w:w="245" w:type="pct"/>
            <w:vAlign w:val="center"/>
          </w:tcPr>
          <w:p w14:paraId="156184A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592AAAF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8.23</w:t>
            </w:r>
          </w:p>
        </w:tc>
        <w:tc>
          <w:tcPr>
            <w:tcW w:w="282" w:type="pct"/>
            <w:vAlign w:val="center"/>
          </w:tcPr>
          <w:p w14:paraId="54EED88B">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0.82</w:t>
            </w:r>
          </w:p>
        </w:tc>
        <w:tc>
          <w:tcPr>
            <w:tcW w:w="229" w:type="pct"/>
            <w:vAlign w:val="center"/>
          </w:tcPr>
          <w:p w14:paraId="69F6398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260961C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8.32</w:t>
            </w:r>
          </w:p>
        </w:tc>
        <w:tc>
          <w:tcPr>
            <w:tcW w:w="282" w:type="pct"/>
            <w:vAlign w:val="center"/>
          </w:tcPr>
          <w:p w14:paraId="50FA0868">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0.88</w:t>
            </w:r>
          </w:p>
        </w:tc>
        <w:tc>
          <w:tcPr>
            <w:tcW w:w="248" w:type="pct"/>
            <w:vAlign w:val="center"/>
          </w:tcPr>
          <w:p w14:paraId="23215F3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524D935F">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6.9</w:t>
            </w:r>
          </w:p>
        </w:tc>
        <w:tc>
          <w:tcPr>
            <w:tcW w:w="282" w:type="pct"/>
            <w:vAlign w:val="center"/>
          </w:tcPr>
          <w:p w14:paraId="051B82AD">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0.2</w:t>
            </w:r>
          </w:p>
        </w:tc>
        <w:tc>
          <w:tcPr>
            <w:tcW w:w="233" w:type="pct"/>
            <w:vAlign w:val="center"/>
          </w:tcPr>
          <w:p w14:paraId="0B70CE3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305" w:type="pct"/>
            <w:vAlign w:val="center"/>
          </w:tcPr>
          <w:p w14:paraId="01A2C8C7">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6.7</w:t>
            </w:r>
          </w:p>
        </w:tc>
        <w:tc>
          <w:tcPr>
            <w:tcW w:w="335" w:type="pct"/>
            <w:vAlign w:val="center"/>
          </w:tcPr>
          <w:p w14:paraId="5CFD3CC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0.6</w:t>
            </w:r>
          </w:p>
        </w:tc>
        <w:tc>
          <w:tcPr>
            <w:tcW w:w="270" w:type="pct"/>
            <w:vAlign w:val="center"/>
          </w:tcPr>
          <w:p w14:paraId="7A10965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10949B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7D967D5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w:t>
            </w:r>
          </w:p>
        </w:tc>
        <w:tc>
          <w:tcPr>
            <w:tcW w:w="393" w:type="pct"/>
            <w:vAlign w:val="center"/>
          </w:tcPr>
          <w:p w14:paraId="11543A5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水温/℃</w:t>
            </w:r>
          </w:p>
        </w:tc>
        <w:tc>
          <w:tcPr>
            <w:tcW w:w="357" w:type="pct"/>
            <w:vAlign w:val="center"/>
          </w:tcPr>
          <w:p w14:paraId="674F08A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1" w:type="pct"/>
            <w:vAlign w:val="center"/>
          </w:tcPr>
          <w:p w14:paraId="5E0AC6F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14.6</w:t>
            </w:r>
          </w:p>
        </w:tc>
        <w:tc>
          <w:tcPr>
            <w:tcW w:w="275" w:type="pct"/>
            <w:vAlign w:val="center"/>
          </w:tcPr>
          <w:p w14:paraId="5E805164">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7BBF4AB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86" w:type="pct"/>
            <w:vAlign w:val="center"/>
          </w:tcPr>
          <w:p w14:paraId="74A2ED3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13.9</w:t>
            </w:r>
          </w:p>
        </w:tc>
        <w:tc>
          <w:tcPr>
            <w:tcW w:w="282" w:type="pct"/>
            <w:vAlign w:val="center"/>
          </w:tcPr>
          <w:p w14:paraId="2973CFAB">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5AF2A7D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63" w:type="pct"/>
            <w:vAlign w:val="center"/>
          </w:tcPr>
          <w:p w14:paraId="2A1EB3D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14.1</w:t>
            </w:r>
          </w:p>
        </w:tc>
        <w:tc>
          <w:tcPr>
            <w:tcW w:w="282" w:type="pct"/>
            <w:vAlign w:val="center"/>
          </w:tcPr>
          <w:p w14:paraId="76E5D774">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6A877E9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5" w:type="pct"/>
            <w:vAlign w:val="center"/>
          </w:tcPr>
          <w:p w14:paraId="6B114871">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6.2</w:t>
            </w:r>
          </w:p>
        </w:tc>
        <w:tc>
          <w:tcPr>
            <w:tcW w:w="282" w:type="pct"/>
            <w:vAlign w:val="center"/>
          </w:tcPr>
          <w:p w14:paraId="1114F71D">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w:t>
            </w:r>
          </w:p>
        </w:tc>
        <w:tc>
          <w:tcPr>
            <w:tcW w:w="233" w:type="pct"/>
            <w:vAlign w:val="center"/>
          </w:tcPr>
          <w:p w14:paraId="6C58C1EA">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w:t>
            </w:r>
          </w:p>
        </w:tc>
        <w:tc>
          <w:tcPr>
            <w:tcW w:w="305" w:type="pct"/>
            <w:vAlign w:val="center"/>
          </w:tcPr>
          <w:p w14:paraId="2414188F">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6.3</w:t>
            </w:r>
          </w:p>
        </w:tc>
        <w:tc>
          <w:tcPr>
            <w:tcW w:w="335" w:type="pct"/>
            <w:vAlign w:val="center"/>
          </w:tcPr>
          <w:p w14:paraId="31FEE4D1">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w:t>
            </w:r>
          </w:p>
        </w:tc>
        <w:tc>
          <w:tcPr>
            <w:tcW w:w="270" w:type="pct"/>
            <w:vAlign w:val="center"/>
          </w:tcPr>
          <w:p w14:paraId="1A9CE89D">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w:t>
            </w:r>
          </w:p>
        </w:tc>
      </w:tr>
      <w:tr w14:paraId="0F0D13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302B418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3</w:t>
            </w:r>
          </w:p>
        </w:tc>
        <w:tc>
          <w:tcPr>
            <w:tcW w:w="393" w:type="pct"/>
            <w:vAlign w:val="center"/>
          </w:tcPr>
          <w:p w14:paraId="067E8BC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溶解性总固体</w:t>
            </w:r>
          </w:p>
        </w:tc>
        <w:tc>
          <w:tcPr>
            <w:tcW w:w="357" w:type="pct"/>
            <w:vAlign w:val="center"/>
          </w:tcPr>
          <w:p w14:paraId="3FC504B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≤1000</w:t>
            </w:r>
          </w:p>
        </w:tc>
        <w:tc>
          <w:tcPr>
            <w:tcW w:w="271" w:type="pct"/>
            <w:vAlign w:val="center"/>
          </w:tcPr>
          <w:p w14:paraId="0451EB5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1704</w:t>
            </w:r>
          </w:p>
        </w:tc>
        <w:tc>
          <w:tcPr>
            <w:tcW w:w="275" w:type="pct"/>
            <w:vAlign w:val="center"/>
          </w:tcPr>
          <w:p w14:paraId="55BF52A8">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1.704</w:t>
            </w:r>
          </w:p>
        </w:tc>
        <w:tc>
          <w:tcPr>
            <w:tcW w:w="245" w:type="pct"/>
            <w:vAlign w:val="center"/>
          </w:tcPr>
          <w:p w14:paraId="27D2EB3F">
            <w:pPr>
              <w:widowControl/>
              <w:adjustRightInd w:val="0"/>
              <w:snapToGrid w:val="0"/>
              <w:spacing w:line="300" w:lineRule="exact"/>
              <w:jc w:val="center"/>
              <w:rPr>
                <w:rFonts w:hint="eastAsia" w:ascii="宋体" w:hAnsi="宋体" w:cs="宋体"/>
                <w:b/>
                <w:bCs/>
                <w:color w:val="auto"/>
                <w:kern w:val="0"/>
                <w:szCs w:val="21"/>
              </w:rPr>
            </w:pPr>
            <w:r>
              <w:rPr>
                <w:rFonts w:hint="eastAsia" w:ascii="宋体" w:hAnsi="宋体" w:cs="宋体"/>
                <w:b/>
                <w:bCs/>
                <w:color w:val="auto"/>
                <w:kern w:val="0"/>
                <w:szCs w:val="21"/>
              </w:rPr>
              <w:t>超标</w:t>
            </w:r>
          </w:p>
        </w:tc>
        <w:tc>
          <w:tcPr>
            <w:tcW w:w="286" w:type="pct"/>
            <w:vAlign w:val="center"/>
          </w:tcPr>
          <w:p w14:paraId="61979F2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1500</w:t>
            </w:r>
          </w:p>
        </w:tc>
        <w:tc>
          <w:tcPr>
            <w:tcW w:w="282" w:type="pct"/>
            <w:vAlign w:val="center"/>
          </w:tcPr>
          <w:p w14:paraId="10C1C87B">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1.5</w:t>
            </w:r>
          </w:p>
        </w:tc>
        <w:tc>
          <w:tcPr>
            <w:tcW w:w="229" w:type="pct"/>
            <w:vAlign w:val="center"/>
          </w:tcPr>
          <w:p w14:paraId="7534CF5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b/>
                <w:bCs/>
                <w:color w:val="auto"/>
                <w:kern w:val="0"/>
                <w:szCs w:val="21"/>
              </w:rPr>
              <w:t>超标</w:t>
            </w:r>
          </w:p>
        </w:tc>
        <w:tc>
          <w:tcPr>
            <w:tcW w:w="263" w:type="pct"/>
            <w:vAlign w:val="center"/>
          </w:tcPr>
          <w:p w14:paraId="0602AFA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399</w:t>
            </w:r>
          </w:p>
        </w:tc>
        <w:tc>
          <w:tcPr>
            <w:tcW w:w="282" w:type="pct"/>
            <w:vAlign w:val="center"/>
          </w:tcPr>
          <w:p w14:paraId="3019169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0.399</w:t>
            </w:r>
          </w:p>
        </w:tc>
        <w:tc>
          <w:tcPr>
            <w:tcW w:w="248" w:type="pct"/>
            <w:vAlign w:val="center"/>
          </w:tcPr>
          <w:p w14:paraId="4D84B44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77044F85">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4930</w:t>
            </w:r>
          </w:p>
        </w:tc>
        <w:tc>
          <w:tcPr>
            <w:tcW w:w="282" w:type="pct"/>
            <w:vAlign w:val="center"/>
          </w:tcPr>
          <w:p w14:paraId="7B6B91B5">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4.93</w:t>
            </w:r>
          </w:p>
        </w:tc>
        <w:tc>
          <w:tcPr>
            <w:tcW w:w="233" w:type="pct"/>
            <w:vAlign w:val="center"/>
          </w:tcPr>
          <w:p w14:paraId="68C1B846">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b/>
                <w:bCs/>
                <w:color w:val="auto"/>
                <w:kern w:val="0"/>
                <w:szCs w:val="21"/>
              </w:rPr>
              <w:t>超标</w:t>
            </w:r>
          </w:p>
        </w:tc>
        <w:tc>
          <w:tcPr>
            <w:tcW w:w="305" w:type="pct"/>
            <w:vAlign w:val="center"/>
          </w:tcPr>
          <w:p w14:paraId="6AC74871">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2740</w:t>
            </w:r>
          </w:p>
        </w:tc>
        <w:tc>
          <w:tcPr>
            <w:tcW w:w="335" w:type="pct"/>
            <w:vAlign w:val="center"/>
          </w:tcPr>
          <w:p w14:paraId="7A331048">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2.74</w:t>
            </w:r>
          </w:p>
        </w:tc>
        <w:tc>
          <w:tcPr>
            <w:tcW w:w="270" w:type="pct"/>
            <w:vAlign w:val="center"/>
          </w:tcPr>
          <w:p w14:paraId="14049677">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b/>
                <w:bCs/>
                <w:color w:val="auto"/>
                <w:kern w:val="0"/>
                <w:szCs w:val="21"/>
              </w:rPr>
              <w:t>超标</w:t>
            </w:r>
          </w:p>
        </w:tc>
      </w:tr>
      <w:tr w14:paraId="2673FB0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03C108A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w:t>
            </w:r>
          </w:p>
        </w:tc>
        <w:tc>
          <w:tcPr>
            <w:tcW w:w="393" w:type="pct"/>
            <w:vAlign w:val="center"/>
          </w:tcPr>
          <w:p w14:paraId="1F763EB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耗氧量</w:t>
            </w:r>
          </w:p>
        </w:tc>
        <w:tc>
          <w:tcPr>
            <w:tcW w:w="357" w:type="pct"/>
            <w:vAlign w:val="center"/>
          </w:tcPr>
          <w:p w14:paraId="1651E8D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≤3</w:t>
            </w:r>
          </w:p>
        </w:tc>
        <w:tc>
          <w:tcPr>
            <w:tcW w:w="271" w:type="pct"/>
            <w:vAlign w:val="center"/>
          </w:tcPr>
          <w:p w14:paraId="5F5DAC6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1.15</w:t>
            </w:r>
          </w:p>
        </w:tc>
        <w:tc>
          <w:tcPr>
            <w:tcW w:w="275" w:type="pct"/>
            <w:vAlign w:val="center"/>
          </w:tcPr>
          <w:p w14:paraId="27AC161B">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0.38</w:t>
            </w:r>
          </w:p>
        </w:tc>
        <w:tc>
          <w:tcPr>
            <w:tcW w:w="245" w:type="pct"/>
            <w:vAlign w:val="center"/>
          </w:tcPr>
          <w:p w14:paraId="0FD8DB1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0D5A77B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1.23</w:t>
            </w:r>
          </w:p>
        </w:tc>
        <w:tc>
          <w:tcPr>
            <w:tcW w:w="282" w:type="pct"/>
            <w:vAlign w:val="center"/>
          </w:tcPr>
          <w:p w14:paraId="62AFB0AC">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0.41</w:t>
            </w:r>
          </w:p>
        </w:tc>
        <w:tc>
          <w:tcPr>
            <w:tcW w:w="229" w:type="pct"/>
            <w:vAlign w:val="center"/>
          </w:tcPr>
          <w:p w14:paraId="0919A6B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381E0B2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1.10</w:t>
            </w:r>
          </w:p>
        </w:tc>
        <w:tc>
          <w:tcPr>
            <w:tcW w:w="282" w:type="pct"/>
            <w:vAlign w:val="center"/>
          </w:tcPr>
          <w:p w14:paraId="739ED25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0.37</w:t>
            </w:r>
          </w:p>
        </w:tc>
        <w:tc>
          <w:tcPr>
            <w:tcW w:w="248" w:type="pct"/>
            <w:vAlign w:val="center"/>
          </w:tcPr>
          <w:p w14:paraId="2EF891D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110012DE">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1.2</w:t>
            </w:r>
          </w:p>
        </w:tc>
        <w:tc>
          <w:tcPr>
            <w:tcW w:w="282" w:type="pct"/>
            <w:vAlign w:val="center"/>
          </w:tcPr>
          <w:p w14:paraId="4AE08ABE">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0.4</w:t>
            </w:r>
          </w:p>
        </w:tc>
        <w:tc>
          <w:tcPr>
            <w:tcW w:w="233" w:type="pct"/>
            <w:vAlign w:val="center"/>
          </w:tcPr>
          <w:p w14:paraId="2337686D">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达标</w:t>
            </w:r>
          </w:p>
        </w:tc>
        <w:tc>
          <w:tcPr>
            <w:tcW w:w="305" w:type="pct"/>
            <w:vAlign w:val="center"/>
          </w:tcPr>
          <w:p w14:paraId="1FADE96D">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1.2</w:t>
            </w:r>
          </w:p>
        </w:tc>
        <w:tc>
          <w:tcPr>
            <w:tcW w:w="335" w:type="pct"/>
            <w:vAlign w:val="center"/>
          </w:tcPr>
          <w:p w14:paraId="6DE0CD8A">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0.4</w:t>
            </w:r>
          </w:p>
        </w:tc>
        <w:tc>
          <w:tcPr>
            <w:tcW w:w="270" w:type="pct"/>
            <w:vAlign w:val="center"/>
          </w:tcPr>
          <w:p w14:paraId="643A2A41">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达标</w:t>
            </w:r>
          </w:p>
        </w:tc>
      </w:tr>
      <w:tr w14:paraId="2FDEB6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4A71CEE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5</w:t>
            </w:r>
          </w:p>
        </w:tc>
        <w:tc>
          <w:tcPr>
            <w:tcW w:w="393" w:type="pct"/>
            <w:vAlign w:val="center"/>
          </w:tcPr>
          <w:p w14:paraId="0B1A3BF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氨氮</w:t>
            </w:r>
          </w:p>
        </w:tc>
        <w:tc>
          <w:tcPr>
            <w:tcW w:w="357" w:type="pct"/>
            <w:vAlign w:val="center"/>
          </w:tcPr>
          <w:p w14:paraId="087B75B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≤0.5</w:t>
            </w:r>
          </w:p>
        </w:tc>
        <w:tc>
          <w:tcPr>
            <w:tcW w:w="271" w:type="pct"/>
            <w:vAlign w:val="center"/>
          </w:tcPr>
          <w:p w14:paraId="035F67B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0.18</w:t>
            </w:r>
          </w:p>
        </w:tc>
        <w:tc>
          <w:tcPr>
            <w:tcW w:w="275" w:type="pct"/>
            <w:vAlign w:val="center"/>
          </w:tcPr>
          <w:p w14:paraId="7E1A8B7A">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0.36</w:t>
            </w:r>
          </w:p>
        </w:tc>
        <w:tc>
          <w:tcPr>
            <w:tcW w:w="245" w:type="pct"/>
            <w:vAlign w:val="center"/>
          </w:tcPr>
          <w:p w14:paraId="5B65C9C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6AFA6D8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0.168</w:t>
            </w:r>
          </w:p>
        </w:tc>
        <w:tc>
          <w:tcPr>
            <w:tcW w:w="282" w:type="pct"/>
            <w:vAlign w:val="center"/>
          </w:tcPr>
          <w:p w14:paraId="24496BAD">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0.336</w:t>
            </w:r>
          </w:p>
        </w:tc>
        <w:tc>
          <w:tcPr>
            <w:tcW w:w="229" w:type="pct"/>
            <w:vAlign w:val="center"/>
          </w:tcPr>
          <w:p w14:paraId="2FB4A13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3F98AA5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0.114</w:t>
            </w:r>
          </w:p>
        </w:tc>
        <w:tc>
          <w:tcPr>
            <w:tcW w:w="282" w:type="pct"/>
            <w:vAlign w:val="center"/>
          </w:tcPr>
          <w:p w14:paraId="5ECCC29F">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0.038</w:t>
            </w:r>
          </w:p>
        </w:tc>
        <w:tc>
          <w:tcPr>
            <w:tcW w:w="248" w:type="pct"/>
            <w:vAlign w:val="center"/>
          </w:tcPr>
          <w:p w14:paraId="70532BD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41C6E93F">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0.102</w:t>
            </w:r>
          </w:p>
        </w:tc>
        <w:tc>
          <w:tcPr>
            <w:tcW w:w="282" w:type="pct"/>
            <w:vAlign w:val="center"/>
          </w:tcPr>
          <w:p w14:paraId="06EEEAA2">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0.204</w:t>
            </w:r>
          </w:p>
        </w:tc>
        <w:tc>
          <w:tcPr>
            <w:tcW w:w="233" w:type="pct"/>
            <w:vAlign w:val="center"/>
          </w:tcPr>
          <w:p w14:paraId="16AC0D0A">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达标</w:t>
            </w:r>
          </w:p>
        </w:tc>
        <w:tc>
          <w:tcPr>
            <w:tcW w:w="305" w:type="pct"/>
            <w:vAlign w:val="center"/>
          </w:tcPr>
          <w:p w14:paraId="617CF759">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0.095</w:t>
            </w:r>
          </w:p>
        </w:tc>
        <w:tc>
          <w:tcPr>
            <w:tcW w:w="335" w:type="pct"/>
            <w:vAlign w:val="center"/>
          </w:tcPr>
          <w:p w14:paraId="1229EC73">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0.19</w:t>
            </w:r>
          </w:p>
        </w:tc>
        <w:tc>
          <w:tcPr>
            <w:tcW w:w="270" w:type="pct"/>
            <w:vAlign w:val="center"/>
          </w:tcPr>
          <w:p w14:paraId="6D60A675">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达标</w:t>
            </w:r>
          </w:p>
        </w:tc>
      </w:tr>
      <w:tr w14:paraId="786BA2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0E0E870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6</w:t>
            </w:r>
          </w:p>
        </w:tc>
        <w:tc>
          <w:tcPr>
            <w:tcW w:w="393" w:type="pct"/>
            <w:vAlign w:val="center"/>
          </w:tcPr>
          <w:p w14:paraId="5E600EA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氟化物</w:t>
            </w:r>
          </w:p>
        </w:tc>
        <w:tc>
          <w:tcPr>
            <w:tcW w:w="357" w:type="pct"/>
            <w:vAlign w:val="center"/>
          </w:tcPr>
          <w:p w14:paraId="261E41E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w:t>
            </w:r>
          </w:p>
        </w:tc>
        <w:tc>
          <w:tcPr>
            <w:tcW w:w="271" w:type="pct"/>
            <w:vAlign w:val="center"/>
          </w:tcPr>
          <w:p w14:paraId="71D4229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0.84</w:t>
            </w:r>
          </w:p>
        </w:tc>
        <w:tc>
          <w:tcPr>
            <w:tcW w:w="275" w:type="pct"/>
            <w:vAlign w:val="center"/>
          </w:tcPr>
          <w:p w14:paraId="723F3671">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0.84</w:t>
            </w:r>
          </w:p>
        </w:tc>
        <w:tc>
          <w:tcPr>
            <w:tcW w:w="245" w:type="pct"/>
            <w:vAlign w:val="center"/>
          </w:tcPr>
          <w:p w14:paraId="7E18938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0FE13D8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0.72</w:t>
            </w:r>
          </w:p>
        </w:tc>
        <w:tc>
          <w:tcPr>
            <w:tcW w:w="282" w:type="pct"/>
            <w:vAlign w:val="center"/>
          </w:tcPr>
          <w:p w14:paraId="4F0110AB">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0.72</w:t>
            </w:r>
          </w:p>
        </w:tc>
        <w:tc>
          <w:tcPr>
            <w:tcW w:w="229" w:type="pct"/>
            <w:vAlign w:val="center"/>
          </w:tcPr>
          <w:p w14:paraId="76E960A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722E2CD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0.76</w:t>
            </w:r>
          </w:p>
        </w:tc>
        <w:tc>
          <w:tcPr>
            <w:tcW w:w="282" w:type="pct"/>
            <w:vAlign w:val="center"/>
          </w:tcPr>
          <w:p w14:paraId="707B91F7">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0.76</w:t>
            </w:r>
          </w:p>
        </w:tc>
        <w:tc>
          <w:tcPr>
            <w:tcW w:w="248" w:type="pct"/>
            <w:vAlign w:val="center"/>
          </w:tcPr>
          <w:p w14:paraId="4F9BAAC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21F3DD2E">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2.95</w:t>
            </w:r>
          </w:p>
        </w:tc>
        <w:tc>
          <w:tcPr>
            <w:tcW w:w="282" w:type="pct"/>
            <w:vAlign w:val="center"/>
          </w:tcPr>
          <w:p w14:paraId="2378E05D">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2.95</w:t>
            </w:r>
          </w:p>
        </w:tc>
        <w:tc>
          <w:tcPr>
            <w:tcW w:w="233" w:type="pct"/>
            <w:vAlign w:val="center"/>
          </w:tcPr>
          <w:p w14:paraId="6F442188">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b/>
                <w:bCs/>
                <w:color w:val="auto"/>
                <w:kern w:val="0"/>
                <w:szCs w:val="21"/>
              </w:rPr>
              <w:t>超标</w:t>
            </w:r>
          </w:p>
        </w:tc>
        <w:tc>
          <w:tcPr>
            <w:tcW w:w="305" w:type="pct"/>
            <w:vAlign w:val="center"/>
          </w:tcPr>
          <w:p w14:paraId="23C73EC4">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2.96</w:t>
            </w:r>
          </w:p>
        </w:tc>
        <w:tc>
          <w:tcPr>
            <w:tcW w:w="335" w:type="pct"/>
            <w:vAlign w:val="center"/>
          </w:tcPr>
          <w:p w14:paraId="2DBFAF75">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2.96</w:t>
            </w:r>
          </w:p>
        </w:tc>
        <w:tc>
          <w:tcPr>
            <w:tcW w:w="270" w:type="pct"/>
            <w:vAlign w:val="center"/>
          </w:tcPr>
          <w:p w14:paraId="2DBAF592">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b/>
                <w:bCs/>
                <w:color w:val="auto"/>
                <w:kern w:val="0"/>
                <w:szCs w:val="21"/>
              </w:rPr>
              <w:t>超标</w:t>
            </w:r>
          </w:p>
        </w:tc>
      </w:tr>
      <w:tr w14:paraId="2117E2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543C64A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7</w:t>
            </w:r>
          </w:p>
        </w:tc>
        <w:tc>
          <w:tcPr>
            <w:tcW w:w="393" w:type="pct"/>
            <w:vAlign w:val="center"/>
          </w:tcPr>
          <w:p w14:paraId="2BEDB6E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氯化物</w:t>
            </w:r>
          </w:p>
        </w:tc>
        <w:tc>
          <w:tcPr>
            <w:tcW w:w="357" w:type="pct"/>
            <w:vAlign w:val="center"/>
          </w:tcPr>
          <w:p w14:paraId="598F89A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≤250</w:t>
            </w:r>
          </w:p>
        </w:tc>
        <w:tc>
          <w:tcPr>
            <w:tcW w:w="271" w:type="pct"/>
            <w:vAlign w:val="center"/>
          </w:tcPr>
          <w:p w14:paraId="72A0803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596</w:t>
            </w:r>
          </w:p>
        </w:tc>
        <w:tc>
          <w:tcPr>
            <w:tcW w:w="275" w:type="pct"/>
            <w:vAlign w:val="center"/>
          </w:tcPr>
          <w:p w14:paraId="1262BE4E">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2.384</w:t>
            </w:r>
          </w:p>
        </w:tc>
        <w:tc>
          <w:tcPr>
            <w:tcW w:w="245" w:type="pct"/>
            <w:vAlign w:val="center"/>
          </w:tcPr>
          <w:p w14:paraId="712B7C6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b/>
                <w:bCs/>
                <w:color w:val="auto"/>
                <w:kern w:val="0"/>
                <w:szCs w:val="21"/>
              </w:rPr>
              <w:t>超标</w:t>
            </w:r>
          </w:p>
        </w:tc>
        <w:tc>
          <w:tcPr>
            <w:tcW w:w="286" w:type="pct"/>
            <w:vAlign w:val="center"/>
          </w:tcPr>
          <w:p w14:paraId="2C50022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471</w:t>
            </w:r>
          </w:p>
        </w:tc>
        <w:tc>
          <w:tcPr>
            <w:tcW w:w="282" w:type="pct"/>
            <w:vAlign w:val="center"/>
          </w:tcPr>
          <w:p w14:paraId="146FC63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1.884</w:t>
            </w:r>
          </w:p>
        </w:tc>
        <w:tc>
          <w:tcPr>
            <w:tcW w:w="229" w:type="pct"/>
            <w:vAlign w:val="center"/>
          </w:tcPr>
          <w:p w14:paraId="1F143EB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b/>
                <w:bCs/>
                <w:color w:val="auto"/>
                <w:kern w:val="0"/>
                <w:szCs w:val="21"/>
              </w:rPr>
              <w:t>超标</w:t>
            </w:r>
          </w:p>
        </w:tc>
        <w:tc>
          <w:tcPr>
            <w:tcW w:w="263" w:type="pct"/>
            <w:vAlign w:val="center"/>
          </w:tcPr>
          <w:p w14:paraId="66B5D8C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452</w:t>
            </w:r>
          </w:p>
        </w:tc>
        <w:tc>
          <w:tcPr>
            <w:tcW w:w="282" w:type="pct"/>
            <w:vAlign w:val="center"/>
          </w:tcPr>
          <w:p w14:paraId="694B1BC5">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1.808</w:t>
            </w:r>
          </w:p>
        </w:tc>
        <w:tc>
          <w:tcPr>
            <w:tcW w:w="248" w:type="pct"/>
            <w:vAlign w:val="center"/>
          </w:tcPr>
          <w:p w14:paraId="0175329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b/>
                <w:bCs/>
                <w:color w:val="auto"/>
                <w:kern w:val="0"/>
                <w:szCs w:val="21"/>
              </w:rPr>
              <w:t>超标</w:t>
            </w:r>
          </w:p>
        </w:tc>
        <w:tc>
          <w:tcPr>
            <w:tcW w:w="275" w:type="pct"/>
            <w:vAlign w:val="center"/>
          </w:tcPr>
          <w:p w14:paraId="08231637">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1490</w:t>
            </w:r>
          </w:p>
        </w:tc>
        <w:tc>
          <w:tcPr>
            <w:tcW w:w="282" w:type="pct"/>
            <w:vAlign w:val="center"/>
          </w:tcPr>
          <w:p w14:paraId="4517EE69">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5.96</w:t>
            </w:r>
          </w:p>
        </w:tc>
        <w:tc>
          <w:tcPr>
            <w:tcW w:w="233" w:type="pct"/>
            <w:vAlign w:val="center"/>
          </w:tcPr>
          <w:p w14:paraId="4221FA7D">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b/>
                <w:bCs/>
                <w:color w:val="auto"/>
                <w:kern w:val="0"/>
                <w:szCs w:val="21"/>
              </w:rPr>
              <w:t>超标</w:t>
            </w:r>
          </w:p>
        </w:tc>
        <w:tc>
          <w:tcPr>
            <w:tcW w:w="305" w:type="pct"/>
            <w:vAlign w:val="center"/>
          </w:tcPr>
          <w:p w14:paraId="2C936261">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866</w:t>
            </w:r>
          </w:p>
        </w:tc>
        <w:tc>
          <w:tcPr>
            <w:tcW w:w="335" w:type="pct"/>
            <w:vAlign w:val="center"/>
          </w:tcPr>
          <w:p w14:paraId="2D31FC54">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3.464</w:t>
            </w:r>
          </w:p>
        </w:tc>
        <w:tc>
          <w:tcPr>
            <w:tcW w:w="270" w:type="pct"/>
            <w:vAlign w:val="center"/>
          </w:tcPr>
          <w:p w14:paraId="71A9FB3A">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b/>
                <w:bCs/>
                <w:color w:val="auto"/>
                <w:kern w:val="0"/>
                <w:szCs w:val="21"/>
              </w:rPr>
              <w:t>超标</w:t>
            </w:r>
          </w:p>
        </w:tc>
      </w:tr>
      <w:tr w14:paraId="6D1629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2C5FAB0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8</w:t>
            </w:r>
          </w:p>
        </w:tc>
        <w:tc>
          <w:tcPr>
            <w:tcW w:w="393" w:type="pct"/>
            <w:vAlign w:val="center"/>
          </w:tcPr>
          <w:p w14:paraId="6D316E3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硝酸盐氮</w:t>
            </w:r>
          </w:p>
        </w:tc>
        <w:tc>
          <w:tcPr>
            <w:tcW w:w="357" w:type="pct"/>
            <w:vAlign w:val="center"/>
          </w:tcPr>
          <w:p w14:paraId="1C5DBD5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≤20</w:t>
            </w:r>
          </w:p>
        </w:tc>
        <w:tc>
          <w:tcPr>
            <w:tcW w:w="271" w:type="pct"/>
            <w:vAlign w:val="center"/>
          </w:tcPr>
          <w:p w14:paraId="5335CDE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7.17</w:t>
            </w:r>
          </w:p>
        </w:tc>
        <w:tc>
          <w:tcPr>
            <w:tcW w:w="275" w:type="pct"/>
            <w:vAlign w:val="center"/>
          </w:tcPr>
          <w:p w14:paraId="522A120E">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0.386</w:t>
            </w:r>
          </w:p>
        </w:tc>
        <w:tc>
          <w:tcPr>
            <w:tcW w:w="245" w:type="pct"/>
            <w:vAlign w:val="center"/>
          </w:tcPr>
          <w:p w14:paraId="330380D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2871DB0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6.71</w:t>
            </w:r>
          </w:p>
        </w:tc>
        <w:tc>
          <w:tcPr>
            <w:tcW w:w="282" w:type="pct"/>
            <w:vAlign w:val="center"/>
          </w:tcPr>
          <w:p w14:paraId="32ED1E45">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0.336</w:t>
            </w:r>
          </w:p>
        </w:tc>
        <w:tc>
          <w:tcPr>
            <w:tcW w:w="229" w:type="pct"/>
            <w:vAlign w:val="center"/>
          </w:tcPr>
          <w:p w14:paraId="4DAF1EC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523C666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1.46</w:t>
            </w:r>
          </w:p>
        </w:tc>
        <w:tc>
          <w:tcPr>
            <w:tcW w:w="282" w:type="pct"/>
            <w:vAlign w:val="center"/>
          </w:tcPr>
          <w:p w14:paraId="72303F8C">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0.073</w:t>
            </w:r>
          </w:p>
        </w:tc>
        <w:tc>
          <w:tcPr>
            <w:tcW w:w="248" w:type="pct"/>
            <w:vAlign w:val="center"/>
          </w:tcPr>
          <w:p w14:paraId="4002D36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4775AFEC">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282" w:type="pct"/>
            <w:vAlign w:val="center"/>
          </w:tcPr>
          <w:p w14:paraId="08EADAD6">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233" w:type="pct"/>
            <w:vAlign w:val="center"/>
          </w:tcPr>
          <w:p w14:paraId="34D9FF0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305" w:type="pct"/>
            <w:vAlign w:val="center"/>
          </w:tcPr>
          <w:p w14:paraId="2A18E391">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335" w:type="pct"/>
            <w:vAlign w:val="center"/>
          </w:tcPr>
          <w:p w14:paraId="17DF047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61BB64C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2A7F083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064E221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9</w:t>
            </w:r>
          </w:p>
        </w:tc>
        <w:tc>
          <w:tcPr>
            <w:tcW w:w="393" w:type="pct"/>
            <w:vAlign w:val="center"/>
          </w:tcPr>
          <w:p w14:paraId="7E7FBCE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硫酸盐</w:t>
            </w:r>
          </w:p>
        </w:tc>
        <w:tc>
          <w:tcPr>
            <w:tcW w:w="357" w:type="pct"/>
            <w:vAlign w:val="center"/>
          </w:tcPr>
          <w:p w14:paraId="057FBCB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≤250</w:t>
            </w:r>
          </w:p>
        </w:tc>
        <w:tc>
          <w:tcPr>
            <w:tcW w:w="271" w:type="pct"/>
            <w:vAlign w:val="center"/>
          </w:tcPr>
          <w:p w14:paraId="1078AD8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531</w:t>
            </w:r>
          </w:p>
        </w:tc>
        <w:tc>
          <w:tcPr>
            <w:tcW w:w="275" w:type="pct"/>
            <w:vAlign w:val="center"/>
          </w:tcPr>
          <w:p w14:paraId="00A6BC9D">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2.124</w:t>
            </w:r>
          </w:p>
        </w:tc>
        <w:tc>
          <w:tcPr>
            <w:tcW w:w="245" w:type="pct"/>
            <w:vAlign w:val="center"/>
          </w:tcPr>
          <w:p w14:paraId="179E83F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b/>
                <w:bCs/>
                <w:color w:val="auto"/>
                <w:kern w:val="0"/>
                <w:szCs w:val="21"/>
              </w:rPr>
              <w:t>超标</w:t>
            </w:r>
          </w:p>
        </w:tc>
        <w:tc>
          <w:tcPr>
            <w:tcW w:w="286" w:type="pct"/>
            <w:vAlign w:val="center"/>
          </w:tcPr>
          <w:p w14:paraId="373965A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596</w:t>
            </w:r>
          </w:p>
        </w:tc>
        <w:tc>
          <w:tcPr>
            <w:tcW w:w="282" w:type="pct"/>
            <w:vAlign w:val="center"/>
          </w:tcPr>
          <w:p w14:paraId="2FFDDBF3">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2.384</w:t>
            </w:r>
          </w:p>
        </w:tc>
        <w:tc>
          <w:tcPr>
            <w:tcW w:w="229" w:type="pct"/>
            <w:vAlign w:val="center"/>
          </w:tcPr>
          <w:p w14:paraId="38EBC97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b/>
                <w:bCs/>
                <w:color w:val="auto"/>
                <w:kern w:val="0"/>
                <w:szCs w:val="21"/>
              </w:rPr>
              <w:t>超标</w:t>
            </w:r>
          </w:p>
        </w:tc>
        <w:tc>
          <w:tcPr>
            <w:tcW w:w="263" w:type="pct"/>
            <w:vAlign w:val="center"/>
          </w:tcPr>
          <w:p w14:paraId="489C284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123</w:t>
            </w:r>
          </w:p>
        </w:tc>
        <w:tc>
          <w:tcPr>
            <w:tcW w:w="282" w:type="pct"/>
            <w:vAlign w:val="center"/>
          </w:tcPr>
          <w:p w14:paraId="29C1198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0.492</w:t>
            </w:r>
          </w:p>
        </w:tc>
        <w:tc>
          <w:tcPr>
            <w:tcW w:w="248" w:type="pct"/>
            <w:vAlign w:val="center"/>
          </w:tcPr>
          <w:p w14:paraId="6FFD610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66803596">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1460</w:t>
            </w:r>
          </w:p>
        </w:tc>
        <w:tc>
          <w:tcPr>
            <w:tcW w:w="282" w:type="pct"/>
            <w:vAlign w:val="center"/>
          </w:tcPr>
          <w:p w14:paraId="5F94B8FF">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5.84</w:t>
            </w:r>
          </w:p>
        </w:tc>
        <w:tc>
          <w:tcPr>
            <w:tcW w:w="233" w:type="pct"/>
            <w:vAlign w:val="center"/>
          </w:tcPr>
          <w:p w14:paraId="6789F1F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b/>
                <w:bCs/>
                <w:color w:val="auto"/>
                <w:kern w:val="0"/>
                <w:szCs w:val="21"/>
              </w:rPr>
              <w:t>超标</w:t>
            </w:r>
          </w:p>
        </w:tc>
        <w:tc>
          <w:tcPr>
            <w:tcW w:w="305" w:type="pct"/>
            <w:vAlign w:val="center"/>
          </w:tcPr>
          <w:p w14:paraId="32157192">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656</w:t>
            </w:r>
          </w:p>
        </w:tc>
        <w:tc>
          <w:tcPr>
            <w:tcW w:w="335" w:type="pct"/>
            <w:vAlign w:val="center"/>
          </w:tcPr>
          <w:p w14:paraId="7BB2AEC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2.624</w:t>
            </w:r>
          </w:p>
        </w:tc>
        <w:tc>
          <w:tcPr>
            <w:tcW w:w="270" w:type="pct"/>
            <w:vAlign w:val="center"/>
          </w:tcPr>
          <w:p w14:paraId="10E7DFB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b/>
                <w:bCs/>
                <w:color w:val="auto"/>
                <w:kern w:val="0"/>
                <w:szCs w:val="21"/>
              </w:rPr>
              <w:t>超标</w:t>
            </w:r>
          </w:p>
        </w:tc>
      </w:tr>
      <w:tr w14:paraId="752E4B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666BD6F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10</w:t>
            </w:r>
          </w:p>
        </w:tc>
        <w:tc>
          <w:tcPr>
            <w:tcW w:w="393" w:type="pct"/>
            <w:vAlign w:val="center"/>
          </w:tcPr>
          <w:p w14:paraId="522199AA">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亚硝酸盐氮</w:t>
            </w:r>
          </w:p>
        </w:tc>
        <w:tc>
          <w:tcPr>
            <w:tcW w:w="357" w:type="pct"/>
            <w:vAlign w:val="center"/>
          </w:tcPr>
          <w:p w14:paraId="6E10FED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w:t>
            </w:r>
          </w:p>
        </w:tc>
        <w:tc>
          <w:tcPr>
            <w:tcW w:w="271" w:type="pct"/>
            <w:vAlign w:val="center"/>
          </w:tcPr>
          <w:p w14:paraId="1D0DC0D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0.058</w:t>
            </w:r>
          </w:p>
        </w:tc>
        <w:tc>
          <w:tcPr>
            <w:tcW w:w="275" w:type="pct"/>
            <w:vAlign w:val="center"/>
          </w:tcPr>
          <w:p w14:paraId="33ABFB9B">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0.058</w:t>
            </w:r>
          </w:p>
        </w:tc>
        <w:tc>
          <w:tcPr>
            <w:tcW w:w="245" w:type="pct"/>
            <w:vAlign w:val="center"/>
          </w:tcPr>
          <w:p w14:paraId="67E03AAE">
            <w:pPr>
              <w:widowControl/>
              <w:adjustRightInd w:val="0"/>
              <w:snapToGrid w:val="0"/>
              <w:spacing w:line="300" w:lineRule="exact"/>
              <w:jc w:val="center"/>
              <w:rPr>
                <w:rFonts w:hint="eastAsia" w:ascii="宋体" w:hAnsi="宋体" w:cs="宋体"/>
                <w:b/>
                <w:bCs/>
                <w:color w:val="auto"/>
                <w:kern w:val="0"/>
                <w:szCs w:val="21"/>
              </w:rPr>
            </w:pPr>
            <w:r>
              <w:rPr>
                <w:rFonts w:hint="eastAsia" w:ascii="宋体" w:hAnsi="宋体" w:cs="宋体"/>
                <w:color w:val="auto"/>
                <w:kern w:val="0"/>
                <w:szCs w:val="21"/>
              </w:rPr>
              <w:t>达标</w:t>
            </w:r>
          </w:p>
        </w:tc>
        <w:tc>
          <w:tcPr>
            <w:tcW w:w="286" w:type="pct"/>
            <w:vAlign w:val="center"/>
          </w:tcPr>
          <w:p w14:paraId="2038091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0.041</w:t>
            </w:r>
          </w:p>
        </w:tc>
        <w:tc>
          <w:tcPr>
            <w:tcW w:w="282" w:type="pct"/>
            <w:vAlign w:val="center"/>
          </w:tcPr>
          <w:p w14:paraId="20C19611">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0.041</w:t>
            </w:r>
          </w:p>
        </w:tc>
        <w:tc>
          <w:tcPr>
            <w:tcW w:w="229" w:type="pct"/>
            <w:vAlign w:val="center"/>
          </w:tcPr>
          <w:p w14:paraId="3DA6D46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44305A0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0DFA7EC3">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5DDDA58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1B231537">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0.008</w:t>
            </w:r>
          </w:p>
        </w:tc>
        <w:tc>
          <w:tcPr>
            <w:tcW w:w="282" w:type="pct"/>
            <w:vAlign w:val="center"/>
          </w:tcPr>
          <w:p w14:paraId="2BF1A02B">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0.008</w:t>
            </w:r>
          </w:p>
        </w:tc>
        <w:tc>
          <w:tcPr>
            <w:tcW w:w="233" w:type="pct"/>
            <w:vAlign w:val="center"/>
          </w:tcPr>
          <w:p w14:paraId="6F9A6C8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305" w:type="pct"/>
            <w:vAlign w:val="center"/>
          </w:tcPr>
          <w:p w14:paraId="12419DBB">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0.007</w:t>
            </w:r>
          </w:p>
        </w:tc>
        <w:tc>
          <w:tcPr>
            <w:tcW w:w="335" w:type="pct"/>
            <w:vAlign w:val="center"/>
          </w:tcPr>
          <w:p w14:paraId="7A4CD4F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szCs w:val="21"/>
              </w:rPr>
              <w:t>0.007</w:t>
            </w:r>
          </w:p>
        </w:tc>
        <w:tc>
          <w:tcPr>
            <w:tcW w:w="270" w:type="pct"/>
            <w:vAlign w:val="center"/>
          </w:tcPr>
          <w:p w14:paraId="7093E7B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38EDB1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0C0D81C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11</w:t>
            </w:r>
          </w:p>
        </w:tc>
        <w:tc>
          <w:tcPr>
            <w:tcW w:w="393" w:type="pct"/>
            <w:vAlign w:val="center"/>
          </w:tcPr>
          <w:p w14:paraId="7D379CA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挥发酚类</w:t>
            </w:r>
          </w:p>
        </w:tc>
        <w:tc>
          <w:tcPr>
            <w:tcW w:w="357" w:type="pct"/>
            <w:vAlign w:val="center"/>
          </w:tcPr>
          <w:p w14:paraId="5981C72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≤0.002</w:t>
            </w:r>
          </w:p>
        </w:tc>
        <w:tc>
          <w:tcPr>
            <w:tcW w:w="271" w:type="pct"/>
            <w:vAlign w:val="center"/>
          </w:tcPr>
          <w:p w14:paraId="62C2E3C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0.0010</w:t>
            </w:r>
          </w:p>
        </w:tc>
        <w:tc>
          <w:tcPr>
            <w:tcW w:w="275" w:type="pct"/>
            <w:vAlign w:val="center"/>
          </w:tcPr>
          <w:p w14:paraId="69A97913">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0.5</w:t>
            </w:r>
          </w:p>
        </w:tc>
        <w:tc>
          <w:tcPr>
            <w:tcW w:w="245" w:type="pct"/>
            <w:vAlign w:val="center"/>
          </w:tcPr>
          <w:p w14:paraId="2596ACB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206BAD2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0.0006</w:t>
            </w:r>
          </w:p>
        </w:tc>
        <w:tc>
          <w:tcPr>
            <w:tcW w:w="282" w:type="pct"/>
            <w:vAlign w:val="center"/>
          </w:tcPr>
          <w:p w14:paraId="5DDED3D6">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0.3</w:t>
            </w:r>
          </w:p>
        </w:tc>
        <w:tc>
          <w:tcPr>
            <w:tcW w:w="229" w:type="pct"/>
            <w:vAlign w:val="center"/>
          </w:tcPr>
          <w:p w14:paraId="48719FB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4A08392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0.0010</w:t>
            </w:r>
          </w:p>
        </w:tc>
        <w:tc>
          <w:tcPr>
            <w:tcW w:w="282" w:type="pct"/>
            <w:vAlign w:val="center"/>
          </w:tcPr>
          <w:p w14:paraId="388607BB">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0.5</w:t>
            </w:r>
          </w:p>
        </w:tc>
        <w:tc>
          <w:tcPr>
            <w:tcW w:w="248" w:type="pct"/>
            <w:vAlign w:val="center"/>
          </w:tcPr>
          <w:p w14:paraId="08E3540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141A26EB">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282" w:type="pct"/>
            <w:vAlign w:val="center"/>
          </w:tcPr>
          <w:p w14:paraId="4A53D193">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233" w:type="pct"/>
            <w:vAlign w:val="center"/>
          </w:tcPr>
          <w:p w14:paraId="0C9BC3D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305" w:type="pct"/>
            <w:vAlign w:val="center"/>
          </w:tcPr>
          <w:p w14:paraId="4EB4642C">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335" w:type="pct"/>
            <w:vAlign w:val="center"/>
          </w:tcPr>
          <w:p w14:paraId="7973C2C0">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690326A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0ECFC2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11AFF84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12</w:t>
            </w:r>
          </w:p>
        </w:tc>
        <w:tc>
          <w:tcPr>
            <w:tcW w:w="393" w:type="pct"/>
            <w:vAlign w:val="center"/>
          </w:tcPr>
          <w:p w14:paraId="26D4A0B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六价铬</w:t>
            </w:r>
          </w:p>
        </w:tc>
        <w:tc>
          <w:tcPr>
            <w:tcW w:w="357" w:type="pct"/>
            <w:vAlign w:val="center"/>
          </w:tcPr>
          <w:p w14:paraId="4626A66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≤0.05</w:t>
            </w:r>
          </w:p>
        </w:tc>
        <w:tc>
          <w:tcPr>
            <w:tcW w:w="271" w:type="pct"/>
            <w:vAlign w:val="center"/>
          </w:tcPr>
          <w:p w14:paraId="53C9DAE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75" w:type="pct"/>
            <w:vAlign w:val="center"/>
          </w:tcPr>
          <w:p w14:paraId="01DF15C7">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6653289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1F48222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2D5272EE">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4F0FE29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2F7565D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45CFF963">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569F2B7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33539900">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282" w:type="pct"/>
            <w:vAlign w:val="center"/>
          </w:tcPr>
          <w:p w14:paraId="292158E3">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233" w:type="pct"/>
            <w:vAlign w:val="center"/>
          </w:tcPr>
          <w:p w14:paraId="7F5BC5A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305" w:type="pct"/>
            <w:vAlign w:val="center"/>
          </w:tcPr>
          <w:p w14:paraId="7EBB1CB7">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335" w:type="pct"/>
            <w:vAlign w:val="center"/>
          </w:tcPr>
          <w:p w14:paraId="6B499263">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0081CE3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08340E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5361E7B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13</w:t>
            </w:r>
          </w:p>
        </w:tc>
        <w:tc>
          <w:tcPr>
            <w:tcW w:w="393" w:type="pct"/>
            <w:vAlign w:val="center"/>
          </w:tcPr>
          <w:p w14:paraId="6E04792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氰化物</w:t>
            </w:r>
          </w:p>
        </w:tc>
        <w:tc>
          <w:tcPr>
            <w:tcW w:w="357" w:type="pct"/>
            <w:vAlign w:val="center"/>
          </w:tcPr>
          <w:p w14:paraId="3CA942A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≤0.05</w:t>
            </w:r>
          </w:p>
        </w:tc>
        <w:tc>
          <w:tcPr>
            <w:tcW w:w="271" w:type="pct"/>
            <w:vAlign w:val="center"/>
          </w:tcPr>
          <w:p w14:paraId="446E1CC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75" w:type="pct"/>
            <w:vAlign w:val="center"/>
          </w:tcPr>
          <w:p w14:paraId="4F53465A">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48BEC3C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5969CEB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4B2CDE8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1361F84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307D77D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586BE6C5">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3E81081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771FD269">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282" w:type="pct"/>
            <w:vAlign w:val="center"/>
          </w:tcPr>
          <w:p w14:paraId="1AD7FC9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233" w:type="pct"/>
            <w:vAlign w:val="center"/>
          </w:tcPr>
          <w:p w14:paraId="6B02A6E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305" w:type="pct"/>
            <w:vAlign w:val="center"/>
          </w:tcPr>
          <w:p w14:paraId="5FC957D6">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335" w:type="pct"/>
            <w:vAlign w:val="center"/>
          </w:tcPr>
          <w:p w14:paraId="4A3B92DF">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6A7E3E9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3C4903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502DA5C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14</w:t>
            </w:r>
          </w:p>
        </w:tc>
        <w:tc>
          <w:tcPr>
            <w:tcW w:w="393" w:type="pct"/>
            <w:vAlign w:val="center"/>
          </w:tcPr>
          <w:p w14:paraId="023D19DD">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总大肠菌群（MPN/100mL）</w:t>
            </w:r>
          </w:p>
        </w:tc>
        <w:tc>
          <w:tcPr>
            <w:tcW w:w="357" w:type="pct"/>
            <w:vAlign w:val="center"/>
          </w:tcPr>
          <w:p w14:paraId="7D15D59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≤3.0</w:t>
            </w:r>
          </w:p>
        </w:tc>
        <w:tc>
          <w:tcPr>
            <w:tcW w:w="271" w:type="pct"/>
            <w:vAlign w:val="center"/>
          </w:tcPr>
          <w:p w14:paraId="49B0562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w:t>
            </w:r>
          </w:p>
        </w:tc>
        <w:tc>
          <w:tcPr>
            <w:tcW w:w="275" w:type="pct"/>
            <w:vAlign w:val="center"/>
          </w:tcPr>
          <w:p w14:paraId="0CE51106">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0.67</w:t>
            </w:r>
          </w:p>
        </w:tc>
        <w:tc>
          <w:tcPr>
            <w:tcW w:w="245" w:type="pct"/>
            <w:vAlign w:val="center"/>
          </w:tcPr>
          <w:p w14:paraId="4ACACF4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617E7DD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4CAE2035">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4F16643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290ED54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39194CC7">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1AA3406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03EAFF59">
            <w:pPr>
              <w:widowControl/>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ND</w:t>
            </w:r>
          </w:p>
        </w:tc>
        <w:tc>
          <w:tcPr>
            <w:tcW w:w="282" w:type="pct"/>
            <w:vAlign w:val="center"/>
          </w:tcPr>
          <w:p w14:paraId="6952AED4">
            <w:pPr>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w:t>
            </w:r>
          </w:p>
        </w:tc>
        <w:tc>
          <w:tcPr>
            <w:tcW w:w="233" w:type="pct"/>
            <w:vAlign w:val="center"/>
          </w:tcPr>
          <w:p w14:paraId="2409EF6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305" w:type="pct"/>
            <w:vAlign w:val="center"/>
          </w:tcPr>
          <w:p w14:paraId="2C313973">
            <w:pPr>
              <w:widowControl/>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ND</w:t>
            </w:r>
          </w:p>
        </w:tc>
        <w:tc>
          <w:tcPr>
            <w:tcW w:w="335" w:type="pct"/>
            <w:vAlign w:val="center"/>
          </w:tcPr>
          <w:p w14:paraId="7775C91D">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7CB163A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1B7D12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580F1C7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15</w:t>
            </w:r>
          </w:p>
        </w:tc>
        <w:tc>
          <w:tcPr>
            <w:tcW w:w="393" w:type="pct"/>
            <w:vAlign w:val="center"/>
          </w:tcPr>
          <w:p w14:paraId="56C32BF6">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总硬度</w:t>
            </w:r>
          </w:p>
        </w:tc>
        <w:tc>
          <w:tcPr>
            <w:tcW w:w="357" w:type="pct"/>
            <w:vAlign w:val="center"/>
          </w:tcPr>
          <w:p w14:paraId="187A617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≤450</w:t>
            </w:r>
          </w:p>
        </w:tc>
        <w:tc>
          <w:tcPr>
            <w:tcW w:w="271" w:type="pct"/>
            <w:vAlign w:val="center"/>
          </w:tcPr>
          <w:p w14:paraId="29F92D8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119</w:t>
            </w:r>
          </w:p>
        </w:tc>
        <w:tc>
          <w:tcPr>
            <w:tcW w:w="275" w:type="pct"/>
            <w:vAlign w:val="center"/>
          </w:tcPr>
          <w:p w14:paraId="57546916">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0.26</w:t>
            </w:r>
          </w:p>
        </w:tc>
        <w:tc>
          <w:tcPr>
            <w:tcW w:w="245" w:type="pct"/>
            <w:vAlign w:val="center"/>
          </w:tcPr>
          <w:p w14:paraId="5C50510D">
            <w:pPr>
              <w:widowControl/>
              <w:adjustRightInd w:val="0"/>
              <w:snapToGrid w:val="0"/>
              <w:spacing w:line="300" w:lineRule="exact"/>
              <w:jc w:val="center"/>
              <w:rPr>
                <w:rFonts w:hint="eastAsia" w:ascii="宋体" w:hAnsi="宋体" w:cs="宋体"/>
                <w:b/>
                <w:bCs/>
                <w:color w:val="auto"/>
                <w:kern w:val="0"/>
                <w:szCs w:val="21"/>
              </w:rPr>
            </w:pPr>
            <w:r>
              <w:rPr>
                <w:rFonts w:hint="eastAsia" w:ascii="宋体" w:hAnsi="宋体" w:cs="宋体"/>
                <w:color w:val="auto"/>
                <w:kern w:val="0"/>
                <w:szCs w:val="21"/>
              </w:rPr>
              <w:t>达标</w:t>
            </w:r>
          </w:p>
        </w:tc>
        <w:tc>
          <w:tcPr>
            <w:tcW w:w="286" w:type="pct"/>
            <w:vAlign w:val="center"/>
          </w:tcPr>
          <w:p w14:paraId="1042345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61.5</w:t>
            </w:r>
          </w:p>
        </w:tc>
        <w:tc>
          <w:tcPr>
            <w:tcW w:w="282" w:type="pct"/>
            <w:vAlign w:val="center"/>
          </w:tcPr>
          <w:p w14:paraId="56DDE40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0.14</w:t>
            </w:r>
          </w:p>
        </w:tc>
        <w:tc>
          <w:tcPr>
            <w:tcW w:w="229" w:type="pct"/>
            <w:vAlign w:val="center"/>
          </w:tcPr>
          <w:p w14:paraId="19821A9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2F42ED3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33.6</w:t>
            </w:r>
          </w:p>
        </w:tc>
        <w:tc>
          <w:tcPr>
            <w:tcW w:w="282" w:type="pct"/>
            <w:vAlign w:val="center"/>
          </w:tcPr>
          <w:p w14:paraId="3593596E">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0.075</w:t>
            </w:r>
          </w:p>
        </w:tc>
        <w:tc>
          <w:tcPr>
            <w:tcW w:w="248" w:type="pct"/>
            <w:vAlign w:val="center"/>
          </w:tcPr>
          <w:p w14:paraId="70DAB3D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11331C80">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color w:val="auto"/>
                <w:szCs w:val="21"/>
              </w:rPr>
              <w:t>1210</w:t>
            </w:r>
          </w:p>
        </w:tc>
        <w:tc>
          <w:tcPr>
            <w:tcW w:w="282" w:type="pct"/>
            <w:vAlign w:val="center"/>
          </w:tcPr>
          <w:p w14:paraId="70D90DAC">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bCs/>
                <w:color w:val="auto"/>
                <w:szCs w:val="21"/>
              </w:rPr>
              <w:t>2.68</w:t>
            </w:r>
          </w:p>
        </w:tc>
        <w:tc>
          <w:tcPr>
            <w:tcW w:w="233" w:type="pct"/>
            <w:vAlign w:val="center"/>
          </w:tcPr>
          <w:p w14:paraId="51EE820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b/>
                <w:bCs/>
                <w:color w:val="auto"/>
                <w:kern w:val="0"/>
                <w:szCs w:val="21"/>
              </w:rPr>
              <w:t>超标</w:t>
            </w:r>
          </w:p>
        </w:tc>
        <w:tc>
          <w:tcPr>
            <w:tcW w:w="305" w:type="pct"/>
            <w:vAlign w:val="center"/>
          </w:tcPr>
          <w:p w14:paraId="45FE70C0">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color w:val="auto"/>
                <w:szCs w:val="21"/>
              </w:rPr>
              <w:t>1210</w:t>
            </w:r>
          </w:p>
        </w:tc>
        <w:tc>
          <w:tcPr>
            <w:tcW w:w="335" w:type="pct"/>
            <w:vAlign w:val="center"/>
          </w:tcPr>
          <w:p w14:paraId="4D38506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bCs/>
                <w:color w:val="auto"/>
                <w:szCs w:val="21"/>
              </w:rPr>
              <w:t>2.68</w:t>
            </w:r>
          </w:p>
        </w:tc>
        <w:tc>
          <w:tcPr>
            <w:tcW w:w="270" w:type="pct"/>
            <w:vAlign w:val="center"/>
          </w:tcPr>
          <w:p w14:paraId="0471C41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b/>
                <w:bCs/>
                <w:color w:val="auto"/>
                <w:kern w:val="0"/>
                <w:szCs w:val="21"/>
              </w:rPr>
              <w:t>超标</w:t>
            </w:r>
          </w:p>
        </w:tc>
      </w:tr>
      <w:tr w14:paraId="6007D3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14" w:hRule="atLeast"/>
          <w:jc w:val="center"/>
        </w:trPr>
        <w:tc>
          <w:tcPr>
            <w:tcW w:w="161" w:type="pct"/>
            <w:vAlign w:val="center"/>
          </w:tcPr>
          <w:p w14:paraId="283133C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16</w:t>
            </w:r>
          </w:p>
        </w:tc>
        <w:tc>
          <w:tcPr>
            <w:tcW w:w="393" w:type="pct"/>
            <w:vAlign w:val="center"/>
          </w:tcPr>
          <w:p w14:paraId="029C4B0A">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铁</w:t>
            </w:r>
          </w:p>
        </w:tc>
        <w:tc>
          <w:tcPr>
            <w:tcW w:w="357" w:type="pct"/>
            <w:vAlign w:val="center"/>
          </w:tcPr>
          <w:p w14:paraId="40F767C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≤0.3</w:t>
            </w:r>
          </w:p>
        </w:tc>
        <w:tc>
          <w:tcPr>
            <w:tcW w:w="271" w:type="pct"/>
            <w:vAlign w:val="center"/>
          </w:tcPr>
          <w:p w14:paraId="6E54BFB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0.14</w:t>
            </w:r>
          </w:p>
        </w:tc>
        <w:tc>
          <w:tcPr>
            <w:tcW w:w="275" w:type="pct"/>
            <w:vAlign w:val="center"/>
          </w:tcPr>
          <w:p w14:paraId="444AD2F3">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0.47</w:t>
            </w:r>
          </w:p>
        </w:tc>
        <w:tc>
          <w:tcPr>
            <w:tcW w:w="245" w:type="pct"/>
            <w:vAlign w:val="center"/>
          </w:tcPr>
          <w:p w14:paraId="058B929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56845EC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0.18</w:t>
            </w:r>
          </w:p>
        </w:tc>
        <w:tc>
          <w:tcPr>
            <w:tcW w:w="282" w:type="pct"/>
            <w:vAlign w:val="center"/>
          </w:tcPr>
          <w:p w14:paraId="2F3619DF">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0.6</w:t>
            </w:r>
          </w:p>
        </w:tc>
        <w:tc>
          <w:tcPr>
            <w:tcW w:w="229" w:type="pct"/>
            <w:vAlign w:val="center"/>
          </w:tcPr>
          <w:p w14:paraId="498B3E5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7DE3E15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0.10</w:t>
            </w:r>
          </w:p>
        </w:tc>
        <w:tc>
          <w:tcPr>
            <w:tcW w:w="282" w:type="pct"/>
            <w:vAlign w:val="center"/>
          </w:tcPr>
          <w:p w14:paraId="2A483D2B">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0.33</w:t>
            </w:r>
          </w:p>
        </w:tc>
        <w:tc>
          <w:tcPr>
            <w:tcW w:w="248" w:type="pct"/>
            <w:vAlign w:val="center"/>
          </w:tcPr>
          <w:p w14:paraId="305F529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53F05EFE">
            <w:pPr>
              <w:widowControl/>
              <w:adjustRightInd w:val="0"/>
              <w:snapToGrid w:val="0"/>
              <w:spacing w:line="300" w:lineRule="exact"/>
              <w:jc w:val="center"/>
              <w:rPr>
                <w:rFonts w:hint="eastAsia" w:ascii="宋体" w:hAnsi="宋体" w:cs="宋体"/>
                <w:bCs/>
                <w:color w:val="auto"/>
                <w:kern w:val="0"/>
                <w:szCs w:val="21"/>
              </w:rPr>
            </w:pPr>
            <w:r>
              <w:rPr>
                <w:rFonts w:hint="eastAsia" w:ascii="宋体" w:hAnsi="宋体" w:cs="宋体"/>
                <w:color w:val="auto"/>
                <w:kern w:val="0"/>
                <w:szCs w:val="21"/>
              </w:rPr>
              <w:t>ND</w:t>
            </w:r>
          </w:p>
        </w:tc>
        <w:tc>
          <w:tcPr>
            <w:tcW w:w="282" w:type="pct"/>
            <w:vAlign w:val="center"/>
          </w:tcPr>
          <w:p w14:paraId="477924F1">
            <w:pPr>
              <w:adjustRightInd w:val="0"/>
              <w:snapToGrid w:val="0"/>
              <w:spacing w:line="300" w:lineRule="exact"/>
              <w:jc w:val="center"/>
              <w:rPr>
                <w:rFonts w:hint="eastAsia" w:ascii="宋体" w:hAnsi="宋体" w:cs="宋体"/>
                <w:bCs/>
                <w:color w:val="auto"/>
                <w:kern w:val="0"/>
                <w:szCs w:val="21"/>
              </w:rPr>
            </w:pPr>
            <w:r>
              <w:rPr>
                <w:rFonts w:hint="eastAsia" w:ascii="宋体" w:hAnsi="宋体" w:cs="宋体"/>
                <w:color w:val="auto"/>
                <w:kern w:val="0"/>
                <w:szCs w:val="21"/>
              </w:rPr>
              <w:t>/</w:t>
            </w:r>
          </w:p>
        </w:tc>
        <w:tc>
          <w:tcPr>
            <w:tcW w:w="233" w:type="pct"/>
            <w:vAlign w:val="center"/>
          </w:tcPr>
          <w:p w14:paraId="0D8B164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305" w:type="pct"/>
            <w:vAlign w:val="center"/>
          </w:tcPr>
          <w:p w14:paraId="2BE19A40">
            <w:pPr>
              <w:widowControl/>
              <w:adjustRightInd w:val="0"/>
              <w:snapToGrid w:val="0"/>
              <w:spacing w:line="300" w:lineRule="exact"/>
              <w:jc w:val="center"/>
              <w:rPr>
                <w:rFonts w:hint="eastAsia" w:ascii="宋体" w:hAnsi="宋体" w:cs="宋体"/>
                <w:bCs/>
                <w:color w:val="auto"/>
                <w:kern w:val="0"/>
                <w:szCs w:val="21"/>
              </w:rPr>
            </w:pPr>
            <w:r>
              <w:rPr>
                <w:rFonts w:hint="eastAsia" w:ascii="宋体" w:hAnsi="宋体" w:cs="宋体"/>
                <w:color w:val="auto"/>
                <w:kern w:val="0"/>
                <w:szCs w:val="21"/>
              </w:rPr>
              <w:t>ND</w:t>
            </w:r>
          </w:p>
        </w:tc>
        <w:tc>
          <w:tcPr>
            <w:tcW w:w="335" w:type="pct"/>
            <w:vAlign w:val="center"/>
          </w:tcPr>
          <w:p w14:paraId="08E74C8A">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2C7001F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558E8D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2756D60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17</w:t>
            </w:r>
          </w:p>
        </w:tc>
        <w:tc>
          <w:tcPr>
            <w:tcW w:w="393" w:type="pct"/>
            <w:vAlign w:val="center"/>
          </w:tcPr>
          <w:p w14:paraId="495D3B68">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锰</w:t>
            </w:r>
          </w:p>
        </w:tc>
        <w:tc>
          <w:tcPr>
            <w:tcW w:w="357" w:type="pct"/>
            <w:vAlign w:val="center"/>
          </w:tcPr>
          <w:p w14:paraId="18BCEA7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≤0.1</w:t>
            </w:r>
          </w:p>
        </w:tc>
        <w:tc>
          <w:tcPr>
            <w:tcW w:w="271" w:type="pct"/>
            <w:vAlign w:val="center"/>
          </w:tcPr>
          <w:p w14:paraId="227B770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0.01</w:t>
            </w:r>
          </w:p>
        </w:tc>
        <w:tc>
          <w:tcPr>
            <w:tcW w:w="275" w:type="pct"/>
            <w:vAlign w:val="center"/>
          </w:tcPr>
          <w:p w14:paraId="7591156F">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0.1</w:t>
            </w:r>
          </w:p>
        </w:tc>
        <w:tc>
          <w:tcPr>
            <w:tcW w:w="245" w:type="pct"/>
            <w:vAlign w:val="center"/>
          </w:tcPr>
          <w:p w14:paraId="59F04CB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72BCF3F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0.02</w:t>
            </w:r>
          </w:p>
        </w:tc>
        <w:tc>
          <w:tcPr>
            <w:tcW w:w="282" w:type="pct"/>
            <w:vAlign w:val="center"/>
          </w:tcPr>
          <w:p w14:paraId="55E7DD2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0.2</w:t>
            </w:r>
          </w:p>
        </w:tc>
        <w:tc>
          <w:tcPr>
            <w:tcW w:w="229" w:type="pct"/>
            <w:vAlign w:val="center"/>
          </w:tcPr>
          <w:p w14:paraId="3B1C621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4AEC9B7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0.03</w:t>
            </w:r>
          </w:p>
        </w:tc>
        <w:tc>
          <w:tcPr>
            <w:tcW w:w="282" w:type="pct"/>
            <w:vAlign w:val="center"/>
          </w:tcPr>
          <w:p w14:paraId="721444FE">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0.3</w:t>
            </w:r>
          </w:p>
        </w:tc>
        <w:tc>
          <w:tcPr>
            <w:tcW w:w="248" w:type="pct"/>
            <w:vAlign w:val="center"/>
          </w:tcPr>
          <w:p w14:paraId="0EA7C9A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55EFA511">
            <w:pPr>
              <w:widowControl/>
              <w:adjustRightInd w:val="0"/>
              <w:snapToGrid w:val="0"/>
              <w:spacing w:line="300" w:lineRule="exact"/>
              <w:jc w:val="center"/>
              <w:textAlignment w:val="center"/>
              <w:rPr>
                <w:rFonts w:hint="eastAsia" w:ascii="宋体" w:hAnsi="宋体" w:cs="宋体"/>
                <w:bCs/>
                <w:color w:val="auto"/>
                <w:kern w:val="0"/>
                <w:szCs w:val="21"/>
              </w:rPr>
            </w:pPr>
            <w:r>
              <w:rPr>
                <w:rFonts w:hint="eastAsia" w:ascii="宋体" w:hAnsi="宋体" w:cs="宋体"/>
                <w:bCs/>
                <w:color w:val="auto"/>
                <w:kern w:val="0"/>
                <w:szCs w:val="21"/>
              </w:rPr>
              <w:t>0.0082</w:t>
            </w:r>
          </w:p>
        </w:tc>
        <w:tc>
          <w:tcPr>
            <w:tcW w:w="282" w:type="pct"/>
            <w:vAlign w:val="center"/>
          </w:tcPr>
          <w:p w14:paraId="659C6D1E">
            <w:pPr>
              <w:widowControl/>
              <w:adjustRightInd w:val="0"/>
              <w:snapToGrid w:val="0"/>
              <w:spacing w:line="300" w:lineRule="exact"/>
              <w:jc w:val="center"/>
              <w:textAlignment w:val="center"/>
              <w:rPr>
                <w:rFonts w:hint="eastAsia" w:ascii="宋体" w:hAnsi="宋体" w:cs="宋体"/>
                <w:bCs/>
                <w:color w:val="auto"/>
                <w:kern w:val="0"/>
                <w:szCs w:val="21"/>
              </w:rPr>
            </w:pPr>
            <w:r>
              <w:rPr>
                <w:rFonts w:hint="eastAsia" w:ascii="宋体" w:hAnsi="宋体" w:cs="宋体"/>
                <w:bCs/>
                <w:color w:val="auto"/>
                <w:kern w:val="0"/>
                <w:szCs w:val="21"/>
              </w:rPr>
              <w:t>0.082</w:t>
            </w:r>
          </w:p>
        </w:tc>
        <w:tc>
          <w:tcPr>
            <w:tcW w:w="233" w:type="pct"/>
            <w:vAlign w:val="center"/>
          </w:tcPr>
          <w:p w14:paraId="3D12FFF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305" w:type="pct"/>
            <w:vAlign w:val="center"/>
          </w:tcPr>
          <w:p w14:paraId="1CF2D8C3">
            <w:pPr>
              <w:widowControl/>
              <w:adjustRightInd w:val="0"/>
              <w:snapToGrid w:val="0"/>
              <w:spacing w:line="300" w:lineRule="exact"/>
              <w:jc w:val="center"/>
              <w:textAlignment w:val="center"/>
              <w:rPr>
                <w:rFonts w:hint="eastAsia" w:ascii="宋体" w:hAnsi="宋体" w:cs="宋体"/>
                <w:bCs/>
                <w:color w:val="auto"/>
                <w:kern w:val="0"/>
                <w:szCs w:val="21"/>
              </w:rPr>
            </w:pPr>
            <w:r>
              <w:rPr>
                <w:rFonts w:hint="eastAsia" w:ascii="宋体" w:hAnsi="宋体" w:cs="宋体"/>
                <w:bCs/>
                <w:color w:val="auto"/>
                <w:kern w:val="0"/>
                <w:szCs w:val="21"/>
              </w:rPr>
              <w:t>0.0056</w:t>
            </w:r>
          </w:p>
        </w:tc>
        <w:tc>
          <w:tcPr>
            <w:tcW w:w="335" w:type="pct"/>
            <w:vAlign w:val="center"/>
          </w:tcPr>
          <w:p w14:paraId="2B727A7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0.056</w:t>
            </w:r>
          </w:p>
        </w:tc>
        <w:tc>
          <w:tcPr>
            <w:tcW w:w="270" w:type="pct"/>
            <w:vAlign w:val="center"/>
          </w:tcPr>
          <w:p w14:paraId="61D222D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7444B3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58C8353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18</w:t>
            </w:r>
          </w:p>
        </w:tc>
        <w:tc>
          <w:tcPr>
            <w:tcW w:w="393" w:type="pct"/>
            <w:vAlign w:val="center"/>
          </w:tcPr>
          <w:p w14:paraId="13ADD10D">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钡</w:t>
            </w:r>
          </w:p>
        </w:tc>
        <w:tc>
          <w:tcPr>
            <w:tcW w:w="357" w:type="pct"/>
            <w:vAlign w:val="center"/>
          </w:tcPr>
          <w:p w14:paraId="0E39AC4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≤0.7</w:t>
            </w:r>
          </w:p>
        </w:tc>
        <w:tc>
          <w:tcPr>
            <w:tcW w:w="271" w:type="pct"/>
            <w:vAlign w:val="center"/>
          </w:tcPr>
          <w:p w14:paraId="5593D1E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75" w:type="pct"/>
            <w:vAlign w:val="center"/>
          </w:tcPr>
          <w:p w14:paraId="22E7584B">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2032E78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5BE8D4F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0E3E3CE1">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04B24BF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471946D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2FBF15C6">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50B30FD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00738CD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82" w:type="pct"/>
            <w:vAlign w:val="center"/>
          </w:tcPr>
          <w:p w14:paraId="6BEDDC0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33" w:type="pct"/>
            <w:vAlign w:val="center"/>
          </w:tcPr>
          <w:p w14:paraId="1F1E076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05" w:type="pct"/>
            <w:vAlign w:val="center"/>
          </w:tcPr>
          <w:p w14:paraId="5E0ED52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35" w:type="pct"/>
            <w:vAlign w:val="center"/>
          </w:tcPr>
          <w:p w14:paraId="7A14381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74B8E56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3589D1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0AA31EF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19</w:t>
            </w:r>
          </w:p>
        </w:tc>
        <w:tc>
          <w:tcPr>
            <w:tcW w:w="393" w:type="pct"/>
            <w:vAlign w:val="center"/>
          </w:tcPr>
          <w:p w14:paraId="2EE75AD2">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汞</w:t>
            </w:r>
          </w:p>
        </w:tc>
        <w:tc>
          <w:tcPr>
            <w:tcW w:w="357" w:type="pct"/>
            <w:vAlign w:val="center"/>
          </w:tcPr>
          <w:p w14:paraId="7C93FE8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≤0.001</w:t>
            </w:r>
          </w:p>
        </w:tc>
        <w:tc>
          <w:tcPr>
            <w:tcW w:w="271" w:type="pct"/>
            <w:vAlign w:val="center"/>
          </w:tcPr>
          <w:p w14:paraId="5497A15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75" w:type="pct"/>
            <w:vAlign w:val="center"/>
          </w:tcPr>
          <w:p w14:paraId="5816220F">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642578E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0C9C45D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6230B9C6">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0253CB4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63A94CC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70F3A27F">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4DADCD0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1FA09A15">
            <w:pPr>
              <w:widowControl/>
              <w:adjustRightInd w:val="0"/>
              <w:snapToGrid w:val="0"/>
              <w:spacing w:line="300" w:lineRule="exact"/>
              <w:jc w:val="center"/>
              <w:rPr>
                <w:rFonts w:hint="eastAsia" w:ascii="宋体" w:hAnsi="宋体" w:cs="宋体"/>
                <w:bCs/>
                <w:color w:val="auto"/>
                <w:kern w:val="0"/>
                <w:szCs w:val="21"/>
              </w:rPr>
            </w:pPr>
            <w:r>
              <w:rPr>
                <w:rFonts w:hint="eastAsia" w:ascii="宋体" w:hAnsi="宋体" w:cs="宋体"/>
                <w:color w:val="auto"/>
                <w:kern w:val="0"/>
                <w:szCs w:val="21"/>
              </w:rPr>
              <w:t>ND</w:t>
            </w:r>
          </w:p>
        </w:tc>
        <w:tc>
          <w:tcPr>
            <w:tcW w:w="282" w:type="pct"/>
            <w:vAlign w:val="center"/>
          </w:tcPr>
          <w:p w14:paraId="6F43E51A">
            <w:pPr>
              <w:adjustRightInd w:val="0"/>
              <w:snapToGrid w:val="0"/>
              <w:spacing w:line="300" w:lineRule="exact"/>
              <w:jc w:val="center"/>
              <w:rPr>
                <w:rFonts w:hint="eastAsia" w:ascii="宋体" w:hAnsi="宋体" w:cs="宋体"/>
                <w:bCs/>
                <w:color w:val="auto"/>
                <w:kern w:val="0"/>
                <w:szCs w:val="21"/>
              </w:rPr>
            </w:pPr>
            <w:r>
              <w:rPr>
                <w:rFonts w:hint="eastAsia" w:ascii="宋体" w:hAnsi="宋体" w:cs="宋体"/>
                <w:color w:val="auto"/>
                <w:kern w:val="0"/>
                <w:szCs w:val="21"/>
              </w:rPr>
              <w:t>/</w:t>
            </w:r>
          </w:p>
        </w:tc>
        <w:tc>
          <w:tcPr>
            <w:tcW w:w="233" w:type="pct"/>
            <w:vAlign w:val="center"/>
          </w:tcPr>
          <w:p w14:paraId="1AB90F9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305" w:type="pct"/>
            <w:vAlign w:val="center"/>
          </w:tcPr>
          <w:p w14:paraId="48987C35">
            <w:pPr>
              <w:widowControl/>
              <w:adjustRightInd w:val="0"/>
              <w:snapToGrid w:val="0"/>
              <w:spacing w:line="300" w:lineRule="exact"/>
              <w:jc w:val="center"/>
              <w:rPr>
                <w:rFonts w:hint="eastAsia" w:ascii="宋体" w:hAnsi="宋体" w:cs="宋体"/>
                <w:bCs/>
                <w:color w:val="auto"/>
                <w:kern w:val="0"/>
                <w:szCs w:val="21"/>
              </w:rPr>
            </w:pPr>
            <w:r>
              <w:rPr>
                <w:rFonts w:hint="eastAsia" w:ascii="宋体" w:hAnsi="宋体" w:cs="宋体"/>
                <w:color w:val="auto"/>
                <w:kern w:val="0"/>
                <w:szCs w:val="21"/>
              </w:rPr>
              <w:t>ND</w:t>
            </w:r>
          </w:p>
        </w:tc>
        <w:tc>
          <w:tcPr>
            <w:tcW w:w="335" w:type="pct"/>
            <w:vAlign w:val="center"/>
          </w:tcPr>
          <w:p w14:paraId="1CE1E15C">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208F53A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3E3B53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03401AD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20</w:t>
            </w:r>
          </w:p>
        </w:tc>
        <w:tc>
          <w:tcPr>
            <w:tcW w:w="393" w:type="pct"/>
            <w:vAlign w:val="center"/>
          </w:tcPr>
          <w:p w14:paraId="4D52D2D8">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砷</w:t>
            </w:r>
          </w:p>
        </w:tc>
        <w:tc>
          <w:tcPr>
            <w:tcW w:w="357" w:type="pct"/>
            <w:vAlign w:val="center"/>
          </w:tcPr>
          <w:p w14:paraId="7D6F846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≤0.01</w:t>
            </w:r>
          </w:p>
        </w:tc>
        <w:tc>
          <w:tcPr>
            <w:tcW w:w="271" w:type="pct"/>
            <w:vAlign w:val="center"/>
          </w:tcPr>
          <w:p w14:paraId="3A3775C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75" w:type="pct"/>
            <w:vAlign w:val="center"/>
          </w:tcPr>
          <w:p w14:paraId="7CAD3D35">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1D12212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5B8DA0A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63598401">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7C2A09E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73CBDB0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6E9FA1FE">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7D167B7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628C721A">
            <w:pPr>
              <w:widowControl/>
              <w:adjustRightInd w:val="0"/>
              <w:snapToGrid w:val="0"/>
              <w:spacing w:line="300" w:lineRule="exact"/>
              <w:jc w:val="center"/>
              <w:textAlignment w:val="center"/>
              <w:rPr>
                <w:rFonts w:hint="eastAsia" w:ascii="宋体" w:hAnsi="宋体" w:cs="宋体"/>
                <w:bCs/>
                <w:color w:val="auto"/>
                <w:kern w:val="0"/>
                <w:szCs w:val="21"/>
              </w:rPr>
            </w:pPr>
            <w:r>
              <w:rPr>
                <w:rFonts w:hint="eastAsia" w:ascii="宋体" w:hAnsi="宋体" w:cs="宋体"/>
                <w:bCs/>
                <w:color w:val="auto"/>
                <w:kern w:val="0"/>
                <w:szCs w:val="21"/>
              </w:rPr>
              <w:t>0.0017</w:t>
            </w:r>
          </w:p>
        </w:tc>
        <w:tc>
          <w:tcPr>
            <w:tcW w:w="282" w:type="pct"/>
            <w:vAlign w:val="center"/>
          </w:tcPr>
          <w:p w14:paraId="41024DD9">
            <w:pPr>
              <w:widowControl/>
              <w:adjustRightInd w:val="0"/>
              <w:snapToGrid w:val="0"/>
              <w:spacing w:line="300" w:lineRule="exact"/>
              <w:jc w:val="center"/>
              <w:textAlignment w:val="center"/>
              <w:rPr>
                <w:rFonts w:hint="eastAsia" w:ascii="宋体" w:hAnsi="宋体" w:cs="宋体"/>
                <w:bCs/>
                <w:color w:val="auto"/>
                <w:kern w:val="0"/>
                <w:szCs w:val="21"/>
              </w:rPr>
            </w:pPr>
            <w:r>
              <w:rPr>
                <w:rFonts w:hint="eastAsia" w:ascii="宋体" w:hAnsi="宋体" w:cs="宋体"/>
                <w:bCs/>
                <w:color w:val="auto"/>
                <w:kern w:val="0"/>
                <w:szCs w:val="21"/>
              </w:rPr>
              <w:t>0.17</w:t>
            </w:r>
          </w:p>
        </w:tc>
        <w:tc>
          <w:tcPr>
            <w:tcW w:w="233" w:type="pct"/>
            <w:vAlign w:val="center"/>
          </w:tcPr>
          <w:p w14:paraId="1071681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305" w:type="pct"/>
            <w:vAlign w:val="center"/>
          </w:tcPr>
          <w:p w14:paraId="69B2B6D5">
            <w:pPr>
              <w:widowControl/>
              <w:adjustRightInd w:val="0"/>
              <w:snapToGrid w:val="0"/>
              <w:spacing w:line="300" w:lineRule="exact"/>
              <w:jc w:val="center"/>
              <w:textAlignment w:val="center"/>
              <w:rPr>
                <w:rFonts w:hint="eastAsia" w:ascii="宋体" w:hAnsi="宋体" w:cs="宋体"/>
                <w:bCs/>
                <w:color w:val="auto"/>
                <w:kern w:val="0"/>
                <w:szCs w:val="21"/>
              </w:rPr>
            </w:pPr>
            <w:r>
              <w:rPr>
                <w:rFonts w:hint="eastAsia" w:ascii="宋体" w:hAnsi="宋体" w:cs="宋体"/>
                <w:bCs/>
                <w:color w:val="auto"/>
                <w:kern w:val="0"/>
                <w:szCs w:val="21"/>
              </w:rPr>
              <w:t>0.0016</w:t>
            </w:r>
          </w:p>
        </w:tc>
        <w:tc>
          <w:tcPr>
            <w:tcW w:w="335" w:type="pct"/>
            <w:vAlign w:val="center"/>
          </w:tcPr>
          <w:p w14:paraId="081CF4F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0.16</w:t>
            </w:r>
          </w:p>
        </w:tc>
        <w:tc>
          <w:tcPr>
            <w:tcW w:w="270" w:type="pct"/>
            <w:vAlign w:val="center"/>
          </w:tcPr>
          <w:p w14:paraId="59EEEE5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4AA100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050FABC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21</w:t>
            </w:r>
          </w:p>
        </w:tc>
        <w:tc>
          <w:tcPr>
            <w:tcW w:w="393" w:type="pct"/>
            <w:vAlign w:val="center"/>
          </w:tcPr>
          <w:p w14:paraId="453CB9DE">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石油类</w:t>
            </w:r>
          </w:p>
        </w:tc>
        <w:tc>
          <w:tcPr>
            <w:tcW w:w="357" w:type="pct"/>
            <w:vAlign w:val="center"/>
          </w:tcPr>
          <w:p w14:paraId="45B360A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≤0.05</w:t>
            </w:r>
          </w:p>
        </w:tc>
        <w:tc>
          <w:tcPr>
            <w:tcW w:w="271" w:type="pct"/>
            <w:vAlign w:val="center"/>
          </w:tcPr>
          <w:p w14:paraId="0D909D5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0.01</w:t>
            </w:r>
          </w:p>
        </w:tc>
        <w:tc>
          <w:tcPr>
            <w:tcW w:w="275" w:type="pct"/>
            <w:vAlign w:val="center"/>
          </w:tcPr>
          <w:p w14:paraId="7FF02FC6">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0.2</w:t>
            </w:r>
          </w:p>
        </w:tc>
        <w:tc>
          <w:tcPr>
            <w:tcW w:w="245" w:type="pct"/>
            <w:vAlign w:val="center"/>
          </w:tcPr>
          <w:p w14:paraId="3C65A8B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2306D3B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0.02</w:t>
            </w:r>
          </w:p>
        </w:tc>
        <w:tc>
          <w:tcPr>
            <w:tcW w:w="282" w:type="pct"/>
            <w:vAlign w:val="center"/>
          </w:tcPr>
          <w:p w14:paraId="57F40B42">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0.4</w:t>
            </w:r>
          </w:p>
        </w:tc>
        <w:tc>
          <w:tcPr>
            <w:tcW w:w="229" w:type="pct"/>
            <w:vAlign w:val="center"/>
          </w:tcPr>
          <w:p w14:paraId="4860DAA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46B07C2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0.01</w:t>
            </w:r>
          </w:p>
        </w:tc>
        <w:tc>
          <w:tcPr>
            <w:tcW w:w="282" w:type="pct"/>
            <w:vAlign w:val="center"/>
          </w:tcPr>
          <w:p w14:paraId="7B96BA74">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0.2</w:t>
            </w:r>
          </w:p>
        </w:tc>
        <w:tc>
          <w:tcPr>
            <w:tcW w:w="248" w:type="pct"/>
            <w:vAlign w:val="center"/>
          </w:tcPr>
          <w:p w14:paraId="607BE46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0BF56157">
            <w:pPr>
              <w:widowControl/>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ND</w:t>
            </w:r>
          </w:p>
        </w:tc>
        <w:tc>
          <w:tcPr>
            <w:tcW w:w="282" w:type="pct"/>
            <w:vAlign w:val="center"/>
          </w:tcPr>
          <w:p w14:paraId="5FA402FF">
            <w:pPr>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w:t>
            </w:r>
          </w:p>
        </w:tc>
        <w:tc>
          <w:tcPr>
            <w:tcW w:w="233" w:type="pct"/>
            <w:vAlign w:val="center"/>
          </w:tcPr>
          <w:p w14:paraId="3213D9E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305" w:type="pct"/>
            <w:vAlign w:val="center"/>
          </w:tcPr>
          <w:p w14:paraId="3E9BA15A">
            <w:pPr>
              <w:widowControl/>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ND</w:t>
            </w:r>
          </w:p>
        </w:tc>
        <w:tc>
          <w:tcPr>
            <w:tcW w:w="335" w:type="pct"/>
            <w:vAlign w:val="center"/>
          </w:tcPr>
          <w:p w14:paraId="7389CE23">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08B609C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3A580C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1D9B966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22</w:t>
            </w:r>
          </w:p>
        </w:tc>
        <w:tc>
          <w:tcPr>
            <w:tcW w:w="393" w:type="pct"/>
            <w:vAlign w:val="center"/>
          </w:tcPr>
          <w:p w14:paraId="74E661C2">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细菌总数（CFU/mL）</w:t>
            </w:r>
          </w:p>
        </w:tc>
        <w:tc>
          <w:tcPr>
            <w:tcW w:w="357" w:type="pct"/>
            <w:vAlign w:val="center"/>
          </w:tcPr>
          <w:p w14:paraId="454135F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≤100</w:t>
            </w:r>
          </w:p>
        </w:tc>
        <w:tc>
          <w:tcPr>
            <w:tcW w:w="271" w:type="pct"/>
            <w:vAlign w:val="center"/>
          </w:tcPr>
          <w:p w14:paraId="71C0A43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80</w:t>
            </w:r>
          </w:p>
        </w:tc>
        <w:tc>
          <w:tcPr>
            <w:tcW w:w="275" w:type="pct"/>
            <w:vAlign w:val="center"/>
          </w:tcPr>
          <w:p w14:paraId="0669B1FF">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0.8</w:t>
            </w:r>
          </w:p>
        </w:tc>
        <w:tc>
          <w:tcPr>
            <w:tcW w:w="245" w:type="pct"/>
            <w:vAlign w:val="center"/>
          </w:tcPr>
          <w:p w14:paraId="1FDE449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2CFA8DE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85</w:t>
            </w:r>
          </w:p>
        </w:tc>
        <w:tc>
          <w:tcPr>
            <w:tcW w:w="282" w:type="pct"/>
            <w:vAlign w:val="center"/>
          </w:tcPr>
          <w:p w14:paraId="2323AFF7">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0.85</w:t>
            </w:r>
          </w:p>
        </w:tc>
        <w:tc>
          <w:tcPr>
            <w:tcW w:w="229" w:type="pct"/>
            <w:vAlign w:val="center"/>
          </w:tcPr>
          <w:p w14:paraId="2B225BA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602366C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16</w:t>
            </w:r>
          </w:p>
        </w:tc>
        <w:tc>
          <w:tcPr>
            <w:tcW w:w="282" w:type="pct"/>
            <w:vAlign w:val="center"/>
          </w:tcPr>
          <w:p w14:paraId="492B5203">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0.16</w:t>
            </w:r>
          </w:p>
        </w:tc>
        <w:tc>
          <w:tcPr>
            <w:tcW w:w="248" w:type="pct"/>
            <w:vAlign w:val="center"/>
          </w:tcPr>
          <w:p w14:paraId="1DF615E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04B23BF3">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bCs/>
                <w:color w:val="auto"/>
                <w:szCs w:val="21"/>
              </w:rPr>
              <w:t>14</w:t>
            </w:r>
          </w:p>
        </w:tc>
        <w:tc>
          <w:tcPr>
            <w:tcW w:w="282" w:type="pct"/>
            <w:vAlign w:val="center"/>
          </w:tcPr>
          <w:p w14:paraId="44B27946">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bCs/>
                <w:color w:val="auto"/>
                <w:szCs w:val="21"/>
              </w:rPr>
              <w:t>0.14</w:t>
            </w:r>
          </w:p>
        </w:tc>
        <w:tc>
          <w:tcPr>
            <w:tcW w:w="233" w:type="pct"/>
            <w:vAlign w:val="center"/>
          </w:tcPr>
          <w:p w14:paraId="0DE33B6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305" w:type="pct"/>
            <w:vAlign w:val="center"/>
          </w:tcPr>
          <w:p w14:paraId="616B01D6">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bCs/>
                <w:color w:val="auto"/>
                <w:szCs w:val="21"/>
              </w:rPr>
              <w:t>17</w:t>
            </w:r>
          </w:p>
        </w:tc>
        <w:tc>
          <w:tcPr>
            <w:tcW w:w="335" w:type="pct"/>
            <w:vAlign w:val="center"/>
          </w:tcPr>
          <w:p w14:paraId="61324EA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0.17</w:t>
            </w:r>
          </w:p>
        </w:tc>
        <w:tc>
          <w:tcPr>
            <w:tcW w:w="270" w:type="pct"/>
            <w:vAlign w:val="center"/>
          </w:tcPr>
          <w:p w14:paraId="6200235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6A5C9F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5ED16EE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23</w:t>
            </w:r>
          </w:p>
        </w:tc>
        <w:tc>
          <w:tcPr>
            <w:tcW w:w="393" w:type="pct"/>
            <w:vAlign w:val="center"/>
          </w:tcPr>
          <w:p w14:paraId="2399A83C">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硫化物</w:t>
            </w:r>
          </w:p>
        </w:tc>
        <w:tc>
          <w:tcPr>
            <w:tcW w:w="357" w:type="pct"/>
            <w:vAlign w:val="center"/>
          </w:tcPr>
          <w:p w14:paraId="58D7BE5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≤0.002</w:t>
            </w:r>
          </w:p>
        </w:tc>
        <w:tc>
          <w:tcPr>
            <w:tcW w:w="271" w:type="pct"/>
            <w:vAlign w:val="center"/>
          </w:tcPr>
          <w:p w14:paraId="67AEFB4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75" w:type="pct"/>
            <w:vAlign w:val="center"/>
          </w:tcPr>
          <w:p w14:paraId="3EEBD366">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7819D7C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1276EFF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77DFA885">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5A50EA7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6D3F52F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315E73A5">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0F87577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56340204">
            <w:pPr>
              <w:widowControl/>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ND</w:t>
            </w:r>
          </w:p>
        </w:tc>
        <w:tc>
          <w:tcPr>
            <w:tcW w:w="282" w:type="pct"/>
            <w:vAlign w:val="center"/>
          </w:tcPr>
          <w:p w14:paraId="243E48B8">
            <w:pPr>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w:t>
            </w:r>
          </w:p>
        </w:tc>
        <w:tc>
          <w:tcPr>
            <w:tcW w:w="233" w:type="pct"/>
            <w:vAlign w:val="center"/>
          </w:tcPr>
          <w:p w14:paraId="0478789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305" w:type="pct"/>
            <w:vAlign w:val="center"/>
          </w:tcPr>
          <w:p w14:paraId="1CB6DFBF">
            <w:pPr>
              <w:widowControl/>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ND</w:t>
            </w:r>
          </w:p>
        </w:tc>
        <w:tc>
          <w:tcPr>
            <w:tcW w:w="335" w:type="pct"/>
            <w:vAlign w:val="center"/>
          </w:tcPr>
          <w:p w14:paraId="2EB26047">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0C245EF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6B318B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7E541D1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24</w:t>
            </w:r>
          </w:p>
        </w:tc>
        <w:tc>
          <w:tcPr>
            <w:tcW w:w="393" w:type="pct"/>
            <w:vAlign w:val="center"/>
          </w:tcPr>
          <w:p w14:paraId="7BED436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铅</w:t>
            </w:r>
          </w:p>
        </w:tc>
        <w:tc>
          <w:tcPr>
            <w:tcW w:w="357" w:type="pct"/>
            <w:vAlign w:val="center"/>
          </w:tcPr>
          <w:p w14:paraId="584012B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≤0.01</w:t>
            </w:r>
          </w:p>
        </w:tc>
        <w:tc>
          <w:tcPr>
            <w:tcW w:w="271" w:type="pct"/>
            <w:vAlign w:val="center"/>
          </w:tcPr>
          <w:p w14:paraId="2D1C101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75" w:type="pct"/>
            <w:vAlign w:val="center"/>
          </w:tcPr>
          <w:p w14:paraId="28A30380">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10CA0C9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32527E9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21CFFA85">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42CA7D9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6D41937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07C385F1">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72F6212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6761B9C4">
            <w:pPr>
              <w:widowControl/>
              <w:adjustRightInd w:val="0"/>
              <w:snapToGrid w:val="0"/>
              <w:spacing w:line="300" w:lineRule="exact"/>
              <w:jc w:val="center"/>
              <w:rPr>
                <w:rFonts w:hint="eastAsia" w:ascii="宋体" w:hAnsi="宋体" w:cs="宋体"/>
                <w:bCs/>
                <w:color w:val="auto"/>
                <w:kern w:val="0"/>
                <w:szCs w:val="21"/>
              </w:rPr>
            </w:pPr>
            <w:r>
              <w:rPr>
                <w:rFonts w:hint="eastAsia" w:ascii="宋体" w:hAnsi="宋体" w:cs="宋体"/>
                <w:color w:val="auto"/>
                <w:kern w:val="0"/>
                <w:szCs w:val="21"/>
              </w:rPr>
              <w:t>ND</w:t>
            </w:r>
          </w:p>
        </w:tc>
        <w:tc>
          <w:tcPr>
            <w:tcW w:w="282" w:type="pct"/>
            <w:vAlign w:val="center"/>
          </w:tcPr>
          <w:p w14:paraId="2B2078D5">
            <w:pPr>
              <w:adjustRightInd w:val="0"/>
              <w:snapToGrid w:val="0"/>
              <w:spacing w:line="300" w:lineRule="exact"/>
              <w:jc w:val="center"/>
              <w:rPr>
                <w:rFonts w:hint="eastAsia" w:ascii="宋体" w:hAnsi="宋体" w:cs="宋体"/>
                <w:bCs/>
                <w:color w:val="auto"/>
                <w:kern w:val="0"/>
                <w:szCs w:val="21"/>
              </w:rPr>
            </w:pPr>
            <w:r>
              <w:rPr>
                <w:rFonts w:hint="eastAsia" w:ascii="宋体" w:hAnsi="宋体" w:cs="宋体"/>
                <w:color w:val="auto"/>
                <w:kern w:val="0"/>
                <w:szCs w:val="21"/>
              </w:rPr>
              <w:t>/</w:t>
            </w:r>
          </w:p>
        </w:tc>
        <w:tc>
          <w:tcPr>
            <w:tcW w:w="233" w:type="pct"/>
            <w:vAlign w:val="center"/>
          </w:tcPr>
          <w:p w14:paraId="17C85B0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305" w:type="pct"/>
            <w:vAlign w:val="center"/>
          </w:tcPr>
          <w:p w14:paraId="7C59A2C3">
            <w:pPr>
              <w:widowControl/>
              <w:adjustRightInd w:val="0"/>
              <w:snapToGrid w:val="0"/>
              <w:spacing w:line="300" w:lineRule="exact"/>
              <w:jc w:val="center"/>
              <w:rPr>
                <w:rFonts w:hint="eastAsia" w:ascii="宋体" w:hAnsi="宋体" w:cs="宋体"/>
                <w:bCs/>
                <w:color w:val="auto"/>
                <w:kern w:val="0"/>
                <w:szCs w:val="21"/>
              </w:rPr>
            </w:pPr>
            <w:r>
              <w:rPr>
                <w:rFonts w:hint="eastAsia" w:ascii="宋体" w:hAnsi="宋体" w:cs="宋体"/>
                <w:color w:val="auto"/>
                <w:kern w:val="0"/>
                <w:szCs w:val="21"/>
              </w:rPr>
              <w:t>ND</w:t>
            </w:r>
          </w:p>
        </w:tc>
        <w:tc>
          <w:tcPr>
            <w:tcW w:w="335" w:type="pct"/>
            <w:vAlign w:val="center"/>
          </w:tcPr>
          <w:p w14:paraId="15C61704">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6B6DB7D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0F15A0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66C9CDB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25</w:t>
            </w:r>
          </w:p>
        </w:tc>
        <w:tc>
          <w:tcPr>
            <w:tcW w:w="393" w:type="pct"/>
            <w:vAlign w:val="center"/>
          </w:tcPr>
          <w:p w14:paraId="66E59E0D">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镉</w:t>
            </w:r>
          </w:p>
        </w:tc>
        <w:tc>
          <w:tcPr>
            <w:tcW w:w="357" w:type="pct"/>
            <w:vAlign w:val="center"/>
          </w:tcPr>
          <w:p w14:paraId="11ED37E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≤0.005</w:t>
            </w:r>
          </w:p>
        </w:tc>
        <w:tc>
          <w:tcPr>
            <w:tcW w:w="271" w:type="pct"/>
            <w:vAlign w:val="center"/>
          </w:tcPr>
          <w:p w14:paraId="5485A6C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75" w:type="pct"/>
            <w:vAlign w:val="center"/>
          </w:tcPr>
          <w:p w14:paraId="265CEE2D">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5629F6C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86" w:type="pct"/>
            <w:vAlign w:val="center"/>
          </w:tcPr>
          <w:p w14:paraId="22EE417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295212AD">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4CA3434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63" w:type="pct"/>
            <w:vAlign w:val="center"/>
          </w:tcPr>
          <w:p w14:paraId="2E58B8C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1CB4CCA3">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5F1B3AB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275" w:type="pct"/>
            <w:vAlign w:val="center"/>
          </w:tcPr>
          <w:p w14:paraId="32A96756">
            <w:pPr>
              <w:widowControl/>
              <w:adjustRightInd w:val="0"/>
              <w:snapToGrid w:val="0"/>
              <w:spacing w:line="300" w:lineRule="exact"/>
              <w:jc w:val="center"/>
              <w:rPr>
                <w:rFonts w:hint="eastAsia" w:ascii="宋体" w:hAnsi="宋体" w:cs="宋体"/>
                <w:b/>
                <w:color w:val="auto"/>
                <w:kern w:val="0"/>
                <w:szCs w:val="21"/>
              </w:rPr>
            </w:pPr>
            <w:r>
              <w:rPr>
                <w:rFonts w:hint="eastAsia" w:ascii="宋体" w:hAnsi="宋体" w:cs="宋体"/>
                <w:color w:val="auto"/>
                <w:kern w:val="0"/>
                <w:szCs w:val="21"/>
              </w:rPr>
              <w:t>ND</w:t>
            </w:r>
          </w:p>
        </w:tc>
        <w:tc>
          <w:tcPr>
            <w:tcW w:w="282" w:type="pct"/>
            <w:vAlign w:val="center"/>
          </w:tcPr>
          <w:p w14:paraId="27EE1FB1">
            <w:pPr>
              <w:adjustRightInd w:val="0"/>
              <w:snapToGrid w:val="0"/>
              <w:spacing w:line="300" w:lineRule="exact"/>
              <w:jc w:val="center"/>
              <w:rPr>
                <w:rFonts w:hint="eastAsia" w:ascii="宋体" w:hAnsi="宋体" w:cs="宋体"/>
                <w:bCs/>
                <w:color w:val="auto"/>
                <w:kern w:val="0"/>
                <w:szCs w:val="21"/>
              </w:rPr>
            </w:pPr>
            <w:r>
              <w:rPr>
                <w:rFonts w:hint="eastAsia" w:ascii="宋体" w:hAnsi="宋体" w:cs="宋体"/>
                <w:color w:val="auto"/>
                <w:kern w:val="0"/>
                <w:szCs w:val="21"/>
              </w:rPr>
              <w:t>/</w:t>
            </w:r>
          </w:p>
        </w:tc>
        <w:tc>
          <w:tcPr>
            <w:tcW w:w="233" w:type="pct"/>
            <w:vAlign w:val="center"/>
          </w:tcPr>
          <w:p w14:paraId="75428DC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305" w:type="pct"/>
            <w:vAlign w:val="center"/>
          </w:tcPr>
          <w:p w14:paraId="1546329C">
            <w:pPr>
              <w:widowControl/>
              <w:adjustRightInd w:val="0"/>
              <w:snapToGrid w:val="0"/>
              <w:spacing w:line="300" w:lineRule="exact"/>
              <w:jc w:val="center"/>
              <w:textAlignment w:val="center"/>
              <w:rPr>
                <w:rFonts w:hint="eastAsia" w:ascii="宋体" w:hAnsi="宋体" w:cs="宋体"/>
                <w:bCs/>
                <w:color w:val="auto"/>
                <w:kern w:val="0"/>
                <w:szCs w:val="21"/>
              </w:rPr>
            </w:pPr>
            <w:r>
              <w:rPr>
                <w:rFonts w:hint="eastAsia" w:ascii="宋体" w:hAnsi="宋体" w:cs="宋体"/>
                <w:bCs/>
                <w:color w:val="auto"/>
                <w:kern w:val="0"/>
                <w:szCs w:val="21"/>
              </w:rPr>
              <w:t>0.00014</w:t>
            </w:r>
          </w:p>
        </w:tc>
        <w:tc>
          <w:tcPr>
            <w:tcW w:w="335" w:type="pct"/>
            <w:vAlign w:val="center"/>
          </w:tcPr>
          <w:p w14:paraId="4110556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0.028</w:t>
            </w:r>
          </w:p>
        </w:tc>
        <w:tc>
          <w:tcPr>
            <w:tcW w:w="270" w:type="pct"/>
            <w:vAlign w:val="center"/>
          </w:tcPr>
          <w:p w14:paraId="2AA8216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09EECB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4BC7413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26</w:t>
            </w:r>
          </w:p>
        </w:tc>
        <w:tc>
          <w:tcPr>
            <w:tcW w:w="393" w:type="pct"/>
            <w:vAlign w:val="center"/>
          </w:tcPr>
          <w:p w14:paraId="361D221C">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钠</w:t>
            </w:r>
          </w:p>
        </w:tc>
        <w:tc>
          <w:tcPr>
            <w:tcW w:w="357" w:type="pct"/>
            <w:vAlign w:val="center"/>
          </w:tcPr>
          <w:p w14:paraId="16B26B2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≤200</w:t>
            </w:r>
          </w:p>
        </w:tc>
        <w:tc>
          <w:tcPr>
            <w:tcW w:w="271" w:type="pct"/>
            <w:vAlign w:val="center"/>
          </w:tcPr>
          <w:p w14:paraId="55C6A9D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1402</w:t>
            </w:r>
          </w:p>
        </w:tc>
        <w:tc>
          <w:tcPr>
            <w:tcW w:w="275" w:type="pct"/>
            <w:vAlign w:val="center"/>
          </w:tcPr>
          <w:p w14:paraId="416E66AF">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7.01</w:t>
            </w:r>
          </w:p>
        </w:tc>
        <w:tc>
          <w:tcPr>
            <w:tcW w:w="245" w:type="pct"/>
            <w:vAlign w:val="center"/>
          </w:tcPr>
          <w:p w14:paraId="43662FA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b/>
                <w:bCs/>
                <w:color w:val="auto"/>
                <w:kern w:val="0"/>
                <w:szCs w:val="21"/>
              </w:rPr>
              <w:t>超标</w:t>
            </w:r>
          </w:p>
        </w:tc>
        <w:tc>
          <w:tcPr>
            <w:tcW w:w="286" w:type="pct"/>
            <w:vAlign w:val="center"/>
          </w:tcPr>
          <w:p w14:paraId="423ED89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627</w:t>
            </w:r>
          </w:p>
        </w:tc>
        <w:tc>
          <w:tcPr>
            <w:tcW w:w="282" w:type="pct"/>
            <w:vAlign w:val="center"/>
          </w:tcPr>
          <w:p w14:paraId="0008A255">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3.14</w:t>
            </w:r>
          </w:p>
        </w:tc>
        <w:tc>
          <w:tcPr>
            <w:tcW w:w="229" w:type="pct"/>
            <w:vAlign w:val="center"/>
          </w:tcPr>
          <w:p w14:paraId="6648393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b/>
                <w:bCs/>
                <w:color w:val="auto"/>
                <w:kern w:val="0"/>
                <w:szCs w:val="21"/>
              </w:rPr>
              <w:t>超标</w:t>
            </w:r>
          </w:p>
        </w:tc>
        <w:tc>
          <w:tcPr>
            <w:tcW w:w="263" w:type="pct"/>
            <w:vAlign w:val="center"/>
          </w:tcPr>
          <w:p w14:paraId="7BC7145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533</w:t>
            </w:r>
          </w:p>
        </w:tc>
        <w:tc>
          <w:tcPr>
            <w:tcW w:w="282" w:type="pct"/>
            <w:vAlign w:val="center"/>
          </w:tcPr>
          <w:p w14:paraId="1F647200">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2.665</w:t>
            </w:r>
          </w:p>
        </w:tc>
        <w:tc>
          <w:tcPr>
            <w:tcW w:w="248" w:type="pct"/>
            <w:vAlign w:val="center"/>
          </w:tcPr>
          <w:p w14:paraId="6B76318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b/>
                <w:bCs/>
                <w:color w:val="auto"/>
                <w:kern w:val="0"/>
                <w:szCs w:val="21"/>
              </w:rPr>
              <w:t>超标</w:t>
            </w:r>
          </w:p>
        </w:tc>
        <w:tc>
          <w:tcPr>
            <w:tcW w:w="275" w:type="pct"/>
            <w:vAlign w:val="center"/>
          </w:tcPr>
          <w:p w14:paraId="30580056">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color w:val="auto"/>
                <w:szCs w:val="21"/>
              </w:rPr>
              <w:t>1310</w:t>
            </w:r>
          </w:p>
        </w:tc>
        <w:tc>
          <w:tcPr>
            <w:tcW w:w="282" w:type="pct"/>
            <w:vAlign w:val="center"/>
          </w:tcPr>
          <w:p w14:paraId="3B119E83">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bCs/>
                <w:color w:val="auto"/>
                <w:szCs w:val="21"/>
              </w:rPr>
              <w:t>6.55</w:t>
            </w:r>
          </w:p>
        </w:tc>
        <w:tc>
          <w:tcPr>
            <w:tcW w:w="233" w:type="pct"/>
            <w:vAlign w:val="center"/>
          </w:tcPr>
          <w:p w14:paraId="2DFAD511">
            <w:pPr>
              <w:widowControl/>
              <w:adjustRightInd w:val="0"/>
              <w:snapToGrid w:val="0"/>
              <w:spacing w:line="300" w:lineRule="exact"/>
              <w:jc w:val="center"/>
              <w:rPr>
                <w:rFonts w:hint="eastAsia" w:ascii="宋体" w:hAnsi="宋体" w:cs="宋体"/>
                <w:b/>
                <w:bCs/>
                <w:color w:val="auto"/>
                <w:kern w:val="0"/>
                <w:szCs w:val="21"/>
              </w:rPr>
            </w:pPr>
            <w:r>
              <w:rPr>
                <w:rFonts w:hint="eastAsia" w:ascii="宋体" w:hAnsi="宋体" w:cs="宋体"/>
                <w:b/>
                <w:bCs/>
                <w:color w:val="auto"/>
                <w:kern w:val="0"/>
                <w:szCs w:val="21"/>
              </w:rPr>
              <w:t>超标</w:t>
            </w:r>
          </w:p>
        </w:tc>
        <w:tc>
          <w:tcPr>
            <w:tcW w:w="305" w:type="pct"/>
            <w:vAlign w:val="center"/>
          </w:tcPr>
          <w:p w14:paraId="0ACCBFFA">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bCs/>
                <w:color w:val="auto"/>
                <w:szCs w:val="21"/>
              </w:rPr>
              <w:t>874</w:t>
            </w:r>
          </w:p>
        </w:tc>
        <w:tc>
          <w:tcPr>
            <w:tcW w:w="335" w:type="pct"/>
            <w:vAlign w:val="center"/>
          </w:tcPr>
          <w:p w14:paraId="6BED8247">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4.37</w:t>
            </w:r>
          </w:p>
        </w:tc>
        <w:tc>
          <w:tcPr>
            <w:tcW w:w="270" w:type="pct"/>
            <w:vAlign w:val="center"/>
          </w:tcPr>
          <w:p w14:paraId="11ABE14C">
            <w:pPr>
              <w:widowControl/>
              <w:adjustRightInd w:val="0"/>
              <w:snapToGrid w:val="0"/>
              <w:spacing w:line="300" w:lineRule="exact"/>
              <w:jc w:val="center"/>
              <w:rPr>
                <w:rFonts w:hint="eastAsia" w:ascii="宋体" w:hAnsi="宋体" w:cs="宋体"/>
                <w:b/>
                <w:bCs/>
                <w:color w:val="auto"/>
                <w:kern w:val="0"/>
                <w:szCs w:val="21"/>
              </w:rPr>
            </w:pPr>
            <w:r>
              <w:rPr>
                <w:rFonts w:hint="eastAsia" w:ascii="宋体" w:hAnsi="宋体" w:cs="宋体"/>
                <w:b/>
                <w:bCs/>
                <w:color w:val="auto"/>
                <w:kern w:val="0"/>
                <w:szCs w:val="21"/>
              </w:rPr>
              <w:t>超标</w:t>
            </w:r>
          </w:p>
        </w:tc>
      </w:tr>
      <w:tr w14:paraId="35C6547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2909302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27</w:t>
            </w:r>
          </w:p>
        </w:tc>
        <w:tc>
          <w:tcPr>
            <w:tcW w:w="393" w:type="pct"/>
            <w:vAlign w:val="center"/>
          </w:tcPr>
          <w:p w14:paraId="6088FC64">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Cl</w:t>
            </w:r>
            <w:r>
              <w:rPr>
                <w:rFonts w:hint="eastAsia" w:ascii="宋体" w:hAnsi="宋体" w:cs="宋体"/>
                <w:color w:val="auto"/>
                <w:kern w:val="0"/>
                <w:szCs w:val="21"/>
                <w:vertAlign w:val="superscript"/>
              </w:rPr>
              <w:t>-</w:t>
            </w:r>
          </w:p>
        </w:tc>
        <w:tc>
          <w:tcPr>
            <w:tcW w:w="357" w:type="pct"/>
            <w:vAlign w:val="center"/>
          </w:tcPr>
          <w:p w14:paraId="0247795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1" w:type="pct"/>
            <w:vAlign w:val="center"/>
          </w:tcPr>
          <w:p w14:paraId="0B06155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596</w:t>
            </w:r>
          </w:p>
        </w:tc>
        <w:tc>
          <w:tcPr>
            <w:tcW w:w="275" w:type="pct"/>
            <w:vAlign w:val="center"/>
          </w:tcPr>
          <w:p w14:paraId="036D2FDB">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0ED1A41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86" w:type="pct"/>
            <w:vAlign w:val="center"/>
          </w:tcPr>
          <w:p w14:paraId="1B90D22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418</w:t>
            </w:r>
          </w:p>
        </w:tc>
        <w:tc>
          <w:tcPr>
            <w:tcW w:w="282" w:type="pct"/>
            <w:vAlign w:val="center"/>
          </w:tcPr>
          <w:p w14:paraId="1DDA5C1D">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5D0C7E6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63" w:type="pct"/>
            <w:vAlign w:val="center"/>
          </w:tcPr>
          <w:p w14:paraId="435931C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77.7</w:t>
            </w:r>
          </w:p>
        </w:tc>
        <w:tc>
          <w:tcPr>
            <w:tcW w:w="282" w:type="pct"/>
            <w:vAlign w:val="center"/>
          </w:tcPr>
          <w:p w14:paraId="4FD726EF">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0BFD8CE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5" w:type="pct"/>
            <w:vAlign w:val="center"/>
          </w:tcPr>
          <w:p w14:paraId="19130084">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1490</w:t>
            </w:r>
          </w:p>
        </w:tc>
        <w:tc>
          <w:tcPr>
            <w:tcW w:w="282" w:type="pct"/>
            <w:vAlign w:val="center"/>
          </w:tcPr>
          <w:p w14:paraId="09077AD5">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233" w:type="pct"/>
            <w:vAlign w:val="center"/>
          </w:tcPr>
          <w:p w14:paraId="7EFFFDA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05" w:type="pct"/>
            <w:vAlign w:val="center"/>
          </w:tcPr>
          <w:p w14:paraId="3DB35D1E">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866</w:t>
            </w:r>
          </w:p>
        </w:tc>
        <w:tc>
          <w:tcPr>
            <w:tcW w:w="335" w:type="pct"/>
            <w:vAlign w:val="center"/>
          </w:tcPr>
          <w:p w14:paraId="25081334">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41D57A6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3A8491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14A3C4F5">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28</w:t>
            </w:r>
          </w:p>
        </w:tc>
        <w:tc>
          <w:tcPr>
            <w:tcW w:w="393" w:type="pct"/>
            <w:vAlign w:val="center"/>
          </w:tcPr>
          <w:p w14:paraId="69C7AF6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SO</w:t>
            </w:r>
            <w:r>
              <w:rPr>
                <w:rFonts w:hint="eastAsia" w:ascii="宋体" w:hAnsi="宋体" w:cs="宋体"/>
                <w:color w:val="auto"/>
                <w:kern w:val="0"/>
                <w:szCs w:val="21"/>
                <w:vertAlign w:val="subscript"/>
              </w:rPr>
              <w:t>4</w:t>
            </w:r>
            <w:r>
              <w:rPr>
                <w:rFonts w:hint="eastAsia" w:ascii="宋体" w:hAnsi="宋体" w:cs="宋体"/>
                <w:color w:val="auto"/>
                <w:kern w:val="0"/>
                <w:szCs w:val="21"/>
                <w:vertAlign w:val="superscript"/>
              </w:rPr>
              <w:t>2-</w:t>
            </w:r>
          </w:p>
        </w:tc>
        <w:tc>
          <w:tcPr>
            <w:tcW w:w="357" w:type="pct"/>
            <w:vAlign w:val="center"/>
          </w:tcPr>
          <w:p w14:paraId="2CA1492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1" w:type="pct"/>
            <w:vAlign w:val="center"/>
          </w:tcPr>
          <w:p w14:paraId="427F45B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419</w:t>
            </w:r>
          </w:p>
        </w:tc>
        <w:tc>
          <w:tcPr>
            <w:tcW w:w="275" w:type="pct"/>
            <w:vAlign w:val="center"/>
          </w:tcPr>
          <w:p w14:paraId="27A339D4">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3BEE4F8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86" w:type="pct"/>
            <w:vAlign w:val="center"/>
          </w:tcPr>
          <w:p w14:paraId="406D11B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461</w:t>
            </w:r>
          </w:p>
        </w:tc>
        <w:tc>
          <w:tcPr>
            <w:tcW w:w="282" w:type="pct"/>
            <w:vAlign w:val="center"/>
          </w:tcPr>
          <w:p w14:paraId="334E152A">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558ECB1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63" w:type="pct"/>
            <w:vAlign w:val="center"/>
          </w:tcPr>
          <w:p w14:paraId="6213161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78.3</w:t>
            </w:r>
          </w:p>
        </w:tc>
        <w:tc>
          <w:tcPr>
            <w:tcW w:w="282" w:type="pct"/>
            <w:vAlign w:val="center"/>
          </w:tcPr>
          <w:p w14:paraId="1143422E">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5C4E9FA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5" w:type="pct"/>
            <w:vAlign w:val="center"/>
          </w:tcPr>
          <w:p w14:paraId="4F5075D4">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1460</w:t>
            </w:r>
          </w:p>
        </w:tc>
        <w:tc>
          <w:tcPr>
            <w:tcW w:w="282" w:type="pct"/>
            <w:vAlign w:val="center"/>
          </w:tcPr>
          <w:p w14:paraId="5CC538E1">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233" w:type="pct"/>
            <w:vAlign w:val="center"/>
          </w:tcPr>
          <w:p w14:paraId="1523FB0A">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05" w:type="pct"/>
            <w:vAlign w:val="center"/>
          </w:tcPr>
          <w:p w14:paraId="2062664F">
            <w:pPr>
              <w:widowControl/>
              <w:adjustRightInd w:val="0"/>
              <w:snapToGrid w:val="0"/>
              <w:spacing w:line="300" w:lineRule="exact"/>
              <w:jc w:val="center"/>
              <w:textAlignment w:val="bottom"/>
              <w:rPr>
                <w:rFonts w:hint="eastAsia" w:ascii="宋体" w:hAnsi="宋体" w:cs="宋体"/>
                <w:color w:val="auto"/>
                <w:szCs w:val="21"/>
              </w:rPr>
            </w:pPr>
            <w:r>
              <w:rPr>
                <w:rFonts w:hint="eastAsia" w:ascii="宋体" w:hAnsi="宋体" w:cs="宋体"/>
                <w:color w:val="auto"/>
                <w:szCs w:val="21"/>
              </w:rPr>
              <w:t>656</w:t>
            </w:r>
          </w:p>
        </w:tc>
        <w:tc>
          <w:tcPr>
            <w:tcW w:w="335" w:type="pct"/>
            <w:vAlign w:val="center"/>
          </w:tcPr>
          <w:p w14:paraId="79FB969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43CD6AB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065A48F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0AD1A81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29</w:t>
            </w:r>
          </w:p>
        </w:tc>
        <w:tc>
          <w:tcPr>
            <w:tcW w:w="393" w:type="pct"/>
            <w:vAlign w:val="center"/>
          </w:tcPr>
          <w:p w14:paraId="282A6594">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CO</w:t>
            </w:r>
            <w:r>
              <w:rPr>
                <w:rFonts w:hint="eastAsia" w:ascii="宋体" w:hAnsi="宋体" w:cs="宋体"/>
                <w:color w:val="auto"/>
                <w:kern w:val="0"/>
                <w:szCs w:val="21"/>
                <w:vertAlign w:val="subscript"/>
              </w:rPr>
              <w:t>3</w:t>
            </w:r>
            <w:r>
              <w:rPr>
                <w:rFonts w:hint="eastAsia" w:ascii="宋体" w:hAnsi="宋体" w:cs="宋体"/>
                <w:color w:val="auto"/>
                <w:kern w:val="0"/>
                <w:szCs w:val="21"/>
                <w:vertAlign w:val="superscript"/>
              </w:rPr>
              <w:t>2-</w:t>
            </w:r>
          </w:p>
        </w:tc>
        <w:tc>
          <w:tcPr>
            <w:tcW w:w="357" w:type="pct"/>
            <w:vAlign w:val="center"/>
          </w:tcPr>
          <w:p w14:paraId="7D87B5D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1" w:type="pct"/>
            <w:vAlign w:val="center"/>
          </w:tcPr>
          <w:p w14:paraId="5A5788C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275" w:type="pct"/>
            <w:vAlign w:val="center"/>
          </w:tcPr>
          <w:p w14:paraId="6B269FB1">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43C936F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86" w:type="pct"/>
            <w:vAlign w:val="center"/>
          </w:tcPr>
          <w:p w14:paraId="194FAB7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282" w:type="pct"/>
            <w:vAlign w:val="center"/>
          </w:tcPr>
          <w:p w14:paraId="2072552B">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5D3A110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63" w:type="pct"/>
            <w:vAlign w:val="center"/>
          </w:tcPr>
          <w:p w14:paraId="17AC6BE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w:t>
            </w:r>
          </w:p>
        </w:tc>
        <w:tc>
          <w:tcPr>
            <w:tcW w:w="282" w:type="pct"/>
            <w:vAlign w:val="center"/>
          </w:tcPr>
          <w:p w14:paraId="4CB32F8A">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11339FB2">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5" w:type="pct"/>
            <w:vAlign w:val="center"/>
          </w:tcPr>
          <w:p w14:paraId="04822BF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ND</w:t>
            </w:r>
          </w:p>
        </w:tc>
        <w:tc>
          <w:tcPr>
            <w:tcW w:w="282" w:type="pct"/>
            <w:vAlign w:val="center"/>
          </w:tcPr>
          <w:p w14:paraId="10DE1E7E">
            <w:pPr>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w:t>
            </w:r>
          </w:p>
        </w:tc>
        <w:tc>
          <w:tcPr>
            <w:tcW w:w="233" w:type="pct"/>
            <w:vAlign w:val="center"/>
          </w:tcPr>
          <w:p w14:paraId="3444873D">
            <w:pPr>
              <w:widowControl/>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w:t>
            </w:r>
          </w:p>
        </w:tc>
        <w:tc>
          <w:tcPr>
            <w:tcW w:w="305" w:type="pct"/>
            <w:vAlign w:val="center"/>
          </w:tcPr>
          <w:p w14:paraId="4405033B">
            <w:pPr>
              <w:widowControl/>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ND</w:t>
            </w:r>
          </w:p>
        </w:tc>
        <w:tc>
          <w:tcPr>
            <w:tcW w:w="335" w:type="pct"/>
            <w:vAlign w:val="center"/>
          </w:tcPr>
          <w:p w14:paraId="0F59C0A2">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013FC44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189E6F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50AEE04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30</w:t>
            </w:r>
          </w:p>
        </w:tc>
        <w:tc>
          <w:tcPr>
            <w:tcW w:w="393" w:type="pct"/>
            <w:vAlign w:val="center"/>
          </w:tcPr>
          <w:p w14:paraId="5FDF35B4">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HCO</w:t>
            </w:r>
            <w:r>
              <w:rPr>
                <w:rFonts w:hint="eastAsia" w:ascii="宋体" w:hAnsi="宋体" w:cs="宋体"/>
                <w:color w:val="auto"/>
                <w:kern w:val="0"/>
                <w:szCs w:val="21"/>
                <w:vertAlign w:val="subscript"/>
              </w:rPr>
              <w:t>3</w:t>
            </w:r>
            <w:r>
              <w:rPr>
                <w:rFonts w:hint="eastAsia" w:ascii="宋体" w:hAnsi="宋体" w:cs="宋体"/>
                <w:color w:val="auto"/>
                <w:kern w:val="0"/>
                <w:szCs w:val="21"/>
                <w:vertAlign w:val="superscript"/>
              </w:rPr>
              <w:t>-</w:t>
            </w:r>
          </w:p>
        </w:tc>
        <w:tc>
          <w:tcPr>
            <w:tcW w:w="357" w:type="pct"/>
            <w:vAlign w:val="center"/>
          </w:tcPr>
          <w:p w14:paraId="111C2B8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1" w:type="pct"/>
            <w:vAlign w:val="center"/>
          </w:tcPr>
          <w:p w14:paraId="00BEE4E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257</w:t>
            </w:r>
          </w:p>
        </w:tc>
        <w:tc>
          <w:tcPr>
            <w:tcW w:w="275" w:type="pct"/>
            <w:vAlign w:val="center"/>
          </w:tcPr>
          <w:p w14:paraId="365FA232">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0DDE27D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86" w:type="pct"/>
            <w:vAlign w:val="center"/>
          </w:tcPr>
          <w:p w14:paraId="1EAA3F17">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282</w:t>
            </w:r>
          </w:p>
        </w:tc>
        <w:tc>
          <w:tcPr>
            <w:tcW w:w="282" w:type="pct"/>
            <w:vAlign w:val="center"/>
          </w:tcPr>
          <w:p w14:paraId="044317BF">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1CF2AB5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63" w:type="pct"/>
            <w:vAlign w:val="center"/>
          </w:tcPr>
          <w:p w14:paraId="24A30D5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186</w:t>
            </w:r>
          </w:p>
        </w:tc>
        <w:tc>
          <w:tcPr>
            <w:tcW w:w="282" w:type="pct"/>
            <w:vAlign w:val="center"/>
          </w:tcPr>
          <w:p w14:paraId="1E44281D">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37C3A20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5" w:type="pct"/>
            <w:vAlign w:val="center"/>
          </w:tcPr>
          <w:p w14:paraId="672B9093">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bCs/>
                <w:color w:val="auto"/>
                <w:szCs w:val="21"/>
              </w:rPr>
              <w:t>454</w:t>
            </w:r>
          </w:p>
        </w:tc>
        <w:tc>
          <w:tcPr>
            <w:tcW w:w="282" w:type="pct"/>
            <w:vAlign w:val="center"/>
          </w:tcPr>
          <w:p w14:paraId="0D5653C9">
            <w:pPr>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w:t>
            </w:r>
          </w:p>
        </w:tc>
        <w:tc>
          <w:tcPr>
            <w:tcW w:w="233" w:type="pct"/>
            <w:vAlign w:val="center"/>
          </w:tcPr>
          <w:p w14:paraId="43D90D9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05" w:type="pct"/>
            <w:vAlign w:val="center"/>
          </w:tcPr>
          <w:p w14:paraId="78EAAC25">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bCs/>
                <w:color w:val="auto"/>
                <w:szCs w:val="21"/>
              </w:rPr>
              <w:t>442</w:t>
            </w:r>
          </w:p>
        </w:tc>
        <w:tc>
          <w:tcPr>
            <w:tcW w:w="335" w:type="pct"/>
            <w:vAlign w:val="center"/>
          </w:tcPr>
          <w:p w14:paraId="5DDB0F4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37E6497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1276A6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111AA86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31</w:t>
            </w:r>
          </w:p>
        </w:tc>
        <w:tc>
          <w:tcPr>
            <w:tcW w:w="393" w:type="pct"/>
            <w:vAlign w:val="center"/>
          </w:tcPr>
          <w:p w14:paraId="46BB0F3F">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Ca</w:t>
            </w:r>
            <w:r>
              <w:rPr>
                <w:rFonts w:hint="eastAsia" w:ascii="宋体" w:hAnsi="宋体" w:cs="宋体"/>
                <w:color w:val="auto"/>
                <w:kern w:val="0"/>
                <w:szCs w:val="21"/>
                <w:vertAlign w:val="superscript"/>
              </w:rPr>
              <w:t>2+</w:t>
            </w:r>
          </w:p>
        </w:tc>
        <w:tc>
          <w:tcPr>
            <w:tcW w:w="357" w:type="pct"/>
            <w:vAlign w:val="center"/>
          </w:tcPr>
          <w:p w14:paraId="1144B49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1" w:type="pct"/>
            <w:vAlign w:val="center"/>
          </w:tcPr>
          <w:p w14:paraId="13D0AA0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26.1</w:t>
            </w:r>
          </w:p>
        </w:tc>
        <w:tc>
          <w:tcPr>
            <w:tcW w:w="275" w:type="pct"/>
            <w:vAlign w:val="center"/>
          </w:tcPr>
          <w:p w14:paraId="47175F40">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66AE077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86" w:type="pct"/>
            <w:vAlign w:val="center"/>
          </w:tcPr>
          <w:p w14:paraId="3D62668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11.4</w:t>
            </w:r>
          </w:p>
        </w:tc>
        <w:tc>
          <w:tcPr>
            <w:tcW w:w="282" w:type="pct"/>
            <w:vAlign w:val="center"/>
          </w:tcPr>
          <w:p w14:paraId="03044F9E">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576F1C9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63" w:type="pct"/>
            <w:vAlign w:val="center"/>
          </w:tcPr>
          <w:p w14:paraId="5CA7BB0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8.06</w:t>
            </w:r>
          </w:p>
        </w:tc>
        <w:tc>
          <w:tcPr>
            <w:tcW w:w="282" w:type="pct"/>
            <w:vAlign w:val="center"/>
          </w:tcPr>
          <w:p w14:paraId="29BF9A12">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36866EC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5" w:type="pct"/>
            <w:vAlign w:val="center"/>
          </w:tcPr>
          <w:p w14:paraId="5E553BCF">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bCs/>
                <w:color w:val="auto"/>
                <w:szCs w:val="21"/>
              </w:rPr>
              <w:t>319</w:t>
            </w:r>
          </w:p>
        </w:tc>
        <w:tc>
          <w:tcPr>
            <w:tcW w:w="282" w:type="pct"/>
            <w:vAlign w:val="center"/>
          </w:tcPr>
          <w:p w14:paraId="06E45AC8">
            <w:pPr>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w:t>
            </w:r>
          </w:p>
        </w:tc>
        <w:tc>
          <w:tcPr>
            <w:tcW w:w="233" w:type="pct"/>
            <w:vAlign w:val="center"/>
          </w:tcPr>
          <w:p w14:paraId="017B515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05" w:type="pct"/>
            <w:vAlign w:val="center"/>
          </w:tcPr>
          <w:p w14:paraId="72EB8623">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bCs/>
                <w:color w:val="auto"/>
                <w:szCs w:val="21"/>
              </w:rPr>
              <w:t>128</w:t>
            </w:r>
          </w:p>
        </w:tc>
        <w:tc>
          <w:tcPr>
            <w:tcW w:w="335" w:type="pct"/>
            <w:vAlign w:val="center"/>
          </w:tcPr>
          <w:p w14:paraId="5085D444">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392D1B2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7518B3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6CDC14A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32</w:t>
            </w:r>
          </w:p>
        </w:tc>
        <w:tc>
          <w:tcPr>
            <w:tcW w:w="393" w:type="pct"/>
            <w:vAlign w:val="center"/>
          </w:tcPr>
          <w:p w14:paraId="5210BE61">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Na</w:t>
            </w:r>
            <w:r>
              <w:rPr>
                <w:rFonts w:hint="eastAsia" w:ascii="宋体" w:hAnsi="宋体" w:cs="宋体"/>
                <w:color w:val="auto"/>
                <w:kern w:val="0"/>
                <w:szCs w:val="21"/>
                <w:vertAlign w:val="superscript"/>
              </w:rPr>
              <w:t>+</w:t>
            </w:r>
          </w:p>
        </w:tc>
        <w:tc>
          <w:tcPr>
            <w:tcW w:w="357" w:type="pct"/>
            <w:vAlign w:val="center"/>
          </w:tcPr>
          <w:p w14:paraId="6764712B">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1" w:type="pct"/>
            <w:vAlign w:val="center"/>
          </w:tcPr>
          <w:p w14:paraId="135667F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653</w:t>
            </w:r>
          </w:p>
        </w:tc>
        <w:tc>
          <w:tcPr>
            <w:tcW w:w="275" w:type="pct"/>
            <w:vAlign w:val="center"/>
          </w:tcPr>
          <w:p w14:paraId="74DF7DC4">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3CE8BEE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86" w:type="pct"/>
            <w:vAlign w:val="center"/>
          </w:tcPr>
          <w:p w14:paraId="47EFFFE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585</w:t>
            </w:r>
          </w:p>
        </w:tc>
        <w:tc>
          <w:tcPr>
            <w:tcW w:w="282" w:type="pct"/>
            <w:vAlign w:val="center"/>
          </w:tcPr>
          <w:p w14:paraId="5D38266A">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4E269BE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63" w:type="pct"/>
            <w:vAlign w:val="center"/>
          </w:tcPr>
          <w:p w14:paraId="3A36EBB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163</w:t>
            </w:r>
          </w:p>
        </w:tc>
        <w:tc>
          <w:tcPr>
            <w:tcW w:w="282" w:type="pct"/>
            <w:vAlign w:val="center"/>
          </w:tcPr>
          <w:p w14:paraId="67FEAC2A">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301FC6C9">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5" w:type="pct"/>
            <w:vAlign w:val="center"/>
          </w:tcPr>
          <w:p w14:paraId="4E19ECB4">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color w:val="auto"/>
                <w:szCs w:val="21"/>
              </w:rPr>
              <w:t>1330</w:t>
            </w:r>
          </w:p>
        </w:tc>
        <w:tc>
          <w:tcPr>
            <w:tcW w:w="282" w:type="pct"/>
            <w:vAlign w:val="center"/>
          </w:tcPr>
          <w:p w14:paraId="539A8D81">
            <w:pPr>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w:t>
            </w:r>
          </w:p>
        </w:tc>
        <w:tc>
          <w:tcPr>
            <w:tcW w:w="233" w:type="pct"/>
            <w:vAlign w:val="center"/>
          </w:tcPr>
          <w:p w14:paraId="6B337F1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05" w:type="pct"/>
            <w:vAlign w:val="center"/>
          </w:tcPr>
          <w:p w14:paraId="319F0DB7">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bCs/>
                <w:color w:val="auto"/>
                <w:szCs w:val="21"/>
              </w:rPr>
              <w:t>817</w:t>
            </w:r>
          </w:p>
        </w:tc>
        <w:tc>
          <w:tcPr>
            <w:tcW w:w="335" w:type="pct"/>
            <w:vAlign w:val="center"/>
          </w:tcPr>
          <w:p w14:paraId="3DDDEB3D">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0596612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0CAAAC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4FAD51D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33</w:t>
            </w:r>
          </w:p>
        </w:tc>
        <w:tc>
          <w:tcPr>
            <w:tcW w:w="393" w:type="pct"/>
            <w:vAlign w:val="center"/>
          </w:tcPr>
          <w:p w14:paraId="472A47C1">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K</w:t>
            </w:r>
            <w:r>
              <w:rPr>
                <w:rFonts w:hint="eastAsia" w:ascii="宋体" w:hAnsi="宋体" w:cs="宋体"/>
                <w:color w:val="auto"/>
                <w:kern w:val="0"/>
                <w:szCs w:val="21"/>
                <w:vertAlign w:val="superscript"/>
              </w:rPr>
              <w:t>+</w:t>
            </w:r>
          </w:p>
        </w:tc>
        <w:tc>
          <w:tcPr>
            <w:tcW w:w="357" w:type="pct"/>
            <w:vAlign w:val="center"/>
          </w:tcPr>
          <w:p w14:paraId="3C0F80F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1" w:type="pct"/>
            <w:vAlign w:val="center"/>
          </w:tcPr>
          <w:p w14:paraId="39D46DDC">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2.13</w:t>
            </w:r>
          </w:p>
        </w:tc>
        <w:tc>
          <w:tcPr>
            <w:tcW w:w="275" w:type="pct"/>
            <w:vAlign w:val="center"/>
          </w:tcPr>
          <w:p w14:paraId="258765BE">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5656F52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86" w:type="pct"/>
            <w:vAlign w:val="center"/>
          </w:tcPr>
          <w:p w14:paraId="6108A04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2.99</w:t>
            </w:r>
          </w:p>
        </w:tc>
        <w:tc>
          <w:tcPr>
            <w:tcW w:w="282" w:type="pct"/>
            <w:vAlign w:val="center"/>
          </w:tcPr>
          <w:p w14:paraId="22FAABD3">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059E8F2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63" w:type="pct"/>
            <w:vAlign w:val="center"/>
          </w:tcPr>
          <w:p w14:paraId="2EE77CC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0.58</w:t>
            </w:r>
          </w:p>
        </w:tc>
        <w:tc>
          <w:tcPr>
            <w:tcW w:w="282" w:type="pct"/>
            <w:vAlign w:val="center"/>
          </w:tcPr>
          <w:p w14:paraId="01AB9AF2">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2F63DA8E">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5" w:type="pct"/>
            <w:vAlign w:val="center"/>
          </w:tcPr>
          <w:p w14:paraId="24C44C9C">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bCs/>
                <w:color w:val="auto"/>
                <w:szCs w:val="21"/>
              </w:rPr>
              <w:t>5.03</w:t>
            </w:r>
          </w:p>
        </w:tc>
        <w:tc>
          <w:tcPr>
            <w:tcW w:w="282" w:type="pct"/>
            <w:vAlign w:val="center"/>
          </w:tcPr>
          <w:p w14:paraId="19BBD10B">
            <w:pPr>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w:t>
            </w:r>
          </w:p>
        </w:tc>
        <w:tc>
          <w:tcPr>
            <w:tcW w:w="233" w:type="pct"/>
            <w:vAlign w:val="center"/>
          </w:tcPr>
          <w:p w14:paraId="554F5AB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05" w:type="pct"/>
            <w:vAlign w:val="center"/>
          </w:tcPr>
          <w:p w14:paraId="60577EB6">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bCs/>
                <w:color w:val="auto"/>
                <w:szCs w:val="21"/>
              </w:rPr>
              <w:t>2.72</w:t>
            </w:r>
          </w:p>
        </w:tc>
        <w:tc>
          <w:tcPr>
            <w:tcW w:w="335" w:type="pct"/>
            <w:vAlign w:val="center"/>
          </w:tcPr>
          <w:p w14:paraId="17A4E55C">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2BFFBAB6">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r w14:paraId="52BF55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61" w:type="pct"/>
            <w:vAlign w:val="center"/>
          </w:tcPr>
          <w:p w14:paraId="0A999FC4">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34</w:t>
            </w:r>
          </w:p>
        </w:tc>
        <w:tc>
          <w:tcPr>
            <w:tcW w:w="393" w:type="pct"/>
            <w:vAlign w:val="center"/>
          </w:tcPr>
          <w:p w14:paraId="4292E3C4">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Mg</w:t>
            </w:r>
            <w:r>
              <w:rPr>
                <w:rFonts w:hint="eastAsia" w:ascii="宋体" w:hAnsi="宋体" w:cs="宋体"/>
                <w:color w:val="auto"/>
                <w:kern w:val="0"/>
                <w:szCs w:val="21"/>
                <w:vertAlign w:val="superscript"/>
              </w:rPr>
              <w:t>2+</w:t>
            </w:r>
          </w:p>
        </w:tc>
        <w:tc>
          <w:tcPr>
            <w:tcW w:w="357" w:type="pct"/>
            <w:vAlign w:val="center"/>
          </w:tcPr>
          <w:p w14:paraId="1838AD93">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1" w:type="pct"/>
            <w:vAlign w:val="center"/>
          </w:tcPr>
          <w:p w14:paraId="51678BE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12.8</w:t>
            </w:r>
          </w:p>
        </w:tc>
        <w:tc>
          <w:tcPr>
            <w:tcW w:w="275" w:type="pct"/>
            <w:vAlign w:val="center"/>
          </w:tcPr>
          <w:p w14:paraId="0C703E1F">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5" w:type="pct"/>
            <w:vAlign w:val="center"/>
          </w:tcPr>
          <w:p w14:paraId="490BED2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86" w:type="pct"/>
            <w:vAlign w:val="center"/>
          </w:tcPr>
          <w:p w14:paraId="6994B180">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7.94</w:t>
            </w:r>
          </w:p>
        </w:tc>
        <w:tc>
          <w:tcPr>
            <w:tcW w:w="282" w:type="pct"/>
            <w:vAlign w:val="center"/>
          </w:tcPr>
          <w:p w14:paraId="086A6348">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29" w:type="pct"/>
            <w:vAlign w:val="center"/>
          </w:tcPr>
          <w:p w14:paraId="746F643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63" w:type="pct"/>
            <w:vAlign w:val="center"/>
          </w:tcPr>
          <w:p w14:paraId="7064B8D8">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3.04</w:t>
            </w:r>
          </w:p>
        </w:tc>
        <w:tc>
          <w:tcPr>
            <w:tcW w:w="282" w:type="pct"/>
            <w:vAlign w:val="center"/>
          </w:tcPr>
          <w:p w14:paraId="63142416">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48" w:type="pct"/>
            <w:vAlign w:val="center"/>
          </w:tcPr>
          <w:p w14:paraId="16B9564F">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5" w:type="pct"/>
            <w:vAlign w:val="center"/>
          </w:tcPr>
          <w:p w14:paraId="5F30C0E8">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bCs/>
                <w:color w:val="auto"/>
                <w:szCs w:val="21"/>
              </w:rPr>
              <w:t>99.4</w:t>
            </w:r>
          </w:p>
        </w:tc>
        <w:tc>
          <w:tcPr>
            <w:tcW w:w="282" w:type="pct"/>
            <w:vAlign w:val="center"/>
          </w:tcPr>
          <w:p w14:paraId="6C656490">
            <w:pPr>
              <w:adjustRightInd w:val="0"/>
              <w:snapToGrid w:val="0"/>
              <w:spacing w:line="300" w:lineRule="exact"/>
              <w:jc w:val="center"/>
              <w:rPr>
                <w:rFonts w:hint="eastAsia" w:ascii="宋体" w:hAnsi="宋体" w:cs="宋体"/>
                <w:bCs/>
                <w:color w:val="auto"/>
                <w:szCs w:val="21"/>
              </w:rPr>
            </w:pPr>
            <w:r>
              <w:rPr>
                <w:rFonts w:hint="eastAsia" w:ascii="宋体" w:hAnsi="宋体" w:cs="宋体"/>
                <w:color w:val="auto"/>
                <w:kern w:val="0"/>
                <w:szCs w:val="21"/>
              </w:rPr>
              <w:t>/</w:t>
            </w:r>
          </w:p>
        </w:tc>
        <w:tc>
          <w:tcPr>
            <w:tcW w:w="233" w:type="pct"/>
            <w:vAlign w:val="center"/>
          </w:tcPr>
          <w:p w14:paraId="08CFD1D1">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305" w:type="pct"/>
            <w:vAlign w:val="center"/>
          </w:tcPr>
          <w:p w14:paraId="27B0E8D0">
            <w:pPr>
              <w:widowControl/>
              <w:adjustRightInd w:val="0"/>
              <w:snapToGrid w:val="0"/>
              <w:spacing w:line="300" w:lineRule="exact"/>
              <w:jc w:val="center"/>
              <w:textAlignment w:val="bottom"/>
              <w:rPr>
                <w:rFonts w:hint="eastAsia" w:ascii="宋体" w:hAnsi="宋体" w:cs="宋体"/>
                <w:bCs/>
                <w:color w:val="auto"/>
                <w:szCs w:val="21"/>
              </w:rPr>
            </w:pPr>
            <w:r>
              <w:rPr>
                <w:rFonts w:hint="eastAsia" w:ascii="宋体" w:hAnsi="宋体" w:cs="宋体"/>
                <w:bCs/>
                <w:color w:val="auto"/>
                <w:szCs w:val="21"/>
              </w:rPr>
              <w:t>48.7</w:t>
            </w:r>
          </w:p>
        </w:tc>
        <w:tc>
          <w:tcPr>
            <w:tcW w:w="335" w:type="pct"/>
            <w:vAlign w:val="center"/>
          </w:tcPr>
          <w:p w14:paraId="48E03BA5">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c>
          <w:tcPr>
            <w:tcW w:w="270" w:type="pct"/>
            <w:vAlign w:val="center"/>
          </w:tcPr>
          <w:p w14:paraId="5D5CF8BD">
            <w:pPr>
              <w:widowControl/>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w:t>
            </w:r>
          </w:p>
        </w:tc>
      </w:tr>
    </w:tbl>
    <w:p w14:paraId="1145F68F">
      <w:pPr>
        <w:adjustRightInd w:val="0"/>
        <w:snapToGrid w:val="0"/>
        <w:spacing w:line="500" w:lineRule="exact"/>
        <w:ind w:firstLine="480" w:firstLineChars="200"/>
        <w:rPr>
          <w:rStyle w:val="208"/>
          <w:rFonts w:hint="eastAsia"/>
          <w:color w:val="auto"/>
        </w:rPr>
      </w:pPr>
    </w:p>
    <w:p w14:paraId="44108E56">
      <w:pPr>
        <w:adjustRightInd w:val="0"/>
        <w:snapToGrid w:val="0"/>
        <w:spacing w:line="500" w:lineRule="exact"/>
        <w:ind w:firstLine="480" w:firstLineChars="200"/>
        <w:rPr>
          <w:rStyle w:val="208"/>
          <w:rFonts w:hint="eastAsia"/>
          <w:color w:val="auto"/>
        </w:rPr>
        <w:sectPr>
          <w:headerReference r:id="rId15" w:type="default"/>
          <w:pgSz w:w="16838" w:h="11906" w:orient="landscape"/>
          <w:pgMar w:top="1588" w:right="1418" w:bottom="1588" w:left="1418" w:header="1020" w:footer="1020" w:gutter="0"/>
          <w:cols w:space="720" w:num="1"/>
          <w:docGrid w:type="lines" w:linePitch="312" w:charSpace="0"/>
        </w:sectPr>
      </w:pPr>
    </w:p>
    <w:bookmarkEnd w:id="583"/>
    <w:p w14:paraId="4A315089">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声环境质量现状调查与评价</w:t>
      </w:r>
    </w:p>
    <w:p w14:paraId="60EB62B2">
      <w:pPr>
        <w:spacing w:line="500" w:lineRule="exact"/>
        <w:ind w:firstLine="480" w:firstLineChars="200"/>
        <w:rPr>
          <w:rFonts w:hint="eastAsia" w:ascii="宋体" w:hAnsi="宋体"/>
          <w:bCs/>
          <w:color w:val="auto"/>
          <w:sz w:val="24"/>
        </w:rPr>
      </w:pPr>
      <w:r>
        <w:rPr>
          <w:rFonts w:hint="eastAsia" w:ascii="宋体" w:hAnsi="宋体"/>
          <w:bCs/>
          <w:color w:val="auto"/>
          <w:sz w:val="24"/>
        </w:rPr>
        <w:t>（1）监测点位</w:t>
      </w:r>
    </w:p>
    <w:p w14:paraId="41363914">
      <w:pPr>
        <w:spacing w:line="500" w:lineRule="exact"/>
        <w:ind w:firstLine="480" w:firstLineChars="200"/>
        <w:rPr>
          <w:rFonts w:hint="eastAsia" w:ascii="宋体" w:hAnsi="宋体"/>
          <w:bCs/>
          <w:color w:val="auto"/>
          <w:sz w:val="24"/>
        </w:rPr>
      </w:pPr>
      <w:r>
        <w:rPr>
          <w:rFonts w:hint="eastAsia" w:ascii="宋体" w:hAnsi="宋体"/>
          <w:bCs/>
          <w:color w:val="auto"/>
          <w:sz w:val="24"/>
        </w:rPr>
        <w:t>在莫172H井和充装区厂界四周各布设1个监测点，共布设8个监测点，坐标见表</w:t>
      </w:r>
      <w:r>
        <w:rPr>
          <w:rFonts w:ascii="宋体" w:hAnsi="宋体"/>
          <w:bCs/>
          <w:color w:val="auto"/>
          <w:sz w:val="24"/>
        </w:rPr>
        <w:t>4.3</w:t>
      </w:r>
      <w:r>
        <w:rPr>
          <w:rFonts w:hint="eastAsia" w:ascii="宋体" w:hAnsi="宋体"/>
          <w:bCs/>
          <w:color w:val="auto"/>
          <w:sz w:val="24"/>
        </w:rPr>
        <w:t>-7和图4.3-1。</w:t>
      </w:r>
      <w:bookmarkStart w:id="585" w:name="_Ref78400708"/>
    </w:p>
    <w:bookmarkEnd w:id="585"/>
    <w:p w14:paraId="58389C1D">
      <w:pPr>
        <w:pStyle w:val="15"/>
        <w:rPr>
          <w:rFonts w:hint="eastAsia"/>
          <w:bCs/>
          <w:color w:val="auto"/>
        </w:rPr>
      </w:pPr>
      <w:r>
        <w:rPr>
          <w:rFonts w:hint="eastAsia"/>
          <w:bCs/>
          <w:color w:val="auto"/>
        </w:rPr>
        <w:t>表</w:t>
      </w:r>
      <w:r>
        <w:rPr>
          <w:bCs/>
          <w:color w:val="auto"/>
        </w:rPr>
        <w:t>4.3</w:t>
      </w:r>
      <w:r>
        <w:rPr>
          <w:rFonts w:hint="eastAsia"/>
          <w:bCs/>
          <w:color w:val="auto"/>
        </w:rPr>
        <w:t>-7  噪声监测点坐标一览表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4"/>
        <w:gridCol w:w="1042"/>
        <w:gridCol w:w="1294"/>
        <w:gridCol w:w="2958"/>
        <w:gridCol w:w="2888"/>
      </w:tblGrid>
      <w:tr w14:paraId="180A81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pct"/>
            <w:vMerge w:val="restart"/>
            <w:vAlign w:val="center"/>
          </w:tcPr>
          <w:p w14:paraId="0EC9FB4D">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序号</w:t>
            </w:r>
          </w:p>
        </w:tc>
        <w:tc>
          <w:tcPr>
            <w:tcW w:w="1305" w:type="pct"/>
            <w:gridSpan w:val="2"/>
            <w:vMerge w:val="restart"/>
            <w:vAlign w:val="center"/>
          </w:tcPr>
          <w:p w14:paraId="75BA68A0">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监测点描述</w:t>
            </w:r>
          </w:p>
        </w:tc>
        <w:tc>
          <w:tcPr>
            <w:tcW w:w="3267" w:type="pct"/>
            <w:gridSpan w:val="2"/>
            <w:vAlign w:val="center"/>
          </w:tcPr>
          <w:p w14:paraId="0B4CB00C">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坐标</w:t>
            </w:r>
          </w:p>
        </w:tc>
      </w:tr>
      <w:tr w14:paraId="02795F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pct"/>
            <w:vMerge w:val="continue"/>
            <w:vAlign w:val="center"/>
          </w:tcPr>
          <w:p w14:paraId="66231760">
            <w:pPr>
              <w:adjustRightInd w:val="0"/>
              <w:snapToGrid w:val="0"/>
              <w:spacing w:line="300" w:lineRule="exact"/>
              <w:jc w:val="center"/>
              <w:rPr>
                <w:rFonts w:hint="eastAsia" w:ascii="宋体" w:hAnsi="宋体" w:cs="宋体"/>
                <w:color w:val="auto"/>
                <w:kern w:val="0"/>
                <w:szCs w:val="21"/>
              </w:rPr>
            </w:pPr>
          </w:p>
        </w:tc>
        <w:tc>
          <w:tcPr>
            <w:tcW w:w="1305" w:type="pct"/>
            <w:gridSpan w:val="2"/>
            <w:vMerge w:val="continue"/>
            <w:vAlign w:val="center"/>
          </w:tcPr>
          <w:p w14:paraId="6B449FA7">
            <w:pPr>
              <w:adjustRightInd w:val="0"/>
              <w:snapToGrid w:val="0"/>
              <w:spacing w:line="300" w:lineRule="exact"/>
              <w:jc w:val="center"/>
              <w:rPr>
                <w:rFonts w:hint="eastAsia" w:ascii="宋体" w:hAnsi="宋体" w:cs="宋体"/>
                <w:color w:val="auto"/>
                <w:kern w:val="0"/>
                <w:szCs w:val="21"/>
              </w:rPr>
            </w:pPr>
          </w:p>
        </w:tc>
        <w:tc>
          <w:tcPr>
            <w:tcW w:w="1653" w:type="pct"/>
            <w:vAlign w:val="center"/>
          </w:tcPr>
          <w:p w14:paraId="42ADCB72">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N</w:t>
            </w:r>
          </w:p>
        </w:tc>
        <w:tc>
          <w:tcPr>
            <w:tcW w:w="1614" w:type="pct"/>
            <w:vAlign w:val="center"/>
          </w:tcPr>
          <w:p w14:paraId="20629EF8">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E</w:t>
            </w:r>
          </w:p>
        </w:tc>
      </w:tr>
      <w:tr w14:paraId="60B59C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pct"/>
            <w:vAlign w:val="center"/>
          </w:tcPr>
          <w:p w14:paraId="0557F938">
            <w:pPr>
              <w:adjustRightInd w:val="0"/>
              <w:snapToGrid w:val="0"/>
              <w:spacing w:line="300" w:lineRule="exact"/>
              <w:jc w:val="center"/>
              <w:rPr>
                <w:rFonts w:hint="eastAsia" w:ascii="宋体" w:hAnsi="宋体" w:cs="宋体"/>
                <w:color w:val="auto"/>
                <w:kern w:val="0"/>
                <w:szCs w:val="21"/>
              </w:rPr>
            </w:pPr>
            <w:bookmarkStart w:id="586" w:name="_Hlk219990893"/>
            <w:r>
              <w:rPr>
                <w:rFonts w:hint="eastAsia" w:ascii="宋体" w:hAnsi="宋体" w:cs="宋体"/>
                <w:color w:val="auto"/>
                <w:kern w:val="0"/>
                <w:szCs w:val="21"/>
              </w:rPr>
              <w:t>Z1</w:t>
            </w:r>
          </w:p>
        </w:tc>
        <w:tc>
          <w:tcPr>
            <w:tcW w:w="582" w:type="pct"/>
            <w:vMerge w:val="restart"/>
            <w:vAlign w:val="center"/>
          </w:tcPr>
          <w:p w14:paraId="1B008183">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莫172H井</w:t>
            </w:r>
          </w:p>
        </w:tc>
        <w:tc>
          <w:tcPr>
            <w:tcW w:w="722" w:type="pct"/>
            <w:vAlign w:val="center"/>
          </w:tcPr>
          <w:p w14:paraId="7D75307B">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东侧</w:t>
            </w:r>
          </w:p>
        </w:tc>
        <w:tc>
          <w:tcPr>
            <w:tcW w:w="1653" w:type="pct"/>
            <w:vAlign w:val="center"/>
          </w:tcPr>
          <w:p w14:paraId="13D1CE98">
            <w:pPr>
              <w:adjustRightInd w:val="0"/>
              <w:snapToGrid w:val="0"/>
              <w:spacing w:line="300" w:lineRule="exact"/>
              <w:jc w:val="center"/>
              <w:rPr>
                <w:rFonts w:hint="eastAsia" w:ascii="宋体" w:hAnsi="宋体" w:cs="宋体"/>
                <w:color w:val="auto"/>
                <w:kern w:val="0"/>
                <w:szCs w:val="21"/>
              </w:rPr>
            </w:pPr>
            <w:r>
              <w:rPr>
                <w:rFonts w:ascii="宋体" w:hAnsi="宋体" w:cs="宋体"/>
                <w:color w:val="auto"/>
                <w:kern w:val="0"/>
                <w:szCs w:val="21"/>
              </w:rPr>
              <w:t>45°8'8.63</w:t>
            </w:r>
            <w:r>
              <w:rPr>
                <w:rFonts w:hint="eastAsia" w:ascii="宋体" w:hAnsi="宋体" w:cs="宋体"/>
                <w:color w:val="auto"/>
                <w:kern w:val="0"/>
                <w:szCs w:val="21"/>
              </w:rPr>
              <w:t>2</w:t>
            </w:r>
            <w:r>
              <w:rPr>
                <w:rFonts w:ascii="宋体" w:hAnsi="宋体" w:cs="宋体"/>
                <w:color w:val="auto"/>
                <w:kern w:val="0"/>
                <w:szCs w:val="21"/>
              </w:rPr>
              <w:t>"</w:t>
            </w:r>
          </w:p>
        </w:tc>
        <w:tc>
          <w:tcPr>
            <w:tcW w:w="1614" w:type="pct"/>
            <w:vAlign w:val="center"/>
          </w:tcPr>
          <w:p w14:paraId="72EF484D">
            <w:pPr>
              <w:adjustRightInd w:val="0"/>
              <w:snapToGrid w:val="0"/>
              <w:spacing w:line="300" w:lineRule="exact"/>
              <w:jc w:val="center"/>
              <w:rPr>
                <w:rFonts w:hint="eastAsia" w:ascii="宋体" w:hAnsi="宋体" w:cs="宋体"/>
                <w:color w:val="auto"/>
                <w:kern w:val="0"/>
                <w:szCs w:val="21"/>
              </w:rPr>
            </w:pPr>
            <w:r>
              <w:rPr>
                <w:rFonts w:ascii="宋体" w:hAnsi="宋体" w:cs="宋体"/>
                <w:color w:val="auto"/>
                <w:kern w:val="0"/>
                <w:szCs w:val="21"/>
              </w:rPr>
              <w:t xml:space="preserve"> 86°27'57.743"</w:t>
            </w:r>
          </w:p>
        </w:tc>
      </w:tr>
      <w:tr w14:paraId="24B002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pct"/>
            <w:vAlign w:val="center"/>
          </w:tcPr>
          <w:p w14:paraId="324DFF07">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Z2</w:t>
            </w:r>
          </w:p>
        </w:tc>
        <w:tc>
          <w:tcPr>
            <w:tcW w:w="582" w:type="pct"/>
            <w:vMerge w:val="continue"/>
            <w:vAlign w:val="center"/>
          </w:tcPr>
          <w:p w14:paraId="753D881B">
            <w:pPr>
              <w:adjustRightInd w:val="0"/>
              <w:snapToGrid w:val="0"/>
              <w:spacing w:line="300" w:lineRule="exact"/>
              <w:jc w:val="center"/>
              <w:rPr>
                <w:rFonts w:hint="eastAsia" w:ascii="宋体" w:hAnsi="宋体" w:cs="宋体"/>
                <w:color w:val="auto"/>
                <w:kern w:val="0"/>
                <w:szCs w:val="21"/>
              </w:rPr>
            </w:pPr>
          </w:p>
        </w:tc>
        <w:tc>
          <w:tcPr>
            <w:tcW w:w="722" w:type="pct"/>
            <w:vAlign w:val="center"/>
          </w:tcPr>
          <w:p w14:paraId="549B687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西侧</w:t>
            </w:r>
          </w:p>
        </w:tc>
        <w:tc>
          <w:tcPr>
            <w:tcW w:w="1653" w:type="pct"/>
            <w:vAlign w:val="center"/>
          </w:tcPr>
          <w:p w14:paraId="6903BCC0">
            <w:pPr>
              <w:adjustRightInd w:val="0"/>
              <w:snapToGrid w:val="0"/>
              <w:spacing w:line="300" w:lineRule="exact"/>
              <w:jc w:val="center"/>
              <w:rPr>
                <w:rFonts w:hint="eastAsia" w:ascii="宋体" w:hAnsi="宋体" w:cs="宋体"/>
                <w:color w:val="auto"/>
                <w:kern w:val="0"/>
                <w:szCs w:val="21"/>
              </w:rPr>
            </w:pPr>
            <w:r>
              <w:rPr>
                <w:rFonts w:ascii="宋体" w:hAnsi="宋体" w:cs="宋体"/>
                <w:color w:val="auto"/>
                <w:kern w:val="0"/>
                <w:szCs w:val="21"/>
              </w:rPr>
              <w:t>45°8'9.183"</w:t>
            </w:r>
          </w:p>
        </w:tc>
        <w:tc>
          <w:tcPr>
            <w:tcW w:w="1614" w:type="pct"/>
            <w:vAlign w:val="center"/>
          </w:tcPr>
          <w:p w14:paraId="4F6D06F0">
            <w:pPr>
              <w:adjustRightInd w:val="0"/>
              <w:snapToGrid w:val="0"/>
              <w:spacing w:line="300" w:lineRule="exact"/>
              <w:jc w:val="center"/>
              <w:rPr>
                <w:rFonts w:hint="eastAsia" w:ascii="宋体" w:hAnsi="宋体" w:cs="宋体"/>
                <w:color w:val="auto"/>
                <w:kern w:val="0"/>
                <w:szCs w:val="21"/>
              </w:rPr>
            </w:pPr>
            <w:r>
              <w:rPr>
                <w:rFonts w:ascii="宋体" w:hAnsi="宋体" w:cs="宋体"/>
                <w:color w:val="auto"/>
                <w:kern w:val="0"/>
                <w:szCs w:val="21"/>
              </w:rPr>
              <w:t>86°27'55.270"</w:t>
            </w:r>
          </w:p>
        </w:tc>
      </w:tr>
      <w:tr w14:paraId="7A6CA6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pct"/>
            <w:vAlign w:val="center"/>
          </w:tcPr>
          <w:p w14:paraId="0F55FB87">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Z3</w:t>
            </w:r>
          </w:p>
        </w:tc>
        <w:tc>
          <w:tcPr>
            <w:tcW w:w="582" w:type="pct"/>
            <w:vMerge w:val="continue"/>
            <w:vAlign w:val="center"/>
          </w:tcPr>
          <w:p w14:paraId="709F278E">
            <w:pPr>
              <w:adjustRightInd w:val="0"/>
              <w:snapToGrid w:val="0"/>
              <w:spacing w:line="300" w:lineRule="exact"/>
              <w:jc w:val="center"/>
              <w:rPr>
                <w:rFonts w:hint="eastAsia" w:ascii="宋体" w:hAnsi="宋体" w:cs="宋体"/>
                <w:color w:val="auto"/>
                <w:kern w:val="0"/>
                <w:szCs w:val="21"/>
              </w:rPr>
            </w:pPr>
          </w:p>
        </w:tc>
        <w:tc>
          <w:tcPr>
            <w:tcW w:w="722" w:type="pct"/>
            <w:vAlign w:val="center"/>
          </w:tcPr>
          <w:p w14:paraId="24BD77A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南侧</w:t>
            </w:r>
          </w:p>
        </w:tc>
        <w:tc>
          <w:tcPr>
            <w:tcW w:w="1653" w:type="pct"/>
            <w:vAlign w:val="center"/>
          </w:tcPr>
          <w:p w14:paraId="13A458A7">
            <w:pPr>
              <w:adjustRightInd w:val="0"/>
              <w:snapToGrid w:val="0"/>
              <w:spacing w:line="300" w:lineRule="exact"/>
              <w:jc w:val="center"/>
              <w:rPr>
                <w:rFonts w:hint="eastAsia" w:ascii="宋体" w:hAnsi="宋体" w:cs="宋体"/>
                <w:color w:val="auto"/>
                <w:kern w:val="0"/>
                <w:szCs w:val="21"/>
              </w:rPr>
            </w:pPr>
            <w:r>
              <w:rPr>
                <w:rFonts w:ascii="宋体" w:hAnsi="宋体" w:cs="宋体"/>
                <w:color w:val="auto"/>
                <w:kern w:val="0"/>
                <w:szCs w:val="21"/>
              </w:rPr>
              <w:t>45°8'8.213"</w:t>
            </w:r>
          </w:p>
        </w:tc>
        <w:tc>
          <w:tcPr>
            <w:tcW w:w="1614" w:type="pct"/>
            <w:vAlign w:val="center"/>
          </w:tcPr>
          <w:p w14:paraId="22E9B25F">
            <w:pPr>
              <w:adjustRightInd w:val="0"/>
              <w:snapToGrid w:val="0"/>
              <w:spacing w:line="300" w:lineRule="exact"/>
              <w:jc w:val="center"/>
              <w:rPr>
                <w:rFonts w:hint="eastAsia" w:ascii="宋体" w:hAnsi="宋体" w:cs="宋体"/>
                <w:color w:val="auto"/>
                <w:kern w:val="0"/>
                <w:szCs w:val="21"/>
              </w:rPr>
            </w:pPr>
            <w:r>
              <w:rPr>
                <w:rFonts w:ascii="宋体" w:hAnsi="宋体" w:cs="宋体"/>
                <w:color w:val="auto"/>
                <w:kern w:val="0"/>
                <w:szCs w:val="21"/>
              </w:rPr>
              <w:t>86°27'56.367"</w:t>
            </w:r>
          </w:p>
        </w:tc>
      </w:tr>
      <w:tr w14:paraId="35C43C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pct"/>
            <w:vAlign w:val="center"/>
          </w:tcPr>
          <w:p w14:paraId="3544FA9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Z4</w:t>
            </w:r>
          </w:p>
        </w:tc>
        <w:tc>
          <w:tcPr>
            <w:tcW w:w="582" w:type="pct"/>
            <w:vMerge w:val="continue"/>
            <w:vAlign w:val="center"/>
          </w:tcPr>
          <w:p w14:paraId="324E8EEF">
            <w:pPr>
              <w:adjustRightInd w:val="0"/>
              <w:snapToGrid w:val="0"/>
              <w:spacing w:line="300" w:lineRule="exact"/>
              <w:jc w:val="center"/>
              <w:rPr>
                <w:rFonts w:hint="eastAsia" w:ascii="宋体" w:hAnsi="宋体" w:cs="宋体"/>
                <w:color w:val="auto"/>
                <w:kern w:val="0"/>
                <w:szCs w:val="21"/>
              </w:rPr>
            </w:pPr>
          </w:p>
        </w:tc>
        <w:tc>
          <w:tcPr>
            <w:tcW w:w="722" w:type="pct"/>
            <w:vAlign w:val="center"/>
          </w:tcPr>
          <w:p w14:paraId="0ACE2804">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北侧</w:t>
            </w:r>
          </w:p>
        </w:tc>
        <w:tc>
          <w:tcPr>
            <w:tcW w:w="1653" w:type="pct"/>
            <w:vAlign w:val="center"/>
          </w:tcPr>
          <w:p w14:paraId="21E1D5FB">
            <w:pPr>
              <w:adjustRightInd w:val="0"/>
              <w:snapToGrid w:val="0"/>
              <w:spacing w:line="300" w:lineRule="exact"/>
              <w:jc w:val="center"/>
              <w:rPr>
                <w:rFonts w:hint="eastAsia" w:ascii="宋体" w:hAnsi="宋体" w:cs="宋体"/>
                <w:color w:val="auto"/>
                <w:kern w:val="0"/>
                <w:szCs w:val="21"/>
              </w:rPr>
            </w:pPr>
            <w:r>
              <w:rPr>
                <w:rFonts w:ascii="宋体" w:hAnsi="宋体" w:cs="宋体"/>
                <w:color w:val="auto"/>
                <w:kern w:val="0"/>
                <w:szCs w:val="21"/>
              </w:rPr>
              <w:t>45°8'9.452"</w:t>
            </w:r>
          </w:p>
        </w:tc>
        <w:tc>
          <w:tcPr>
            <w:tcW w:w="1614" w:type="pct"/>
            <w:vAlign w:val="center"/>
          </w:tcPr>
          <w:p w14:paraId="6FDABE52">
            <w:pPr>
              <w:adjustRightInd w:val="0"/>
              <w:snapToGrid w:val="0"/>
              <w:spacing w:line="300" w:lineRule="exact"/>
              <w:jc w:val="center"/>
              <w:rPr>
                <w:rFonts w:hint="eastAsia" w:ascii="宋体" w:hAnsi="宋体" w:cs="宋体"/>
                <w:color w:val="auto"/>
                <w:kern w:val="0"/>
                <w:szCs w:val="21"/>
              </w:rPr>
            </w:pPr>
            <w:r>
              <w:rPr>
                <w:rFonts w:ascii="宋体" w:hAnsi="宋体" w:cs="宋体"/>
                <w:color w:val="auto"/>
                <w:kern w:val="0"/>
                <w:szCs w:val="21"/>
              </w:rPr>
              <w:t>86°27'56.925"</w:t>
            </w:r>
          </w:p>
        </w:tc>
      </w:tr>
      <w:tr w14:paraId="3EF352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pct"/>
            <w:vAlign w:val="center"/>
          </w:tcPr>
          <w:p w14:paraId="4446B72A">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Z5</w:t>
            </w:r>
          </w:p>
        </w:tc>
        <w:tc>
          <w:tcPr>
            <w:tcW w:w="582" w:type="pct"/>
            <w:vMerge w:val="restart"/>
            <w:vAlign w:val="center"/>
          </w:tcPr>
          <w:p w14:paraId="67ED8E0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充装区</w:t>
            </w:r>
          </w:p>
        </w:tc>
        <w:tc>
          <w:tcPr>
            <w:tcW w:w="722" w:type="pct"/>
            <w:vAlign w:val="center"/>
          </w:tcPr>
          <w:p w14:paraId="1F6EEFEC">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东侧</w:t>
            </w:r>
          </w:p>
        </w:tc>
        <w:tc>
          <w:tcPr>
            <w:tcW w:w="1653" w:type="pct"/>
            <w:vAlign w:val="center"/>
          </w:tcPr>
          <w:p w14:paraId="7DF705D9">
            <w:pPr>
              <w:adjustRightInd w:val="0"/>
              <w:snapToGrid w:val="0"/>
              <w:spacing w:line="300" w:lineRule="exact"/>
              <w:jc w:val="center"/>
              <w:rPr>
                <w:rFonts w:hint="eastAsia" w:ascii="宋体" w:hAnsi="宋体" w:cs="宋体"/>
                <w:color w:val="auto"/>
                <w:kern w:val="0"/>
                <w:szCs w:val="21"/>
              </w:rPr>
            </w:pPr>
            <w:r>
              <w:rPr>
                <w:rFonts w:ascii="宋体" w:hAnsi="宋体" w:cs="宋体"/>
                <w:color w:val="auto"/>
                <w:kern w:val="0"/>
                <w:szCs w:val="21"/>
              </w:rPr>
              <w:t>45°8'11.160"</w:t>
            </w:r>
          </w:p>
        </w:tc>
        <w:tc>
          <w:tcPr>
            <w:tcW w:w="1614" w:type="pct"/>
            <w:vAlign w:val="center"/>
          </w:tcPr>
          <w:p w14:paraId="08A8633A">
            <w:pPr>
              <w:adjustRightInd w:val="0"/>
              <w:snapToGrid w:val="0"/>
              <w:spacing w:line="300" w:lineRule="exact"/>
              <w:jc w:val="center"/>
              <w:rPr>
                <w:rFonts w:hint="eastAsia" w:ascii="宋体" w:hAnsi="宋体" w:cs="宋体"/>
                <w:color w:val="auto"/>
                <w:kern w:val="0"/>
                <w:szCs w:val="21"/>
              </w:rPr>
            </w:pPr>
            <w:r>
              <w:rPr>
                <w:rFonts w:ascii="宋体" w:hAnsi="宋体" w:cs="宋体"/>
                <w:color w:val="auto"/>
                <w:kern w:val="0"/>
                <w:szCs w:val="21"/>
              </w:rPr>
              <w:t>86°27'57.599"</w:t>
            </w:r>
          </w:p>
        </w:tc>
      </w:tr>
      <w:bookmarkEnd w:id="586"/>
      <w:tr w14:paraId="0DA7A5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pct"/>
            <w:vAlign w:val="center"/>
          </w:tcPr>
          <w:p w14:paraId="17A76B92">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Z6</w:t>
            </w:r>
          </w:p>
        </w:tc>
        <w:tc>
          <w:tcPr>
            <w:tcW w:w="582" w:type="pct"/>
            <w:vMerge w:val="continue"/>
            <w:vAlign w:val="center"/>
          </w:tcPr>
          <w:p w14:paraId="0CD67F5B">
            <w:pPr>
              <w:adjustRightInd w:val="0"/>
              <w:snapToGrid w:val="0"/>
              <w:spacing w:line="300" w:lineRule="exact"/>
              <w:jc w:val="center"/>
              <w:rPr>
                <w:rFonts w:hint="eastAsia" w:ascii="宋体" w:hAnsi="宋体" w:cs="宋体"/>
                <w:color w:val="auto"/>
                <w:kern w:val="0"/>
                <w:szCs w:val="21"/>
              </w:rPr>
            </w:pPr>
          </w:p>
        </w:tc>
        <w:tc>
          <w:tcPr>
            <w:tcW w:w="722" w:type="pct"/>
            <w:vAlign w:val="center"/>
          </w:tcPr>
          <w:p w14:paraId="1BE08C32">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西侧</w:t>
            </w:r>
          </w:p>
        </w:tc>
        <w:tc>
          <w:tcPr>
            <w:tcW w:w="1653" w:type="pct"/>
            <w:vAlign w:val="center"/>
          </w:tcPr>
          <w:p w14:paraId="106F0E3E">
            <w:pPr>
              <w:adjustRightInd w:val="0"/>
              <w:snapToGrid w:val="0"/>
              <w:spacing w:line="300" w:lineRule="exact"/>
              <w:jc w:val="center"/>
              <w:rPr>
                <w:rFonts w:hint="eastAsia" w:ascii="宋体" w:hAnsi="宋体" w:cs="宋体"/>
                <w:color w:val="auto"/>
                <w:kern w:val="0"/>
                <w:szCs w:val="21"/>
              </w:rPr>
            </w:pPr>
            <w:r>
              <w:rPr>
                <w:rFonts w:ascii="宋体" w:hAnsi="宋体" w:cs="宋体"/>
                <w:color w:val="auto"/>
                <w:kern w:val="0"/>
                <w:szCs w:val="21"/>
              </w:rPr>
              <w:t>45°8'11.674"</w:t>
            </w:r>
          </w:p>
        </w:tc>
        <w:tc>
          <w:tcPr>
            <w:tcW w:w="1614" w:type="pct"/>
            <w:vAlign w:val="center"/>
          </w:tcPr>
          <w:p w14:paraId="0F821D38">
            <w:pPr>
              <w:adjustRightInd w:val="0"/>
              <w:snapToGrid w:val="0"/>
              <w:spacing w:line="300" w:lineRule="exact"/>
              <w:jc w:val="center"/>
              <w:rPr>
                <w:rFonts w:hint="eastAsia" w:ascii="宋体" w:hAnsi="宋体" w:cs="宋体"/>
                <w:color w:val="auto"/>
                <w:kern w:val="0"/>
                <w:szCs w:val="21"/>
              </w:rPr>
            </w:pPr>
            <w:r>
              <w:rPr>
                <w:rFonts w:ascii="宋体" w:hAnsi="宋体" w:cs="宋体"/>
                <w:color w:val="auto"/>
                <w:kern w:val="0"/>
                <w:szCs w:val="21"/>
              </w:rPr>
              <w:t>86°27'56.627"</w:t>
            </w:r>
          </w:p>
        </w:tc>
      </w:tr>
      <w:tr w14:paraId="579C37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pct"/>
            <w:vAlign w:val="center"/>
          </w:tcPr>
          <w:p w14:paraId="738F216C">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Z7</w:t>
            </w:r>
          </w:p>
        </w:tc>
        <w:tc>
          <w:tcPr>
            <w:tcW w:w="582" w:type="pct"/>
            <w:vMerge w:val="continue"/>
            <w:vAlign w:val="center"/>
          </w:tcPr>
          <w:p w14:paraId="5502288A">
            <w:pPr>
              <w:adjustRightInd w:val="0"/>
              <w:snapToGrid w:val="0"/>
              <w:spacing w:line="300" w:lineRule="exact"/>
              <w:jc w:val="center"/>
              <w:rPr>
                <w:rFonts w:hint="eastAsia" w:ascii="宋体" w:hAnsi="宋体" w:cs="宋体"/>
                <w:color w:val="auto"/>
                <w:kern w:val="0"/>
                <w:szCs w:val="21"/>
              </w:rPr>
            </w:pPr>
          </w:p>
        </w:tc>
        <w:tc>
          <w:tcPr>
            <w:tcW w:w="722" w:type="pct"/>
            <w:vAlign w:val="center"/>
          </w:tcPr>
          <w:p w14:paraId="4EDA1D2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南侧</w:t>
            </w:r>
          </w:p>
        </w:tc>
        <w:tc>
          <w:tcPr>
            <w:tcW w:w="1653" w:type="pct"/>
            <w:vAlign w:val="center"/>
          </w:tcPr>
          <w:p w14:paraId="209D7E5F">
            <w:pPr>
              <w:adjustRightInd w:val="0"/>
              <w:snapToGrid w:val="0"/>
              <w:spacing w:line="300" w:lineRule="exact"/>
              <w:jc w:val="center"/>
              <w:rPr>
                <w:rFonts w:hint="eastAsia" w:ascii="宋体" w:hAnsi="宋体" w:cs="宋体"/>
                <w:color w:val="auto"/>
                <w:kern w:val="0"/>
                <w:szCs w:val="21"/>
              </w:rPr>
            </w:pPr>
            <w:r>
              <w:rPr>
                <w:rFonts w:ascii="宋体" w:hAnsi="宋体" w:cs="宋体"/>
                <w:color w:val="auto"/>
                <w:kern w:val="0"/>
                <w:szCs w:val="21"/>
              </w:rPr>
              <w:t>45°8'10.978"</w:t>
            </w:r>
          </w:p>
        </w:tc>
        <w:tc>
          <w:tcPr>
            <w:tcW w:w="1614" w:type="pct"/>
            <w:vAlign w:val="center"/>
          </w:tcPr>
          <w:p w14:paraId="5505B922">
            <w:pPr>
              <w:adjustRightInd w:val="0"/>
              <w:snapToGrid w:val="0"/>
              <w:spacing w:line="300" w:lineRule="exact"/>
              <w:jc w:val="center"/>
              <w:rPr>
                <w:rFonts w:hint="eastAsia" w:ascii="宋体" w:hAnsi="宋体" w:cs="宋体"/>
                <w:color w:val="auto"/>
                <w:kern w:val="0"/>
                <w:szCs w:val="21"/>
              </w:rPr>
            </w:pPr>
            <w:r>
              <w:rPr>
                <w:rFonts w:ascii="宋体" w:hAnsi="宋体" w:cs="宋体"/>
                <w:color w:val="auto"/>
                <w:kern w:val="0"/>
                <w:szCs w:val="21"/>
              </w:rPr>
              <w:t>86°27'56.877"</w:t>
            </w:r>
          </w:p>
        </w:tc>
      </w:tr>
      <w:tr w14:paraId="6AA38C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7" w:type="pct"/>
            <w:vAlign w:val="center"/>
          </w:tcPr>
          <w:p w14:paraId="1EFC98EE">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Z8</w:t>
            </w:r>
          </w:p>
        </w:tc>
        <w:tc>
          <w:tcPr>
            <w:tcW w:w="582" w:type="pct"/>
            <w:vMerge w:val="continue"/>
            <w:vAlign w:val="center"/>
          </w:tcPr>
          <w:p w14:paraId="5B839A0E">
            <w:pPr>
              <w:adjustRightInd w:val="0"/>
              <w:snapToGrid w:val="0"/>
              <w:spacing w:line="300" w:lineRule="exact"/>
              <w:jc w:val="center"/>
              <w:rPr>
                <w:rFonts w:hint="eastAsia" w:ascii="宋体" w:hAnsi="宋体" w:cs="宋体"/>
                <w:color w:val="auto"/>
                <w:kern w:val="0"/>
                <w:szCs w:val="21"/>
              </w:rPr>
            </w:pPr>
          </w:p>
        </w:tc>
        <w:tc>
          <w:tcPr>
            <w:tcW w:w="722" w:type="pct"/>
            <w:vAlign w:val="center"/>
          </w:tcPr>
          <w:p w14:paraId="62BA02BF">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北侧</w:t>
            </w:r>
          </w:p>
        </w:tc>
        <w:tc>
          <w:tcPr>
            <w:tcW w:w="1653" w:type="pct"/>
            <w:vAlign w:val="center"/>
          </w:tcPr>
          <w:p w14:paraId="1508364D">
            <w:pPr>
              <w:adjustRightInd w:val="0"/>
              <w:snapToGrid w:val="0"/>
              <w:spacing w:line="300" w:lineRule="exact"/>
              <w:jc w:val="center"/>
              <w:rPr>
                <w:rFonts w:hint="eastAsia" w:ascii="宋体" w:hAnsi="宋体" w:cs="宋体"/>
                <w:color w:val="auto"/>
                <w:kern w:val="0"/>
                <w:szCs w:val="21"/>
              </w:rPr>
            </w:pPr>
            <w:r>
              <w:rPr>
                <w:rFonts w:ascii="宋体" w:hAnsi="宋体" w:cs="宋体"/>
                <w:color w:val="auto"/>
                <w:kern w:val="0"/>
                <w:szCs w:val="21"/>
              </w:rPr>
              <w:t>45°8'11.773"</w:t>
            </w:r>
          </w:p>
        </w:tc>
        <w:tc>
          <w:tcPr>
            <w:tcW w:w="1614" w:type="pct"/>
            <w:vAlign w:val="center"/>
          </w:tcPr>
          <w:p w14:paraId="7717E470">
            <w:pPr>
              <w:adjustRightInd w:val="0"/>
              <w:snapToGrid w:val="0"/>
              <w:spacing w:line="300" w:lineRule="exact"/>
              <w:jc w:val="center"/>
              <w:rPr>
                <w:rFonts w:hint="eastAsia" w:ascii="宋体" w:hAnsi="宋体" w:cs="宋体"/>
                <w:color w:val="auto"/>
                <w:kern w:val="0"/>
                <w:szCs w:val="21"/>
              </w:rPr>
            </w:pPr>
            <w:r>
              <w:rPr>
                <w:rFonts w:ascii="宋体" w:hAnsi="宋体" w:cs="宋体"/>
                <w:color w:val="auto"/>
                <w:kern w:val="0"/>
                <w:szCs w:val="21"/>
              </w:rPr>
              <w:t>86°27'57.647"</w:t>
            </w:r>
          </w:p>
        </w:tc>
      </w:tr>
    </w:tbl>
    <w:p w14:paraId="1F626433">
      <w:pPr>
        <w:spacing w:line="500" w:lineRule="exact"/>
        <w:ind w:firstLine="480" w:firstLineChars="200"/>
        <w:rPr>
          <w:rFonts w:hint="eastAsia" w:ascii="宋体" w:hAnsi="宋体"/>
          <w:bCs/>
          <w:color w:val="auto"/>
          <w:sz w:val="24"/>
        </w:rPr>
      </w:pPr>
      <w:r>
        <w:rPr>
          <w:rFonts w:hint="eastAsia" w:ascii="宋体" w:hAnsi="宋体"/>
          <w:bCs/>
          <w:color w:val="auto"/>
          <w:sz w:val="24"/>
        </w:rPr>
        <w:t>（2）监测单位及监测时间</w:t>
      </w:r>
    </w:p>
    <w:p w14:paraId="1CAAB4EC">
      <w:pPr>
        <w:spacing w:line="500" w:lineRule="exact"/>
        <w:ind w:firstLine="480" w:firstLineChars="200"/>
        <w:rPr>
          <w:rFonts w:hint="eastAsia" w:ascii="宋体" w:hAnsi="宋体"/>
          <w:bCs/>
          <w:color w:val="auto"/>
          <w:sz w:val="24"/>
        </w:rPr>
      </w:pPr>
      <w:r>
        <w:rPr>
          <w:rFonts w:hint="eastAsia" w:ascii="宋体" w:hAnsi="宋体"/>
          <w:bCs/>
          <w:color w:val="auto"/>
          <w:sz w:val="24"/>
        </w:rPr>
        <w:t>监测时间：2025年12月14日。</w:t>
      </w:r>
    </w:p>
    <w:p w14:paraId="5BEB84A5">
      <w:pPr>
        <w:spacing w:line="500" w:lineRule="exact"/>
        <w:ind w:firstLine="480" w:firstLineChars="200"/>
        <w:rPr>
          <w:rFonts w:hint="eastAsia" w:ascii="宋体" w:hAnsi="宋体"/>
          <w:bCs/>
          <w:color w:val="auto"/>
          <w:sz w:val="24"/>
        </w:rPr>
      </w:pPr>
      <w:r>
        <w:rPr>
          <w:rFonts w:hint="eastAsia" w:ascii="宋体" w:hAnsi="宋体"/>
          <w:bCs/>
          <w:color w:val="auto"/>
          <w:sz w:val="24"/>
        </w:rPr>
        <w:t>监测单位：新疆中检联检测有限公司。</w:t>
      </w:r>
    </w:p>
    <w:p w14:paraId="754C8FA5">
      <w:pPr>
        <w:spacing w:line="500" w:lineRule="exact"/>
        <w:ind w:firstLine="480" w:firstLineChars="200"/>
        <w:rPr>
          <w:rFonts w:hint="eastAsia" w:ascii="宋体" w:hAnsi="宋体"/>
          <w:bCs/>
          <w:color w:val="auto"/>
          <w:sz w:val="24"/>
        </w:rPr>
      </w:pPr>
      <w:r>
        <w:rPr>
          <w:rFonts w:hint="eastAsia" w:ascii="宋体" w:hAnsi="宋体"/>
          <w:bCs/>
          <w:color w:val="auto"/>
          <w:sz w:val="24"/>
        </w:rPr>
        <w:t>（3）评价标准</w:t>
      </w:r>
    </w:p>
    <w:p w14:paraId="152FA7C0">
      <w:pPr>
        <w:spacing w:line="500" w:lineRule="exact"/>
        <w:ind w:firstLine="480" w:firstLineChars="200"/>
        <w:rPr>
          <w:rFonts w:hint="eastAsia" w:ascii="宋体" w:hAnsi="宋体"/>
          <w:bCs/>
          <w:color w:val="auto"/>
          <w:sz w:val="24"/>
        </w:rPr>
      </w:pPr>
      <w:r>
        <w:rPr>
          <w:rFonts w:hint="eastAsia" w:ascii="宋体" w:hAnsi="宋体"/>
          <w:bCs/>
          <w:color w:val="auto"/>
          <w:sz w:val="24"/>
        </w:rPr>
        <w:t>执行《声环境质量标准》（GB3096-2008）2类区标准限值。</w:t>
      </w:r>
    </w:p>
    <w:p w14:paraId="60433F7F">
      <w:pPr>
        <w:spacing w:line="500" w:lineRule="exact"/>
        <w:ind w:firstLine="480" w:firstLineChars="200"/>
        <w:rPr>
          <w:rFonts w:hint="eastAsia" w:ascii="宋体" w:hAnsi="宋体"/>
          <w:bCs/>
          <w:color w:val="auto"/>
          <w:sz w:val="24"/>
        </w:rPr>
      </w:pPr>
      <w:r>
        <w:rPr>
          <w:rFonts w:hint="eastAsia" w:ascii="宋体" w:hAnsi="宋体"/>
          <w:bCs/>
          <w:color w:val="auto"/>
          <w:sz w:val="24"/>
        </w:rPr>
        <w:t>（4）评价方法</w:t>
      </w:r>
    </w:p>
    <w:p w14:paraId="0EE7E7AC">
      <w:pPr>
        <w:spacing w:line="500" w:lineRule="exact"/>
        <w:ind w:firstLine="480" w:firstLineChars="200"/>
        <w:rPr>
          <w:rFonts w:hint="eastAsia" w:ascii="宋体" w:hAnsi="宋体"/>
          <w:bCs/>
          <w:color w:val="auto"/>
          <w:sz w:val="24"/>
        </w:rPr>
      </w:pPr>
      <w:r>
        <w:rPr>
          <w:rFonts w:hint="eastAsia" w:ascii="宋体" w:hAnsi="宋体"/>
          <w:bCs/>
          <w:color w:val="auto"/>
          <w:sz w:val="24"/>
        </w:rPr>
        <w:t>监测值与标准值直接比对，说明噪声源及是否超标。</w:t>
      </w:r>
    </w:p>
    <w:p w14:paraId="71AF609D">
      <w:pPr>
        <w:spacing w:line="500" w:lineRule="exact"/>
        <w:ind w:firstLine="480" w:firstLineChars="200"/>
        <w:rPr>
          <w:rFonts w:hint="eastAsia" w:ascii="宋体" w:hAnsi="宋体"/>
          <w:bCs/>
          <w:color w:val="auto"/>
          <w:sz w:val="24"/>
        </w:rPr>
      </w:pPr>
      <w:r>
        <w:rPr>
          <w:rFonts w:hint="eastAsia" w:ascii="宋体" w:hAnsi="宋体"/>
          <w:bCs/>
          <w:color w:val="auto"/>
          <w:sz w:val="24"/>
        </w:rPr>
        <w:t>（5）评价结果</w:t>
      </w:r>
    </w:p>
    <w:p w14:paraId="701A4A8A">
      <w:pPr>
        <w:spacing w:line="500" w:lineRule="exact"/>
        <w:ind w:firstLine="480" w:firstLineChars="200"/>
        <w:rPr>
          <w:rFonts w:hint="eastAsia" w:ascii="宋体" w:hAnsi="宋体"/>
          <w:bCs/>
          <w:color w:val="auto"/>
          <w:sz w:val="24"/>
        </w:rPr>
      </w:pPr>
      <w:r>
        <w:rPr>
          <w:rFonts w:hint="eastAsia" w:ascii="宋体" w:hAnsi="宋体"/>
          <w:bCs/>
          <w:color w:val="auto"/>
          <w:sz w:val="24"/>
        </w:rPr>
        <w:t>声环境现状监测结果见表4.3-8。</w:t>
      </w:r>
    </w:p>
    <w:p w14:paraId="3BAA725D">
      <w:pPr>
        <w:pStyle w:val="134"/>
        <w:ind w:firstLine="480"/>
        <w:rPr>
          <w:rFonts w:hint="eastAsia"/>
          <w:color w:val="auto"/>
        </w:rPr>
      </w:pPr>
      <w:r>
        <w:rPr>
          <w:rFonts w:hint="eastAsia"/>
          <w:color w:val="auto"/>
        </w:rPr>
        <w:t>表</w:t>
      </w:r>
      <w:r>
        <w:rPr>
          <w:color w:val="auto"/>
        </w:rPr>
        <w:t>4.3</w:t>
      </w:r>
      <w:r>
        <w:rPr>
          <w:rFonts w:hint="eastAsia"/>
          <w:color w:val="auto"/>
        </w:rPr>
        <w:t xml:space="preserve">-8  声环境现状监测结果 </w:t>
      </w:r>
    </w:p>
    <w:tbl>
      <w:tblPr>
        <w:tblStyle w:val="4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26"/>
        <w:gridCol w:w="871"/>
        <w:gridCol w:w="1163"/>
        <w:gridCol w:w="871"/>
        <w:gridCol w:w="871"/>
        <w:gridCol w:w="1163"/>
        <w:gridCol w:w="1016"/>
        <w:gridCol w:w="1017"/>
        <w:gridCol w:w="1248"/>
      </w:tblGrid>
      <w:tr w14:paraId="338F09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06" w:type="pct"/>
            <w:vMerge w:val="restart"/>
            <w:vAlign w:val="center"/>
          </w:tcPr>
          <w:p w14:paraId="14F238B9">
            <w:pPr>
              <w:pStyle w:val="288"/>
              <w:adjustRightInd w:val="0"/>
              <w:snapToGrid w:val="0"/>
              <w:spacing w:line="300" w:lineRule="exact"/>
              <w:rPr>
                <w:rFonts w:hint="eastAsia" w:eastAsia="宋体" w:cs="宋体"/>
                <w:color w:val="auto"/>
                <w:kern w:val="0"/>
              </w:rPr>
            </w:pPr>
            <w:r>
              <w:rPr>
                <w:rFonts w:hint="eastAsia" w:eastAsia="宋体" w:cs="宋体"/>
                <w:color w:val="auto"/>
                <w:kern w:val="0"/>
              </w:rPr>
              <w:t>监测点</w:t>
            </w:r>
          </w:p>
        </w:tc>
        <w:tc>
          <w:tcPr>
            <w:tcW w:w="1137" w:type="pct"/>
            <w:gridSpan w:val="2"/>
            <w:vMerge w:val="restart"/>
            <w:vAlign w:val="center"/>
          </w:tcPr>
          <w:p w14:paraId="2B76CA01">
            <w:pPr>
              <w:pStyle w:val="288"/>
              <w:adjustRightInd w:val="0"/>
              <w:snapToGrid w:val="0"/>
              <w:spacing w:line="300" w:lineRule="exact"/>
              <w:rPr>
                <w:rFonts w:hint="eastAsia" w:eastAsia="宋体" w:cs="宋体"/>
                <w:color w:val="auto"/>
                <w:kern w:val="0"/>
              </w:rPr>
            </w:pPr>
            <w:r>
              <w:rPr>
                <w:rFonts w:hint="eastAsia" w:eastAsia="宋体" w:cs="宋体"/>
                <w:color w:val="auto"/>
                <w:kern w:val="0"/>
              </w:rPr>
              <w:t>监测点描述</w:t>
            </w:r>
          </w:p>
        </w:tc>
        <w:tc>
          <w:tcPr>
            <w:tcW w:w="1624" w:type="pct"/>
            <w:gridSpan w:val="3"/>
            <w:vAlign w:val="center"/>
          </w:tcPr>
          <w:p w14:paraId="07305611">
            <w:pPr>
              <w:pStyle w:val="288"/>
              <w:adjustRightInd w:val="0"/>
              <w:snapToGrid w:val="0"/>
              <w:spacing w:line="300" w:lineRule="exact"/>
              <w:rPr>
                <w:rFonts w:hint="eastAsia" w:eastAsia="宋体" w:cs="宋体"/>
                <w:color w:val="auto"/>
                <w:kern w:val="0"/>
              </w:rPr>
            </w:pPr>
            <w:r>
              <w:rPr>
                <w:rFonts w:hint="eastAsia" w:eastAsia="宋体" w:cs="宋体"/>
                <w:color w:val="auto"/>
                <w:kern w:val="0"/>
              </w:rPr>
              <w:t>昼间</w:t>
            </w:r>
            <w:r>
              <w:rPr>
                <w:rFonts w:hint="eastAsia" w:eastAsia="宋体"/>
                <w:color w:val="auto"/>
                <w:kern w:val="0"/>
              </w:rPr>
              <w:t>[单位：dB（A）]</w:t>
            </w:r>
          </w:p>
        </w:tc>
        <w:tc>
          <w:tcPr>
            <w:tcW w:w="1833" w:type="pct"/>
            <w:gridSpan w:val="3"/>
            <w:vAlign w:val="center"/>
          </w:tcPr>
          <w:p w14:paraId="64628B83">
            <w:pPr>
              <w:pStyle w:val="288"/>
              <w:adjustRightInd w:val="0"/>
              <w:snapToGrid w:val="0"/>
              <w:spacing w:line="300" w:lineRule="exact"/>
              <w:rPr>
                <w:rFonts w:hint="eastAsia" w:eastAsia="宋体" w:cs="宋体"/>
                <w:color w:val="auto"/>
                <w:kern w:val="0"/>
              </w:rPr>
            </w:pPr>
            <w:r>
              <w:rPr>
                <w:rFonts w:hint="eastAsia" w:eastAsia="宋体" w:cs="宋体"/>
                <w:color w:val="auto"/>
                <w:kern w:val="0"/>
              </w:rPr>
              <w:t>夜间</w:t>
            </w:r>
            <w:r>
              <w:rPr>
                <w:rFonts w:hint="eastAsia" w:eastAsia="宋体"/>
                <w:color w:val="auto"/>
                <w:kern w:val="0"/>
              </w:rPr>
              <w:t>[单位：dB（A）]</w:t>
            </w:r>
          </w:p>
        </w:tc>
      </w:tr>
      <w:tr w14:paraId="5691AB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06" w:type="pct"/>
            <w:vMerge w:val="continue"/>
            <w:vAlign w:val="center"/>
          </w:tcPr>
          <w:p w14:paraId="116905C5">
            <w:pPr>
              <w:pStyle w:val="288"/>
              <w:adjustRightInd w:val="0"/>
              <w:snapToGrid w:val="0"/>
              <w:spacing w:line="300" w:lineRule="exact"/>
              <w:rPr>
                <w:rFonts w:hint="eastAsia" w:eastAsia="宋体" w:cs="宋体"/>
                <w:color w:val="auto"/>
                <w:kern w:val="0"/>
              </w:rPr>
            </w:pPr>
          </w:p>
        </w:tc>
        <w:tc>
          <w:tcPr>
            <w:tcW w:w="1137" w:type="pct"/>
            <w:gridSpan w:val="2"/>
            <w:vMerge w:val="continue"/>
            <w:vAlign w:val="center"/>
          </w:tcPr>
          <w:p w14:paraId="050F1D61">
            <w:pPr>
              <w:pStyle w:val="288"/>
              <w:adjustRightInd w:val="0"/>
              <w:snapToGrid w:val="0"/>
              <w:spacing w:line="300" w:lineRule="exact"/>
              <w:rPr>
                <w:rFonts w:hint="eastAsia" w:eastAsia="宋体" w:cs="宋体"/>
                <w:color w:val="auto"/>
                <w:kern w:val="0"/>
              </w:rPr>
            </w:pPr>
          </w:p>
        </w:tc>
        <w:tc>
          <w:tcPr>
            <w:tcW w:w="487" w:type="pct"/>
            <w:vAlign w:val="center"/>
          </w:tcPr>
          <w:p w14:paraId="2FE6B84E">
            <w:pPr>
              <w:pStyle w:val="288"/>
              <w:adjustRightInd w:val="0"/>
              <w:snapToGrid w:val="0"/>
              <w:spacing w:line="300" w:lineRule="exact"/>
              <w:rPr>
                <w:rFonts w:hint="eastAsia" w:eastAsia="宋体" w:cs="宋体"/>
                <w:color w:val="auto"/>
                <w:kern w:val="0"/>
              </w:rPr>
            </w:pPr>
            <w:r>
              <w:rPr>
                <w:rFonts w:hint="eastAsia" w:eastAsia="宋体" w:cs="宋体"/>
                <w:color w:val="auto"/>
                <w:kern w:val="0"/>
              </w:rPr>
              <w:t>监测值</w:t>
            </w:r>
          </w:p>
        </w:tc>
        <w:tc>
          <w:tcPr>
            <w:tcW w:w="487" w:type="pct"/>
            <w:vAlign w:val="center"/>
          </w:tcPr>
          <w:p w14:paraId="4139464D">
            <w:pPr>
              <w:pStyle w:val="288"/>
              <w:adjustRightInd w:val="0"/>
              <w:snapToGrid w:val="0"/>
              <w:spacing w:line="300" w:lineRule="exact"/>
              <w:rPr>
                <w:rFonts w:hint="eastAsia" w:eastAsia="宋体" w:cs="宋体"/>
                <w:color w:val="auto"/>
                <w:kern w:val="0"/>
              </w:rPr>
            </w:pPr>
            <w:r>
              <w:rPr>
                <w:rFonts w:hint="eastAsia" w:eastAsia="宋体" w:cs="宋体"/>
                <w:color w:val="auto"/>
                <w:kern w:val="0"/>
              </w:rPr>
              <w:t>标准值</w:t>
            </w:r>
          </w:p>
        </w:tc>
        <w:tc>
          <w:tcPr>
            <w:tcW w:w="650" w:type="pct"/>
            <w:vAlign w:val="center"/>
          </w:tcPr>
          <w:p w14:paraId="4D4ADA21">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达标情况</w:t>
            </w:r>
          </w:p>
        </w:tc>
        <w:tc>
          <w:tcPr>
            <w:tcW w:w="568" w:type="pct"/>
            <w:vAlign w:val="center"/>
          </w:tcPr>
          <w:p w14:paraId="4B9EFBE1">
            <w:pPr>
              <w:pStyle w:val="288"/>
              <w:adjustRightInd w:val="0"/>
              <w:snapToGrid w:val="0"/>
              <w:spacing w:line="300" w:lineRule="exact"/>
              <w:rPr>
                <w:rFonts w:hint="eastAsia" w:eastAsia="宋体" w:cs="宋体"/>
                <w:color w:val="auto"/>
                <w:kern w:val="0"/>
              </w:rPr>
            </w:pPr>
            <w:r>
              <w:rPr>
                <w:rFonts w:hint="eastAsia" w:eastAsia="宋体" w:cs="宋体"/>
                <w:color w:val="auto"/>
                <w:kern w:val="0"/>
              </w:rPr>
              <w:t>监测值</w:t>
            </w:r>
          </w:p>
        </w:tc>
        <w:tc>
          <w:tcPr>
            <w:tcW w:w="568" w:type="pct"/>
            <w:vAlign w:val="center"/>
          </w:tcPr>
          <w:p w14:paraId="2D31C30D">
            <w:pPr>
              <w:pStyle w:val="288"/>
              <w:adjustRightInd w:val="0"/>
              <w:snapToGrid w:val="0"/>
              <w:spacing w:line="300" w:lineRule="exact"/>
              <w:rPr>
                <w:rFonts w:hint="eastAsia" w:eastAsia="宋体" w:cs="宋体"/>
                <w:color w:val="auto"/>
                <w:kern w:val="0"/>
              </w:rPr>
            </w:pPr>
            <w:r>
              <w:rPr>
                <w:rFonts w:hint="eastAsia" w:eastAsia="宋体" w:cs="宋体"/>
                <w:color w:val="auto"/>
                <w:kern w:val="0"/>
              </w:rPr>
              <w:t>标准值</w:t>
            </w:r>
          </w:p>
        </w:tc>
        <w:tc>
          <w:tcPr>
            <w:tcW w:w="697" w:type="pct"/>
            <w:vAlign w:val="center"/>
          </w:tcPr>
          <w:p w14:paraId="69149B2B">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达标情况</w:t>
            </w:r>
          </w:p>
        </w:tc>
      </w:tr>
      <w:tr w14:paraId="669193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06" w:type="pct"/>
            <w:vAlign w:val="center"/>
          </w:tcPr>
          <w:p w14:paraId="2D6BF52F">
            <w:pPr>
              <w:pStyle w:val="288"/>
              <w:adjustRightInd w:val="0"/>
              <w:snapToGrid w:val="0"/>
              <w:spacing w:line="300" w:lineRule="exact"/>
              <w:rPr>
                <w:rFonts w:hint="eastAsia" w:eastAsia="宋体" w:cs="宋体"/>
                <w:color w:val="auto"/>
                <w:kern w:val="0"/>
              </w:rPr>
            </w:pPr>
            <w:r>
              <w:rPr>
                <w:rFonts w:hint="eastAsia" w:eastAsia="宋体" w:cs="宋体"/>
                <w:color w:val="auto"/>
                <w:kern w:val="0"/>
              </w:rPr>
              <w:t>Z1</w:t>
            </w:r>
          </w:p>
        </w:tc>
        <w:tc>
          <w:tcPr>
            <w:tcW w:w="487" w:type="pct"/>
            <w:vMerge w:val="restart"/>
            <w:vAlign w:val="center"/>
          </w:tcPr>
          <w:p w14:paraId="21A9D6B4">
            <w:pPr>
              <w:pStyle w:val="288"/>
              <w:adjustRightInd w:val="0"/>
              <w:snapToGrid w:val="0"/>
              <w:spacing w:line="300" w:lineRule="exact"/>
              <w:rPr>
                <w:rFonts w:hint="eastAsia" w:eastAsia="宋体" w:cs="宋体"/>
                <w:color w:val="auto"/>
                <w:kern w:val="0"/>
              </w:rPr>
            </w:pPr>
            <w:r>
              <w:rPr>
                <w:rFonts w:hint="eastAsia" w:eastAsia="宋体" w:cs="宋体"/>
                <w:color w:val="auto"/>
                <w:kern w:val="0"/>
              </w:rPr>
              <w:t>莫172H井</w:t>
            </w:r>
          </w:p>
        </w:tc>
        <w:tc>
          <w:tcPr>
            <w:tcW w:w="1135" w:type="dxa"/>
            <w:vAlign w:val="center"/>
          </w:tcPr>
          <w:p w14:paraId="0B9E8DF0">
            <w:pPr>
              <w:adjustRightInd w:val="0"/>
              <w:snapToGrid w:val="0"/>
              <w:spacing w:line="300" w:lineRule="exact"/>
              <w:jc w:val="center"/>
              <w:rPr>
                <w:rFonts w:cs="宋体"/>
                <w:color w:val="auto"/>
                <w:kern w:val="0"/>
              </w:rPr>
            </w:pPr>
            <w:r>
              <w:rPr>
                <w:rFonts w:hint="eastAsia" w:ascii="宋体" w:hAnsi="宋体" w:cs="宋体"/>
                <w:color w:val="auto"/>
                <w:kern w:val="0"/>
                <w:szCs w:val="21"/>
              </w:rPr>
              <w:t>东厂界</w:t>
            </w:r>
          </w:p>
        </w:tc>
        <w:tc>
          <w:tcPr>
            <w:tcW w:w="850" w:type="dxa"/>
            <w:vAlign w:val="center"/>
          </w:tcPr>
          <w:p w14:paraId="5CB7DBCB">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43</w:t>
            </w:r>
          </w:p>
        </w:tc>
        <w:tc>
          <w:tcPr>
            <w:tcW w:w="487" w:type="pct"/>
            <w:vAlign w:val="center"/>
          </w:tcPr>
          <w:p w14:paraId="1477F003">
            <w:pPr>
              <w:pStyle w:val="288"/>
              <w:adjustRightInd w:val="0"/>
              <w:snapToGrid w:val="0"/>
              <w:spacing w:line="300" w:lineRule="exact"/>
              <w:rPr>
                <w:rFonts w:hint="eastAsia" w:eastAsia="宋体" w:cs="宋体"/>
                <w:color w:val="auto"/>
                <w:kern w:val="0"/>
              </w:rPr>
            </w:pPr>
            <w:r>
              <w:rPr>
                <w:rFonts w:hint="eastAsia" w:eastAsia="宋体" w:cs="宋体"/>
                <w:color w:val="auto"/>
                <w:kern w:val="0"/>
              </w:rPr>
              <w:t>6</w:t>
            </w:r>
            <w:r>
              <w:rPr>
                <w:rFonts w:eastAsia="宋体" w:cs="宋体"/>
                <w:color w:val="auto"/>
                <w:kern w:val="0"/>
              </w:rPr>
              <w:t>0</w:t>
            </w:r>
          </w:p>
        </w:tc>
        <w:tc>
          <w:tcPr>
            <w:tcW w:w="650" w:type="pct"/>
            <w:vAlign w:val="center"/>
          </w:tcPr>
          <w:p w14:paraId="583F60D4">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w:t>
            </w:r>
          </w:p>
        </w:tc>
        <w:tc>
          <w:tcPr>
            <w:tcW w:w="1016" w:type="dxa"/>
            <w:vAlign w:val="center"/>
          </w:tcPr>
          <w:p w14:paraId="127298A2">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42</w:t>
            </w:r>
          </w:p>
        </w:tc>
        <w:tc>
          <w:tcPr>
            <w:tcW w:w="568" w:type="pct"/>
            <w:vAlign w:val="center"/>
          </w:tcPr>
          <w:p w14:paraId="51563CBE">
            <w:pPr>
              <w:pStyle w:val="288"/>
              <w:adjustRightInd w:val="0"/>
              <w:snapToGrid w:val="0"/>
              <w:spacing w:line="300" w:lineRule="exact"/>
              <w:rPr>
                <w:rFonts w:hint="eastAsia" w:eastAsia="宋体" w:cs="宋体"/>
                <w:color w:val="auto"/>
                <w:kern w:val="0"/>
              </w:rPr>
            </w:pPr>
            <w:r>
              <w:rPr>
                <w:rFonts w:hint="eastAsia" w:eastAsia="宋体" w:cs="宋体"/>
                <w:color w:val="auto"/>
                <w:kern w:val="0"/>
              </w:rPr>
              <w:t>5</w:t>
            </w:r>
            <w:r>
              <w:rPr>
                <w:rFonts w:eastAsia="宋体" w:cs="宋体"/>
                <w:color w:val="auto"/>
                <w:kern w:val="0"/>
              </w:rPr>
              <w:t>0</w:t>
            </w:r>
          </w:p>
        </w:tc>
        <w:tc>
          <w:tcPr>
            <w:tcW w:w="697" w:type="pct"/>
            <w:vAlign w:val="center"/>
          </w:tcPr>
          <w:p w14:paraId="74652035">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w:t>
            </w:r>
          </w:p>
        </w:tc>
      </w:tr>
      <w:tr w14:paraId="22D271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06" w:type="pct"/>
            <w:vAlign w:val="center"/>
          </w:tcPr>
          <w:p w14:paraId="79D9636C">
            <w:pPr>
              <w:pStyle w:val="288"/>
              <w:adjustRightInd w:val="0"/>
              <w:snapToGrid w:val="0"/>
              <w:spacing w:line="300" w:lineRule="exact"/>
              <w:rPr>
                <w:rFonts w:hint="eastAsia" w:eastAsia="宋体" w:cs="宋体"/>
                <w:color w:val="auto"/>
                <w:kern w:val="0"/>
              </w:rPr>
            </w:pPr>
            <w:r>
              <w:rPr>
                <w:rFonts w:hint="eastAsia" w:eastAsia="宋体" w:cs="宋体"/>
                <w:color w:val="auto"/>
                <w:kern w:val="0"/>
              </w:rPr>
              <w:t>Z2</w:t>
            </w:r>
          </w:p>
        </w:tc>
        <w:tc>
          <w:tcPr>
            <w:tcW w:w="487" w:type="pct"/>
            <w:vMerge w:val="continue"/>
            <w:vAlign w:val="center"/>
          </w:tcPr>
          <w:p w14:paraId="23C82192">
            <w:pPr>
              <w:pStyle w:val="288"/>
              <w:adjustRightInd w:val="0"/>
              <w:snapToGrid w:val="0"/>
              <w:spacing w:line="300" w:lineRule="exact"/>
              <w:rPr>
                <w:rFonts w:hint="eastAsia" w:eastAsia="宋体" w:cs="宋体"/>
                <w:color w:val="auto"/>
                <w:kern w:val="0"/>
              </w:rPr>
            </w:pPr>
          </w:p>
        </w:tc>
        <w:tc>
          <w:tcPr>
            <w:tcW w:w="1135" w:type="dxa"/>
            <w:vAlign w:val="center"/>
          </w:tcPr>
          <w:p w14:paraId="4FBC90EA">
            <w:pPr>
              <w:adjustRightInd w:val="0"/>
              <w:snapToGrid w:val="0"/>
              <w:spacing w:line="300" w:lineRule="exact"/>
              <w:jc w:val="center"/>
              <w:rPr>
                <w:rFonts w:cs="宋体"/>
                <w:color w:val="auto"/>
                <w:kern w:val="0"/>
              </w:rPr>
            </w:pPr>
            <w:r>
              <w:rPr>
                <w:rFonts w:hint="eastAsia" w:ascii="宋体" w:hAnsi="宋体" w:cs="宋体"/>
                <w:color w:val="auto"/>
                <w:kern w:val="0"/>
                <w:szCs w:val="21"/>
              </w:rPr>
              <w:t>西厂界</w:t>
            </w:r>
          </w:p>
        </w:tc>
        <w:tc>
          <w:tcPr>
            <w:tcW w:w="850" w:type="dxa"/>
            <w:vAlign w:val="center"/>
          </w:tcPr>
          <w:p w14:paraId="101047AA">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41</w:t>
            </w:r>
          </w:p>
        </w:tc>
        <w:tc>
          <w:tcPr>
            <w:tcW w:w="487" w:type="pct"/>
            <w:vAlign w:val="center"/>
          </w:tcPr>
          <w:p w14:paraId="5B99F263">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6</w:t>
            </w:r>
            <w:r>
              <w:rPr>
                <w:rFonts w:ascii="宋体" w:hAnsi="宋体" w:cs="宋体"/>
                <w:color w:val="auto"/>
                <w:kern w:val="0"/>
                <w:szCs w:val="21"/>
              </w:rPr>
              <w:t>0</w:t>
            </w:r>
          </w:p>
        </w:tc>
        <w:tc>
          <w:tcPr>
            <w:tcW w:w="650" w:type="pct"/>
            <w:vAlign w:val="center"/>
          </w:tcPr>
          <w:p w14:paraId="3BF4B18F">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w:t>
            </w:r>
          </w:p>
        </w:tc>
        <w:tc>
          <w:tcPr>
            <w:tcW w:w="1016" w:type="dxa"/>
            <w:vAlign w:val="center"/>
          </w:tcPr>
          <w:p w14:paraId="354C7C83">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41</w:t>
            </w:r>
          </w:p>
        </w:tc>
        <w:tc>
          <w:tcPr>
            <w:tcW w:w="568" w:type="pct"/>
            <w:vAlign w:val="center"/>
          </w:tcPr>
          <w:p w14:paraId="525184F5">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5</w:t>
            </w:r>
            <w:r>
              <w:rPr>
                <w:rFonts w:ascii="宋体" w:hAnsi="宋体" w:cs="宋体"/>
                <w:color w:val="auto"/>
                <w:kern w:val="0"/>
                <w:szCs w:val="21"/>
              </w:rPr>
              <w:t>0</w:t>
            </w:r>
          </w:p>
        </w:tc>
        <w:tc>
          <w:tcPr>
            <w:tcW w:w="697" w:type="pct"/>
            <w:vAlign w:val="center"/>
          </w:tcPr>
          <w:p w14:paraId="1C667CE7">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w:t>
            </w:r>
          </w:p>
        </w:tc>
      </w:tr>
      <w:tr w14:paraId="5E6BBC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06" w:type="pct"/>
            <w:vAlign w:val="center"/>
          </w:tcPr>
          <w:p w14:paraId="7E667A0E">
            <w:pPr>
              <w:pStyle w:val="288"/>
              <w:adjustRightInd w:val="0"/>
              <w:snapToGrid w:val="0"/>
              <w:spacing w:line="300" w:lineRule="exact"/>
              <w:rPr>
                <w:rFonts w:hint="eastAsia" w:eastAsia="宋体" w:cs="宋体"/>
                <w:color w:val="auto"/>
                <w:kern w:val="0"/>
              </w:rPr>
            </w:pPr>
            <w:r>
              <w:rPr>
                <w:rFonts w:hint="eastAsia" w:eastAsia="宋体" w:cs="宋体"/>
                <w:color w:val="auto"/>
                <w:kern w:val="0"/>
              </w:rPr>
              <w:t>Z3</w:t>
            </w:r>
          </w:p>
        </w:tc>
        <w:tc>
          <w:tcPr>
            <w:tcW w:w="487" w:type="pct"/>
            <w:vMerge w:val="continue"/>
            <w:vAlign w:val="center"/>
          </w:tcPr>
          <w:p w14:paraId="3C655E54">
            <w:pPr>
              <w:pStyle w:val="288"/>
              <w:adjustRightInd w:val="0"/>
              <w:snapToGrid w:val="0"/>
              <w:spacing w:line="300" w:lineRule="exact"/>
              <w:rPr>
                <w:rFonts w:hint="eastAsia" w:eastAsia="宋体" w:cs="宋体"/>
                <w:color w:val="auto"/>
                <w:kern w:val="0"/>
              </w:rPr>
            </w:pPr>
          </w:p>
        </w:tc>
        <w:tc>
          <w:tcPr>
            <w:tcW w:w="1135" w:type="dxa"/>
            <w:vAlign w:val="center"/>
          </w:tcPr>
          <w:p w14:paraId="17E07E15">
            <w:pPr>
              <w:adjustRightInd w:val="0"/>
              <w:snapToGrid w:val="0"/>
              <w:spacing w:line="300" w:lineRule="exact"/>
              <w:jc w:val="center"/>
              <w:rPr>
                <w:rFonts w:cs="宋体"/>
                <w:color w:val="auto"/>
                <w:kern w:val="0"/>
              </w:rPr>
            </w:pPr>
            <w:r>
              <w:rPr>
                <w:rFonts w:hint="eastAsia" w:ascii="宋体" w:hAnsi="宋体" w:cs="宋体"/>
                <w:color w:val="auto"/>
                <w:kern w:val="0"/>
                <w:szCs w:val="21"/>
              </w:rPr>
              <w:t>南厂界</w:t>
            </w:r>
          </w:p>
        </w:tc>
        <w:tc>
          <w:tcPr>
            <w:tcW w:w="850" w:type="dxa"/>
            <w:vAlign w:val="center"/>
          </w:tcPr>
          <w:p w14:paraId="1A519CA2">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44</w:t>
            </w:r>
          </w:p>
        </w:tc>
        <w:tc>
          <w:tcPr>
            <w:tcW w:w="487" w:type="pct"/>
            <w:vAlign w:val="center"/>
          </w:tcPr>
          <w:p w14:paraId="47F2C4BF">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6</w:t>
            </w:r>
            <w:r>
              <w:rPr>
                <w:rFonts w:ascii="宋体" w:hAnsi="宋体" w:cs="宋体"/>
                <w:color w:val="auto"/>
                <w:kern w:val="0"/>
                <w:szCs w:val="21"/>
              </w:rPr>
              <w:t>0</w:t>
            </w:r>
          </w:p>
        </w:tc>
        <w:tc>
          <w:tcPr>
            <w:tcW w:w="650" w:type="pct"/>
            <w:vAlign w:val="center"/>
          </w:tcPr>
          <w:p w14:paraId="4772C1AE">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w:t>
            </w:r>
          </w:p>
        </w:tc>
        <w:tc>
          <w:tcPr>
            <w:tcW w:w="1016" w:type="dxa"/>
            <w:vAlign w:val="center"/>
          </w:tcPr>
          <w:p w14:paraId="187D1870">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42</w:t>
            </w:r>
          </w:p>
        </w:tc>
        <w:tc>
          <w:tcPr>
            <w:tcW w:w="568" w:type="pct"/>
            <w:vAlign w:val="center"/>
          </w:tcPr>
          <w:p w14:paraId="121F4D91">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5</w:t>
            </w:r>
            <w:r>
              <w:rPr>
                <w:rFonts w:ascii="宋体" w:hAnsi="宋体" w:cs="宋体"/>
                <w:color w:val="auto"/>
                <w:kern w:val="0"/>
                <w:szCs w:val="21"/>
              </w:rPr>
              <w:t>0</w:t>
            </w:r>
          </w:p>
        </w:tc>
        <w:tc>
          <w:tcPr>
            <w:tcW w:w="697" w:type="pct"/>
            <w:vAlign w:val="center"/>
          </w:tcPr>
          <w:p w14:paraId="55EF7516">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w:t>
            </w:r>
          </w:p>
        </w:tc>
      </w:tr>
      <w:tr w14:paraId="7563C5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06" w:type="pct"/>
            <w:vAlign w:val="center"/>
          </w:tcPr>
          <w:p w14:paraId="66364528">
            <w:pPr>
              <w:pStyle w:val="219"/>
              <w:adjustRightInd w:val="0"/>
              <w:snapToGrid w:val="0"/>
              <w:spacing w:line="300" w:lineRule="exact"/>
              <w:ind w:firstLine="0" w:firstLineChars="0"/>
              <w:jc w:val="center"/>
              <w:rPr>
                <w:rFonts w:hint="eastAsia" w:cs="宋体"/>
                <w:b/>
                <w:color w:val="auto"/>
                <w:sz w:val="21"/>
              </w:rPr>
            </w:pPr>
            <w:bookmarkStart w:id="587" w:name="_Toc165551550"/>
            <w:bookmarkStart w:id="588" w:name="_Toc155368811"/>
            <w:bookmarkStart w:id="589" w:name="_Toc95335292"/>
            <w:bookmarkStart w:id="590" w:name="_Toc106375836"/>
            <w:bookmarkStart w:id="591" w:name="_Toc221283905"/>
            <w:bookmarkStart w:id="592" w:name="_Toc96598418"/>
            <w:bookmarkStart w:id="593" w:name="_Toc160381926"/>
            <w:bookmarkStart w:id="594" w:name="_Toc92281479"/>
            <w:bookmarkStart w:id="595" w:name="_Toc90482185"/>
            <w:bookmarkStart w:id="596" w:name="_Toc103514688"/>
            <w:bookmarkStart w:id="597" w:name="_Toc22123"/>
            <w:bookmarkStart w:id="598" w:name="_Toc128752631"/>
            <w:bookmarkStart w:id="599" w:name="_Toc140589485"/>
            <w:bookmarkStart w:id="600" w:name="_Toc171076947"/>
            <w:bookmarkStart w:id="601" w:name="_Toc224406015"/>
            <w:bookmarkStart w:id="602" w:name="_Toc92223315"/>
            <w:bookmarkStart w:id="603" w:name="_Toc147597430"/>
            <w:bookmarkStart w:id="604" w:name="_Toc220605941"/>
            <w:r>
              <w:rPr>
                <w:rFonts w:hint="eastAsia" w:cs="宋体"/>
                <w:color w:val="auto"/>
                <w:sz w:val="21"/>
              </w:rPr>
              <w:t>Z4</w:t>
            </w:r>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p>
        </w:tc>
        <w:tc>
          <w:tcPr>
            <w:tcW w:w="487" w:type="pct"/>
            <w:vMerge w:val="continue"/>
            <w:vAlign w:val="center"/>
          </w:tcPr>
          <w:p w14:paraId="4B07FD13">
            <w:pPr>
              <w:pStyle w:val="288"/>
              <w:adjustRightInd w:val="0"/>
              <w:snapToGrid w:val="0"/>
              <w:spacing w:line="300" w:lineRule="exact"/>
              <w:rPr>
                <w:rFonts w:hint="eastAsia" w:eastAsia="宋体" w:cs="宋体"/>
                <w:color w:val="auto"/>
                <w:kern w:val="0"/>
              </w:rPr>
            </w:pPr>
          </w:p>
        </w:tc>
        <w:tc>
          <w:tcPr>
            <w:tcW w:w="1135" w:type="dxa"/>
            <w:vAlign w:val="center"/>
          </w:tcPr>
          <w:p w14:paraId="0C84B12D">
            <w:pPr>
              <w:adjustRightInd w:val="0"/>
              <w:snapToGrid w:val="0"/>
              <w:spacing w:line="300" w:lineRule="exact"/>
              <w:jc w:val="center"/>
              <w:rPr>
                <w:rFonts w:cs="宋体"/>
                <w:color w:val="auto"/>
                <w:kern w:val="0"/>
              </w:rPr>
            </w:pPr>
            <w:r>
              <w:rPr>
                <w:rFonts w:hint="eastAsia" w:ascii="宋体" w:hAnsi="宋体" w:cs="宋体"/>
                <w:color w:val="auto"/>
                <w:kern w:val="0"/>
                <w:szCs w:val="21"/>
              </w:rPr>
              <w:t>北厂界</w:t>
            </w:r>
          </w:p>
        </w:tc>
        <w:tc>
          <w:tcPr>
            <w:tcW w:w="850" w:type="dxa"/>
            <w:vAlign w:val="center"/>
          </w:tcPr>
          <w:p w14:paraId="598DB4B5">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43</w:t>
            </w:r>
          </w:p>
        </w:tc>
        <w:tc>
          <w:tcPr>
            <w:tcW w:w="487" w:type="pct"/>
            <w:vAlign w:val="center"/>
          </w:tcPr>
          <w:p w14:paraId="2C5A67C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6</w:t>
            </w:r>
            <w:r>
              <w:rPr>
                <w:rFonts w:ascii="宋体" w:hAnsi="宋体" w:cs="宋体"/>
                <w:color w:val="auto"/>
                <w:kern w:val="0"/>
                <w:szCs w:val="21"/>
              </w:rPr>
              <w:t>0</w:t>
            </w:r>
          </w:p>
        </w:tc>
        <w:tc>
          <w:tcPr>
            <w:tcW w:w="650" w:type="pct"/>
            <w:vAlign w:val="center"/>
          </w:tcPr>
          <w:p w14:paraId="234C504E">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w:t>
            </w:r>
          </w:p>
        </w:tc>
        <w:tc>
          <w:tcPr>
            <w:tcW w:w="1016" w:type="dxa"/>
            <w:vAlign w:val="center"/>
          </w:tcPr>
          <w:p w14:paraId="41B1825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41</w:t>
            </w:r>
          </w:p>
        </w:tc>
        <w:tc>
          <w:tcPr>
            <w:tcW w:w="568" w:type="pct"/>
            <w:vAlign w:val="center"/>
          </w:tcPr>
          <w:p w14:paraId="51E26B25">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5</w:t>
            </w:r>
            <w:r>
              <w:rPr>
                <w:rFonts w:ascii="宋体" w:hAnsi="宋体" w:cs="宋体"/>
                <w:color w:val="auto"/>
                <w:kern w:val="0"/>
                <w:szCs w:val="21"/>
              </w:rPr>
              <w:t>0</w:t>
            </w:r>
          </w:p>
        </w:tc>
        <w:tc>
          <w:tcPr>
            <w:tcW w:w="697" w:type="pct"/>
            <w:vAlign w:val="center"/>
          </w:tcPr>
          <w:p w14:paraId="763549F9">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w:t>
            </w:r>
          </w:p>
        </w:tc>
      </w:tr>
      <w:tr w14:paraId="54327C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06" w:type="pct"/>
            <w:vAlign w:val="center"/>
          </w:tcPr>
          <w:p w14:paraId="0FAFC140">
            <w:pPr>
              <w:pStyle w:val="288"/>
              <w:adjustRightInd w:val="0"/>
              <w:snapToGrid w:val="0"/>
              <w:spacing w:line="300" w:lineRule="exact"/>
              <w:rPr>
                <w:rFonts w:hint="eastAsia" w:eastAsia="宋体" w:cs="宋体"/>
                <w:color w:val="auto"/>
                <w:kern w:val="0"/>
              </w:rPr>
            </w:pPr>
            <w:r>
              <w:rPr>
                <w:rFonts w:eastAsia="宋体" w:cs="宋体"/>
                <w:color w:val="auto"/>
                <w:kern w:val="0"/>
              </w:rPr>
              <w:t>Z5</w:t>
            </w:r>
          </w:p>
        </w:tc>
        <w:tc>
          <w:tcPr>
            <w:tcW w:w="487" w:type="pct"/>
            <w:vMerge w:val="restart"/>
            <w:vAlign w:val="center"/>
          </w:tcPr>
          <w:p w14:paraId="6495603B">
            <w:pPr>
              <w:pStyle w:val="288"/>
              <w:adjustRightInd w:val="0"/>
              <w:snapToGrid w:val="0"/>
              <w:spacing w:line="300" w:lineRule="exact"/>
              <w:rPr>
                <w:rFonts w:hint="eastAsia" w:eastAsia="宋体" w:cs="宋体"/>
                <w:color w:val="auto"/>
                <w:kern w:val="0"/>
              </w:rPr>
            </w:pPr>
            <w:r>
              <w:rPr>
                <w:rFonts w:hint="eastAsia" w:eastAsia="宋体" w:cs="宋体"/>
                <w:color w:val="auto"/>
                <w:kern w:val="0"/>
              </w:rPr>
              <w:t>充装区</w:t>
            </w:r>
          </w:p>
        </w:tc>
        <w:tc>
          <w:tcPr>
            <w:tcW w:w="1135" w:type="dxa"/>
            <w:vAlign w:val="center"/>
          </w:tcPr>
          <w:p w14:paraId="5199A92D">
            <w:pPr>
              <w:adjustRightInd w:val="0"/>
              <w:snapToGrid w:val="0"/>
              <w:spacing w:line="300" w:lineRule="exact"/>
              <w:jc w:val="center"/>
              <w:rPr>
                <w:rFonts w:cs="宋体"/>
                <w:color w:val="auto"/>
                <w:kern w:val="0"/>
              </w:rPr>
            </w:pPr>
            <w:r>
              <w:rPr>
                <w:rFonts w:hint="eastAsia" w:ascii="宋体" w:hAnsi="宋体" w:cs="宋体"/>
                <w:color w:val="auto"/>
                <w:kern w:val="0"/>
                <w:szCs w:val="21"/>
              </w:rPr>
              <w:t>东厂界</w:t>
            </w:r>
          </w:p>
        </w:tc>
        <w:tc>
          <w:tcPr>
            <w:tcW w:w="850" w:type="dxa"/>
            <w:vAlign w:val="center"/>
          </w:tcPr>
          <w:p w14:paraId="0EFBF2DA">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43</w:t>
            </w:r>
          </w:p>
        </w:tc>
        <w:tc>
          <w:tcPr>
            <w:tcW w:w="487" w:type="pct"/>
            <w:vAlign w:val="center"/>
          </w:tcPr>
          <w:p w14:paraId="72A03DF4">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6</w:t>
            </w:r>
            <w:r>
              <w:rPr>
                <w:rFonts w:ascii="宋体" w:hAnsi="宋体" w:cs="宋体"/>
                <w:color w:val="auto"/>
                <w:kern w:val="0"/>
                <w:szCs w:val="21"/>
              </w:rPr>
              <w:t>0</w:t>
            </w:r>
          </w:p>
        </w:tc>
        <w:tc>
          <w:tcPr>
            <w:tcW w:w="650" w:type="pct"/>
            <w:vAlign w:val="center"/>
          </w:tcPr>
          <w:p w14:paraId="0875B2A7">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w:t>
            </w:r>
          </w:p>
        </w:tc>
        <w:tc>
          <w:tcPr>
            <w:tcW w:w="1016" w:type="dxa"/>
            <w:vAlign w:val="center"/>
          </w:tcPr>
          <w:p w14:paraId="265371A2">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40</w:t>
            </w:r>
          </w:p>
        </w:tc>
        <w:tc>
          <w:tcPr>
            <w:tcW w:w="568" w:type="pct"/>
            <w:vAlign w:val="center"/>
          </w:tcPr>
          <w:p w14:paraId="6A3B19D5">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5</w:t>
            </w:r>
            <w:r>
              <w:rPr>
                <w:rFonts w:ascii="宋体" w:hAnsi="宋体" w:cs="宋体"/>
                <w:color w:val="auto"/>
                <w:kern w:val="0"/>
                <w:szCs w:val="21"/>
              </w:rPr>
              <w:t>0</w:t>
            </w:r>
          </w:p>
        </w:tc>
        <w:tc>
          <w:tcPr>
            <w:tcW w:w="697" w:type="pct"/>
            <w:vAlign w:val="center"/>
          </w:tcPr>
          <w:p w14:paraId="785AF33E">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w:t>
            </w:r>
          </w:p>
        </w:tc>
      </w:tr>
      <w:tr w14:paraId="1CDF4C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06" w:type="pct"/>
            <w:vAlign w:val="center"/>
          </w:tcPr>
          <w:p w14:paraId="2FEB6253">
            <w:pPr>
              <w:pStyle w:val="288"/>
              <w:adjustRightInd w:val="0"/>
              <w:snapToGrid w:val="0"/>
              <w:spacing w:line="300" w:lineRule="exact"/>
              <w:rPr>
                <w:rFonts w:hint="eastAsia" w:eastAsia="宋体" w:cs="宋体"/>
                <w:color w:val="auto"/>
                <w:kern w:val="0"/>
              </w:rPr>
            </w:pPr>
            <w:r>
              <w:rPr>
                <w:rFonts w:eastAsia="宋体" w:cs="宋体"/>
                <w:color w:val="auto"/>
                <w:kern w:val="0"/>
              </w:rPr>
              <w:t>Z6</w:t>
            </w:r>
          </w:p>
        </w:tc>
        <w:tc>
          <w:tcPr>
            <w:tcW w:w="487" w:type="pct"/>
            <w:vMerge w:val="continue"/>
            <w:vAlign w:val="center"/>
          </w:tcPr>
          <w:p w14:paraId="7427E26A">
            <w:pPr>
              <w:pStyle w:val="288"/>
              <w:adjustRightInd w:val="0"/>
              <w:snapToGrid w:val="0"/>
              <w:spacing w:line="300" w:lineRule="exact"/>
              <w:rPr>
                <w:rFonts w:hint="eastAsia" w:eastAsia="宋体" w:cs="宋体"/>
                <w:color w:val="auto"/>
                <w:kern w:val="0"/>
              </w:rPr>
            </w:pPr>
          </w:p>
        </w:tc>
        <w:tc>
          <w:tcPr>
            <w:tcW w:w="1135" w:type="dxa"/>
            <w:vAlign w:val="center"/>
          </w:tcPr>
          <w:p w14:paraId="3925FBA9">
            <w:pPr>
              <w:adjustRightInd w:val="0"/>
              <w:snapToGrid w:val="0"/>
              <w:spacing w:line="300" w:lineRule="exact"/>
              <w:jc w:val="center"/>
              <w:rPr>
                <w:rFonts w:cs="宋体"/>
                <w:color w:val="auto"/>
                <w:kern w:val="0"/>
              </w:rPr>
            </w:pPr>
            <w:r>
              <w:rPr>
                <w:rFonts w:hint="eastAsia" w:ascii="宋体" w:hAnsi="宋体" w:cs="宋体"/>
                <w:color w:val="auto"/>
                <w:kern w:val="0"/>
                <w:szCs w:val="21"/>
              </w:rPr>
              <w:t>西厂界</w:t>
            </w:r>
          </w:p>
        </w:tc>
        <w:tc>
          <w:tcPr>
            <w:tcW w:w="850" w:type="dxa"/>
            <w:vAlign w:val="center"/>
          </w:tcPr>
          <w:p w14:paraId="013465AE">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45</w:t>
            </w:r>
          </w:p>
        </w:tc>
        <w:tc>
          <w:tcPr>
            <w:tcW w:w="487" w:type="pct"/>
            <w:vAlign w:val="center"/>
          </w:tcPr>
          <w:p w14:paraId="522D6B2C">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6</w:t>
            </w:r>
            <w:r>
              <w:rPr>
                <w:rFonts w:ascii="宋体" w:hAnsi="宋体" w:cs="宋体"/>
                <w:color w:val="auto"/>
                <w:kern w:val="0"/>
                <w:szCs w:val="21"/>
              </w:rPr>
              <w:t>0</w:t>
            </w:r>
          </w:p>
        </w:tc>
        <w:tc>
          <w:tcPr>
            <w:tcW w:w="650" w:type="pct"/>
            <w:vAlign w:val="center"/>
          </w:tcPr>
          <w:p w14:paraId="33756236">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w:t>
            </w:r>
          </w:p>
        </w:tc>
        <w:tc>
          <w:tcPr>
            <w:tcW w:w="1016" w:type="dxa"/>
            <w:vAlign w:val="center"/>
          </w:tcPr>
          <w:p w14:paraId="39456DC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41</w:t>
            </w:r>
          </w:p>
        </w:tc>
        <w:tc>
          <w:tcPr>
            <w:tcW w:w="568" w:type="pct"/>
            <w:vAlign w:val="center"/>
          </w:tcPr>
          <w:p w14:paraId="37918C64">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5</w:t>
            </w:r>
            <w:r>
              <w:rPr>
                <w:rFonts w:ascii="宋体" w:hAnsi="宋体" w:cs="宋体"/>
                <w:color w:val="auto"/>
                <w:kern w:val="0"/>
                <w:szCs w:val="21"/>
              </w:rPr>
              <w:t>0</w:t>
            </w:r>
          </w:p>
        </w:tc>
        <w:tc>
          <w:tcPr>
            <w:tcW w:w="697" w:type="pct"/>
            <w:vAlign w:val="center"/>
          </w:tcPr>
          <w:p w14:paraId="65C3A008">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w:t>
            </w:r>
          </w:p>
        </w:tc>
      </w:tr>
      <w:tr w14:paraId="356175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06" w:type="pct"/>
            <w:vAlign w:val="center"/>
          </w:tcPr>
          <w:p w14:paraId="3D8A1618">
            <w:pPr>
              <w:pStyle w:val="288"/>
              <w:adjustRightInd w:val="0"/>
              <w:snapToGrid w:val="0"/>
              <w:spacing w:line="300" w:lineRule="exact"/>
              <w:rPr>
                <w:rFonts w:hint="eastAsia" w:eastAsia="宋体" w:cs="宋体"/>
                <w:color w:val="auto"/>
                <w:kern w:val="0"/>
              </w:rPr>
            </w:pPr>
            <w:r>
              <w:rPr>
                <w:rFonts w:eastAsia="宋体" w:cs="宋体"/>
                <w:color w:val="auto"/>
                <w:kern w:val="0"/>
              </w:rPr>
              <w:t>Z7</w:t>
            </w:r>
          </w:p>
        </w:tc>
        <w:tc>
          <w:tcPr>
            <w:tcW w:w="487" w:type="pct"/>
            <w:vMerge w:val="continue"/>
            <w:vAlign w:val="center"/>
          </w:tcPr>
          <w:p w14:paraId="757E7D5E">
            <w:pPr>
              <w:pStyle w:val="288"/>
              <w:adjustRightInd w:val="0"/>
              <w:snapToGrid w:val="0"/>
              <w:spacing w:line="300" w:lineRule="exact"/>
              <w:rPr>
                <w:rFonts w:hint="eastAsia" w:eastAsia="宋体" w:cs="宋体"/>
                <w:color w:val="auto"/>
                <w:kern w:val="0"/>
              </w:rPr>
            </w:pPr>
          </w:p>
        </w:tc>
        <w:tc>
          <w:tcPr>
            <w:tcW w:w="1135" w:type="dxa"/>
            <w:vAlign w:val="center"/>
          </w:tcPr>
          <w:p w14:paraId="109C7982">
            <w:pPr>
              <w:adjustRightInd w:val="0"/>
              <w:snapToGrid w:val="0"/>
              <w:spacing w:line="300" w:lineRule="exact"/>
              <w:jc w:val="center"/>
              <w:rPr>
                <w:rFonts w:cs="宋体"/>
                <w:color w:val="auto"/>
                <w:kern w:val="0"/>
              </w:rPr>
            </w:pPr>
            <w:r>
              <w:rPr>
                <w:rFonts w:hint="eastAsia" w:ascii="宋体" w:hAnsi="宋体" w:cs="宋体"/>
                <w:color w:val="auto"/>
                <w:kern w:val="0"/>
                <w:szCs w:val="21"/>
              </w:rPr>
              <w:t>南厂界</w:t>
            </w:r>
          </w:p>
        </w:tc>
        <w:tc>
          <w:tcPr>
            <w:tcW w:w="850" w:type="dxa"/>
            <w:vAlign w:val="center"/>
          </w:tcPr>
          <w:p w14:paraId="5DEE3B87">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48</w:t>
            </w:r>
          </w:p>
        </w:tc>
        <w:tc>
          <w:tcPr>
            <w:tcW w:w="487" w:type="pct"/>
            <w:vAlign w:val="center"/>
          </w:tcPr>
          <w:p w14:paraId="176E98F1">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6</w:t>
            </w:r>
            <w:r>
              <w:rPr>
                <w:rFonts w:ascii="宋体" w:hAnsi="宋体" w:cs="宋体"/>
                <w:color w:val="auto"/>
                <w:kern w:val="0"/>
                <w:szCs w:val="21"/>
              </w:rPr>
              <w:t>0</w:t>
            </w:r>
          </w:p>
        </w:tc>
        <w:tc>
          <w:tcPr>
            <w:tcW w:w="650" w:type="pct"/>
            <w:vAlign w:val="center"/>
          </w:tcPr>
          <w:p w14:paraId="08EE0270">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w:t>
            </w:r>
          </w:p>
        </w:tc>
        <w:tc>
          <w:tcPr>
            <w:tcW w:w="1016" w:type="dxa"/>
            <w:vAlign w:val="center"/>
          </w:tcPr>
          <w:p w14:paraId="2DE02E99">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40</w:t>
            </w:r>
          </w:p>
        </w:tc>
        <w:tc>
          <w:tcPr>
            <w:tcW w:w="568" w:type="pct"/>
            <w:vAlign w:val="center"/>
          </w:tcPr>
          <w:p w14:paraId="0C6867FF">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5</w:t>
            </w:r>
            <w:r>
              <w:rPr>
                <w:rFonts w:ascii="宋体" w:hAnsi="宋体" w:cs="宋体"/>
                <w:color w:val="auto"/>
                <w:kern w:val="0"/>
                <w:szCs w:val="21"/>
              </w:rPr>
              <w:t>0</w:t>
            </w:r>
          </w:p>
        </w:tc>
        <w:tc>
          <w:tcPr>
            <w:tcW w:w="697" w:type="pct"/>
            <w:vAlign w:val="center"/>
          </w:tcPr>
          <w:p w14:paraId="1C6A4EE5">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w:t>
            </w:r>
          </w:p>
        </w:tc>
      </w:tr>
      <w:tr w14:paraId="4BDCDE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406" w:type="pct"/>
            <w:vAlign w:val="center"/>
          </w:tcPr>
          <w:p w14:paraId="76F674B7">
            <w:pPr>
              <w:pStyle w:val="288"/>
              <w:adjustRightInd w:val="0"/>
              <w:snapToGrid w:val="0"/>
              <w:spacing w:line="300" w:lineRule="exact"/>
              <w:rPr>
                <w:rFonts w:hint="eastAsia" w:eastAsia="宋体" w:cs="宋体"/>
                <w:color w:val="auto"/>
                <w:kern w:val="0"/>
              </w:rPr>
            </w:pPr>
            <w:r>
              <w:rPr>
                <w:rFonts w:eastAsia="宋体" w:cs="宋体"/>
                <w:color w:val="auto"/>
                <w:kern w:val="0"/>
              </w:rPr>
              <w:t>Z8</w:t>
            </w:r>
          </w:p>
        </w:tc>
        <w:tc>
          <w:tcPr>
            <w:tcW w:w="487" w:type="pct"/>
            <w:vMerge w:val="continue"/>
            <w:vAlign w:val="center"/>
          </w:tcPr>
          <w:p w14:paraId="67E88C56">
            <w:pPr>
              <w:pStyle w:val="288"/>
              <w:adjustRightInd w:val="0"/>
              <w:snapToGrid w:val="0"/>
              <w:spacing w:line="300" w:lineRule="exact"/>
              <w:rPr>
                <w:rFonts w:hint="eastAsia" w:eastAsia="宋体" w:cs="宋体"/>
                <w:color w:val="auto"/>
                <w:kern w:val="0"/>
              </w:rPr>
            </w:pPr>
          </w:p>
        </w:tc>
        <w:tc>
          <w:tcPr>
            <w:tcW w:w="1135" w:type="dxa"/>
            <w:vAlign w:val="center"/>
          </w:tcPr>
          <w:p w14:paraId="5F5CA2D2">
            <w:pPr>
              <w:adjustRightInd w:val="0"/>
              <w:snapToGrid w:val="0"/>
              <w:spacing w:line="300" w:lineRule="exact"/>
              <w:jc w:val="center"/>
              <w:rPr>
                <w:rFonts w:cs="宋体"/>
                <w:color w:val="auto"/>
                <w:kern w:val="0"/>
              </w:rPr>
            </w:pPr>
            <w:r>
              <w:rPr>
                <w:rFonts w:hint="eastAsia" w:ascii="宋体" w:hAnsi="宋体" w:cs="宋体"/>
                <w:color w:val="auto"/>
                <w:kern w:val="0"/>
                <w:szCs w:val="21"/>
              </w:rPr>
              <w:t>北厂界</w:t>
            </w:r>
          </w:p>
        </w:tc>
        <w:tc>
          <w:tcPr>
            <w:tcW w:w="850" w:type="dxa"/>
            <w:vAlign w:val="center"/>
          </w:tcPr>
          <w:p w14:paraId="7FDF3B7C">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41</w:t>
            </w:r>
          </w:p>
        </w:tc>
        <w:tc>
          <w:tcPr>
            <w:tcW w:w="487" w:type="pct"/>
            <w:vAlign w:val="center"/>
          </w:tcPr>
          <w:p w14:paraId="31FA0526">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6</w:t>
            </w:r>
            <w:r>
              <w:rPr>
                <w:rFonts w:ascii="宋体" w:hAnsi="宋体" w:cs="宋体"/>
                <w:color w:val="auto"/>
                <w:kern w:val="0"/>
                <w:szCs w:val="21"/>
              </w:rPr>
              <w:t>0</w:t>
            </w:r>
          </w:p>
        </w:tc>
        <w:tc>
          <w:tcPr>
            <w:tcW w:w="650" w:type="pct"/>
            <w:vAlign w:val="center"/>
          </w:tcPr>
          <w:p w14:paraId="5FA45B71">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w:t>
            </w:r>
          </w:p>
        </w:tc>
        <w:tc>
          <w:tcPr>
            <w:tcW w:w="1016" w:type="dxa"/>
            <w:vAlign w:val="center"/>
          </w:tcPr>
          <w:p w14:paraId="3F54F9AF">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39</w:t>
            </w:r>
          </w:p>
        </w:tc>
        <w:tc>
          <w:tcPr>
            <w:tcW w:w="568" w:type="pct"/>
            <w:vAlign w:val="center"/>
          </w:tcPr>
          <w:p w14:paraId="39FB7D2D">
            <w:pPr>
              <w:adjustRightInd w:val="0"/>
              <w:snapToGrid w:val="0"/>
              <w:spacing w:line="300" w:lineRule="exact"/>
              <w:jc w:val="center"/>
              <w:rPr>
                <w:rFonts w:hint="eastAsia" w:ascii="宋体" w:hAnsi="宋体" w:cs="宋体"/>
                <w:color w:val="auto"/>
                <w:kern w:val="0"/>
                <w:szCs w:val="21"/>
              </w:rPr>
            </w:pPr>
            <w:r>
              <w:rPr>
                <w:rFonts w:hint="eastAsia" w:ascii="宋体" w:hAnsi="宋体" w:cs="宋体"/>
                <w:color w:val="auto"/>
                <w:kern w:val="0"/>
                <w:szCs w:val="21"/>
              </w:rPr>
              <w:t>5</w:t>
            </w:r>
            <w:r>
              <w:rPr>
                <w:rFonts w:ascii="宋体" w:hAnsi="宋体" w:cs="宋体"/>
                <w:color w:val="auto"/>
                <w:kern w:val="0"/>
                <w:szCs w:val="21"/>
              </w:rPr>
              <w:t>0</w:t>
            </w:r>
          </w:p>
        </w:tc>
        <w:tc>
          <w:tcPr>
            <w:tcW w:w="697" w:type="pct"/>
            <w:vAlign w:val="center"/>
          </w:tcPr>
          <w:p w14:paraId="7FFDEF93">
            <w:pPr>
              <w:pStyle w:val="288"/>
              <w:adjustRightInd w:val="0"/>
              <w:snapToGrid w:val="0"/>
              <w:spacing w:line="300" w:lineRule="exact"/>
              <w:rPr>
                <w:rFonts w:hint="eastAsia" w:eastAsia="宋体" w:cs="宋体"/>
                <w:color w:val="auto"/>
                <w:kern w:val="0"/>
              </w:rPr>
            </w:pPr>
            <w:r>
              <w:rPr>
                <w:rFonts w:hint="eastAsia" w:eastAsia="宋体" w:cs="宋体"/>
                <w:color w:val="auto"/>
                <w:kern w:val="0"/>
              </w:rPr>
              <w:t>达标</w:t>
            </w:r>
          </w:p>
        </w:tc>
      </w:tr>
    </w:tbl>
    <w:p w14:paraId="7350B754">
      <w:pPr>
        <w:pStyle w:val="86"/>
        <w:ind w:firstLine="480"/>
        <w:rPr>
          <w:rFonts w:hint="eastAsia"/>
          <w:color w:val="auto"/>
        </w:rPr>
      </w:pPr>
      <w:r>
        <w:rPr>
          <w:rFonts w:hint="eastAsia"/>
          <w:color w:val="auto"/>
        </w:rPr>
        <w:t>由表</w:t>
      </w:r>
      <w:r>
        <w:rPr>
          <w:color w:val="auto"/>
        </w:rPr>
        <w:t>4.3</w:t>
      </w:r>
      <w:r>
        <w:rPr>
          <w:rFonts w:hint="eastAsia"/>
          <w:color w:val="auto"/>
        </w:rPr>
        <w:t>-</w:t>
      </w:r>
      <w:r>
        <w:rPr>
          <w:color w:val="auto"/>
        </w:rPr>
        <w:t>8</w:t>
      </w:r>
      <w:r>
        <w:rPr>
          <w:rFonts w:hint="eastAsia"/>
          <w:color w:val="auto"/>
        </w:rPr>
        <w:t>可知，各监测点昼、夜噪声值均满足《声环境质量标准》（GB3096-2008）</w:t>
      </w:r>
      <w:r>
        <w:rPr>
          <w:color w:val="auto"/>
        </w:rPr>
        <w:t>2</w:t>
      </w:r>
      <w:r>
        <w:rPr>
          <w:rFonts w:hint="eastAsia"/>
          <w:color w:val="auto"/>
        </w:rPr>
        <w:t>类标准要求。</w:t>
      </w:r>
    </w:p>
    <w:p w14:paraId="7A9601C1">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土壤环境质量现状调查与评价</w:t>
      </w:r>
    </w:p>
    <w:p w14:paraId="67CE4D36">
      <w:pPr>
        <w:pStyle w:val="86"/>
        <w:ind w:firstLine="480"/>
        <w:rPr>
          <w:rFonts w:hint="eastAsia"/>
          <w:color w:val="auto"/>
        </w:rPr>
      </w:pPr>
      <w:bookmarkStart w:id="605" w:name="_Hlk160379778"/>
      <w:bookmarkStart w:id="606" w:name="_Hlk92209650"/>
      <w:r>
        <w:rPr>
          <w:rFonts w:hint="eastAsia"/>
          <w:color w:val="auto"/>
        </w:rPr>
        <w:t>根据国家土壤信息服务平台数据，项目区土壤类型为风沙土。土壤类型分布图见图4.3-3。</w:t>
      </w:r>
    </w:p>
    <w:p w14:paraId="7074F372">
      <w:pPr>
        <w:pStyle w:val="86"/>
        <w:spacing w:line="240" w:lineRule="auto"/>
        <w:ind w:firstLine="0" w:firstLineChars="0"/>
        <w:rPr>
          <w:rFonts w:hint="eastAsia" w:ascii="黑体" w:hAnsi="黑体" w:eastAsia="黑体" w:cs="黑体"/>
          <w:color w:val="auto"/>
          <w:sz w:val="21"/>
          <w:szCs w:val="21"/>
        </w:rPr>
      </w:pPr>
      <w:r>
        <w:rPr>
          <w:color w:val="auto"/>
        </w:rPr>
        <w:drawing>
          <wp:inline distT="0" distB="0" distL="0" distR="0">
            <wp:extent cx="5543550" cy="5631815"/>
            <wp:effectExtent l="0" t="0" r="0" b="6985"/>
            <wp:docPr id="19609981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9812" name="图片 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5543550" cy="5631815"/>
                    </a:xfrm>
                    <a:prstGeom prst="rect">
                      <a:avLst/>
                    </a:prstGeom>
                    <a:noFill/>
                    <a:ln>
                      <a:noFill/>
                    </a:ln>
                  </pic:spPr>
                </pic:pic>
              </a:graphicData>
            </a:graphic>
          </wp:inline>
        </w:drawing>
      </w:r>
    </w:p>
    <w:p w14:paraId="51AC4CA8">
      <w:pPr>
        <w:pStyle w:val="86"/>
        <w:ind w:firstLine="0" w:firstLineChars="0"/>
        <w:jc w:val="center"/>
        <w:rPr>
          <w:rFonts w:hint="eastAsia" w:ascii="黑体" w:hAnsi="黑体" w:eastAsia="黑体" w:cs="黑体"/>
          <w:color w:val="auto"/>
          <w:sz w:val="21"/>
          <w:szCs w:val="21"/>
        </w:rPr>
      </w:pPr>
      <w:r>
        <w:rPr>
          <w:rFonts w:hint="eastAsia" w:ascii="黑体" w:hAnsi="黑体" w:eastAsia="黑体" w:cs="黑体"/>
          <w:color w:val="auto"/>
          <w:sz w:val="21"/>
          <w:szCs w:val="21"/>
        </w:rPr>
        <w:t>图4.3-3    土壤类型分布图</w:t>
      </w:r>
    </w:p>
    <w:bookmarkEnd w:id="605"/>
    <w:p w14:paraId="5A05A6C4">
      <w:pPr>
        <w:pStyle w:val="86"/>
        <w:ind w:firstLine="480"/>
        <w:rPr>
          <w:rFonts w:hint="eastAsia"/>
          <w:color w:val="auto"/>
        </w:rPr>
      </w:pPr>
      <w:r>
        <w:rPr>
          <w:rFonts w:hint="eastAsia"/>
          <w:color w:val="auto"/>
        </w:rPr>
        <w:t>（1）土壤环境质量现状调查及评价</w:t>
      </w:r>
    </w:p>
    <w:p w14:paraId="25DB8FF6">
      <w:pPr>
        <w:pStyle w:val="86"/>
        <w:ind w:firstLine="480"/>
        <w:rPr>
          <w:rFonts w:hint="eastAsia"/>
          <w:color w:val="auto"/>
        </w:rPr>
      </w:pPr>
      <w:r>
        <w:rPr>
          <w:rFonts w:hint="eastAsia"/>
          <w:color w:val="auto"/>
        </w:rPr>
        <w:t>①监测点位</w:t>
      </w:r>
    </w:p>
    <w:p w14:paraId="732E9346">
      <w:pPr>
        <w:pStyle w:val="86"/>
        <w:ind w:firstLine="480"/>
        <w:rPr>
          <w:rFonts w:hint="eastAsia"/>
          <w:color w:val="auto"/>
        </w:rPr>
      </w:pPr>
      <w:bookmarkStart w:id="607" w:name="_Hlk92222817"/>
      <w:r>
        <w:rPr>
          <w:rFonts w:hint="eastAsia"/>
          <w:bCs/>
          <w:color w:val="auto"/>
        </w:rPr>
        <w:t>根据《环境影响评价技术导则  土壤环境（试行）》（HJ964-02018）和《环境影响评价技术导则 陆地石油天然气开发建设项目》（HJ349-2023）判定，本次共布设3个柱状样和7个表层样</w:t>
      </w:r>
      <w:bookmarkEnd w:id="607"/>
      <w:r>
        <w:rPr>
          <w:rFonts w:hint="eastAsia"/>
          <w:color w:val="auto"/>
        </w:rPr>
        <w:t>，监测点坐标见表</w:t>
      </w:r>
      <w:r>
        <w:rPr>
          <w:color w:val="auto"/>
        </w:rPr>
        <w:t>4.3</w:t>
      </w:r>
      <w:r>
        <w:rPr>
          <w:rFonts w:hint="eastAsia"/>
          <w:color w:val="auto"/>
        </w:rPr>
        <w:t>-9、图4.3-4和图4.3-5。</w:t>
      </w:r>
    </w:p>
    <w:p w14:paraId="5CD4EC7F">
      <w:pPr>
        <w:pStyle w:val="86"/>
        <w:ind w:firstLine="0" w:firstLineChars="0"/>
        <w:jc w:val="center"/>
        <w:rPr>
          <w:rFonts w:hint="eastAsia" w:ascii="黑体" w:hAnsi="黑体" w:eastAsia="黑体" w:cs="黑体"/>
          <w:color w:val="auto"/>
          <w:sz w:val="21"/>
          <w:szCs w:val="21"/>
        </w:rPr>
      </w:pPr>
      <w:r>
        <w:rPr>
          <w:rFonts w:hint="eastAsia" w:ascii="黑体" w:hAnsi="黑体" w:eastAsia="黑体" w:cs="黑体"/>
          <w:color w:val="auto"/>
          <w:sz w:val="21"/>
          <w:szCs w:val="21"/>
        </w:rPr>
        <w:t>表</w:t>
      </w:r>
      <w:r>
        <w:rPr>
          <w:rFonts w:ascii="黑体" w:hAnsi="黑体" w:eastAsia="黑体" w:cs="黑体"/>
          <w:color w:val="auto"/>
          <w:sz w:val="21"/>
          <w:szCs w:val="21"/>
        </w:rPr>
        <w:t>4.3</w:t>
      </w:r>
      <w:r>
        <w:rPr>
          <w:rFonts w:hint="eastAsia" w:ascii="黑体" w:hAnsi="黑体" w:eastAsia="黑体" w:cs="黑体"/>
          <w:color w:val="auto"/>
          <w:sz w:val="21"/>
          <w:szCs w:val="21"/>
        </w:rPr>
        <w:t>-9  实测土壤监测点位</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714"/>
        <w:gridCol w:w="2176"/>
        <w:gridCol w:w="2188"/>
        <w:gridCol w:w="1269"/>
        <w:gridCol w:w="1884"/>
      </w:tblGrid>
      <w:tr w14:paraId="5F5E3A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9" w:type="pct"/>
            <w:gridSpan w:val="2"/>
            <w:vMerge w:val="restart"/>
            <w:vAlign w:val="center"/>
          </w:tcPr>
          <w:p w14:paraId="6F81BEF1">
            <w:pPr>
              <w:spacing w:line="300" w:lineRule="exact"/>
              <w:contextualSpacing/>
              <w:jc w:val="center"/>
              <w:rPr>
                <w:rFonts w:hint="eastAsia" w:ascii="宋体" w:hAnsi="宋体" w:cs="宋体"/>
                <w:color w:val="auto"/>
                <w:szCs w:val="21"/>
              </w:rPr>
            </w:pPr>
            <w:r>
              <w:rPr>
                <w:rFonts w:hint="eastAsia" w:ascii="宋体" w:hAnsi="宋体" w:cs="宋体"/>
                <w:color w:val="auto"/>
                <w:szCs w:val="21"/>
              </w:rPr>
              <w:t>监测点位</w:t>
            </w:r>
          </w:p>
        </w:tc>
        <w:tc>
          <w:tcPr>
            <w:tcW w:w="2439" w:type="pct"/>
            <w:gridSpan w:val="2"/>
            <w:vAlign w:val="center"/>
          </w:tcPr>
          <w:p w14:paraId="5F871896">
            <w:pPr>
              <w:spacing w:line="300" w:lineRule="exact"/>
              <w:contextualSpacing/>
              <w:jc w:val="center"/>
              <w:rPr>
                <w:rFonts w:hint="eastAsia" w:ascii="宋体" w:hAnsi="宋体" w:cs="宋体"/>
                <w:color w:val="auto"/>
                <w:szCs w:val="21"/>
              </w:rPr>
            </w:pPr>
            <w:r>
              <w:rPr>
                <w:rFonts w:hint="eastAsia" w:ascii="宋体" w:hAnsi="宋体" w:cs="宋体"/>
                <w:color w:val="auto"/>
                <w:szCs w:val="21"/>
              </w:rPr>
              <w:t>经纬度坐标</w:t>
            </w:r>
          </w:p>
        </w:tc>
        <w:tc>
          <w:tcPr>
            <w:tcW w:w="1762" w:type="pct"/>
            <w:gridSpan w:val="2"/>
            <w:vMerge w:val="restart"/>
            <w:vAlign w:val="center"/>
          </w:tcPr>
          <w:p w14:paraId="5CC72834">
            <w:pPr>
              <w:spacing w:line="300" w:lineRule="exact"/>
              <w:contextualSpacing/>
              <w:jc w:val="center"/>
              <w:rPr>
                <w:rFonts w:hint="eastAsia" w:ascii="宋体" w:hAnsi="宋体" w:cs="宋体"/>
                <w:color w:val="auto"/>
                <w:szCs w:val="21"/>
              </w:rPr>
            </w:pPr>
            <w:r>
              <w:rPr>
                <w:rFonts w:hint="eastAsia" w:ascii="宋体" w:hAnsi="宋体" w:cs="宋体"/>
                <w:color w:val="auto"/>
                <w:szCs w:val="21"/>
              </w:rPr>
              <w:t>采样性质</w:t>
            </w:r>
          </w:p>
        </w:tc>
      </w:tr>
      <w:tr w14:paraId="739886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9" w:type="pct"/>
            <w:gridSpan w:val="2"/>
            <w:vMerge w:val="continue"/>
            <w:vAlign w:val="center"/>
          </w:tcPr>
          <w:p w14:paraId="3CF4DBF0">
            <w:pPr>
              <w:spacing w:line="300" w:lineRule="exact"/>
              <w:contextualSpacing/>
              <w:jc w:val="center"/>
              <w:rPr>
                <w:rFonts w:hint="eastAsia" w:ascii="宋体" w:hAnsi="宋体" w:cs="宋体"/>
                <w:color w:val="auto"/>
                <w:szCs w:val="21"/>
                <w:lang w:val="zh-CN" w:bidi="zh-CN"/>
              </w:rPr>
            </w:pPr>
          </w:p>
        </w:tc>
        <w:tc>
          <w:tcPr>
            <w:tcW w:w="1216" w:type="pct"/>
            <w:vAlign w:val="center"/>
          </w:tcPr>
          <w:p w14:paraId="18A66CB1">
            <w:pPr>
              <w:spacing w:line="300" w:lineRule="exact"/>
              <w:contextualSpacing/>
              <w:jc w:val="center"/>
              <w:rPr>
                <w:rFonts w:hint="eastAsia" w:ascii="宋体" w:hAnsi="宋体" w:cs="宋体"/>
                <w:color w:val="auto"/>
                <w:szCs w:val="21"/>
              </w:rPr>
            </w:pPr>
            <w:r>
              <w:rPr>
                <w:rFonts w:hint="eastAsia" w:ascii="宋体" w:hAnsi="宋体" w:cs="宋体"/>
                <w:color w:val="auto"/>
                <w:szCs w:val="21"/>
              </w:rPr>
              <w:t>E</w:t>
            </w:r>
          </w:p>
        </w:tc>
        <w:tc>
          <w:tcPr>
            <w:tcW w:w="1223" w:type="pct"/>
            <w:vAlign w:val="center"/>
          </w:tcPr>
          <w:p w14:paraId="43A4885C">
            <w:pPr>
              <w:spacing w:line="300" w:lineRule="exact"/>
              <w:contextualSpacing/>
              <w:jc w:val="center"/>
              <w:rPr>
                <w:rFonts w:hint="eastAsia" w:ascii="宋体" w:hAnsi="宋体" w:cs="宋体"/>
                <w:color w:val="auto"/>
                <w:szCs w:val="21"/>
              </w:rPr>
            </w:pPr>
            <w:r>
              <w:rPr>
                <w:rFonts w:hint="eastAsia" w:ascii="宋体" w:hAnsi="宋体" w:cs="宋体"/>
                <w:color w:val="auto"/>
                <w:szCs w:val="21"/>
              </w:rPr>
              <w:t>N</w:t>
            </w:r>
          </w:p>
        </w:tc>
        <w:tc>
          <w:tcPr>
            <w:tcW w:w="1762" w:type="pct"/>
            <w:gridSpan w:val="2"/>
            <w:vMerge w:val="continue"/>
            <w:vAlign w:val="center"/>
          </w:tcPr>
          <w:p w14:paraId="1A1004E5">
            <w:pPr>
              <w:spacing w:line="300" w:lineRule="exact"/>
              <w:contextualSpacing/>
              <w:jc w:val="center"/>
              <w:rPr>
                <w:rFonts w:hint="eastAsia" w:ascii="宋体" w:hAnsi="宋体" w:cs="宋体"/>
                <w:color w:val="auto"/>
                <w:szCs w:val="21"/>
                <w:lang w:val="zh-CN" w:bidi="zh-CN"/>
              </w:rPr>
            </w:pPr>
          </w:p>
        </w:tc>
      </w:tr>
      <w:tr w14:paraId="5F44CC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restart"/>
            <w:vAlign w:val="center"/>
          </w:tcPr>
          <w:p w14:paraId="3D59B2C6">
            <w:pPr>
              <w:spacing w:line="300" w:lineRule="exact"/>
              <w:contextualSpacing/>
              <w:jc w:val="center"/>
              <w:rPr>
                <w:rFonts w:hint="eastAsia" w:ascii="宋体" w:hAnsi="宋体" w:cs="宋体"/>
                <w:color w:val="auto"/>
                <w:szCs w:val="21"/>
              </w:rPr>
            </w:pPr>
            <w:r>
              <w:rPr>
                <w:rFonts w:hint="eastAsia" w:ascii="宋体" w:hAnsi="宋体" w:cs="宋体"/>
                <w:color w:val="auto"/>
                <w:szCs w:val="21"/>
              </w:rPr>
              <w:t>占地范围内</w:t>
            </w:r>
          </w:p>
        </w:tc>
        <w:tc>
          <w:tcPr>
            <w:tcW w:w="399" w:type="pct"/>
            <w:vAlign w:val="center"/>
          </w:tcPr>
          <w:p w14:paraId="352C2AAD">
            <w:pPr>
              <w:spacing w:line="300" w:lineRule="exact"/>
              <w:contextualSpacing/>
              <w:jc w:val="center"/>
              <w:rPr>
                <w:rFonts w:hint="eastAsia" w:ascii="宋体" w:hAnsi="宋体" w:cs="宋体"/>
                <w:color w:val="auto"/>
                <w:szCs w:val="21"/>
              </w:rPr>
            </w:pPr>
            <w:r>
              <w:rPr>
                <w:rFonts w:hint="eastAsia" w:ascii="宋体" w:hAnsi="宋体" w:cs="宋体"/>
                <w:color w:val="auto"/>
                <w:szCs w:val="21"/>
              </w:rPr>
              <w:t>S1</w:t>
            </w:r>
          </w:p>
        </w:tc>
        <w:tc>
          <w:tcPr>
            <w:tcW w:w="1216" w:type="pct"/>
            <w:vAlign w:val="center"/>
          </w:tcPr>
          <w:p w14:paraId="7A6DF307">
            <w:pPr>
              <w:widowControl/>
              <w:jc w:val="center"/>
              <w:textAlignment w:val="center"/>
              <w:rPr>
                <w:rFonts w:hint="eastAsia" w:ascii="宋体" w:hAnsi="宋体" w:cs="宋体"/>
                <w:color w:val="auto"/>
                <w:szCs w:val="21"/>
              </w:rPr>
            </w:pPr>
            <w:r>
              <w:rPr>
                <w:rFonts w:hint="eastAsia" w:ascii="宋体" w:hAnsi="宋体" w:cs="宋体"/>
                <w:color w:val="auto"/>
                <w:szCs w:val="21"/>
              </w:rPr>
              <w:t>86°27'55.36"</w:t>
            </w:r>
          </w:p>
        </w:tc>
        <w:tc>
          <w:tcPr>
            <w:tcW w:w="1223" w:type="pct"/>
            <w:vAlign w:val="center"/>
          </w:tcPr>
          <w:p w14:paraId="67115EFC">
            <w:pPr>
              <w:widowControl/>
              <w:jc w:val="center"/>
              <w:textAlignment w:val="center"/>
              <w:rPr>
                <w:rFonts w:hint="eastAsia" w:ascii="宋体" w:hAnsi="宋体" w:cs="宋体"/>
                <w:color w:val="auto"/>
                <w:szCs w:val="21"/>
              </w:rPr>
            </w:pPr>
            <w:r>
              <w:rPr>
                <w:rFonts w:hint="eastAsia" w:ascii="宋体" w:hAnsi="宋体" w:cs="宋体"/>
                <w:color w:val="auto"/>
                <w:szCs w:val="21"/>
              </w:rPr>
              <w:t>45°8'9.34"</w:t>
            </w:r>
          </w:p>
        </w:tc>
        <w:tc>
          <w:tcPr>
            <w:tcW w:w="709" w:type="pct"/>
            <w:vAlign w:val="center"/>
          </w:tcPr>
          <w:p w14:paraId="2075C4BD">
            <w:pPr>
              <w:spacing w:line="300" w:lineRule="exact"/>
              <w:contextualSpacing/>
              <w:jc w:val="center"/>
              <w:rPr>
                <w:rFonts w:hint="eastAsia" w:ascii="宋体" w:hAnsi="宋体" w:cs="宋体"/>
                <w:color w:val="auto"/>
                <w:szCs w:val="21"/>
              </w:rPr>
            </w:pPr>
            <w:r>
              <w:rPr>
                <w:rFonts w:hint="eastAsia" w:ascii="宋体" w:hAnsi="宋体" w:cs="宋体"/>
                <w:color w:val="auto"/>
                <w:szCs w:val="21"/>
              </w:rPr>
              <w:t>柱状样</w:t>
            </w:r>
          </w:p>
        </w:tc>
        <w:tc>
          <w:tcPr>
            <w:tcW w:w="1053" w:type="pct"/>
            <w:vMerge w:val="restart"/>
            <w:vAlign w:val="center"/>
          </w:tcPr>
          <w:p w14:paraId="61093C4F">
            <w:pPr>
              <w:spacing w:line="300" w:lineRule="exact"/>
              <w:contextualSpacing/>
              <w:jc w:val="center"/>
              <w:rPr>
                <w:rFonts w:hint="eastAsia" w:ascii="宋体" w:hAnsi="宋体" w:cs="宋体"/>
                <w:color w:val="auto"/>
                <w:szCs w:val="21"/>
              </w:rPr>
            </w:pPr>
            <w:r>
              <w:rPr>
                <w:rFonts w:hint="eastAsia" w:ascii="宋体" w:hAnsi="宋体" w:cs="宋体"/>
                <w:color w:val="auto"/>
                <w:szCs w:val="21"/>
              </w:rPr>
              <w:t>在0～0.5m、</w:t>
            </w:r>
          </w:p>
          <w:p w14:paraId="3A5B7EA3">
            <w:pPr>
              <w:spacing w:line="300" w:lineRule="exact"/>
              <w:contextualSpacing/>
              <w:jc w:val="center"/>
              <w:rPr>
                <w:rFonts w:hint="eastAsia" w:ascii="宋体" w:hAnsi="宋体" w:cs="宋体"/>
                <w:color w:val="auto"/>
                <w:szCs w:val="21"/>
              </w:rPr>
            </w:pPr>
            <w:r>
              <w:rPr>
                <w:rFonts w:hint="eastAsia" w:ascii="宋体" w:hAnsi="宋体" w:cs="宋体"/>
                <w:color w:val="auto"/>
                <w:szCs w:val="21"/>
              </w:rPr>
              <w:t>0.5～1.5m、</w:t>
            </w:r>
          </w:p>
          <w:p w14:paraId="6316082F">
            <w:pPr>
              <w:spacing w:line="300" w:lineRule="exact"/>
              <w:contextualSpacing/>
              <w:jc w:val="center"/>
              <w:rPr>
                <w:rFonts w:hint="eastAsia" w:ascii="宋体" w:hAnsi="宋体" w:cs="宋体"/>
                <w:color w:val="auto"/>
                <w:szCs w:val="21"/>
              </w:rPr>
            </w:pPr>
            <w:r>
              <w:rPr>
                <w:rFonts w:hint="eastAsia" w:ascii="宋体" w:hAnsi="宋体" w:cs="宋体"/>
                <w:color w:val="auto"/>
                <w:szCs w:val="21"/>
              </w:rPr>
              <w:t>1.5～3m分别取样</w:t>
            </w:r>
          </w:p>
        </w:tc>
      </w:tr>
      <w:tr w14:paraId="6CD548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continue"/>
            <w:vAlign w:val="center"/>
          </w:tcPr>
          <w:p w14:paraId="6D593FF8">
            <w:pPr>
              <w:spacing w:line="300" w:lineRule="exact"/>
              <w:contextualSpacing/>
              <w:jc w:val="center"/>
              <w:rPr>
                <w:rFonts w:hint="eastAsia" w:ascii="宋体" w:hAnsi="宋体" w:cs="宋体"/>
                <w:color w:val="auto"/>
                <w:szCs w:val="21"/>
                <w:lang w:val="zh-CN" w:bidi="zh-CN"/>
              </w:rPr>
            </w:pPr>
          </w:p>
        </w:tc>
        <w:tc>
          <w:tcPr>
            <w:tcW w:w="399" w:type="pct"/>
            <w:vAlign w:val="center"/>
          </w:tcPr>
          <w:p w14:paraId="13F80FB2">
            <w:pPr>
              <w:spacing w:line="300" w:lineRule="exact"/>
              <w:contextualSpacing/>
              <w:jc w:val="center"/>
              <w:rPr>
                <w:rFonts w:hint="eastAsia" w:ascii="宋体" w:hAnsi="宋体" w:cs="宋体"/>
                <w:color w:val="auto"/>
                <w:szCs w:val="21"/>
              </w:rPr>
            </w:pPr>
            <w:r>
              <w:rPr>
                <w:rFonts w:hint="eastAsia" w:ascii="宋体" w:hAnsi="宋体" w:cs="宋体"/>
                <w:color w:val="auto"/>
                <w:szCs w:val="21"/>
              </w:rPr>
              <w:t>S2</w:t>
            </w:r>
          </w:p>
        </w:tc>
        <w:tc>
          <w:tcPr>
            <w:tcW w:w="1216" w:type="pct"/>
            <w:vAlign w:val="center"/>
          </w:tcPr>
          <w:p w14:paraId="2E7EEA38">
            <w:pPr>
              <w:widowControl/>
              <w:jc w:val="center"/>
              <w:textAlignment w:val="center"/>
              <w:rPr>
                <w:rFonts w:hint="eastAsia" w:ascii="宋体" w:hAnsi="宋体" w:cs="宋体"/>
                <w:color w:val="auto"/>
                <w:szCs w:val="21"/>
              </w:rPr>
            </w:pPr>
            <w:r>
              <w:rPr>
                <w:rFonts w:hint="eastAsia" w:ascii="宋体" w:hAnsi="宋体" w:cs="宋体"/>
                <w:color w:val="auto"/>
                <w:szCs w:val="21"/>
              </w:rPr>
              <w:t>86°27'39.02"</w:t>
            </w:r>
          </w:p>
        </w:tc>
        <w:tc>
          <w:tcPr>
            <w:tcW w:w="1223" w:type="pct"/>
            <w:vAlign w:val="center"/>
          </w:tcPr>
          <w:p w14:paraId="55EC35EB">
            <w:pPr>
              <w:widowControl/>
              <w:jc w:val="center"/>
              <w:textAlignment w:val="center"/>
              <w:rPr>
                <w:rFonts w:hint="eastAsia" w:ascii="宋体" w:hAnsi="宋体" w:cs="宋体"/>
                <w:color w:val="auto"/>
                <w:szCs w:val="21"/>
              </w:rPr>
            </w:pPr>
            <w:r>
              <w:rPr>
                <w:rFonts w:hint="eastAsia" w:ascii="宋体" w:hAnsi="宋体" w:cs="宋体"/>
                <w:color w:val="auto"/>
                <w:szCs w:val="21"/>
              </w:rPr>
              <w:t>45°7'29.79"</w:t>
            </w:r>
          </w:p>
        </w:tc>
        <w:tc>
          <w:tcPr>
            <w:tcW w:w="709" w:type="pct"/>
            <w:vAlign w:val="center"/>
          </w:tcPr>
          <w:p w14:paraId="61DD4E76">
            <w:pPr>
              <w:spacing w:line="300" w:lineRule="exact"/>
              <w:contextualSpacing/>
              <w:jc w:val="center"/>
              <w:rPr>
                <w:rFonts w:hint="eastAsia" w:ascii="宋体" w:hAnsi="宋体" w:cs="宋体"/>
                <w:color w:val="auto"/>
                <w:szCs w:val="21"/>
              </w:rPr>
            </w:pPr>
            <w:r>
              <w:rPr>
                <w:rFonts w:hint="eastAsia" w:ascii="宋体" w:hAnsi="宋体" w:cs="宋体"/>
                <w:color w:val="auto"/>
                <w:szCs w:val="21"/>
              </w:rPr>
              <w:t>柱状样</w:t>
            </w:r>
          </w:p>
        </w:tc>
        <w:tc>
          <w:tcPr>
            <w:tcW w:w="1053" w:type="pct"/>
            <w:vMerge w:val="continue"/>
            <w:vAlign w:val="center"/>
          </w:tcPr>
          <w:p w14:paraId="0217F9C2">
            <w:pPr>
              <w:spacing w:line="300" w:lineRule="exact"/>
              <w:contextualSpacing/>
              <w:jc w:val="center"/>
              <w:rPr>
                <w:rFonts w:hint="eastAsia" w:ascii="宋体" w:hAnsi="宋体" w:cs="宋体"/>
                <w:color w:val="auto"/>
                <w:szCs w:val="21"/>
                <w:lang w:val="zh-CN" w:bidi="zh-CN"/>
              </w:rPr>
            </w:pPr>
          </w:p>
        </w:tc>
      </w:tr>
      <w:tr w14:paraId="1F3562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continue"/>
            <w:vAlign w:val="center"/>
          </w:tcPr>
          <w:p w14:paraId="4D545C85">
            <w:pPr>
              <w:spacing w:line="300" w:lineRule="exact"/>
              <w:contextualSpacing/>
              <w:jc w:val="center"/>
              <w:rPr>
                <w:rFonts w:hint="eastAsia" w:ascii="宋体" w:hAnsi="宋体" w:cs="宋体"/>
                <w:color w:val="auto"/>
                <w:szCs w:val="21"/>
                <w:lang w:val="zh-CN" w:bidi="zh-CN"/>
              </w:rPr>
            </w:pPr>
          </w:p>
        </w:tc>
        <w:tc>
          <w:tcPr>
            <w:tcW w:w="399" w:type="pct"/>
            <w:vAlign w:val="center"/>
          </w:tcPr>
          <w:p w14:paraId="386E2D6A">
            <w:pPr>
              <w:spacing w:line="300" w:lineRule="exact"/>
              <w:contextualSpacing/>
              <w:jc w:val="center"/>
              <w:rPr>
                <w:rFonts w:hint="eastAsia" w:ascii="宋体" w:hAnsi="宋体" w:cs="宋体"/>
                <w:color w:val="auto"/>
                <w:szCs w:val="21"/>
              </w:rPr>
            </w:pPr>
            <w:r>
              <w:rPr>
                <w:rFonts w:hint="eastAsia" w:ascii="宋体" w:hAnsi="宋体" w:cs="宋体"/>
                <w:color w:val="auto"/>
                <w:szCs w:val="21"/>
              </w:rPr>
              <w:t>S3</w:t>
            </w:r>
          </w:p>
        </w:tc>
        <w:tc>
          <w:tcPr>
            <w:tcW w:w="1216" w:type="pct"/>
            <w:vAlign w:val="center"/>
          </w:tcPr>
          <w:p w14:paraId="75D0FFD7">
            <w:pPr>
              <w:widowControl/>
              <w:jc w:val="center"/>
              <w:textAlignment w:val="center"/>
              <w:rPr>
                <w:rFonts w:hint="eastAsia" w:ascii="宋体" w:hAnsi="宋体" w:cs="宋体"/>
                <w:color w:val="auto"/>
                <w:szCs w:val="21"/>
              </w:rPr>
            </w:pPr>
            <w:r>
              <w:rPr>
                <w:rFonts w:hint="eastAsia" w:ascii="宋体" w:hAnsi="宋体" w:cs="宋体"/>
                <w:color w:val="auto"/>
                <w:szCs w:val="21"/>
              </w:rPr>
              <w:t>86°27'46.78"</w:t>
            </w:r>
          </w:p>
        </w:tc>
        <w:tc>
          <w:tcPr>
            <w:tcW w:w="1223" w:type="pct"/>
            <w:vAlign w:val="center"/>
          </w:tcPr>
          <w:p w14:paraId="6DF3CE1E">
            <w:pPr>
              <w:widowControl/>
              <w:jc w:val="center"/>
              <w:textAlignment w:val="center"/>
              <w:rPr>
                <w:rFonts w:hint="eastAsia" w:ascii="宋体" w:hAnsi="宋体" w:cs="宋体"/>
                <w:color w:val="auto"/>
                <w:szCs w:val="21"/>
              </w:rPr>
            </w:pPr>
            <w:r>
              <w:rPr>
                <w:rFonts w:hint="eastAsia" w:ascii="宋体" w:hAnsi="宋体" w:cs="宋体"/>
                <w:color w:val="auto"/>
                <w:szCs w:val="21"/>
              </w:rPr>
              <w:t>45°8'13.49"</w:t>
            </w:r>
          </w:p>
        </w:tc>
        <w:tc>
          <w:tcPr>
            <w:tcW w:w="709" w:type="pct"/>
            <w:vAlign w:val="center"/>
          </w:tcPr>
          <w:p w14:paraId="3D374E35">
            <w:pPr>
              <w:spacing w:line="300" w:lineRule="exact"/>
              <w:contextualSpacing/>
              <w:jc w:val="center"/>
              <w:rPr>
                <w:rFonts w:hint="eastAsia" w:ascii="宋体" w:hAnsi="宋体" w:cs="宋体"/>
                <w:color w:val="auto"/>
                <w:szCs w:val="21"/>
              </w:rPr>
            </w:pPr>
            <w:r>
              <w:rPr>
                <w:rFonts w:hint="eastAsia" w:ascii="宋体" w:hAnsi="宋体" w:cs="宋体"/>
                <w:color w:val="auto"/>
                <w:szCs w:val="21"/>
              </w:rPr>
              <w:t>柱状样</w:t>
            </w:r>
          </w:p>
        </w:tc>
        <w:tc>
          <w:tcPr>
            <w:tcW w:w="1053" w:type="pct"/>
            <w:vMerge w:val="continue"/>
            <w:vAlign w:val="center"/>
          </w:tcPr>
          <w:p w14:paraId="0DC02418">
            <w:pPr>
              <w:spacing w:line="300" w:lineRule="exact"/>
              <w:contextualSpacing/>
              <w:jc w:val="center"/>
              <w:rPr>
                <w:rFonts w:hint="eastAsia" w:ascii="宋体" w:hAnsi="宋体" w:cs="宋体"/>
                <w:color w:val="auto"/>
                <w:szCs w:val="21"/>
                <w:lang w:val="zh-CN" w:bidi="zh-CN"/>
              </w:rPr>
            </w:pPr>
          </w:p>
        </w:tc>
      </w:tr>
      <w:tr w14:paraId="67A7BC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continue"/>
            <w:vAlign w:val="center"/>
          </w:tcPr>
          <w:p w14:paraId="5E05CC58">
            <w:pPr>
              <w:spacing w:line="300" w:lineRule="exact"/>
              <w:contextualSpacing/>
              <w:jc w:val="center"/>
              <w:rPr>
                <w:rFonts w:hint="eastAsia" w:ascii="宋体" w:hAnsi="宋体" w:cs="宋体"/>
                <w:color w:val="auto"/>
                <w:szCs w:val="21"/>
                <w:lang w:val="zh-CN" w:bidi="zh-CN"/>
              </w:rPr>
            </w:pPr>
          </w:p>
        </w:tc>
        <w:tc>
          <w:tcPr>
            <w:tcW w:w="399" w:type="pct"/>
            <w:vAlign w:val="center"/>
          </w:tcPr>
          <w:p w14:paraId="1F7D292F">
            <w:pPr>
              <w:spacing w:line="300" w:lineRule="exact"/>
              <w:contextualSpacing/>
              <w:jc w:val="center"/>
              <w:rPr>
                <w:rFonts w:hint="eastAsia" w:ascii="宋体" w:hAnsi="宋体" w:cs="宋体"/>
                <w:color w:val="auto"/>
                <w:szCs w:val="21"/>
              </w:rPr>
            </w:pPr>
            <w:r>
              <w:rPr>
                <w:rFonts w:hint="eastAsia" w:ascii="宋体" w:hAnsi="宋体" w:cs="宋体"/>
                <w:color w:val="auto"/>
                <w:szCs w:val="21"/>
              </w:rPr>
              <w:t>S4</w:t>
            </w:r>
          </w:p>
        </w:tc>
        <w:tc>
          <w:tcPr>
            <w:tcW w:w="1216" w:type="pct"/>
            <w:vAlign w:val="center"/>
          </w:tcPr>
          <w:p w14:paraId="1FA1A20E">
            <w:pPr>
              <w:widowControl/>
              <w:jc w:val="center"/>
              <w:textAlignment w:val="center"/>
              <w:rPr>
                <w:rFonts w:hint="eastAsia" w:ascii="宋体" w:hAnsi="宋体" w:cs="宋体"/>
                <w:color w:val="auto"/>
                <w:szCs w:val="21"/>
              </w:rPr>
            </w:pPr>
            <w:r>
              <w:rPr>
                <w:rFonts w:hint="eastAsia" w:ascii="宋体" w:hAnsi="宋体" w:cs="宋体"/>
                <w:color w:val="auto"/>
                <w:szCs w:val="21"/>
              </w:rPr>
              <w:t>86°28'48.21"</w:t>
            </w:r>
          </w:p>
        </w:tc>
        <w:tc>
          <w:tcPr>
            <w:tcW w:w="1223" w:type="pct"/>
            <w:vAlign w:val="center"/>
          </w:tcPr>
          <w:p w14:paraId="16D2AC7C">
            <w:pPr>
              <w:widowControl/>
              <w:jc w:val="center"/>
              <w:textAlignment w:val="center"/>
              <w:rPr>
                <w:rFonts w:hint="eastAsia" w:ascii="宋体" w:hAnsi="宋体" w:cs="宋体"/>
                <w:color w:val="auto"/>
                <w:szCs w:val="21"/>
              </w:rPr>
            </w:pPr>
            <w:r>
              <w:rPr>
                <w:rFonts w:hint="eastAsia" w:ascii="宋体" w:hAnsi="宋体" w:cs="宋体"/>
                <w:color w:val="auto"/>
                <w:szCs w:val="21"/>
              </w:rPr>
              <w:t>45°6'7.32"</w:t>
            </w:r>
          </w:p>
        </w:tc>
        <w:tc>
          <w:tcPr>
            <w:tcW w:w="709" w:type="pct"/>
            <w:vAlign w:val="center"/>
          </w:tcPr>
          <w:p w14:paraId="2B2FC9C5">
            <w:pPr>
              <w:spacing w:line="300" w:lineRule="exact"/>
              <w:contextualSpacing/>
              <w:jc w:val="center"/>
              <w:rPr>
                <w:rFonts w:hint="eastAsia" w:ascii="宋体" w:hAnsi="宋体" w:cs="宋体"/>
                <w:color w:val="auto"/>
                <w:szCs w:val="21"/>
              </w:rPr>
            </w:pPr>
            <w:r>
              <w:rPr>
                <w:rFonts w:hint="eastAsia" w:ascii="宋体" w:hAnsi="宋体" w:cs="宋体"/>
                <w:color w:val="auto"/>
                <w:szCs w:val="21"/>
              </w:rPr>
              <w:t>表层样</w:t>
            </w:r>
          </w:p>
        </w:tc>
        <w:tc>
          <w:tcPr>
            <w:tcW w:w="1053" w:type="pct"/>
            <w:vMerge w:val="restart"/>
            <w:vAlign w:val="center"/>
          </w:tcPr>
          <w:p w14:paraId="635C514C">
            <w:pPr>
              <w:spacing w:line="300" w:lineRule="exact"/>
              <w:contextualSpacing/>
              <w:jc w:val="center"/>
              <w:rPr>
                <w:rFonts w:hint="eastAsia" w:ascii="宋体" w:hAnsi="宋体" w:cs="宋体"/>
                <w:color w:val="auto"/>
                <w:szCs w:val="21"/>
              </w:rPr>
            </w:pPr>
            <w:r>
              <w:rPr>
                <w:rFonts w:hint="eastAsia" w:ascii="宋体" w:hAnsi="宋体" w:cs="宋体"/>
                <w:color w:val="auto"/>
                <w:szCs w:val="21"/>
              </w:rPr>
              <w:t>0～0.2m处取样</w:t>
            </w:r>
          </w:p>
        </w:tc>
      </w:tr>
      <w:tr w14:paraId="1B7CC3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continue"/>
            <w:vAlign w:val="center"/>
          </w:tcPr>
          <w:p w14:paraId="28F4B06A">
            <w:pPr>
              <w:spacing w:line="300" w:lineRule="exact"/>
              <w:contextualSpacing/>
              <w:jc w:val="center"/>
              <w:rPr>
                <w:rFonts w:hint="eastAsia" w:ascii="宋体" w:hAnsi="宋体" w:cs="宋体"/>
                <w:color w:val="auto"/>
                <w:szCs w:val="21"/>
                <w:lang w:val="zh-CN" w:bidi="zh-CN"/>
              </w:rPr>
            </w:pPr>
          </w:p>
        </w:tc>
        <w:tc>
          <w:tcPr>
            <w:tcW w:w="399" w:type="pct"/>
            <w:vAlign w:val="center"/>
          </w:tcPr>
          <w:p w14:paraId="4E208DED">
            <w:pPr>
              <w:spacing w:line="300" w:lineRule="exact"/>
              <w:contextualSpacing/>
              <w:jc w:val="center"/>
              <w:rPr>
                <w:rFonts w:hint="eastAsia" w:ascii="宋体" w:hAnsi="宋体" w:cs="宋体"/>
                <w:color w:val="auto"/>
                <w:szCs w:val="21"/>
              </w:rPr>
            </w:pPr>
            <w:r>
              <w:rPr>
                <w:rFonts w:hint="eastAsia" w:ascii="宋体" w:hAnsi="宋体" w:cs="宋体"/>
                <w:color w:val="auto"/>
                <w:szCs w:val="21"/>
              </w:rPr>
              <w:t>S5</w:t>
            </w:r>
          </w:p>
        </w:tc>
        <w:tc>
          <w:tcPr>
            <w:tcW w:w="1216" w:type="pct"/>
            <w:vAlign w:val="center"/>
          </w:tcPr>
          <w:p w14:paraId="51F19882">
            <w:pPr>
              <w:widowControl/>
              <w:jc w:val="center"/>
              <w:textAlignment w:val="center"/>
              <w:rPr>
                <w:rFonts w:hint="eastAsia" w:ascii="宋体" w:hAnsi="宋体" w:cs="宋体"/>
                <w:color w:val="auto"/>
                <w:szCs w:val="21"/>
              </w:rPr>
            </w:pPr>
            <w:r>
              <w:rPr>
                <w:rFonts w:hint="eastAsia" w:ascii="宋体" w:hAnsi="宋体" w:cs="宋体"/>
                <w:color w:val="auto"/>
                <w:szCs w:val="21"/>
              </w:rPr>
              <w:t>86°27'46.98"</w:t>
            </w:r>
          </w:p>
        </w:tc>
        <w:tc>
          <w:tcPr>
            <w:tcW w:w="1223" w:type="pct"/>
            <w:vAlign w:val="center"/>
          </w:tcPr>
          <w:p w14:paraId="3C74A425">
            <w:pPr>
              <w:widowControl/>
              <w:jc w:val="center"/>
              <w:textAlignment w:val="center"/>
              <w:rPr>
                <w:rFonts w:hint="eastAsia" w:ascii="宋体" w:hAnsi="宋体" w:cs="宋体"/>
                <w:color w:val="auto"/>
                <w:szCs w:val="21"/>
              </w:rPr>
            </w:pPr>
            <w:r>
              <w:rPr>
                <w:rFonts w:hint="eastAsia" w:ascii="宋体" w:hAnsi="宋体" w:cs="宋体"/>
                <w:color w:val="auto"/>
                <w:szCs w:val="21"/>
              </w:rPr>
              <w:t>45°8'14.49"</w:t>
            </w:r>
          </w:p>
        </w:tc>
        <w:tc>
          <w:tcPr>
            <w:tcW w:w="709" w:type="pct"/>
            <w:vAlign w:val="center"/>
          </w:tcPr>
          <w:p w14:paraId="61C9EF03">
            <w:pPr>
              <w:spacing w:line="300" w:lineRule="exact"/>
              <w:contextualSpacing/>
              <w:jc w:val="center"/>
              <w:rPr>
                <w:rFonts w:hint="eastAsia" w:ascii="宋体" w:hAnsi="宋体" w:cs="宋体"/>
                <w:color w:val="auto"/>
                <w:szCs w:val="21"/>
              </w:rPr>
            </w:pPr>
            <w:r>
              <w:rPr>
                <w:rFonts w:hint="eastAsia" w:ascii="宋体" w:hAnsi="宋体" w:cs="宋体"/>
                <w:color w:val="auto"/>
                <w:szCs w:val="21"/>
              </w:rPr>
              <w:t>表层样</w:t>
            </w:r>
          </w:p>
        </w:tc>
        <w:tc>
          <w:tcPr>
            <w:tcW w:w="1053" w:type="pct"/>
            <w:vMerge w:val="continue"/>
            <w:vAlign w:val="center"/>
          </w:tcPr>
          <w:p w14:paraId="1AE3428C">
            <w:pPr>
              <w:spacing w:line="300" w:lineRule="exact"/>
              <w:contextualSpacing/>
              <w:jc w:val="center"/>
              <w:rPr>
                <w:rFonts w:hint="eastAsia" w:ascii="宋体" w:hAnsi="宋体" w:cs="宋体"/>
                <w:color w:val="auto"/>
                <w:szCs w:val="21"/>
              </w:rPr>
            </w:pPr>
          </w:p>
        </w:tc>
      </w:tr>
      <w:tr w14:paraId="5D375F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continue"/>
            <w:vAlign w:val="center"/>
          </w:tcPr>
          <w:p w14:paraId="1C606E3B">
            <w:pPr>
              <w:spacing w:line="300" w:lineRule="exact"/>
              <w:contextualSpacing/>
              <w:jc w:val="center"/>
              <w:rPr>
                <w:rFonts w:hint="eastAsia" w:ascii="宋体" w:hAnsi="宋体" w:cs="宋体"/>
                <w:color w:val="auto"/>
                <w:szCs w:val="21"/>
                <w:lang w:val="zh-CN" w:bidi="zh-CN"/>
              </w:rPr>
            </w:pPr>
          </w:p>
        </w:tc>
        <w:tc>
          <w:tcPr>
            <w:tcW w:w="399" w:type="pct"/>
            <w:vAlign w:val="center"/>
          </w:tcPr>
          <w:p w14:paraId="3A7188ED">
            <w:pPr>
              <w:spacing w:line="300" w:lineRule="exact"/>
              <w:contextualSpacing/>
              <w:jc w:val="center"/>
              <w:rPr>
                <w:rFonts w:hint="eastAsia" w:ascii="宋体" w:hAnsi="宋体" w:cs="宋体"/>
                <w:color w:val="auto"/>
                <w:szCs w:val="21"/>
              </w:rPr>
            </w:pPr>
            <w:r>
              <w:rPr>
                <w:rFonts w:hint="eastAsia" w:ascii="宋体" w:hAnsi="宋体" w:cs="宋体"/>
                <w:color w:val="auto"/>
                <w:szCs w:val="21"/>
              </w:rPr>
              <w:t>S6</w:t>
            </w:r>
          </w:p>
        </w:tc>
        <w:tc>
          <w:tcPr>
            <w:tcW w:w="1216" w:type="pct"/>
            <w:vAlign w:val="center"/>
          </w:tcPr>
          <w:p w14:paraId="309ECE7B">
            <w:pPr>
              <w:widowControl/>
              <w:jc w:val="center"/>
              <w:textAlignment w:val="center"/>
              <w:rPr>
                <w:rFonts w:hint="eastAsia" w:ascii="宋体" w:hAnsi="宋体" w:cs="宋体"/>
                <w:color w:val="auto"/>
                <w:szCs w:val="21"/>
              </w:rPr>
            </w:pPr>
            <w:r>
              <w:rPr>
                <w:rFonts w:hint="eastAsia" w:ascii="宋体" w:hAnsi="宋体" w:cs="宋体"/>
                <w:color w:val="auto"/>
                <w:szCs w:val="21"/>
              </w:rPr>
              <w:t>86°27'53.92"</w:t>
            </w:r>
          </w:p>
        </w:tc>
        <w:tc>
          <w:tcPr>
            <w:tcW w:w="1223" w:type="pct"/>
            <w:vAlign w:val="center"/>
          </w:tcPr>
          <w:p w14:paraId="57640B1D">
            <w:pPr>
              <w:widowControl/>
              <w:jc w:val="center"/>
              <w:textAlignment w:val="center"/>
              <w:rPr>
                <w:rFonts w:hint="eastAsia" w:ascii="宋体" w:hAnsi="宋体" w:cs="宋体"/>
                <w:color w:val="auto"/>
                <w:szCs w:val="21"/>
              </w:rPr>
            </w:pPr>
            <w:r>
              <w:rPr>
                <w:rFonts w:hint="eastAsia" w:ascii="宋体" w:hAnsi="宋体" w:cs="宋体"/>
                <w:color w:val="auto"/>
                <w:szCs w:val="21"/>
              </w:rPr>
              <w:t>45°8'10.06"</w:t>
            </w:r>
          </w:p>
        </w:tc>
        <w:tc>
          <w:tcPr>
            <w:tcW w:w="709" w:type="pct"/>
            <w:vAlign w:val="center"/>
          </w:tcPr>
          <w:p w14:paraId="340B4DD9">
            <w:pPr>
              <w:spacing w:line="300" w:lineRule="exact"/>
              <w:contextualSpacing/>
              <w:jc w:val="center"/>
              <w:rPr>
                <w:rFonts w:hint="eastAsia" w:ascii="宋体" w:hAnsi="宋体" w:cs="宋体"/>
                <w:color w:val="auto"/>
                <w:szCs w:val="21"/>
              </w:rPr>
            </w:pPr>
            <w:r>
              <w:rPr>
                <w:rFonts w:hint="eastAsia" w:ascii="宋体" w:hAnsi="宋体" w:cs="宋体"/>
                <w:color w:val="auto"/>
                <w:szCs w:val="21"/>
              </w:rPr>
              <w:t>表层样</w:t>
            </w:r>
          </w:p>
        </w:tc>
        <w:tc>
          <w:tcPr>
            <w:tcW w:w="1053" w:type="pct"/>
            <w:vMerge w:val="continue"/>
            <w:vAlign w:val="center"/>
          </w:tcPr>
          <w:p w14:paraId="30B65067">
            <w:pPr>
              <w:spacing w:line="300" w:lineRule="exact"/>
              <w:contextualSpacing/>
              <w:jc w:val="center"/>
              <w:rPr>
                <w:rFonts w:hint="eastAsia" w:ascii="宋体" w:hAnsi="宋体" w:cs="宋体"/>
                <w:color w:val="auto"/>
                <w:szCs w:val="21"/>
              </w:rPr>
            </w:pPr>
          </w:p>
        </w:tc>
      </w:tr>
      <w:tr w14:paraId="7E49F5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restart"/>
            <w:vAlign w:val="center"/>
          </w:tcPr>
          <w:p w14:paraId="305F3F87">
            <w:pPr>
              <w:spacing w:line="300" w:lineRule="exact"/>
              <w:contextualSpacing/>
              <w:jc w:val="center"/>
              <w:rPr>
                <w:rFonts w:hint="eastAsia" w:ascii="宋体" w:hAnsi="宋体" w:cs="宋体"/>
                <w:color w:val="auto"/>
                <w:szCs w:val="21"/>
                <w:lang w:val="zh-CN" w:bidi="zh-CN"/>
              </w:rPr>
            </w:pPr>
            <w:r>
              <w:rPr>
                <w:rFonts w:hint="eastAsia" w:ascii="宋体" w:hAnsi="宋体" w:cs="宋体"/>
                <w:color w:val="auto"/>
                <w:szCs w:val="21"/>
              </w:rPr>
              <w:t>占地范围外</w:t>
            </w:r>
          </w:p>
        </w:tc>
        <w:tc>
          <w:tcPr>
            <w:tcW w:w="399" w:type="pct"/>
            <w:vAlign w:val="center"/>
          </w:tcPr>
          <w:p w14:paraId="5114EE4A">
            <w:pPr>
              <w:spacing w:line="300" w:lineRule="exact"/>
              <w:contextualSpacing/>
              <w:jc w:val="center"/>
              <w:rPr>
                <w:rFonts w:hint="eastAsia" w:ascii="宋体" w:hAnsi="宋体" w:cs="宋体"/>
                <w:color w:val="auto"/>
                <w:szCs w:val="21"/>
              </w:rPr>
            </w:pPr>
            <w:r>
              <w:rPr>
                <w:rFonts w:hint="eastAsia" w:ascii="宋体" w:hAnsi="宋体" w:cs="宋体"/>
                <w:color w:val="auto"/>
                <w:szCs w:val="21"/>
              </w:rPr>
              <w:t>S7</w:t>
            </w:r>
          </w:p>
        </w:tc>
        <w:tc>
          <w:tcPr>
            <w:tcW w:w="1216" w:type="pct"/>
            <w:vAlign w:val="center"/>
          </w:tcPr>
          <w:p w14:paraId="2B067B54">
            <w:pPr>
              <w:widowControl/>
              <w:jc w:val="center"/>
              <w:textAlignment w:val="center"/>
              <w:rPr>
                <w:rFonts w:hint="eastAsia" w:ascii="宋体" w:hAnsi="宋体" w:cs="宋体"/>
                <w:color w:val="auto"/>
                <w:szCs w:val="21"/>
              </w:rPr>
            </w:pPr>
            <w:r>
              <w:rPr>
                <w:rFonts w:hint="eastAsia" w:ascii="宋体" w:hAnsi="宋体" w:cs="宋体"/>
                <w:color w:val="auto"/>
                <w:szCs w:val="21"/>
              </w:rPr>
              <w:t>86°27'46.97"</w:t>
            </w:r>
          </w:p>
        </w:tc>
        <w:tc>
          <w:tcPr>
            <w:tcW w:w="1223" w:type="pct"/>
            <w:vAlign w:val="center"/>
          </w:tcPr>
          <w:p w14:paraId="32B61551">
            <w:pPr>
              <w:widowControl/>
              <w:jc w:val="center"/>
              <w:textAlignment w:val="center"/>
              <w:rPr>
                <w:rFonts w:hint="eastAsia" w:ascii="宋体" w:hAnsi="宋体" w:cs="宋体"/>
                <w:color w:val="auto"/>
                <w:szCs w:val="21"/>
              </w:rPr>
            </w:pPr>
            <w:r>
              <w:rPr>
                <w:rFonts w:hint="eastAsia" w:ascii="宋体" w:hAnsi="宋体" w:cs="宋体"/>
                <w:color w:val="auto"/>
                <w:szCs w:val="21"/>
              </w:rPr>
              <w:t>45°8'16.12"</w:t>
            </w:r>
          </w:p>
        </w:tc>
        <w:tc>
          <w:tcPr>
            <w:tcW w:w="709" w:type="pct"/>
            <w:vAlign w:val="center"/>
          </w:tcPr>
          <w:p w14:paraId="0E5C8910">
            <w:pPr>
              <w:spacing w:line="300" w:lineRule="exact"/>
              <w:contextualSpacing/>
              <w:jc w:val="center"/>
              <w:rPr>
                <w:rFonts w:hint="eastAsia" w:ascii="宋体" w:hAnsi="宋体" w:cs="宋体"/>
                <w:color w:val="auto"/>
                <w:szCs w:val="21"/>
              </w:rPr>
            </w:pPr>
            <w:r>
              <w:rPr>
                <w:rFonts w:hint="eastAsia" w:ascii="宋体" w:hAnsi="宋体" w:cs="宋体"/>
                <w:color w:val="auto"/>
                <w:szCs w:val="21"/>
              </w:rPr>
              <w:t>表层样</w:t>
            </w:r>
          </w:p>
        </w:tc>
        <w:tc>
          <w:tcPr>
            <w:tcW w:w="1053" w:type="pct"/>
            <w:vMerge w:val="restart"/>
            <w:vAlign w:val="center"/>
          </w:tcPr>
          <w:p w14:paraId="0F02ECFA">
            <w:pPr>
              <w:spacing w:line="300" w:lineRule="exact"/>
              <w:contextualSpacing/>
              <w:jc w:val="center"/>
              <w:rPr>
                <w:rFonts w:hint="eastAsia" w:ascii="宋体" w:hAnsi="宋体" w:cs="宋体"/>
                <w:color w:val="auto"/>
                <w:szCs w:val="21"/>
              </w:rPr>
            </w:pPr>
            <w:r>
              <w:rPr>
                <w:rFonts w:hint="eastAsia" w:ascii="宋体" w:hAnsi="宋体" w:cs="宋体"/>
                <w:color w:val="auto"/>
                <w:szCs w:val="21"/>
              </w:rPr>
              <w:t>0～0.2m处取样</w:t>
            </w:r>
          </w:p>
        </w:tc>
      </w:tr>
      <w:tr w14:paraId="7E480B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continue"/>
            <w:vAlign w:val="center"/>
          </w:tcPr>
          <w:p w14:paraId="7650C98B">
            <w:pPr>
              <w:spacing w:line="300" w:lineRule="exact"/>
              <w:contextualSpacing/>
              <w:jc w:val="center"/>
              <w:rPr>
                <w:rFonts w:hint="eastAsia" w:ascii="宋体" w:hAnsi="宋体" w:cs="宋体"/>
                <w:color w:val="auto"/>
                <w:szCs w:val="21"/>
                <w:lang w:val="zh-CN" w:bidi="zh-CN"/>
              </w:rPr>
            </w:pPr>
          </w:p>
        </w:tc>
        <w:tc>
          <w:tcPr>
            <w:tcW w:w="399" w:type="pct"/>
            <w:vAlign w:val="center"/>
          </w:tcPr>
          <w:p w14:paraId="1450CADE">
            <w:pPr>
              <w:spacing w:line="300" w:lineRule="exact"/>
              <w:contextualSpacing/>
              <w:jc w:val="center"/>
              <w:rPr>
                <w:rFonts w:hint="eastAsia" w:ascii="宋体" w:hAnsi="宋体" w:cs="宋体"/>
                <w:color w:val="auto"/>
                <w:szCs w:val="21"/>
              </w:rPr>
            </w:pPr>
            <w:r>
              <w:rPr>
                <w:rFonts w:hint="eastAsia" w:ascii="宋体" w:hAnsi="宋体" w:cs="宋体"/>
                <w:color w:val="auto"/>
                <w:szCs w:val="21"/>
              </w:rPr>
              <w:t>S8</w:t>
            </w:r>
          </w:p>
        </w:tc>
        <w:tc>
          <w:tcPr>
            <w:tcW w:w="1216" w:type="pct"/>
            <w:vAlign w:val="center"/>
          </w:tcPr>
          <w:p w14:paraId="7A835361">
            <w:pPr>
              <w:widowControl/>
              <w:jc w:val="center"/>
              <w:textAlignment w:val="center"/>
              <w:rPr>
                <w:rFonts w:hint="eastAsia" w:ascii="宋体" w:hAnsi="宋体" w:cs="宋体"/>
                <w:color w:val="auto"/>
                <w:szCs w:val="21"/>
              </w:rPr>
            </w:pPr>
            <w:r>
              <w:rPr>
                <w:rFonts w:hint="eastAsia" w:ascii="宋体" w:hAnsi="宋体" w:cs="宋体"/>
                <w:color w:val="auto"/>
                <w:szCs w:val="21"/>
              </w:rPr>
              <w:t>86°27'41.18"</w:t>
            </w:r>
          </w:p>
        </w:tc>
        <w:tc>
          <w:tcPr>
            <w:tcW w:w="1223" w:type="pct"/>
            <w:vAlign w:val="center"/>
          </w:tcPr>
          <w:p w14:paraId="1B229AF0">
            <w:pPr>
              <w:widowControl/>
              <w:jc w:val="center"/>
              <w:textAlignment w:val="center"/>
              <w:rPr>
                <w:rFonts w:hint="eastAsia" w:ascii="宋体" w:hAnsi="宋体" w:cs="宋体"/>
                <w:color w:val="auto"/>
                <w:szCs w:val="21"/>
              </w:rPr>
            </w:pPr>
            <w:r>
              <w:rPr>
                <w:rFonts w:hint="eastAsia" w:ascii="宋体" w:hAnsi="宋体" w:cs="宋体"/>
                <w:color w:val="auto"/>
                <w:szCs w:val="21"/>
              </w:rPr>
              <w:t>45°7'32.48"</w:t>
            </w:r>
          </w:p>
        </w:tc>
        <w:tc>
          <w:tcPr>
            <w:tcW w:w="709" w:type="pct"/>
            <w:vAlign w:val="center"/>
          </w:tcPr>
          <w:p w14:paraId="199EB5D8">
            <w:pPr>
              <w:spacing w:line="300" w:lineRule="exact"/>
              <w:contextualSpacing/>
              <w:jc w:val="center"/>
              <w:rPr>
                <w:rFonts w:hint="eastAsia" w:ascii="宋体" w:hAnsi="宋体" w:cs="宋体"/>
                <w:color w:val="auto"/>
                <w:szCs w:val="21"/>
              </w:rPr>
            </w:pPr>
            <w:r>
              <w:rPr>
                <w:rFonts w:hint="eastAsia" w:ascii="宋体" w:hAnsi="宋体" w:cs="宋体"/>
                <w:color w:val="auto"/>
                <w:szCs w:val="21"/>
              </w:rPr>
              <w:t>表层样</w:t>
            </w:r>
          </w:p>
        </w:tc>
        <w:tc>
          <w:tcPr>
            <w:tcW w:w="1053" w:type="pct"/>
            <w:vMerge w:val="continue"/>
            <w:vAlign w:val="center"/>
          </w:tcPr>
          <w:p w14:paraId="78B2CBF9">
            <w:pPr>
              <w:spacing w:line="300" w:lineRule="exact"/>
              <w:contextualSpacing/>
              <w:jc w:val="center"/>
              <w:rPr>
                <w:rFonts w:hint="eastAsia" w:ascii="宋体" w:hAnsi="宋体" w:cs="宋体"/>
                <w:color w:val="auto"/>
                <w:szCs w:val="21"/>
              </w:rPr>
            </w:pPr>
          </w:p>
        </w:tc>
      </w:tr>
      <w:tr w14:paraId="465B26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continue"/>
            <w:vAlign w:val="center"/>
          </w:tcPr>
          <w:p w14:paraId="2CF25F20">
            <w:pPr>
              <w:spacing w:line="300" w:lineRule="exact"/>
              <w:contextualSpacing/>
              <w:jc w:val="center"/>
              <w:rPr>
                <w:rFonts w:hint="eastAsia" w:ascii="宋体" w:hAnsi="宋体" w:cs="宋体"/>
                <w:color w:val="auto"/>
                <w:szCs w:val="21"/>
                <w:lang w:val="zh-CN" w:bidi="zh-CN"/>
              </w:rPr>
            </w:pPr>
          </w:p>
        </w:tc>
        <w:tc>
          <w:tcPr>
            <w:tcW w:w="399" w:type="pct"/>
            <w:vAlign w:val="center"/>
          </w:tcPr>
          <w:p w14:paraId="6938276A">
            <w:pPr>
              <w:spacing w:line="300" w:lineRule="exact"/>
              <w:contextualSpacing/>
              <w:jc w:val="center"/>
              <w:rPr>
                <w:rFonts w:hint="eastAsia" w:ascii="宋体" w:hAnsi="宋体" w:cs="宋体"/>
                <w:color w:val="auto"/>
                <w:szCs w:val="21"/>
              </w:rPr>
            </w:pPr>
            <w:r>
              <w:rPr>
                <w:rFonts w:hint="eastAsia" w:ascii="宋体" w:hAnsi="宋体" w:cs="宋体"/>
                <w:color w:val="auto"/>
                <w:szCs w:val="21"/>
              </w:rPr>
              <w:t>S9</w:t>
            </w:r>
          </w:p>
        </w:tc>
        <w:tc>
          <w:tcPr>
            <w:tcW w:w="1216" w:type="pct"/>
            <w:vAlign w:val="center"/>
          </w:tcPr>
          <w:p w14:paraId="2A4CF0B7">
            <w:pPr>
              <w:widowControl/>
              <w:jc w:val="center"/>
              <w:textAlignment w:val="center"/>
              <w:rPr>
                <w:rFonts w:hint="eastAsia" w:ascii="宋体" w:hAnsi="宋体" w:cs="宋体"/>
                <w:color w:val="auto"/>
                <w:szCs w:val="21"/>
              </w:rPr>
            </w:pPr>
            <w:r>
              <w:rPr>
                <w:rFonts w:hint="eastAsia" w:ascii="宋体" w:hAnsi="宋体" w:cs="宋体"/>
                <w:color w:val="auto"/>
                <w:szCs w:val="21"/>
              </w:rPr>
              <w:t>86°27'57.29"</w:t>
            </w:r>
          </w:p>
        </w:tc>
        <w:tc>
          <w:tcPr>
            <w:tcW w:w="1223" w:type="pct"/>
            <w:vAlign w:val="center"/>
          </w:tcPr>
          <w:p w14:paraId="64BB62D6">
            <w:pPr>
              <w:widowControl/>
              <w:jc w:val="center"/>
              <w:textAlignment w:val="center"/>
              <w:rPr>
                <w:rFonts w:hint="eastAsia" w:ascii="宋体" w:hAnsi="宋体" w:cs="宋体"/>
                <w:color w:val="auto"/>
                <w:szCs w:val="21"/>
              </w:rPr>
            </w:pPr>
            <w:r>
              <w:rPr>
                <w:rFonts w:hint="eastAsia" w:ascii="宋体" w:hAnsi="宋体" w:cs="宋体"/>
                <w:color w:val="auto"/>
                <w:szCs w:val="21"/>
              </w:rPr>
              <w:t>45°8'10.71"</w:t>
            </w:r>
          </w:p>
        </w:tc>
        <w:tc>
          <w:tcPr>
            <w:tcW w:w="709" w:type="pct"/>
            <w:vAlign w:val="center"/>
          </w:tcPr>
          <w:p w14:paraId="03CB9B17">
            <w:pPr>
              <w:spacing w:line="300" w:lineRule="exact"/>
              <w:contextualSpacing/>
              <w:jc w:val="center"/>
              <w:rPr>
                <w:rFonts w:hint="eastAsia" w:ascii="宋体" w:hAnsi="宋体" w:cs="宋体"/>
                <w:color w:val="auto"/>
                <w:szCs w:val="21"/>
              </w:rPr>
            </w:pPr>
            <w:r>
              <w:rPr>
                <w:rFonts w:hint="eastAsia" w:ascii="宋体" w:hAnsi="宋体" w:cs="宋体"/>
                <w:color w:val="auto"/>
                <w:szCs w:val="21"/>
              </w:rPr>
              <w:t>表层样</w:t>
            </w:r>
          </w:p>
        </w:tc>
        <w:tc>
          <w:tcPr>
            <w:tcW w:w="1053" w:type="pct"/>
            <w:vMerge w:val="continue"/>
            <w:vAlign w:val="center"/>
          </w:tcPr>
          <w:p w14:paraId="350971AF">
            <w:pPr>
              <w:spacing w:line="300" w:lineRule="exact"/>
              <w:contextualSpacing/>
              <w:jc w:val="center"/>
              <w:rPr>
                <w:rFonts w:hint="eastAsia" w:ascii="宋体" w:hAnsi="宋体" w:cs="宋体"/>
                <w:color w:val="auto"/>
                <w:szCs w:val="21"/>
              </w:rPr>
            </w:pPr>
          </w:p>
        </w:tc>
      </w:tr>
      <w:tr w14:paraId="30AC93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continue"/>
            <w:vAlign w:val="center"/>
          </w:tcPr>
          <w:p w14:paraId="31E029B5">
            <w:pPr>
              <w:spacing w:line="300" w:lineRule="exact"/>
              <w:contextualSpacing/>
              <w:jc w:val="center"/>
              <w:rPr>
                <w:rFonts w:hint="eastAsia" w:ascii="宋体" w:hAnsi="宋体" w:cs="宋体"/>
                <w:color w:val="auto"/>
                <w:szCs w:val="21"/>
                <w:lang w:val="zh-CN" w:bidi="zh-CN"/>
              </w:rPr>
            </w:pPr>
          </w:p>
        </w:tc>
        <w:tc>
          <w:tcPr>
            <w:tcW w:w="399" w:type="pct"/>
            <w:vAlign w:val="center"/>
          </w:tcPr>
          <w:p w14:paraId="7FACC33E">
            <w:pPr>
              <w:spacing w:line="300" w:lineRule="exact"/>
              <w:contextualSpacing/>
              <w:jc w:val="center"/>
              <w:rPr>
                <w:rFonts w:hint="eastAsia" w:ascii="宋体" w:hAnsi="宋体" w:cs="宋体"/>
                <w:color w:val="auto"/>
                <w:szCs w:val="21"/>
              </w:rPr>
            </w:pPr>
            <w:r>
              <w:rPr>
                <w:rFonts w:hint="eastAsia" w:ascii="宋体" w:hAnsi="宋体" w:cs="宋体"/>
                <w:color w:val="auto"/>
                <w:szCs w:val="21"/>
              </w:rPr>
              <w:t>S10</w:t>
            </w:r>
          </w:p>
        </w:tc>
        <w:tc>
          <w:tcPr>
            <w:tcW w:w="1216" w:type="pct"/>
            <w:vAlign w:val="center"/>
          </w:tcPr>
          <w:p w14:paraId="21CB0E19">
            <w:pPr>
              <w:widowControl/>
              <w:jc w:val="center"/>
              <w:textAlignment w:val="center"/>
              <w:rPr>
                <w:rFonts w:hint="eastAsia" w:ascii="宋体" w:hAnsi="宋体" w:cs="宋体"/>
                <w:color w:val="auto"/>
                <w:szCs w:val="21"/>
              </w:rPr>
            </w:pPr>
            <w:r>
              <w:rPr>
                <w:rFonts w:hint="eastAsia" w:ascii="宋体" w:hAnsi="宋体" w:cs="宋体"/>
                <w:color w:val="auto"/>
                <w:szCs w:val="21"/>
              </w:rPr>
              <w:t>86°28'50.02"</w:t>
            </w:r>
          </w:p>
        </w:tc>
        <w:tc>
          <w:tcPr>
            <w:tcW w:w="1223" w:type="pct"/>
            <w:vAlign w:val="center"/>
          </w:tcPr>
          <w:p w14:paraId="05E89034">
            <w:pPr>
              <w:widowControl/>
              <w:jc w:val="center"/>
              <w:textAlignment w:val="center"/>
              <w:rPr>
                <w:rFonts w:hint="eastAsia" w:ascii="宋体" w:hAnsi="宋体" w:cs="宋体"/>
                <w:color w:val="auto"/>
                <w:szCs w:val="21"/>
              </w:rPr>
            </w:pPr>
            <w:r>
              <w:rPr>
                <w:rFonts w:hint="eastAsia" w:ascii="宋体" w:hAnsi="宋体" w:cs="宋体"/>
                <w:color w:val="auto"/>
                <w:szCs w:val="21"/>
              </w:rPr>
              <w:t>45°6'13.13"</w:t>
            </w:r>
          </w:p>
        </w:tc>
        <w:tc>
          <w:tcPr>
            <w:tcW w:w="709" w:type="pct"/>
            <w:vAlign w:val="center"/>
          </w:tcPr>
          <w:p w14:paraId="45F0DA6E">
            <w:pPr>
              <w:spacing w:line="300" w:lineRule="exact"/>
              <w:contextualSpacing/>
              <w:jc w:val="center"/>
              <w:rPr>
                <w:rFonts w:hint="eastAsia" w:ascii="宋体" w:hAnsi="宋体" w:cs="宋体"/>
                <w:color w:val="auto"/>
                <w:szCs w:val="21"/>
              </w:rPr>
            </w:pPr>
            <w:r>
              <w:rPr>
                <w:rFonts w:hint="eastAsia" w:ascii="宋体" w:hAnsi="宋体" w:cs="宋体"/>
                <w:color w:val="auto"/>
                <w:szCs w:val="21"/>
              </w:rPr>
              <w:t>表层样</w:t>
            </w:r>
          </w:p>
        </w:tc>
        <w:tc>
          <w:tcPr>
            <w:tcW w:w="1053" w:type="pct"/>
            <w:vMerge w:val="continue"/>
            <w:vAlign w:val="center"/>
          </w:tcPr>
          <w:p w14:paraId="43F88900">
            <w:pPr>
              <w:spacing w:line="300" w:lineRule="exact"/>
              <w:contextualSpacing/>
              <w:jc w:val="center"/>
              <w:rPr>
                <w:rFonts w:hint="eastAsia" w:ascii="宋体" w:hAnsi="宋体" w:cs="宋体"/>
                <w:color w:val="auto"/>
                <w:szCs w:val="21"/>
              </w:rPr>
            </w:pPr>
          </w:p>
        </w:tc>
      </w:tr>
    </w:tbl>
    <w:p w14:paraId="67932414">
      <w:pPr>
        <w:pStyle w:val="86"/>
        <w:spacing w:line="360" w:lineRule="auto"/>
        <w:ind w:firstLine="0" w:firstLineChars="0"/>
        <w:jc w:val="center"/>
        <w:rPr>
          <w:rFonts w:hint="eastAsia" w:ascii="黑体" w:hAnsi="黑体" w:eastAsia="黑体" w:cs="黑体"/>
          <w:color w:val="auto"/>
          <w:sz w:val="21"/>
          <w:szCs w:val="21"/>
        </w:rPr>
      </w:pPr>
      <w:r>
        <w:rPr>
          <w:color w:val="auto"/>
        </w:rPr>
        <w:drawing>
          <wp:inline distT="0" distB="0" distL="0" distR="0">
            <wp:extent cx="5543550" cy="3951605"/>
            <wp:effectExtent l="0" t="0" r="0" b="0"/>
            <wp:docPr id="2636459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645990" name="图片 2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5543550" cy="3951605"/>
                    </a:xfrm>
                    <a:prstGeom prst="rect">
                      <a:avLst/>
                    </a:prstGeom>
                    <a:noFill/>
                    <a:ln>
                      <a:noFill/>
                    </a:ln>
                  </pic:spPr>
                </pic:pic>
              </a:graphicData>
            </a:graphic>
          </wp:inline>
        </w:drawing>
      </w:r>
    </w:p>
    <w:p w14:paraId="12DC0DDA">
      <w:pPr>
        <w:pStyle w:val="86"/>
        <w:ind w:firstLine="0" w:firstLineChars="0"/>
        <w:jc w:val="center"/>
        <w:rPr>
          <w:rFonts w:hint="eastAsia" w:ascii="黑体" w:hAnsi="黑体" w:eastAsia="黑体" w:cs="黑体"/>
          <w:color w:val="auto"/>
          <w:sz w:val="21"/>
          <w:szCs w:val="21"/>
        </w:rPr>
      </w:pPr>
      <w:r>
        <w:rPr>
          <w:rFonts w:hint="eastAsia" w:ascii="黑体" w:hAnsi="黑体" w:eastAsia="黑体" w:cs="黑体"/>
          <w:color w:val="auto"/>
          <w:sz w:val="21"/>
          <w:szCs w:val="21"/>
        </w:rPr>
        <w:t>图4.3-4  土壤监测布点示意图（1）</w:t>
      </w:r>
    </w:p>
    <w:p w14:paraId="1F0C1DF8">
      <w:pPr>
        <w:pStyle w:val="86"/>
        <w:spacing w:line="240" w:lineRule="auto"/>
        <w:ind w:firstLine="0" w:firstLineChars="0"/>
        <w:jc w:val="center"/>
        <w:rPr>
          <w:rFonts w:hint="eastAsia" w:ascii="黑体" w:hAnsi="黑体" w:eastAsia="黑体" w:cs="黑体"/>
          <w:color w:val="auto"/>
          <w:sz w:val="21"/>
          <w:szCs w:val="21"/>
        </w:rPr>
      </w:pPr>
      <w:r>
        <w:rPr>
          <w:color w:val="auto"/>
        </w:rPr>
        <w:drawing>
          <wp:inline distT="0" distB="0" distL="0" distR="0">
            <wp:extent cx="5543550" cy="3734435"/>
            <wp:effectExtent l="0" t="0" r="0" b="0"/>
            <wp:docPr id="2049589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58903" name="图片 2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543550" cy="3734435"/>
                    </a:xfrm>
                    <a:prstGeom prst="rect">
                      <a:avLst/>
                    </a:prstGeom>
                    <a:noFill/>
                    <a:ln>
                      <a:noFill/>
                    </a:ln>
                  </pic:spPr>
                </pic:pic>
              </a:graphicData>
            </a:graphic>
          </wp:inline>
        </w:drawing>
      </w:r>
    </w:p>
    <w:p w14:paraId="2EE6684B">
      <w:pPr>
        <w:pStyle w:val="86"/>
        <w:ind w:firstLine="0" w:firstLineChars="0"/>
        <w:jc w:val="center"/>
        <w:rPr>
          <w:rFonts w:hint="eastAsia" w:ascii="黑体" w:hAnsi="黑体" w:eastAsia="黑体" w:cs="黑体"/>
          <w:color w:val="auto"/>
          <w:sz w:val="21"/>
          <w:szCs w:val="21"/>
        </w:rPr>
      </w:pPr>
      <w:r>
        <w:rPr>
          <w:rFonts w:hint="eastAsia" w:ascii="黑体" w:hAnsi="黑体" w:eastAsia="黑体" w:cs="黑体"/>
          <w:color w:val="auto"/>
          <w:sz w:val="21"/>
          <w:szCs w:val="21"/>
        </w:rPr>
        <w:t>图4.3-5  土壤监测布点示意图（2）</w:t>
      </w:r>
    </w:p>
    <w:p w14:paraId="583BDDBC">
      <w:pPr>
        <w:pStyle w:val="86"/>
        <w:adjustRightInd w:val="0"/>
        <w:snapToGrid w:val="0"/>
        <w:ind w:firstLine="480"/>
        <w:rPr>
          <w:rFonts w:hint="eastAsia"/>
          <w:color w:val="auto"/>
        </w:rPr>
      </w:pPr>
      <w:r>
        <w:rPr>
          <w:rFonts w:hint="eastAsia"/>
          <w:color w:val="auto"/>
        </w:rPr>
        <w:t>②监测因子</w:t>
      </w:r>
    </w:p>
    <w:p w14:paraId="0BB662FF">
      <w:pPr>
        <w:widowControl/>
        <w:adjustRightInd w:val="0"/>
        <w:snapToGrid w:val="0"/>
        <w:spacing w:line="500" w:lineRule="exact"/>
        <w:ind w:firstLine="480" w:firstLineChars="200"/>
        <w:rPr>
          <w:rFonts w:hint="eastAsia" w:ascii="宋体" w:hAnsi="宋体" w:cs="宋体"/>
          <w:color w:val="auto"/>
          <w:kern w:val="0"/>
          <w:sz w:val="24"/>
          <w:szCs w:val="24"/>
        </w:rPr>
      </w:pPr>
      <w:r>
        <w:rPr>
          <w:rFonts w:hint="eastAsia" w:ascii="宋体" w:hAnsi="宋体" w:cs="宋体"/>
          <w:color w:val="auto"/>
          <w:kern w:val="0"/>
          <w:sz w:val="24"/>
          <w:szCs w:val="24"/>
        </w:rPr>
        <w:t>S4监测因子为：p</w:t>
      </w:r>
      <w:r>
        <w:rPr>
          <w:rFonts w:ascii="宋体" w:hAnsi="宋体" w:cs="宋体"/>
          <w:color w:val="auto"/>
          <w:kern w:val="0"/>
          <w:sz w:val="24"/>
          <w:szCs w:val="24"/>
        </w:rPr>
        <w:t>H</w:t>
      </w:r>
      <w:r>
        <w:rPr>
          <w:rFonts w:hint="eastAsia" w:ascii="宋体" w:hAnsi="宋体" w:cs="宋体"/>
          <w:color w:val="auto"/>
          <w:kern w:val="0"/>
          <w:sz w:val="24"/>
          <w:szCs w:val="24"/>
        </w:rPr>
        <w:t>、</w:t>
      </w:r>
      <w:r>
        <w:rPr>
          <w:rFonts w:ascii="宋体" w:hAnsi="宋体" w:cs="宋体"/>
          <w:color w:val="auto"/>
          <w:kern w:val="0"/>
          <w:sz w:val="24"/>
          <w:lang w:val="zh-CN"/>
        </w:rPr>
        <w:t>砷</w:t>
      </w:r>
      <w:r>
        <w:rPr>
          <w:rFonts w:hint="eastAsia" w:ascii="宋体" w:hAnsi="宋体" w:cs="宋体"/>
          <w:color w:val="auto"/>
          <w:kern w:val="0"/>
          <w:sz w:val="24"/>
          <w:lang w:val="zh-CN"/>
        </w:rPr>
        <w:t>、</w:t>
      </w:r>
      <w:r>
        <w:rPr>
          <w:rFonts w:ascii="宋体" w:hAnsi="宋体" w:cs="宋体"/>
          <w:color w:val="auto"/>
          <w:kern w:val="0"/>
          <w:sz w:val="24"/>
          <w:lang w:val="zh-CN"/>
        </w:rPr>
        <w:t>镉</w:t>
      </w:r>
      <w:r>
        <w:rPr>
          <w:rFonts w:hint="eastAsia" w:ascii="宋体" w:hAnsi="宋体" w:cs="宋体"/>
          <w:color w:val="auto"/>
          <w:kern w:val="0"/>
          <w:sz w:val="24"/>
          <w:lang w:val="zh-CN"/>
        </w:rPr>
        <w:t>、</w:t>
      </w:r>
      <w:r>
        <w:rPr>
          <w:rFonts w:ascii="宋体" w:hAnsi="宋体" w:cs="宋体"/>
          <w:color w:val="auto"/>
          <w:kern w:val="0"/>
          <w:sz w:val="24"/>
          <w:lang w:val="zh-CN"/>
        </w:rPr>
        <w:t>铬</w:t>
      </w:r>
      <w:r>
        <w:rPr>
          <w:rFonts w:hint="eastAsia" w:ascii="宋体" w:hAnsi="宋体" w:cs="宋体"/>
          <w:color w:val="auto"/>
          <w:kern w:val="0"/>
          <w:sz w:val="24"/>
          <w:lang w:val="zh-CN"/>
        </w:rPr>
        <w:t>（</w:t>
      </w:r>
      <w:r>
        <w:rPr>
          <w:rFonts w:ascii="宋体" w:hAnsi="宋体" w:cs="宋体"/>
          <w:color w:val="auto"/>
          <w:kern w:val="0"/>
          <w:sz w:val="24"/>
          <w:lang w:val="zh-CN"/>
        </w:rPr>
        <w:t>六价</w:t>
      </w:r>
      <w:r>
        <w:rPr>
          <w:rFonts w:hint="eastAsia" w:ascii="宋体" w:hAnsi="宋体" w:cs="宋体"/>
          <w:color w:val="auto"/>
          <w:kern w:val="0"/>
          <w:sz w:val="24"/>
          <w:lang w:val="zh-CN"/>
        </w:rPr>
        <w:t>）、</w:t>
      </w:r>
      <w:r>
        <w:rPr>
          <w:rFonts w:ascii="宋体" w:hAnsi="宋体" w:cs="宋体"/>
          <w:color w:val="auto"/>
          <w:kern w:val="0"/>
          <w:sz w:val="24"/>
          <w:lang w:val="zh-CN"/>
        </w:rPr>
        <w:t>铜</w:t>
      </w:r>
      <w:r>
        <w:rPr>
          <w:rFonts w:hint="eastAsia" w:ascii="宋体" w:hAnsi="宋体" w:cs="宋体"/>
          <w:color w:val="auto"/>
          <w:kern w:val="0"/>
          <w:sz w:val="24"/>
          <w:lang w:val="zh-CN"/>
        </w:rPr>
        <w:t>、</w:t>
      </w:r>
      <w:r>
        <w:rPr>
          <w:rFonts w:ascii="宋体" w:hAnsi="宋体" w:cs="宋体"/>
          <w:color w:val="auto"/>
          <w:kern w:val="0"/>
          <w:sz w:val="24"/>
          <w:lang w:val="zh-CN"/>
        </w:rPr>
        <w:t>铅</w:t>
      </w:r>
      <w:r>
        <w:rPr>
          <w:rFonts w:hint="eastAsia" w:ascii="宋体" w:hAnsi="宋体" w:cs="宋体"/>
          <w:color w:val="auto"/>
          <w:kern w:val="0"/>
          <w:sz w:val="24"/>
          <w:lang w:val="zh-CN"/>
        </w:rPr>
        <w:t>、</w:t>
      </w:r>
      <w:r>
        <w:rPr>
          <w:rFonts w:ascii="宋体" w:hAnsi="宋体" w:cs="宋体"/>
          <w:color w:val="auto"/>
          <w:kern w:val="0"/>
          <w:sz w:val="24"/>
          <w:lang w:val="zh-CN"/>
        </w:rPr>
        <w:t>汞</w:t>
      </w:r>
      <w:r>
        <w:rPr>
          <w:rFonts w:hint="eastAsia" w:ascii="宋体" w:hAnsi="宋体" w:cs="宋体"/>
          <w:color w:val="auto"/>
          <w:kern w:val="0"/>
          <w:sz w:val="24"/>
          <w:lang w:val="zh-CN"/>
        </w:rPr>
        <w:t>、</w:t>
      </w:r>
      <w:r>
        <w:rPr>
          <w:rFonts w:ascii="宋体" w:hAnsi="宋体" w:cs="宋体"/>
          <w:color w:val="auto"/>
          <w:kern w:val="0"/>
          <w:sz w:val="24"/>
          <w:lang w:val="zh-CN"/>
        </w:rPr>
        <w:t>镍</w:t>
      </w:r>
      <w:r>
        <w:rPr>
          <w:rFonts w:hint="eastAsia" w:ascii="宋体" w:hAnsi="宋体" w:cs="宋体"/>
          <w:color w:val="auto"/>
          <w:kern w:val="0"/>
          <w:sz w:val="24"/>
          <w:szCs w:val="24"/>
        </w:rPr>
        <w:t>、</w:t>
      </w:r>
      <w:r>
        <w:rPr>
          <w:rFonts w:ascii="宋体" w:hAnsi="宋体" w:cs="宋体"/>
          <w:color w:val="auto"/>
          <w:kern w:val="0"/>
          <w:sz w:val="24"/>
          <w:lang w:val="zh-CN"/>
        </w:rPr>
        <w:t>四氯化碳</w:t>
      </w:r>
      <w:r>
        <w:rPr>
          <w:rFonts w:hint="eastAsia" w:ascii="宋体" w:hAnsi="宋体" w:cs="宋体"/>
          <w:color w:val="auto"/>
          <w:kern w:val="0"/>
          <w:sz w:val="24"/>
          <w:lang w:val="zh-CN"/>
        </w:rPr>
        <w:t>、</w:t>
      </w:r>
      <w:r>
        <w:rPr>
          <w:rFonts w:ascii="宋体" w:hAnsi="宋体" w:cs="宋体"/>
          <w:color w:val="auto"/>
          <w:kern w:val="0"/>
          <w:sz w:val="24"/>
          <w:lang w:val="zh-CN"/>
        </w:rPr>
        <w:t>氯仿</w:t>
      </w:r>
      <w:r>
        <w:rPr>
          <w:rFonts w:hint="eastAsia" w:ascii="宋体" w:hAnsi="宋体" w:cs="宋体"/>
          <w:color w:val="auto"/>
          <w:kern w:val="0"/>
          <w:sz w:val="24"/>
          <w:lang w:val="zh-CN"/>
        </w:rPr>
        <w:t>、</w:t>
      </w:r>
      <w:r>
        <w:rPr>
          <w:rFonts w:ascii="宋体" w:hAnsi="宋体" w:cs="宋体"/>
          <w:color w:val="auto"/>
          <w:kern w:val="0"/>
          <w:sz w:val="24"/>
          <w:lang w:val="zh-CN"/>
        </w:rPr>
        <w:t>氯甲烷</w:t>
      </w:r>
      <w:r>
        <w:rPr>
          <w:rFonts w:hint="eastAsia" w:ascii="宋体" w:hAnsi="宋体" w:cs="宋体"/>
          <w:color w:val="auto"/>
          <w:kern w:val="0"/>
          <w:sz w:val="24"/>
          <w:lang w:val="zh-CN"/>
        </w:rPr>
        <w:t>、</w:t>
      </w:r>
      <w:r>
        <w:rPr>
          <w:rFonts w:ascii="宋体" w:hAnsi="宋体" w:cs="宋体"/>
          <w:color w:val="auto"/>
          <w:kern w:val="0"/>
          <w:sz w:val="24"/>
          <w:lang w:val="zh-CN"/>
        </w:rPr>
        <w:t>1，1-二氯乙烷</w:t>
      </w:r>
      <w:r>
        <w:rPr>
          <w:rFonts w:hint="eastAsia" w:ascii="宋体" w:hAnsi="宋体" w:cs="宋体"/>
          <w:color w:val="auto"/>
          <w:kern w:val="0"/>
          <w:sz w:val="24"/>
          <w:lang w:val="zh-CN"/>
        </w:rPr>
        <w:t>、</w:t>
      </w:r>
      <w:r>
        <w:rPr>
          <w:rFonts w:ascii="宋体" w:hAnsi="宋体" w:cs="宋体"/>
          <w:color w:val="auto"/>
          <w:kern w:val="0"/>
          <w:sz w:val="24"/>
          <w:lang w:val="zh-CN"/>
        </w:rPr>
        <w:t>1，2-二氯乙烷</w:t>
      </w:r>
      <w:r>
        <w:rPr>
          <w:rFonts w:hint="eastAsia" w:ascii="宋体" w:hAnsi="宋体" w:cs="宋体"/>
          <w:color w:val="auto"/>
          <w:kern w:val="0"/>
          <w:sz w:val="24"/>
          <w:lang w:val="zh-CN"/>
        </w:rPr>
        <w:t>、</w:t>
      </w:r>
      <w:r>
        <w:rPr>
          <w:rFonts w:ascii="宋体" w:hAnsi="宋体" w:cs="宋体"/>
          <w:color w:val="auto"/>
          <w:kern w:val="0"/>
          <w:sz w:val="24"/>
          <w:lang w:val="zh-CN"/>
        </w:rPr>
        <w:t>1，1-二氯乙烯</w:t>
      </w:r>
      <w:r>
        <w:rPr>
          <w:rFonts w:hint="eastAsia" w:ascii="宋体" w:hAnsi="宋体" w:cs="宋体"/>
          <w:color w:val="auto"/>
          <w:kern w:val="0"/>
          <w:sz w:val="24"/>
          <w:lang w:val="zh-CN"/>
        </w:rPr>
        <w:t>、</w:t>
      </w:r>
      <w:r>
        <w:rPr>
          <w:rFonts w:ascii="宋体" w:hAnsi="宋体" w:cs="宋体"/>
          <w:color w:val="auto"/>
          <w:kern w:val="0"/>
          <w:sz w:val="24"/>
          <w:lang w:val="zh-CN"/>
        </w:rPr>
        <w:t>顺-1，2-二氯乙烯</w:t>
      </w:r>
      <w:r>
        <w:rPr>
          <w:rFonts w:hint="eastAsia" w:ascii="宋体" w:hAnsi="宋体" w:cs="宋体"/>
          <w:color w:val="auto"/>
          <w:kern w:val="0"/>
          <w:sz w:val="24"/>
          <w:lang w:val="zh-CN"/>
        </w:rPr>
        <w:t>、</w:t>
      </w:r>
      <w:r>
        <w:rPr>
          <w:rFonts w:ascii="宋体" w:hAnsi="宋体" w:cs="宋体"/>
          <w:color w:val="auto"/>
          <w:kern w:val="0"/>
          <w:sz w:val="24"/>
          <w:lang w:val="zh-CN"/>
        </w:rPr>
        <w:t>反-1，2-二氯乙烯</w:t>
      </w:r>
      <w:r>
        <w:rPr>
          <w:rFonts w:hint="eastAsia" w:ascii="宋体" w:hAnsi="宋体" w:cs="宋体"/>
          <w:color w:val="auto"/>
          <w:kern w:val="0"/>
          <w:sz w:val="24"/>
          <w:lang w:val="zh-CN"/>
        </w:rPr>
        <w:t>、</w:t>
      </w:r>
      <w:r>
        <w:rPr>
          <w:rFonts w:ascii="宋体" w:hAnsi="宋体" w:cs="宋体"/>
          <w:color w:val="auto"/>
          <w:kern w:val="0"/>
          <w:sz w:val="24"/>
          <w:lang w:val="zh-CN"/>
        </w:rPr>
        <w:t>二氯甲烷</w:t>
      </w:r>
      <w:r>
        <w:rPr>
          <w:rFonts w:hint="eastAsia" w:ascii="宋体" w:hAnsi="宋体" w:cs="宋体"/>
          <w:color w:val="auto"/>
          <w:kern w:val="0"/>
          <w:sz w:val="24"/>
          <w:lang w:val="zh-CN"/>
        </w:rPr>
        <w:t>、</w:t>
      </w:r>
      <w:r>
        <w:rPr>
          <w:rFonts w:ascii="宋体" w:hAnsi="宋体" w:cs="宋体"/>
          <w:color w:val="auto"/>
          <w:kern w:val="0"/>
          <w:sz w:val="24"/>
          <w:lang w:val="zh-CN"/>
        </w:rPr>
        <w:t>1，2-二氯丙烷</w:t>
      </w:r>
      <w:r>
        <w:rPr>
          <w:rFonts w:hint="eastAsia" w:ascii="宋体" w:hAnsi="宋体" w:cs="宋体"/>
          <w:color w:val="auto"/>
          <w:kern w:val="0"/>
          <w:sz w:val="24"/>
          <w:lang w:val="zh-CN"/>
        </w:rPr>
        <w:t>、</w:t>
      </w:r>
      <w:r>
        <w:rPr>
          <w:rFonts w:ascii="宋体" w:hAnsi="宋体" w:cs="宋体"/>
          <w:color w:val="auto"/>
          <w:kern w:val="0"/>
          <w:sz w:val="24"/>
          <w:lang w:val="zh-CN"/>
        </w:rPr>
        <w:t>1，1，1，2-四氯乙烷</w:t>
      </w:r>
      <w:r>
        <w:rPr>
          <w:rFonts w:hint="eastAsia" w:ascii="宋体" w:hAnsi="宋体" w:cs="宋体"/>
          <w:color w:val="auto"/>
          <w:kern w:val="0"/>
          <w:sz w:val="24"/>
          <w:lang w:val="zh-CN"/>
        </w:rPr>
        <w:t>、</w:t>
      </w:r>
      <w:r>
        <w:rPr>
          <w:rFonts w:ascii="宋体" w:hAnsi="宋体" w:cs="宋体"/>
          <w:color w:val="auto"/>
          <w:kern w:val="0"/>
          <w:sz w:val="24"/>
          <w:lang w:val="zh-CN"/>
        </w:rPr>
        <w:t>1，1，2，2-四氯乙烷</w:t>
      </w:r>
      <w:r>
        <w:rPr>
          <w:rFonts w:hint="eastAsia" w:ascii="宋体" w:hAnsi="宋体" w:cs="宋体"/>
          <w:color w:val="auto"/>
          <w:kern w:val="0"/>
          <w:sz w:val="24"/>
          <w:lang w:val="zh-CN"/>
        </w:rPr>
        <w:t>、</w:t>
      </w:r>
      <w:r>
        <w:rPr>
          <w:rFonts w:ascii="宋体" w:hAnsi="宋体" w:cs="宋体"/>
          <w:color w:val="auto"/>
          <w:kern w:val="0"/>
          <w:sz w:val="24"/>
          <w:lang w:val="zh-CN"/>
        </w:rPr>
        <w:t>四氯乙烯</w:t>
      </w:r>
      <w:r>
        <w:rPr>
          <w:rFonts w:hint="eastAsia" w:ascii="宋体" w:hAnsi="宋体" w:cs="宋体"/>
          <w:color w:val="auto"/>
          <w:kern w:val="0"/>
          <w:sz w:val="24"/>
          <w:lang w:val="zh-CN"/>
        </w:rPr>
        <w:t>、</w:t>
      </w:r>
      <w:r>
        <w:rPr>
          <w:rFonts w:ascii="宋体" w:hAnsi="宋体" w:cs="宋体"/>
          <w:color w:val="auto"/>
          <w:kern w:val="0"/>
          <w:sz w:val="24"/>
          <w:lang w:val="zh-CN"/>
        </w:rPr>
        <w:t>1，1，1-三氯乙烷</w:t>
      </w:r>
      <w:r>
        <w:rPr>
          <w:rFonts w:hint="eastAsia" w:ascii="宋体" w:hAnsi="宋体" w:cs="宋体"/>
          <w:color w:val="auto"/>
          <w:kern w:val="0"/>
          <w:sz w:val="24"/>
          <w:lang w:val="zh-CN"/>
        </w:rPr>
        <w:t>、</w:t>
      </w:r>
      <w:r>
        <w:rPr>
          <w:rFonts w:ascii="宋体" w:hAnsi="宋体" w:cs="宋体"/>
          <w:color w:val="auto"/>
          <w:kern w:val="0"/>
          <w:sz w:val="24"/>
          <w:lang w:val="zh-CN"/>
        </w:rPr>
        <w:t>1，1，2-三氯乙烷</w:t>
      </w:r>
      <w:r>
        <w:rPr>
          <w:rFonts w:hint="eastAsia" w:ascii="宋体" w:hAnsi="宋体" w:cs="宋体"/>
          <w:color w:val="auto"/>
          <w:kern w:val="0"/>
          <w:sz w:val="24"/>
          <w:lang w:val="zh-CN"/>
        </w:rPr>
        <w:t>、</w:t>
      </w:r>
      <w:r>
        <w:rPr>
          <w:rFonts w:ascii="宋体" w:hAnsi="宋体" w:cs="宋体"/>
          <w:color w:val="auto"/>
          <w:kern w:val="0"/>
          <w:sz w:val="24"/>
          <w:lang w:val="zh-CN"/>
        </w:rPr>
        <w:t>三氯乙烯</w:t>
      </w:r>
      <w:r>
        <w:rPr>
          <w:rFonts w:hint="eastAsia" w:ascii="宋体" w:hAnsi="宋体" w:cs="宋体"/>
          <w:color w:val="auto"/>
          <w:kern w:val="0"/>
          <w:sz w:val="24"/>
          <w:lang w:val="zh-CN"/>
        </w:rPr>
        <w:t>、</w:t>
      </w:r>
      <w:r>
        <w:rPr>
          <w:rFonts w:ascii="宋体" w:hAnsi="宋体" w:cs="宋体"/>
          <w:color w:val="auto"/>
          <w:kern w:val="0"/>
          <w:sz w:val="24"/>
          <w:lang w:val="zh-CN"/>
        </w:rPr>
        <w:t>1，2，3-三氯丙烷</w:t>
      </w:r>
      <w:r>
        <w:rPr>
          <w:rFonts w:hint="eastAsia" w:ascii="宋体" w:hAnsi="宋体" w:cs="宋体"/>
          <w:color w:val="auto"/>
          <w:kern w:val="0"/>
          <w:sz w:val="24"/>
          <w:lang w:val="zh-CN"/>
        </w:rPr>
        <w:t>、</w:t>
      </w:r>
      <w:r>
        <w:rPr>
          <w:rFonts w:ascii="宋体" w:hAnsi="宋体" w:cs="宋体"/>
          <w:color w:val="auto"/>
          <w:kern w:val="0"/>
          <w:sz w:val="24"/>
          <w:lang w:val="zh-CN"/>
        </w:rPr>
        <w:t>氯乙烯</w:t>
      </w:r>
      <w:r>
        <w:rPr>
          <w:rFonts w:hint="eastAsia" w:ascii="宋体" w:hAnsi="宋体" w:cs="宋体"/>
          <w:color w:val="auto"/>
          <w:kern w:val="0"/>
          <w:sz w:val="24"/>
          <w:lang w:val="zh-CN"/>
        </w:rPr>
        <w:t>、</w:t>
      </w:r>
      <w:r>
        <w:rPr>
          <w:rFonts w:ascii="宋体" w:hAnsi="宋体" w:cs="宋体"/>
          <w:color w:val="auto"/>
          <w:kern w:val="0"/>
          <w:sz w:val="24"/>
          <w:lang w:val="zh-CN"/>
        </w:rPr>
        <w:t>苯</w:t>
      </w:r>
      <w:r>
        <w:rPr>
          <w:rFonts w:hint="eastAsia" w:ascii="宋体" w:hAnsi="宋体" w:cs="宋体"/>
          <w:color w:val="auto"/>
          <w:kern w:val="0"/>
          <w:sz w:val="24"/>
          <w:lang w:val="zh-CN"/>
        </w:rPr>
        <w:t>、</w:t>
      </w:r>
      <w:r>
        <w:rPr>
          <w:rFonts w:ascii="宋体" w:hAnsi="宋体" w:cs="宋体"/>
          <w:color w:val="auto"/>
          <w:kern w:val="0"/>
          <w:sz w:val="24"/>
          <w:lang w:val="zh-CN"/>
        </w:rPr>
        <w:t>氯苯</w:t>
      </w:r>
      <w:r>
        <w:rPr>
          <w:rFonts w:hint="eastAsia" w:ascii="宋体" w:hAnsi="宋体" w:cs="宋体"/>
          <w:color w:val="auto"/>
          <w:kern w:val="0"/>
          <w:sz w:val="24"/>
          <w:lang w:val="zh-CN"/>
        </w:rPr>
        <w:t>、</w:t>
      </w:r>
      <w:r>
        <w:rPr>
          <w:rFonts w:ascii="宋体" w:hAnsi="宋体" w:cs="宋体"/>
          <w:color w:val="auto"/>
          <w:kern w:val="0"/>
          <w:sz w:val="24"/>
          <w:lang w:val="zh-CN"/>
        </w:rPr>
        <w:t>1，2-二氯苯</w:t>
      </w:r>
      <w:r>
        <w:rPr>
          <w:rFonts w:hint="eastAsia" w:ascii="宋体" w:hAnsi="宋体" w:cs="宋体"/>
          <w:color w:val="auto"/>
          <w:kern w:val="0"/>
          <w:sz w:val="24"/>
          <w:lang w:val="zh-CN"/>
        </w:rPr>
        <w:t>、</w:t>
      </w:r>
      <w:r>
        <w:rPr>
          <w:rFonts w:ascii="宋体" w:hAnsi="宋体" w:cs="宋体"/>
          <w:color w:val="auto"/>
          <w:kern w:val="0"/>
          <w:sz w:val="24"/>
          <w:lang w:val="zh-CN"/>
        </w:rPr>
        <w:t>1，4-二氯苯</w:t>
      </w:r>
      <w:r>
        <w:rPr>
          <w:rFonts w:hint="eastAsia" w:ascii="宋体" w:hAnsi="宋体" w:cs="宋体"/>
          <w:color w:val="auto"/>
          <w:kern w:val="0"/>
          <w:sz w:val="24"/>
          <w:lang w:val="zh-CN"/>
        </w:rPr>
        <w:t>、</w:t>
      </w:r>
      <w:r>
        <w:rPr>
          <w:rFonts w:ascii="宋体" w:hAnsi="宋体" w:cs="宋体"/>
          <w:color w:val="auto"/>
          <w:kern w:val="0"/>
          <w:sz w:val="24"/>
          <w:lang w:val="zh-CN"/>
        </w:rPr>
        <w:t>乙苯</w:t>
      </w:r>
      <w:r>
        <w:rPr>
          <w:rFonts w:hint="eastAsia" w:ascii="宋体" w:hAnsi="宋体" w:cs="宋体"/>
          <w:color w:val="auto"/>
          <w:kern w:val="0"/>
          <w:sz w:val="24"/>
          <w:lang w:val="zh-CN"/>
        </w:rPr>
        <w:t>、</w:t>
      </w:r>
      <w:r>
        <w:rPr>
          <w:rFonts w:ascii="宋体" w:hAnsi="宋体" w:cs="宋体"/>
          <w:color w:val="auto"/>
          <w:kern w:val="0"/>
          <w:sz w:val="24"/>
          <w:lang w:val="zh-CN"/>
        </w:rPr>
        <w:t>苯乙烯</w:t>
      </w:r>
      <w:r>
        <w:rPr>
          <w:rFonts w:hint="eastAsia" w:ascii="宋体" w:hAnsi="宋体" w:cs="宋体"/>
          <w:color w:val="auto"/>
          <w:kern w:val="0"/>
          <w:sz w:val="24"/>
          <w:lang w:val="zh-CN"/>
        </w:rPr>
        <w:t>、</w:t>
      </w:r>
      <w:r>
        <w:rPr>
          <w:rFonts w:ascii="宋体" w:hAnsi="宋体" w:cs="宋体"/>
          <w:color w:val="auto"/>
          <w:kern w:val="0"/>
          <w:sz w:val="24"/>
          <w:lang w:val="zh-CN"/>
        </w:rPr>
        <w:t>甲苯</w:t>
      </w:r>
      <w:r>
        <w:rPr>
          <w:rFonts w:hint="eastAsia" w:ascii="宋体" w:hAnsi="宋体" w:cs="宋体"/>
          <w:color w:val="auto"/>
          <w:kern w:val="0"/>
          <w:sz w:val="24"/>
          <w:lang w:val="zh-CN"/>
        </w:rPr>
        <w:t>、</w:t>
      </w:r>
      <w:r>
        <w:rPr>
          <w:rFonts w:ascii="宋体" w:hAnsi="宋体" w:cs="宋体"/>
          <w:color w:val="auto"/>
          <w:kern w:val="0"/>
          <w:sz w:val="24"/>
          <w:lang w:val="zh-CN"/>
        </w:rPr>
        <w:t>间二甲苯+对二甲苯</w:t>
      </w:r>
      <w:r>
        <w:rPr>
          <w:rFonts w:hint="eastAsia" w:ascii="宋体" w:hAnsi="宋体" w:cs="宋体"/>
          <w:color w:val="auto"/>
          <w:kern w:val="0"/>
          <w:sz w:val="24"/>
          <w:lang w:val="zh-CN"/>
        </w:rPr>
        <w:t>、</w:t>
      </w:r>
      <w:r>
        <w:rPr>
          <w:rFonts w:ascii="宋体" w:hAnsi="宋体" w:cs="宋体"/>
          <w:color w:val="auto"/>
          <w:kern w:val="0"/>
          <w:sz w:val="24"/>
          <w:lang w:val="zh-CN"/>
        </w:rPr>
        <w:t>邻二甲苯</w:t>
      </w:r>
      <w:r>
        <w:rPr>
          <w:rFonts w:hint="eastAsia" w:ascii="宋体" w:hAnsi="宋体" w:cs="宋体"/>
          <w:color w:val="auto"/>
          <w:kern w:val="0"/>
          <w:sz w:val="24"/>
          <w:lang w:val="zh-CN"/>
        </w:rPr>
        <w:t>、</w:t>
      </w:r>
      <w:r>
        <w:rPr>
          <w:rFonts w:ascii="宋体" w:hAnsi="宋体" w:cs="宋体"/>
          <w:color w:val="auto"/>
          <w:kern w:val="0"/>
          <w:sz w:val="24"/>
          <w:lang w:val="zh-CN"/>
        </w:rPr>
        <w:t>硝基苯</w:t>
      </w:r>
      <w:r>
        <w:rPr>
          <w:rFonts w:hint="eastAsia" w:ascii="宋体" w:hAnsi="宋体" w:cs="宋体"/>
          <w:color w:val="auto"/>
          <w:kern w:val="0"/>
          <w:sz w:val="24"/>
          <w:lang w:val="zh-CN"/>
        </w:rPr>
        <w:t>、</w:t>
      </w:r>
      <w:r>
        <w:rPr>
          <w:rFonts w:ascii="宋体" w:hAnsi="宋体" w:cs="宋体"/>
          <w:color w:val="auto"/>
          <w:kern w:val="0"/>
          <w:sz w:val="24"/>
          <w:lang w:val="zh-CN"/>
        </w:rPr>
        <w:t>苯胺</w:t>
      </w:r>
      <w:r>
        <w:rPr>
          <w:rFonts w:hint="eastAsia" w:ascii="宋体" w:hAnsi="宋体" w:cs="宋体"/>
          <w:color w:val="auto"/>
          <w:kern w:val="0"/>
          <w:sz w:val="24"/>
          <w:lang w:val="zh-CN"/>
        </w:rPr>
        <w:t>、</w:t>
      </w:r>
      <w:r>
        <w:rPr>
          <w:rFonts w:ascii="宋体" w:hAnsi="宋体" w:cs="宋体"/>
          <w:color w:val="auto"/>
          <w:kern w:val="0"/>
          <w:sz w:val="24"/>
          <w:lang w:val="zh-CN"/>
        </w:rPr>
        <w:t>2-氯酚</w:t>
      </w:r>
      <w:r>
        <w:rPr>
          <w:rFonts w:hint="eastAsia" w:ascii="宋体" w:hAnsi="宋体" w:cs="宋体"/>
          <w:color w:val="auto"/>
          <w:kern w:val="0"/>
          <w:sz w:val="24"/>
          <w:lang w:val="zh-CN"/>
        </w:rPr>
        <w:t>、</w:t>
      </w:r>
      <w:r>
        <w:rPr>
          <w:rFonts w:ascii="宋体" w:hAnsi="宋体" w:cs="宋体"/>
          <w:color w:val="auto"/>
          <w:kern w:val="0"/>
          <w:sz w:val="24"/>
          <w:lang w:val="zh-CN"/>
        </w:rPr>
        <w:t>苯并〔a〕蒽</w:t>
      </w:r>
      <w:r>
        <w:rPr>
          <w:rFonts w:hint="eastAsia" w:ascii="宋体" w:hAnsi="宋体" w:cs="宋体"/>
          <w:color w:val="auto"/>
          <w:kern w:val="0"/>
          <w:sz w:val="24"/>
          <w:lang w:val="zh-CN"/>
        </w:rPr>
        <w:t>、</w:t>
      </w:r>
      <w:r>
        <w:rPr>
          <w:rFonts w:ascii="宋体" w:hAnsi="宋体" w:cs="宋体"/>
          <w:color w:val="auto"/>
          <w:kern w:val="0"/>
          <w:sz w:val="24"/>
          <w:lang w:val="zh-CN"/>
        </w:rPr>
        <w:t>苯并〔a〕芘</w:t>
      </w:r>
      <w:r>
        <w:rPr>
          <w:rFonts w:hint="eastAsia" w:ascii="宋体" w:hAnsi="宋体" w:cs="宋体"/>
          <w:color w:val="auto"/>
          <w:kern w:val="0"/>
          <w:sz w:val="24"/>
          <w:lang w:val="zh-CN"/>
        </w:rPr>
        <w:t>、</w:t>
      </w:r>
      <w:r>
        <w:rPr>
          <w:rFonts w:ascii="宋体" w:hAnsi="宋体" w:cs="宋体"/>
          <w:color w:val="auto"/>
          <w:kern w:val="0"/>
          <w:sz w:val="24"/>
          <w:lang w:val="zh-CN"/>
        </w:rPr>
        <w:t>苯并〔b〕荧蒽</w:t>
      </w:r>
      <w:r>
        <w:rPr>
          <w:rFonts w:hint="eastAsia" w:ascii="宋体" w:hAnsi="宋体" w:cs="宋体"/>
          <w:color w:val="auto"/>
          <w:kern w:val="0"/>
          <w:sz w:val="24"/>
          <w:lang w:val="zh-CN"/>
        </w:rPr>
        <w:t>、</w:t>
      </w:r>
      <w:r>
        <w:rPr>
          <w:rFonts w:ascii="宋体" w:hAnsi="宋体" w:cs="宋体"/>
          <w:color w:val="auto"/>
          <w:kern w:val="0"/>
          <w:sz w:val="24"/>
          <w:lang w:val="zh-CN"/>
        </w:rPr>
        <w:t>苯并〔k〕荧蒽</w:t>
      </w:r>
      <w:r>
        <w:rPr>
          <w:rFonts w:hint="eastAsia" w:ascii="宋体" w:hAnsi="宋体" w:cs="宋体"/>
          <w:color w:val="auto"/>
          <w:kern w:val="0"/>
          <w:sz w:val="24"/>
          <w:lang w:val="zh-CN"/>
        </w:rPr>
        <w:t>、</w:t>
      </w:r>
      <w:r>
        <w:rPr>
          <w:rFonts w:ascii="宋体" w:hAnsi="宋体" w:cs="宋体"/>
          <w:color w:val="auto"/>
          <w:kern w:val="0"/>
          <w:sz w:val="24"/>
          <w:lang w:val="zh-CN"/>
        </w:rPr>
        <w:t>䓛</w:t>
      </w:r>
      <w:r>
        <w:rPr>
          <w:rFonts w:hint="eastAsia" w:ascii="宋体" w:hAnsi="宋体" w:cs="宋体"/>
          <w:color w:val="auto"/>
          <w:kern w:val="0"/>
          <w:sz w:val="24"/>
          <w:lang w:val="zh-CN"/>
        </w:rPr>
        <w:t>、</w:t>
      </w:r>
      <w:r>
        <w:rPr>
          <w:rFonts w:ascii="宋体" w:hAnsi="宋体" w:cs="宋体"/>
          <w:color w:val="auto"/>
          <w:kern w:val="0"/>
          <w:sz w:val="24"/>
          <w:lang w:val="zh-CN"/>
        </w:rPr>
        <w:t>二苯并〔a，h〕蒽</w:t>
      </w:r>
      <w:r>
        <w:rPr>
          <w:rFonts w:hint="eastAsia" w:ascii="宋体" w:hAnsi="宋体" w:cs="宋体"/>
          <w:color w:val="auto"/>
          <w:kern w:val="0"/>
          <w:sz w:val="24"/>
          <w:lang w:val="zh-CN"/>
        </w:rPr>
        <w:t>、</w:t>
      </w:r>
      <w:r>
        <w:rPr>
          <w:rFonts w:ascii="宋体" w:hAnsi="宋体" w:cs="宋体"/>
          <w:color w:val="auto"/>
          <w:kern w:val="0"/>
          <w:sz w:val="24"/>
          <w:lang w:val="zh-CN"/>
        </w:rPr>
        <w:t>茚并〔1，2，3-cd〕芘</w:t>
      </w:r>
      <w:r>
        <w:rPr>
          <w:rFonts w:hint="eastAsia" w:ascii="宋体" w:hAnsi="宋体" w:cs="宋体"/>
          <w:color w:val="auto"/>
          <w:kern w:val="0"/>
          <w:sz w:val="24"/>
          <w:lang w:val="zh-CN"/>
        </w:rPr>
        <w:t>、</w:t>
      </w:r>
      <w:r>
        <w:rPr>
          <w:rFonts w:ascii="宋体" w:hAnsi="宋体" w:cs="宋体"/>
          <w:color w:val="auto"/>
          <w:kern w:val="0"/>
          <w:sz w:val="24"/>
          <w:lang w:val="zh-CN"/>
        </w:rPr>
        <w:t>萘</w:t>
      </w:r>
      <w:r>
        <w:rPr>
          <w:rFonts w:hint="eastAsia" w:ascii="宋体" w:hAnsi="宋体" w:cs="宋体"/>
          <w:color w:val="auto"/>
          <w:kern w:val="0"/>
          <w:sz w:val="24"/>
          <w:lang w:val="zh-CN"/>
        </w:rPr>
        <w:t>、</w:t>
      </w:r>
      <w:r>
        <w:rPr>
          <w:rFonts w:hint="eastAsia" w:ascii="宋体" w:hAnsi="宋体" w:cs="宋体"/>
          <w:color w:val="auto"/>
          <w:kern w:val="0"/>
          <w:sz w:val="24"/>
          <w:szCs w:val="24"/>
        </w:rPr>
        <w:t>石油烃、土壤盐分含量。</w:t>
      </w:r>
    </w:p>
    <w:p w14:paraId="6F00811D">
      <w:pPr>
        <w:pStyle w:val="86"/>
        <w:ind w:firstLine="480"/>
        <w:rPr>
          <w:rFonts w:hint="eastAsia" w:cs="宋体"/>
          <w:color w:val="auto"/>
          <w:kern w:val="0"/>
        </w:rPr>
      </w:pPr>
      <w:r>
        <w:rPr>
          <w:rFonts w:hint="eastAsia" w:cs="宋体"/>
          <w:color w:val="auto"/>
          <w:kern w:val="0"/>
          <w:lang w:val="zh-CN"/>
        </w:rPr>
        <w:t>其余监测因子：</w:t>
      </w:r>
      <w:r>
        <w:rPr>
          <w:rFonts w:hint="eastAsia" w:cs="宋体"/>
          <w:color w:val="auto"/>
        </w:rPr>
        <w:t>p</w:t>
      </w:r>
      <w:r>
        <w:rPr>
          <w:rFonts w:cs="宋体"/>
          <w:color w:val="auto"/>
        </w:rPr>
        <w:t>H</w:t>
      </w:r>
      <w:r>
        <w:rPr>
          <w:rFonts w:hint="eastAsia" w:cs="宋体"/>
          <w:color w:val="auto"/>
        </w:rPr>
        <w:t>、砷、镉、六价铬、铜、铅、汞、镍、石油烃、土壤盐分含量</w:t>
      </w:r>
      <w:r>
        <w:rPr>
          <w:rFonts w:hint="eastAsia" w:cs="宋体"/>
          <w:color w:val="auto"/>
          <w:kern w:val="0"/>
        </w:rPr>
        <w:t>。</w:t>
      </w:r>
    </w:p>
    <w:p w14:paraId="01662362">
      <w:pPr>
        <w:pStyle w:val="86"/>
        <w:ind w:firstLine="480" w:firstLineChars="0"/>
        <w:rPr>
          <w:rFonts w:hint="eastAsia"/>
          <w:color w:val="auto"/>
        </w:rPr>
      </w:pPr>
      <w:r>
        <w:rPr>
          <w:rFonts w:hint="eastAsia"/>
          <w:color w:val="auto"/>
        </w:rPr>
        <w:t>理化性质调查：S1理化性质调查包括土壤颜色、土壤结构、土壤质地、砂砾含量、阳离子交换量、氧化还原电位、饱和导水率、土壤容重、孔隙度。</w:t>
      </w:r>
    </w:p>
    <w:p w14:paraId="4668252B">
      <w:pPr>
        <w:pStyle w:val="86"/>
        <w:ind w:firstLine="480" w:firstLineChars="0"/>
        <w:rPr>
          <w:rFonts w:hint="eastAsia"/>
          <w:color w:val="auto"/>
        </w:rPr>
      </w:pPr>
      <w:r>
        <w:rPr>
          <w:rFonts w:hint="eastAsia"/>
          <w:color w:val="auto"/>
        </w:rPr>
        <w:t>③监测单位及监测时间</w:t>
      </w:r>
    </w:p>
    <w:p w14:paraId="2466AFCD">
      <w:pPr>
        <w:pStyle w:val="86"/>
        <w:spacing w:line="480" w:lineRule="exact"/>
        <w:ind w:firstLine="480"/>
        <w:rPr>
          <w:rFonts w:hint="eastAsia"/>
          <w:color w:val="auto"/>
        </w:rPr>
      </w:pPr>
      <w:r>
        <w:rPr>
          <w:rFonts w:hint="eastAsia"/>
          <w:color w:val="auto"/>
        </w:rPr>
        <w:t>采样时间：</w:t>
      </w:r>
      <w:r>
        <w:rPr>
          <w:color w:val="auto"/>
        </w:rPr>
        <w:t>202</w:t>
      </w:r>
      <w:r>
        <w:rPr>
          <w:rFonts w:hint="eastAsia"/>
          <w:color w:val="auto"/>
        </w:rPr>
        <w:t>5年12月9日。</w:t>
      </w:r>
    </w:p>
    <w:p w14:paraId="12730DDD">
      <w:pPr>
        <w:pStyle w:val="86"/>
        <w:spacing w:line="480" w:lineRule="exact"/>
        <w:ind w:firstLine="480"/>
        <w:rPr>
          <w:rFonts w:hint="eastAsia" w:cs="宋体"/>
          <w:color w:val="auto"/>
          <w:lang w:bidi="ar"/>
        </w:rPr>
      </w:pPr>
      <w:r>
        <w:rPr>
          <w:rFonts w:hint="eastAsia"/>
          <w:color w:val="auto"/>
        </w:rPr>
        <w:t>监测单位：</w:t>
      </w:r>
      <w:bookmarkEnd w:id="606"/>
      <w:r>
        <w:rPr>
          <w:rFonts w:hint="eastAsia" w:cs="Times New Roman"/>
          <w:bCs/>
          <w:color w:val="auto"/>
        </w:rPr>
        <w:t>新疆中检联检测有限公司</w:t>
      </w:r>
      <w:r>
        <w:rPr>
          <w:rFonts w:hint="eastAsia"/>
          <w:color w:val="auto"/>
        </w:rPr>
        <w:t>。</w:t>
      </w:r>
    </w:p>
    <w:p w14:paraId="62E78836">
      <w:pPr>
        <w:pStyle w:val="86"/>
        <w:spacing w:line="480" w:lineRule="exact"/>
        <w:ind w:firstLine="480"/>
        <w:rPr>
          <w:rFonts w:hint="eastAsia"/>
          <w:color w:val="auto"/>
        </w:rPr>
      </w:pPr>
      <w:r>
        <w:rPr>
          <w:rFonts w:hint="eastAsia"/>
          <w:color w:val="auto"/>
        </w:rPr>
        <w:t>④评价标准</w:t>
      </w:r>
    </w:p>
    <w:p w14:paraId="676170E8">
      <w:pPr>
        <w:pStyle w:val="86"/>
        <w:ind w:firstLine="480"/>
        <w:rPr>
          <w:rFonts w:hint="eastAsia"/>
          <w:color w:val="auto"/>
        </w:rPr>
      </w:pPr>
      <w:r>
        <w:rPr>
          <w:rFonts w:hint="eastAsia"/>
          <w:color w:val="auto"/>
        </w:rPr>
        <w:t>土壤环境质量执行《土壤环境质量</w:t>
      </w:r>
      <w:r>
        <w:rPr>
          <w:color w:val="auto"/>
        </w:rPr>
        <w:t xml:space="preserve">  </w:t>
      </w:r>
      <w:r>
        <w:rPr>
          <w:rFonts w:hint="eastAsia"/>
          <w:color w:val="auto"/>
        </w:rPr>
        <w:t>建设用地土壤污染风险管控标准（试行）》（</w:t>
      </w:r>
      <w:r>
        <w:rPr>
          <w:color w:val="auto"/>
        </w:rPr>
        <w:t>GB36600-2018</w:t>
      </w:r>
      <w:r>
        <w:rPr>
          <w:rFonts w:hint="eastAsia"/>
          <w:color w:val="auto"/>
        </w:rPr>
        <w:t>）中第二类用地筛选值。</w:t>
      </w:r>
    </w:p>
    <w:p w14:paraId="203566B3">
      <w:pPr>
        <w:pStyle w:val="86"/>
        <w:ind w:firstLine="480"/>
        <w:rPr>
          <w:rFonts w:hint="eastAsia"/>
          <w:color w:val="auto"/>
        </w:rPr>
      </w:pPr>
      <w:r>
        <w:rPr>
          <w:rFonts w:hint="eastAsia"/>
          <w:color w:val="auto"/>
        </w:rPr>
        <w:t>⑤评价方法</w:t>
      </w:r>
    </w:p>
    <w:p w14:paraId="3BB1A284">
      <w:pPr>
        <w:pStyle w:val="86"/>
        <w:ind w:firstLine="480"/>
        <w:rPr>
          <w:rFonts w:hint="eastAsia"/>
          <w:color w:val="auto"/>
        </w:rPr>
      </w:pPr>
      <w:r>
        <w:rPr>
          <w:color w:val="auto"/>
        </w:rPr>
        <w:t>采用单因子</w:t>
      </w:r>
      <w:r>
        <w:rPr>
          <w:rFonts w:hint="eastAsia"/>
          <w:color w:val="auto"/>
        </w:rPr>
        <w:t>标准</w:t>
      </w:r>
      <w:r>
        <w:rPr>
          <w:color w:val="auto"/>
        </w:rPr>
        <w:t>指数法</w:t>
      </w:r>
      <w:r>
        <w:rPr>
          <w:rFonts w:hint="eastAsia"/>
          <w:color w:val="auto"/>
        </w:rPr>
        <w:t>，计算公式为：</w:t>
      </w:r>
    </w:p>
    <w:p w14:paraId="28B4725A">
      <w:pPr>
        <w:pStyle w:val="86"/>
        <w:spacing w:line="240" w:lineRule="auto"/>
        <w:ind w:firstLine="480"/>
        <w:jc w:val="center"/>
        <w:rPr>
          <w:rFonts w:hint="eastAsia"/>
          <w:color w:val="auto"/>
          <w:lang w:val="fr-FR"/>
        </w:rPr>
      </w:pPr>
      <w:r>
        <w:rPr>
          <w:color w:val="auto"/>
          <w:lang w:val="fr-FR"/>
        </w:rPr>
        <w:object>
          <v:shape id="_x0000_i1029" o:spt="75" type="#_x0000_t75" style="height:22.6pt;width:62.8pt;" o:ole="t" filled="f" o:preferrelative="t" stroked="f" coordsize="21600,21600">
            <v:path/>
            <v:fill on="f" focussize="0,0"/>
            <v:stroke on="f" joinstyle="miter"/>
            <v:imagedata r:id="rId86" o:title=""/>
            <o:lock v:ext="edit" aspectratio="t"/>
            <w10:wrap type="none"/>
            <w10:anchorlock/>
          </v:shape>
          <o:OLEObject Type="Embed" ProgID="Equation.DSMT4" ShapeID="_x0000_i1029" DrawAspect="Content" ObjectID="_1468075729" r:id="rId85">
            <o:LockedField>false</o:LockedField>
          </o:OLEObject>
        </w:object>
      </w:r>
    </w:p>
    <w:p w14:paraId="2D93BCB7">
      <w:pPr>
        <w:pStyle w:val="86"/>
        <w:ind w:firstLine="480"/>
        <w:rPr>
          <w:rFonts w:hint="eastAsia"/>
          <w:color w:val="auto"/>
        </w:rPr>
      </w:pPr>
      <w:r>
        <w:rPr>
          <w:rFonts w:hint="eastAsia"/>
          <w:color w:val="auto"/>
        </w:rPr>
        <w:t>式中</w:t>
      </w:r>
      <w:r>
        <w:rPr>
          <w:rFonts w:hint="eastAsia"/>
          <w:color w:val="auto"/>
          <w:lang w:val="fr-FR"/>
        </w:rPr>
        <w:t>：</w:t>
      </w:r>
      <w:r>
        <w:rPr>
          <w:color w:val="auto"/>
        </w:rPr>
        <w:drawing>
          <wp:inline distT="0" distB="0" distL="0" distR="0">
            <wp:extent cx="229870" cy="252730"/>
            <wp:effectExtent l="0" t="0" r="0" b="0"/>
            <wp:docPr id="2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229870" cy="252730"/>
                    </a:xfrm>
                    <a:prstGeom prst="rect">
                      <a:avLst/>
                    </a:prstGeom>
                    <a:noFill/>
                    <a:ln>
                      <a:noFill/>
                    </a:ln>
                  </pic:spPr>
                </pic:pic>
              </a:graphicData>
            </a:graphic>
          </wp:inline>
        </w:drawing>
      </w:r>
      <w:r>
        <w:rPr>
          <w:rFonts w:hint="eastAsia"/>
          <w:color w:val="auto"/>
        </w:rPr>
        <w:t>—单项土壤参数i在j点的标准指数；</w:t>
      </w:r>
    </w:p>
    <w:p w14:paraId="17BB800A">
      <w:pPr>
        <w:pStyle w:val="86"/>
        <w:ind w:firstLine="1132" w:firstLineChars="472"/>
        <w:rPr>
          <w:rFonts w:hint="eastAsia"/>
          <w:color w:val="auto"/>
        </w:rPr>
      </w:pPr>
      <w:r>
        <w:rPr>
          <w:color w:val="auto"/>
        </w:rPr>
        <w:drawing>
          <wp:inline distT="0" distB="0" distL="0" distR="0">
            <wp:extent cx="252730" cy="252730"/>
            <wp:effectExtent l="0" t="0" r="0" b="0"/>
            <wp:docPr id="3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252730" cy="252730"/>
                    </a:xfrm>
                    <a:prstGeom prst="rect">
                      <a:avLst/>
                    </a:prstGeom>
                    <a:noFill/>
                    <a:ln>
                      <a:noFill/>
                    </a:ln>
                  </pic:spPr>
                </pic:pic>
              </a:graphicData>
            </a:graphic>
          </wp:inline>
        </w:drawing>
      </w:r>
      <w:r>
        <w:rPr>
          <w:rFonts w:hint="eastAsia"/>
          <w:color w:val="auto"/>
        </w:rPr>
        <w:t>—土壤参数i在j点的监测浓度，mg/</w:t>
      </w:r>
      <w:r>
        <w:rPr>
          <w:color w:val="auto"/>
        </w:rPr>
        <w:t>L</w:t>
      </w:r>
      <w:r>
        <w:rPr>
          <w:rFonts w:hint="eastAsia"/>
          <w:color w:val="auto"/>
        </w:rPr>
        <w:t>；</w:t>
      </w:r>
    </w:p>
    <w:p w14:paraId="0F2BC505">
      <w:pPr>
        <w:pStyle w:val="86"/>
        <w:ind w:firstLine="1132" w:firstLineChars="472"/>
        <w:rPr>
          <w:rFonts w:hint="eastAsia"/>
          <w:color w:val="auto"/>
        </w:rPr>
      </w:pPr>
      <w:r>
        <w:rPr>
          <w:color w:val="auto"/>
        </w:rPr>
        <w:drawing>
          <wp:inline distT="0" distB="0" distL="0" distR="0">
            <wp:extent cx="213360" cy="229870"/>
            <wp:effectExtent l="0" t="0" r="0" b="0"/>
            <wp:docPr id="3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213360" cy="229870"/>
                    </a:xfrm>
                    <a:prstGeom prst="rect">
                      <a:avLst/>
                    </a:prstGeom>
                    <a:noFill/>
                    <a:ln>
                      <a:noFill/>
                    </a:ln>
                  </pic:spPr>
                </pic:pic>
              </a:graphicData>
            </a:graphic>
          </wp:inline>
        </w:drawing>
      </w:r>
      <w:r>
        <w:rPr>
          <w:rFonts w:hint="eastAsia"/>
          <w:color w:val="auto"/>
        </w:rPr>
        <w:t>—土壤参数i的土壤环境</w:t>
      </w:r>
      <w:r>
        <w:rPr>
          <w:color w:val="auto"/>
        </w:rPr>
        <w:t>质量标准</w:t>
      </w:r>
      <w:r>
        <w:rPr>
          <w:rFonts w:hint="eastAsia"/>
          <w:color w:val="auto"/>
        </w:rPr>
        <w:t>，mg/</w:t>
      </w:r>
      <w:r>
        <w:rPr>
          <w:color w:val="auto"/>
        </w:rPr>
        <w:t>L</w:t>
      </w:r>
      <w:r>
        <w:rPr>
          <w:rFonts w:hint="eastAsia"/>
          <w:color w:val="auto"/>
        </w:rPr>
        <w:t>。</w:t>
      </w:r>
    </w:p>
    <w:p w14:paraId="1D320BF0">
      <w:pPr>
        <w:pStyle w:val="86"/>
        <w:ind w:firstLine="480" w:firstLineChars="0"/>
        <w:rPr>
          <w:rFonts w:hint="eastAsia"/>
          <w:color w:val="auto"/>
        </w:rPr>
      </w:pPr>
      <w:r>
        <w:rPr>
          <w:rFonts w:hint="eastAsia"/>
          <w:color w:val="auto"/>
        </w:rPr>
        <w:t>⑥评价结果</w:t>
      </w:r>
    </w:p>
    <w:p w14:paraId="2400B5BB">
      <w:pPr>
        <w:pStyle w:val="86"/>
        <w:ind w:firstLine="480"/>
        <w:rPr>
          <w:rFonts w:hint="eastAsia"/>
          <w:color w:val="auto"/>
        </w:rPr>
      </w:pPr>
      <w:r>
        <w:rPr>
          <w:rFonts w:hint="eastAsia"/>
          <w:color w:val="auto"/>
        </w:rPr>
        <w:t>土壤监测及评价结果见表</w:t>
      </w:r>
      <w:r>
        <w:rPr>
          <w:color w:val="auto"/>
        </w:rPr>
        <w:t>4.3</w:t>
      </w:r>
      <w:r>
        <w:rPr>
          <w:rFonts w:hint="eastAsia"/>
          <w:color w:val="auto"/>
        </w:rPr>
        <w:t>-10、表</w:t>
      </w:r>
      <w:r>
        <w:rPr>
          <w:color w:val="auto"/>
        </w:rPr>
        <w:t>4.3</w:t>
      </w:r>
      <w:r>
        <w:rPr>
          <w:rFonts w:hint="eastAsia"/>
          <w:color w:val="auto"/>
        </w:rPr>
        <w:t>-</w:t>
      </w:r>
      <w:r>
        <w:rPr>
          <w:color w:val="auto"/>
        </w:rPr>
        <w:t>1</w:t>
      </w:r>
      <w:r>
        <w:rPr>
          <w:rFonts w:hint="eastAsia"/>
          <w:color w:val="auto"/>
        </w:rPr>
        <w:t>1，土壤理化性质见表4.3-12。</w:t>
      </w:r>
    </w:p>
    <w:p w14:paraId="4A487B9C">
      <w:pPr>
        <w:pStyle w:val="86"/>
        <w:ind w:firstLine="0" w:firstLineChars="0"/>
        <w:jc w:val="center"/>
        <w:rPr>
          <w:rFonts w:hint="eastAsia" w:ascii="黑体" w:hAnsi="黑体" w:eastAsia="黑体" w:cs="黑体"/>
          <w:color w:val="auto"/>
          <w:sz w:val="21"/>
          <w:szCs w:val="21"/>
        </w:rPr>
      </w:pPr>
      <w:r>
        <w:rPr>
          <w:rFonts w:hint="eastAsia" w:ascii="黑体" w:hAnsi="黑体" w:eastAsia="黑体" w:cs="黑体"/>
          <w:color w:val="auto"/>
          <w:sz w:val="21"/>
          <w:szCs w:val="21"/>
        </w:rPr>
        <w:t>表4.3-10  S4挥发性、半挥发性监测因子监测结果及评价结果一览表  单位：mg/kg</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20"/>
        <w:gridCol w:w="908"/>
        <w:gridCol w:w="762"/>
        <w:gridCol w:w="977"/>
        <w:gridCol w:w="748"/>
        <w:gridCol w:w="709"/>
        <w:gridCol w:w="541"/>
        <w:gridCol w:w="900"/>
        <w:gridCol w:w="725"/>
        <w:gridCol w:w="799"/>
        <w:gridCol w:w="789"/>
        <w:gridCol w:w="668"/>
      </w:tblGrid>
      <w:tr w14:paraId="2C5BCF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55" w:hRule="atLeast"/>
          <w:tblHeader/>
          <w:jc w:val="center"/>
        </w:trPr>
        <w:tc>
          <w:tcPr>
            <w:tcW w:w="420" w:type="dxa"/>
            <w:vAlign w:val="center"/>
          </w:tcPr>
          <w:p w14:paraId="59BADDBF">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序号</w:t>
            </w:r>
          </w:p>
        </w:tc>
        <w:tc>
          <w:tcPr>
            <w:tcW w:w="908" w:type="dxa"/>
            <w:vAlign w:val="center"/>
          </w:tcPr>
          <w:p w14:paraId="70D9CC90">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名称</w:t>
            </w:r>
          </w:p>
        </w:tc>
        <w:tc>
          <w:tcPr>
            <w:tcW w:w="762" w:type="dxa"/>
            <w:vAlign w:val="center"/>
          </w:tcPr>
          <w:p w14:paraId="6E89AAE5">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标准限值</w:t>
            </w:r>
          </w:p>
        </w:tc>
        <w:tc>
          <w:tcPr>
            <w:tcW w:w="977" w:type="dxa"/>
            <w:vAlign w:val="center"/>
          </w:tcPr>
          <w:p w14:paraId="326DF353">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监测值</w:t>
            </w:r>
          </w:p>
        </w:tc>
        <w:tc>
          <w:tcPr>
            <w:tcW w:w="748" w:type="dxa"/>
            <w:vAlign w:val="center"/>
          </w:tcPr>
          <w:p w14:paraId="3F1C92CA">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标准指数</w:t>
            </w:r>
          </w:p>
        </w:tc>
        <w:tc>
          <w:tcPr>
            <w:tcW w:w="709" w:type="dxa"/>
            <w:vAlign w:val="center"/>
          </w:tcPr>
          <w:p w14:paraId="46382ED7">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达标情况</w:t>
            </w:r>
          </w:p>
        </w:tc>
        <w:tc>
          <w:tcPr>
            <w:tcW w:w="541" w:type="dxa"/>
            <w:vAlign w:val="center"/>
          </w:tcPr>
          <w:p w14:paraId="7469D7AD">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序号</w:t>
            </w:r>
          </w:p>
        </w:tc>
        <w:tc>
          <w:tcPr>
            <w:tcW w:w="900" w:type="dxa"/>
            <w:vAlign w:val="center"/>
          </w:tcPr>
          <w:p w14:paraId="1B84056E">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名称</w:t>
            </w:r>
          </w:p>
        </w:tc>
        <w:tc>
          <w:tcPr>
            <w:tcW w:w="725" w:type="dxa"/>
            <w:vAlign w:val="center"/>
          </w:tcPr>
          <w:p w14:paraId="32D110EC">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标准限值</w:t>
            </w:r>
          </w:p>
        </w:tc>
        <w:tc>
          <w:tcPr>
            <w:tcW w:w="799" w:type="dxa"/>
            <w:vAlign w:val="center"/>
          </w:tcPr>
          <w:p w14:paraId="1982FDE9">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监测值</w:t>
            </w:r>
          </w:p>
        </w:tc>
        <w:tc>
          <w:tcPr>
            <w:tcW w:w="789" w:type="dxa"/>
            <w:vAlign w:val="center"/>
          </w:tcPr>
          <w:p w14:paraId="515394C2">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标准指数</w:t>
            </w:r>
          </w:p>
        </w:tc>
        <w:tc>
          <w:tcPr>
            <w:tcW w:w="668" w:type="dxa"/>
            <w:vAlign w:val="center"/>
          </w:tcPr>
          <w:p w14:paraId="0E7EAA66">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达标情况</w:t>
            </w:r>
          </w:p>
        </w:tc>
      </w:tr>
      <w:tr w14:paraId="7FE962B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592D1C1C">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w:t>
            </w:r>
          </w:p>
        </w:tc>
        <w:tc>
          <w:tcPr>
            <w:tcW w:w="908" w:type="dxa"/>
            <w:vAlign w:val="center"/>
          </w:tcPr>
          <w:p w14:paraId="329C352A">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四氯化碳</w:t>
            </w:r>
          </w:p>
        </w:tc>
        <w:tc>
          <w:tcPr>
            <w:tcW w:w="762" w:type="dxa"/>
            <w:vAlign w:val="center"/>
          </w:tcPr>
          <w:p w14:paraId="2DB061AD">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2.8</w:t>
            </w:r>
          </w:p>
        </w:tc>
        <w:tc>
          <w:tcPr>
            <w:tcW w:w="977" w:type="dxa"/>
            <w:vAlign w:val="center"/>
          </w:tcPr>
          <w:p w14:paraId="62A00662">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ND</w:t>
            </w:r>
          </w:p>
        </w:tc>
        <w:tc>
          <w:tcPr>
            <w:tcW w:w="748" w:type="dxa"/>
            <w:vAlign w:val="center"/>
          </w:tcPr>
          <w:p w14:paraId="3021C3F4">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w:t>
            </w:r>
          </w:p>
        </w:tc>
        <w:tc>
          <w:tcPr>
            <w:tcW w:w="709" w:type="dxa"/>
            <w:vAlign w:val="center"/>
          </w:tcPr>
          <w:p w14:paraId="1A674621">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06FA1557">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20</w:t>
            </w:r>
          </w:p>
        </w:tc>
        <w:tc>
          <w:tcPr>
            <w:tcW w:w="900" w:type="dxa"/>
            <w:vAlign w:val="center"/>
          </w:tcPr>
          <w:p w14:paraId="43116AAB">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氯苯</w:t>
            </w:r>
          </w:p>
        </w:tc>
        <w:tc>
          <w:tcPr>
            <w:tcW w:w="725" w:type="dxa"/>
            <w:vAlign w:val="center"/>
          </w:tcPr>
          <w:p w14:paraId="0E360794">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270</w:t>
            </w:r>
          </w:p>
        </w:tc>
        <w:tc>
          <w:tcPr>
            <w:tcW w:w="799" w:type="dxa"/>
          </w:tcPr>
          <w:p w14:paraId="49CD69FE">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68681C13">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7D09E6D5">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72AFBA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377D6265">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w:t>
            </w:r>
          </w:p>
        </w:tc>
        <w:tc>
          <w:tcPr>
            <w:tcW w:w="908" w:type="dxa"/>
            <w:vAlign w:val="center"/>
          </w:tcPr>
          <w:p w14:paraId="60349B06">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氯仿</w:t>
            </w:r>
          </w:p>
        </w:tc>
        <w:tc>
          <w:tcPr>
            <w:tcW w:w="762" w:type="dxa"/>
            <w:vAlign w:val="center"/>
          </w:tcPr>
          <w:p w14:paraId="5D2C2951">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0.9</w:t>
            </w:r>
          </w:p>
        </w:tc>
        <w:tc>
          <w:tcPr>
            <w:tcW w:w="977" w:type="dxa"/>
            <w:vAlign w:val="center"/>
          </w:tcPr>
          <w:p w14:paraId="0239F719">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olor w:val="auto"/>
                <w:szCs w:val="21"/>
              </w:rPr>
              <w:t>1.6×10</w:t>
            </w:r>
            <w:r>
              <w:rPr>
                <w:rFonts w:hint="eastAsia" w:ascii="宋体" w:hAnsi="宋体"/>
                <w:color w:val="auto"/>
                <w:szCs w:val="21"/>
                <w:vertAlign w:val="superscript"/>
              </w:rPr>
              <w:t>-3</w:t>
            </w:r>
          </w:p>
        </w:tc>
        <w:tc>
          <w:tcPr>
            <w:tcW w:w="748" w:type="dxa"/>
            <w:vAlign w:val="center"/>
          </w:tcPr>
          <w:p w14:paraId="04C9386D">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0.002</w:t>
            </w:r>
          </w:p>
        </w:tc>
        <w:tc>
          <w:tcPr>
            <w:tcW w:w="709" w:type="dxa"/>
            <w:vAlign w:val="center"/>
          </w:tcPr>
          <w:p w14:paraId="368665DF">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5CFEF64A">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21</w:t>
            </w:r>
          </w:p>
        </w:tc>
        <w:tc>
          <w:tcPr>
            <w:tcW w:w="900" w:type="dxa"/>
            <w:vAlign w:val="center"/>
          </w:tcPr>
          <w:p w14:paraId="3C3B6114">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1,2-二氯苯</w:t>
            </w:r>
          </w:p>
        </w:tc>
        <w:tc>
          <w:tcPr>
            <w:tcW w:w="725" w:type="dxa"/>
            <w:vAlign w:val="center"/>
          </w:tcPr>
          <w:p w14:paraId="4D082132">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560</w:t>
            </w:r>
          </w:p>
        </w:tc>
        <w:tc>
          <w:tcPr>
            <w:tcW w:w="799" w:type="dxa"/>
          </w:tcPr>
          <w:p w14:paraId="4BEE4857">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0F5A0EE5">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0CFA2024">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4056C7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5A8CEE27">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3</w:t>
            </w:r>
          </w:p>
        </w:tc>
        <w:tc>
          <w:tcPr>
            <w:tcW w:w="908" w:type="dxa"/>
            <w:vAlign w:val="center"/>
          </w:tcPr>
          <w:p w14:paraId="6B9937E4">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氯甲烷</w:t>
            </w:r>
          </w:p>
        </w:tc>
        <w:tc>
          <w:tcPr>
            <w:tcW w:w="762" w:type="dxa"/>
            <w:vAlign w:val="center"/>
          </w:tcPr>
          <w:p w14:paraId="70020AFB">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37</w:t>
            </w:r>
          </w:p>
        </w:tc>
        <w:tc>
          <w:tcPr>
            <w:tcW w:w="977" w:type="dxa"/>
            <w:vAlign w:val="center"/>
          </w:tcPr>
          <w:p w14:paraId="196C216B">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olor w:val="auto"/>
                <w:szCs w:val="21"/>
              </w:rPr>
              <w:t>1.2×10</w:t>
            </w:r>
            <w:r>
              <w:rPr>
                <w:rFonts w:hint="eastAsia" w:ascii="宋体" w:hAnsi="宋体"/>
                <w:color w:val="auto"/>
                <w:szCs w:val="21"/>
                <w:vertAlign w:val="superscript"/>
              </w:rPr>
              <w:t>-3</w:t>
            </w:r>
          </w:p>
        </w:tc>
        <w:tc>
          <w:tcPr>
            <w:tcW w:w="748" w:type="dxa"/>
            <w:vAlign w:val="center"/>
          </w:tcPr>
          <w:p w14:paraId="644ABE71">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0.000032</w:t>
            </w:r>
          </w:p>
        </w:tc>
        <w:tc>
          <w:tcPr>
            <w:tcW w:w="709" w:type="dxa"/>
            <w:vAlign w:val="center"/>
          </w:tcPr>
          <w:p w14:paraId="2278D436">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达标</w:t>
            </w:r>
          </w:p>
        </w:tc>
        <w:tc>
          <w:tcPr>
            <w:tcW w:w="541" w:type="dxa"/>
            <w:vAlign w:val="center"/>
          </w:tcPr>
          <w:p w14:paraId="1071E952">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22</w:t>
            </w:r>
          </w:p>
        </w:tc>
        <w:tc>
          <w:tcPr>
            <w:tcW w:w="900" w:type="dxa"/>
            <w:vAlign w:val="center"/>
          </w:tcPr>
          <w:p w14:paraId="7D10B020">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1,4二氯苯</w:t>
            </w:r>
          </w:p>
        </w:tc>
        <w:tc>
          <w:tcPr>
            <w:tcW w:w="725" w:type="dxa"/>
            <w:vAlign w:val="center"/>
          </w:tcPr>
          <w:p w14:paraId="0441A474">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20</w:t>
            </w:r>
          </w:p>
        </w:tc>
        <w:tc>
          <w:tcPr>
            <w:tcW w:w="799" w:type="dxa"/>
          </w:tcPr>
          <w:p w14:paraId="654EAE1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167A5C50">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6F34315E">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0228CE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5C3DD4D4">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4</w:t>
            </w:r>
          </w:p>
        </w:tc>
        <w:tc>
          <w:tcPr>
            <w:tcW w:w="908" w:type="dxa"/>
            <w:vAlign w:val="center"/>
          </w:tcPr>
          <w:p w14:paraId="4B1AB2AA">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1,1-二氯乙烷</w:t>
            </w:r>
          </w:p>
        </w:tc>
        <w:tc>
          <w:tcPr>
            <w:tcW w:w="762" w:type="dxa"/>
            <w:vAlign w:val="center"/>
          </w:tcPr>
          <w:p w14:paraId="5A4501F1">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9</w:t>
            </w:r>
          </w:p>
        </w:tc>
        <w:tc>
          <w:tcPr>
            <w:tcW w:w="977" w:type="dxa"/>
            <w:vAlign w:val="center"/>
          </w:tcPr>
          <w:p w14:paraId="246860C1">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ND</w:t>
            </w:r>
          </w:p>
        </w:tc>
        <w:tc>
          <w:tcPr>
            <w:tcW w:w="748" w:type="dxa"/>
            <w:vAlign w:val="center"/>
          </w:tcPr>
          <w:p w14:paraId="53549CA9">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w:t>
            </w:r>
          </w:p>
        </w:tc>
        <w:tc>
          <w:tcPr>
            <w:tcW w:w="709" w:type="dxa"/>
            <w:vAlign w:val="center"/>
          </w:tcPr>
          <w:p w14:paraId="700AE359">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6CC0B302">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23</w:t>
            </w:r>
          </w:p>
        </w:tc>
        <w:tc>
          <w:tcPr>
            <w:tcW w:w="900" w:type="dxa"/>
            <w:vAlign w:val="center"/>
          </w:tcPr>
          <w:p w14:paraId="37A0404C">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乙苯</w:t>
            </w:r>
          </w:p>
        </w:tc>
        <w:tc>
          <w:tcPr>
            <w:tcW w:w="725" w:type="dxa"/>
            <w:vAlign w:val="center"/>
          </w:tcPr>
          <w:p w14:paraId="19CF8518">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28</w:t>
            </w:r>
          </w:p>
        </w:tc>
        <w:tc>
          <w:tcPr>
            <w:tcW w:w="799" w:type="dxa"/>
          </w:tcPr>
          <w:p w14:paraId="4931A942">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11372405">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0B6D7B88">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3F8A033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727C34EC">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5</w:t>
            </w:r>
          </w:p>
        </w:tc>
        <w:tc>
          <w:tcPr>
            <w:tcW w:w="908" w:type="dxa"/>
            <w:vAlign w:val="center"/>
          </w:tcPr>
          <w:p w14:paraId="2207483C">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1,2-二氯乙烷</w:t>
            </w:r>
          </w:p>
        </w:tc>
        <w:tc>
          <w:tcPr>
            <w:tcW w:w="762" w:type="dxa"/>
            <w:vAlign w:val="center"/>
          </w:tcPr>
          <w:p w14:paraId="0C6AF201">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5</w:t>
            </w:r>
          </w:p>
        </w:tc>
        <w:tc>
          <w:tcPr>
            <w:tcW w:w="977" w:type="dxa"/>
          </w:tcPr>
          <w:p w14:paraId="7DD2B96C">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kern w:val="0"/>
                <w:szCs w:val="21"/>
              </w:rPr>
              <w:t>ND</w:t>
            </w:r>
          </w:p>
        </w:tc>
        <w:tc>
          <w:tcPr>
            <w:tcW w:w="748" w:type="dxa"/>
            <w:vAlign w:val="center"/>
          </w:tcPr>
          <w:p w14:paraId="182052C2">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w:t>
            </w:r>
          </w:p>
        </w:tc>
        <w:tc>
          <w:tcPr>
            <w:tcW w:w="709" w:type="dxa"/>
            <w:vAlign w:val="center"/>
          </w:tcPr>
          <w:p w14:paraId="2B138CF5">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28135A7D">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24</w:t>
            </w:r>
          </w:p>
        </w:tc>
        <w:tc>
          <w:tcPr>
            <w:tcW w:w="900" w:type="dxa"/>
            <w:vAlign w:val="center"/>
          </w:tcPr>
          <w:p w14:paraId="09832BD4">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苯乙烯</w:t>
            </w:r>
          </w:p>
        </w:tc>
        <w:tc>
          <w:tcPr>
            <w:tcW w:w="725" w:type="dxa"/>
            <w:vAlign w:val="center"/>
          </w:tcPr>
          <w:p w14:paraId="08352342">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1290</w:t>
            </w:r>
          </w:p>
        </w:tc>
        <w:tc>
          <w:tcPr>
            <w:tcW w:w="799" w:type="dxa"/>
          </w:tcPr>
          <w:p w14:paraId="79965A23">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180CF5A4">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4438510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503E1C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2CAB18BF">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6</w:t>
            </w:r>
          </w:p>
        </w:tc>
        <w:tc>
          <w:tcPr>
            <w:tcW w:w="908" w:type="dxa"/>
            <w:vAlign w:val="center"/>
          </w:tcPr>
          <w:p w14:paraId="3AE12C35">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1,1-二氯乙烯</w:t>
            </w:r>
          </w:p>
        </w:tc>
        <w:tc>
          <w:tcPr>
            <w:tcW w:w="762" w:type="dxa"/>
            <w:vAlign w:val="center"/>
          </w:tcPr>
          <w:p w14:paraId="6B69B868">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66</w:t>
            </w:r>
          </w:p>
        </w:tc>
        <w:tc>
          <w:tcPr>
            <w:tcW w:w="977" w:type="dxa"/>
          </w:tcPr>
          <w:p w14:paraId="51D44EBD">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kern w:val="0"/>
                <w:szCs w:val="21"/>
              </w:rPr>
              <w:t>ND</w:t>
            </w:r>
          </w:p>
        </w:tc>
        <w:tc>
          <w:tcPr>
            <w:tcW w:w="748" w:type="dxa"/>
            <w:vAlign w:val="center"/>
          </w:tcPr>
          <w:p w14:paraId="58DD844C">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w:t>
            </w:r>
          </w:p>
        </w:tc>
        <w:tc>
          <w:tcPr>
            <w:tcW w:w="709" w:type="dxa"/>
            <w:vAlign w:val="center"/>
          </w:tcPr>
          <w:p w14:paraId="45293711">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593270C0">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25</w:t>
            </w:r>
          </w:p>
        </w:tc>
        <w:tc>
          <w:tcPr>
            <w:tcW w:w="900" w:type="dxa"/>
            <w:vAlign w:val="center"/>
          </w:tcPr>
          <w:p w14:paraId="7F1C4CF7">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甲苯</w:t>
            </w:r>
          </w:p>
        </w:tc>
        <w:tc>
          <w:tcPr>
            <w:tcW w:w="725" w:type="dxa"/>
            <w:vAlign w:val="center"/>
          </w:tcPr>
          <w:p w14:paraId="7BC18A0D">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1200</w:t>
            </w:r>
          </w:p>
        </w:tc>
        <w:tc>
          <w:tcPr>
            <w:tcW w:w="799" w:type="dxa"/>
            <w:vAlign w:val="center"/>
          </w:tcPr>
          <w:p w14:paraId="4ADA0B55">
            <w:pPr>
              <w:adjustRightInd w:val="0"/>
              <w:snapToGrid w:val="0"/>
              <w:spacing w:line="300" w:lineRule="exact"/>
              <w:jc w:val="center"/>
              <w:rPr>
                <w:rFonts w:hint="eastAsia" w:ascii="宋体" w:hAnsi="宋体" w:cs="宋体"/>
                <w:color w:val="auto"/>
                <w:szCs w:val="21"/>
              </w:rPr>
            </w:pPr>
            <w:r>
              <w:rPr>
                <w:rFonts w:hint="eastAsia" w:ascii="宋体" w:hAnsi="宋体"/>
                <w:color w:val="auto"/>
                <w:szCs w:val="21"/>
              </w:rPr>
              <w:t>1.6×10</w:t>
            </w:r>
            <w:r>
              <w:rPr>
                <w:rFonts w:hint="eastAsia" w:ascii="宋体" w:hAnsi="宋体"/>
                <w:color w:val="auto"/>
                <w:szCs w:val="21"/>
                <w:vertAlign w:val="superscript"/>
              </w:rPr>
              <w:t>-2</w:t>
            </w:r>
          </w:p>
        </w:tc>
        <w:tc>
          <w:tcPr>
            <w:tcW w:w="789" w:type="dxa"/>
            <w:vAlign w:val="center"/>
          </w:tcPr>
          <w:p w14:paraId="29F1AA66">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0.000013</w:t>
            </w:r>
          </w:p>
        </w:tc>
        <w:tc>
          <w:tcPr>
            <w:tcW w:w="668" w:type="dxa"/>
            <w:vAlign w:val="center"/>
          </w:tcPr>
          <w:p w14:paraId="3722E1D3">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7B53E6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79CB6027">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7</w:t>
            </w:r>
          </w:p>
        </w:tc>
        <w:tc>
          <w:tcPr>
            <w:tcW w:w="908" w:type="dxa"/>
            <w:vAlign w:val="center"/>
          </w:tcPr>
          <w:p w14:paraId="0A34C3C3">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顺-1,2-二氯乙烯</w:t>
            </w:r>
          </w:p>
        </w:tc>
        <w:tc>
          <w:tcPr>
            <w:tcW w:w="762" w:type="dxa"/>
            <w:vAlign w:val="center"/>
          </w:tcPr>
          <w:p w14:paraId="2546D29A">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596</w:t>
            </w:r>
          </w:p>
        </w:tc>
        <w:tc>
          <w:tcPr>
            <w:tcW w:w="977" w:type="dxa"/>
          </w:tcPr>
          <w:p w14:paraId="290A31B8">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ND</w:t>
            </w:r>
          </w:p>
        </w:tc>
        <w:tc>
          <w:tcPr>
            <w:tcW w:w="748" w:type="dxa"/>
            <w:vAlign w:val="center"/>
          </w:tcPr>
          <w:p w14:paraId="0722162C">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w:t>
            </w:r>
          </w:p>
        </w:tc>
        <w:tc>
          <w:tcPr>
            <w:tcW w:w="709" w:type="dxa"/>
            <w:vAlign w:val="center"/>
          </w:tcPr>
          <w:p w14:paraId="41B93D8C">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7A7AFA19">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26</w:t>
            </w:r>
          </w:p>
        </w:tc>
        <w:tc>
          <w:tcPr>
            <w:tcW w:w="900" w:type="dxa"/>
            <w:vAlign w:val="center"/>
          </w:tcPr>
          <w:p w14:paraId="5AD993E8">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间二甲苯+对二甲苯</w:t>
            </w:r>
          </w:p>
        </w:tc>
        <w:tc>
          <w:tcPr>
            <w:tcW w:w="725" w:type="dxa"/>
            <w:vAlign w:val="center"/>
          </w:tcPr>
          <w:p w14:paraId="680C0AD0">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570</w:t>
            </w:r>
          </w:p>
        </w:tc>
        <w:tc>
          <w:tcPr>
            <w:tcW w:w="799" w:type="dxa"/>
            <w:vAlign w:val="center"/>
          </w:tcPr>
          <w:p w14:paraId="3107BE1B">
            <w:pPr>
              <w:adjustRightInd w:val="0"/>
              <w:snapToGrid w:val="0"/>
              <w:spacing w:line="300" w:lineRule="exact"/>
              <w:jc w:val="center"/>
              <w:rPr>
                <w:rFonts w:hint="eastAsia" w:ascii="宋体" w:hAnsi="宋体" w:cs="宋体"/>
                <w:color w:val="auto"/>
                <w:szCs w:val="21"/>
              </w:rPr>
            </w:pPr>
            <w:r>
              <w:rPr>
                <w:rFonts w:hint="eastAsia" w:ascii="宋体" w:hAnsi="宋体"/>
                <w:color w:val="auto"/>
                <w:szCs w:val="21"/>
              </w:rPr>
              <w:t>1.3×10</w:t>
            </w:r>
            <w:r>
              <w:rPr>
                <w:rFonts w:hint="eastAsia" w:ascii="宋体" w:hAnsi="宋体"/>
                <w:color w:val="auto"/>
                <w:szCs w:val="21"/>
                <w:vertAlign w:val="superscript"/>
              </w:rPr>
              <w:t>-3</w:t>
            </w:r>
          </w:p>
        </w:tc>
        <w:tc>
          <w:tcPr>
            <w:tcW w:w="789" w:type="dxa"/>
            <w:vAlign w:val="center"/>
          </w:tcPr>
          <w:p w14:paraId="1114E4E8">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0.000002</w:t>
            </w:r>
          </w:p>
        </w:tc>
        <w:tc>
          <w:tcPr>
            <w:tcW w:w="668" w:type="dxa"/>
            <w:vAlign w:val="center"/>
          </w:tcPr>
          <w:p w14:paraId="699E5C9D">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1FCA0D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5CAD5398">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8</w:t>
            </w:r>
          </w:p>
        </w:tc>
        <w:tc>
          <w:tcPr>
            <w:tcW w:w="908" w:type="dxa"/>
            <w:vAlign w:val="center"/>
          </w:tcPr>
          <w:p w14:paraId="006CC42A">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反-1,2-二氯乙烯</w:t>
            </w:r>
          </w:p>
        </w:tc>
        <w:tc>
          <w:tcPr>
            <w:tcW w:w="762" w:type="dxa"/>
            <w:vAlign w:val="center"/>
          </w:tcPr>
          <w:p w14:paraId="67AE3FD8">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54</w:t>
            </w:r>
          </w:p>
        </w:tc>
        <w:tc>
          <w:tcPr>
            <w:tcW w:w="977" w:type="dxa"/>
          </w:tcPr>
          <w:p w14:paraId="22D43157">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48" w:type="dxa"/>
            <w:vAlign w:val="center"/>
          </w:tcPr>
          <w:p w14:paraId="41759CD0">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709" w:type="dxa"/>
            <w:vAlign w:val="center"/>
          </w:tcPr>
          <w:p w14:paraId="580DB8F8">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217DE108">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27</w:t>
            </w:r>
          </w:p>
        </w:tc>
        <w:tc>
          <w:tcPr>
            <w:tcW w:w="900" w:type="dxa"/>
            <w:vAlign w:val="center"/>
          </w:tcPr>
          <w:p w14:paraId="752EA8B3">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邻二甲苯</w:t>
            </w:r>
          </w:p>
        </w:tc>
        <w:tc>
          <w:tcPr>
            <w:tcW w:w="725" w:type="dxa"/>
            <w:vAlign w:val="center"/>
          </w:tcPr>
          <w:p w14:paraId="1A0ACF18">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640</w:t>
            </w:r>
          </w:p>
        </w:tc>
        <w:tc>
          <w:tcPr>
            <w:tcW w:w="799" w:type="dxa"/>
          </w:tcPr>
          <w:p w14:paraId="2BB78D22">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3BAE1AC8">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214644C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6DAF40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256CBF27">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9</w:t>
            </w:r>
          </w:p>
        </w:tc>
        <w:tc>
          <w:tcPr>
            <w:tcW w:w="908" w:type="dxa"/>
            <w:vAlign w:val="center"/>
          </w:tcPr>
          <w:p w14:paraId="57EE0AE4">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二氯甲烷</w:t>
            </w:r>
          </w:p>
        </w:tc>
        <w:tc>
          <w:tcPr>
            <w:tcW w:w="762" w:type="dxa"/>
            <w:vAlign w:val="center"/>
          </w:tcPr>
          <w:p w14:paraId="6224B0DB">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616</w:t>
            </w:r>
          </w:p>
        </w:tc>
        <w:tc>
          <w:tcPr>
            <w:tcW w:w="977" w:type="dxa"/>
          </w:tcPr>
          <w:p w14:paraId="34A1AE35">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48" w:type="dxa"/>
            <w:vAlign w:val="center"/>
          </w:tcPr>
          <w:p w14:paraId="39A4E944">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709" w:type="dxa"/>
            <w:vAlign w:val="center"/>
          </w:tcPr>
          <w:p w14:paraId="0695B085">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37A1977D">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28</w:t>
            </w:r>
          </w:p>
        </w:tc>
        <w:tc>
          <w:tcPr>
            <w:tcW w:w="900" w:type="dxa"/>
            <w:vAlign w:val="center"/>
          </w:tcPr>
          <w:p w14:paraId="4D3D6097">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硝基苯</w:t>
            </w:r>
          </w:p>
        </w:tc>
        <w:tc>
          <w:tcPr>
            <w:tcW w:w="725" w:type="dxa"/>
            <w:vAlign w:val="center"/>
          </w:tcPr>
          <w:p w14:paraId="46AF53F3">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76</w:t>
            </w:r>
          </w:p>
        </w:tc>
        <w:tc>
          <w:tcPr>
            <w:tcW w:w="799" w:type="dxa"/>
          </w:tcPr>
          <w:p w14:paraId="4F347BFA">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2B84F279">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2656DED4">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068C03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77561E36">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10</w:t>
            </w:r>
          </w:p>
        </w:tc>
        <w:tc>
          <w:tcPr>
            <w:tcW w:w="908" w:type="dxa"/>
            <w:vAlign w:val="center"/>
          </w:tcPr>
          <w:p w14:paraId="3DD1F5BA">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1,2-二氯丙烷</w:t>
            </w:r>
          </w:p>
        </w:tc>
        <w:tc>
          <w:tcPr>
            <w:tcW w:w="762" w:type="dxa"/>
            <w:vAlign w:val="center"/>
          </w:tcPr>
          <w:p w14:paraId="3ACCC101">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5</w:t>
            </w:r>
          </w:p>
        </w:tc>
        <w:tc>
          <w:tcPr>
            <w:tcW w:w="977" w:type="dxa"/>
          </w:tcPr>
          <w:p w14:paraId="5C15146F">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48" w:type="dxa"/>
            <w:vAlign w:val="center"/>
          </w:tcPr>
          <w:p w14:paraId="2FBDD4B2">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709" w:type="dxa"/>
            <w:vAlign w:val="center"/>
          </w:tcPr>
          <w:p w14:paraId="2095797F">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2162C5E5">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29</w:t>
            </w:r>
          </w:p>
        </w:tc>
        <w:tc>
          <w:tcPr>
            <w:tcW w:w="900" w:type="dxa"/>
            <w:vAlign w:val="center"/>
          </w:tcPr>
          <w:p w14:paraId="654EA3FA">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苯胺</w:t>
            </w:r>
          </w:p>
        </w:tc>
        <w:tc>
          <w:tcPr>
            <w:tcW w:w="725" w:type="dxa"/>
            <w:vAlign w:val="center"/>
          </w:tcPr>
          <w:p w14:paraId="14F59A18">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260</w:t>
            </w:r>
          </w:p>
        </w:tc>
        <w:tc>
          <w:tcPr>
            <w:tcW w:w="799" w:type="dxa"/>
          </w:tcPr>
          <w:p w14:paraId="2D255041">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0B8496A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7894FBC7">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58480A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446CF385">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11</w:t>
            </w:r>
          </w:p>
        </w:tc>
        <w:tc>
          <w:tcPr>
            <w:tcW w:w="908" w:type="dxa"/>
            <w:vAlign w:val="center"/>
          </w:tcPr>
          <w:p w14:paraId="22C71D9E">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1,1,1,2-四氯乙烷</w:t>
            </w:r>
          </w:p>
        </w:tc>
        <w:tc>
          <w:tcPr>
            <w:tcW w:w="762" w:type="dxa"/>
            <w:vAlign w:val="center"/>
          </w:tcPr>
          <w:p w14:paraId="4BC80A3E">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10</w:t>
            </w:r>
          </w:p>
        </w:tc>
        <w:tc>
          <w:tcPr>
            <w:tcW w:w="977" w:type="dxa"/>
          </w:tcPr>
          <w:p w14:paraId="543DD02D">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48" w:type="dxa"/>
            <w:vAlign w:val="center"/>
          </w:tcPr>
          <w:p w14:paraId="62683E83">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709" w:type="dxa"/>
            <w:vAlign w:val="center"/>
          </w:tcPr>
          <w:p w14:paraId="54332492">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490ECDFB">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30</w:t>
            </w:r>
          </w:p>
        </w:tc>
        <w:tc>
          <w:tcPr>
            <w:tcW w:w="900" w:type="dxa"/>
            <w:vAlign w:val="center"/>
          </w:tcPr>
          <w:p w14:paraId="5800E0F6">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2-氯酚</w:t>
            </w:r>
          </w:p>
        </w:tc>
        <w:tc>
          <w:tcPr>
            <w:tcW w:w="725" w:type="dxa"/>
            <w:vAlign w:val="center"/>
          </w:tcPr>
          <w:p w14:paraId="34C321D9">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2256</w:t>
            </w:r>
          </w:p>
        </w:tc>
        <w:tc>
          <w:tcPr>
            <w:tcW w:w="799" w:type="dxa"/>
          </w:tcPr>
          <w:p w14:paraId="3CF64B90">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4FBDA2F6">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3921946E">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58EAD7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5EC279C9">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12</w:t>
            </w:r>
          </w:p>
        </w:tc>
        <w:tc>
          <w:tcPr>
            <w:tcW w:w="908" w:type="dxa"/>
            <w:vAlign w:val="center"/>
          </w:tcPr>
          <w:p w14:paraId="65C6F25A">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1,1,2,2-四氯乙烷</w:t>
            </w:r>
          </w:p>
        </w:tc>
        <w:tc>
          <w:tcPr>
            <w:tcW w:w="762" w:type="dxa"/>
            <w:vAlign w:val="center"/>
          </w:tcPr>
          <w:p w14:paraId="1C4C5AD6">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6.8</w:t>
            </w:r>
          </w:p>
        </w:tc>
        <w:tc>
          <w:tcPr>
            <w:tcW w:w="977" w:type="dxa"/>
          </w:tcPr>
          <w:p w14:paraId="38458C0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48" w:type="dxa"/>
            <w:vAlign w:val="center"/>
          </w:tcPr>
          <w:p w14:paraId="5F1A8D10">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709" w:type="dxa"/>
            <w:vAlign w:val="center"/>
          </w:tcPr>
          <w:p w14:paraId="18A27D73">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2CB36811">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31</w:t>
            </w:r>
          </w:p>
        </w:tc>
        <w:tc>
          <w:tcPr>
            <w:tcW w:w="900" w:type="dxa"/>
            <w:vAlign w:val="center"/>
          </w:tcPr>
          <w:p w14:paraId="79AC0BFF">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苯并[a]蒽</w:t>
            </w:r>
          </w:p>
        </w:tc>
        <w:tc>
          <w:tcPr>
            <w:tcW w:w="725" w:type="dxa"/>
            <w:vAlign w:val="center"/>
          </w:tcPr>
          <w:p w14:paraId="58551BD6">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15</w:t>
            </w:r>
          </w:p>
        </w:tc>
        <w:tc>
          <w:tcPr>
            <w:tcW w:w="799" w:type="dxa"/>
          </w:tcPr>
          <w:p w14:paraId="5419D7A7">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7E73059E">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1DAB8A71">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508820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4450E062">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13</w:t>
            </w:r>
          </w:p>
        </w:tc>
        <w:tc>
          <w:tcPr>
            <w:tcW w:w="908" w:type="dxa"/>
            <w:vAlign w:val="center"/>
          </w:tcPr>
          <w:p w14:paraId="6DBCEE89">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四氯乙烯</w:t>
            </w:r>
          </w:p>
        </w:tc>
        <w:tc>
          <w:tcPr>
            <w:tcW w:w="762" w:type="dxa"/>
            <w:vAlign w:val="center"/>
          </w:tcPr>
          <w:p w14:paraId="0417DCEF">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53</w:t>
            </w:r>
          </w:p>
        </w:tc>
        <w:tc>
          <w:tcPr>
            <w:tcW w:w="977" w:type="dxa"/>
          </w:tcPr>
          <w:p w14:paraId="22836450">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48" w:type="dxa"/>
            <w:vAlign w:val="center"/>
          </w:tcPr>
          <w:p w14:paraId="25AC2057">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709" w:type="dxa"/>
            <w:vAlign w:val="center"/>
          </w:tcPr>
          <w:p w14:paraId="576163D3">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4E3F74A9">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32</w:t>
            </w:r>
          </w:p>
        </w:tc>
        <w:tc>
          <w:tcPr>
            <w:tcW w:w="900" w:type="dxa"/>
            <w:vAlign w:val="center"/>
          </w:tcPr>
          <w:p w14:paraId="736B5D85">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苯并[a]芘</w:t>
            </w:r>
          </w:p>
        </w:tc>
        <w:tc>
          <w:tcPr>
            <w:tcW w:w="725" w:type="dxa"/>
            <w:vAlign w:val="center"/>
          </w:tcPr>
          <w:p w14:paraId="78EFA742">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1.5</w:t>
            </w:r>
          </w:p>
        </w:tc>
        <w:tc>
          <w:tcPr>
            <w:tcW w:w="799" w:type="dxa"/>
          </w:tcPr>
          <w:p w14:paraId="1CF07734">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5019D2D7">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09BA70DA">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00F6F0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1153CF61">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14</w:t>
            </w:r>
          </w:p>
        </w:tc>
        <w:tc>
          <w:tcPr>
            <w:tcW w:w="908" w:type="dxa"/>
            <w:vAlign w:val="center"/>
          </w:tcPr>
          <w:p w14:paraId="57477FE6">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1,1,1-三氯乙烷</w:t>
            </w:r>
          </w:p>
        </w:tc>
        <w:tc>
          <w:tcPr>
            <w:tcW w:w="762" w:type="dxa"/>
            <w:vAlign w:val="center"/>
          </w:tcPr>
          <w:p w14:paraId="6D027537">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840</w:t>
            </w:r>
          </w:p>
        </w:tc>
        <w:tc>
          <w:tcPr>
            <w:tcW w:w="977" w:type="dxa"/>
          </w:tcPr>
          <w:p w14:paraId="1257B6F2">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48" w:type="dxa"/>
            <w:vAlign w:val="center"/>
          </w:tcPr>
          <w:p w14:paraId="4A120E0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709" w:type="dxa"/>
            <w:vAlign w:val="center"/>
          </w:tcPr>
          <w:p w14:paraId="31B1BBAD">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0A79A31C">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33</w:t>
            </w:r>
          </w:p>
        </w:tc>
        <w:tc>
          <w:tcPr>
            <w:tcW w:w="900" w:type="dxa"/>
            <w:vAlign w:val="center"/>
          </w:tcPr>
          <w:p w14:paraId="777312AE">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苯并[b]荧蒽</w:t>
            </w:r>
          </w:p>
        </w:tc>
        <w:tc>
          <w:tcPr>
            <w:tcW w:w="725" w:type="dxa"/>
            <w:vAlign w:val="center"/>
          </w:tcPr>
          <w:p w14:paraId="14A08F2E">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15</w:t>
            </w:r>
          </w:p>
        </w:tc>
        <w:tc>
          <w:tcPr>
            <w:tcW w:w="799" w:type="dxa"/>
          </w:tcPr>
          <w:p w14:paraId="6EA195D3">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47FDAFBF">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6A4C0209">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17B8AC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1C6EB749">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15</w:t>
            </w:r>
          </w:p>
        </w:tc>
        <w:tc>
          <w:tcPr>
            <w:tcW w:w="908" w:type="dxa"/>
            <w:vAlign w:val="center"/>
          </w:tcPr>
          <w:p w14:paraId="5E7A2D28">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1,1,2-三氯乙烷</w:t>
            </w:r>
          </w:p>
        </w:tc>
        <w:tc>
          <w:tcPr>
            <w:tcW w:w="762" w:type="dxa"/>
            <w:vAlign w:val="center"/>
          </w:tcPr>
          <w:p w14:paraId="1023415F">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2.8</w:t>
            </w:r>
          </w:p>
        </w:tc>
        <w:tc>
          <w:tcPr>
            <w:tcW w:w="977" w:type="dxa"/>
          </w:tcPr>
          <w:p w14:paraId="338F8F9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48" w:type="dxa"/>
            <w:vAlign w:val="center"/>
          </w:tcPr>
          <w:p w14:paraId="2585330F">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709" w:type="dxa"/>
            <w:vAlign w:val="center"/>
          </w:tcPr>
          <w:p w14:paraId="020482B2">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02169BA4">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34</w:t>
            </w:r>
          </w:p>
        </w:tc>
        <w:tc>
          <w:tcPr>
            <w:tcW w:w="900" w:type="dxa"/>
            <w:vAlign w:val="center"/>
          </w:tcPr>
          <w:p w14:paraId="385DA62B">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苯并[k]荧蒽</w:t>
            </w:r>
          </w:p>
        </w:tc>
        <w:tc>
          <w:tcPr>
            <w:tcW w:w="725" w:type="dxa"/>
            <w:vAlign w:val="center"/>
          </w:tcPr>
          <w:p w14:paraId="7BBC83F3">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151</w:t>
            </w:r>
          </w:p>
        </w:tc>
        <w:tc>
          <w:tcPr>
            <w:tcW w:w="799" w:type="dxa"/>
          </w:tcPr>
          <w:p w14:paraId="0A1EECA7">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5F698162">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6D9567B6">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616108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22BF70D1">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16</w:t>
            </w:r>
          </w:p>
        </w:tc>
        <w:tc>
          <w:tcPr>
            <w:tcW w:w="908" w:type="dxa"/>
            <w:vAlign w:val="center"/>
          </w:tcPr>
          <w:p w14:paraId="2557B720">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三氯乙烯</w:t>
            </w:r>
          </w:p>
        </w:tc>
        <w:tc>
          <w:tcPr>
            <w:tcW w:w="762" w:type="dxa"/>
            <w:vAlign w:val="center"/>
          </w:tcPr>
          <w:p w14:paraId="31191F1E">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2.8</w:t>
            </w:r>
          </w:p>
        </w:tc>
        <w:tc>
          <w:tcPr>
            <w:tcW w:w="977" w:type="dxa"/>
          </w:tcPr>
          <w:p w14:paraId="2BCB893B">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48" w:type="dxa"/>
            <w:vAlign w:val="center"/>
          </w:tcPr>
          <w:p w14:paraId="3A5C7347">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709" w:type="dxa"/>
            <w:vAlign w:val="center"/>
          </w:tcPr>
          <w:p w14:paraId="07BF3247">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4CF88C35">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35</w:t>
            </w:r>
          </w:p>
        </w:tc>
        <w:tc>
          <w:tcPr>
            <w:tcW w:w="900" w:type="dxa"/>
            <w:vAlign w:val="center"/>
          </w:tcPr>
          <w:p w14:paraId="7627B2DB">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䓛</w:t>
            </w:r>
          </w:p>
        </w:tc>
        <w:tc>
          <w:tcPr>
            <w:tcW w:w="725" w:type="dxa"/>
            <w:vAlign w:val="center"/>
          </w:tcPr>
          <w:p w14:paraId="6C056116">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1293</w:t>
            </w:r>
          </w:p>
        </w:tc>
        <w:tc>
          <w:tcPr>
            <w:tcW w:w="799" w:type="dxa"/>
          </w:tcPr>
          <w:p w14:paraId="256A67A1">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7E164ED8">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38DBBFF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4570C8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629A9927">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17</w:t>
            </w:r>
          </w:p>
        </w:tc>
        <w:tc>
          <w:tcPr>
            <w:tcW w:w="908" w:type="dxa"/>
            <w:vAlign w:val="center"/>
          </w:tcPr>
          <w:p w14:paraId="5FF2455B">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1,2,3-三氯丙烷</w:t>
            </w:r>
          </w:p>
        </w:tc>
        <w:tc>
          <w:tcPr>
            <w:tcW w:w="762" w:type="dxa"/>
            <w:vAlign w:val="center"/>
          </w:tcPr>
          <w:p w14:paraId="6C5BAC3E">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0.5</w:t>
            </w:r>
          </w:p>
        </w:tc>
        <w:tc>
          <w:tcPr>
            <w:tcW w:w="977" w:type="dxa"/>
          </w:tcPr>
          <w:p w14:paraId="13EBADDA">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48" w:type="dxa"/>
            <w:vAlign w:val="center"/>
          </w:tcPr>
          <w:p w14:paraId="53794A41">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709" w:type="dxa"/>
            <w:vAlign w:val="center"/>
          </w:tcPr>
          <w:p w14:paraId="6F227315">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17A5D3CF">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36</w:t>
            </w:r>
          </w:p>
        </w:tc>
        <w:tc>
          <w:tcPr>
            <w:tcW w:w="900" w:type="dxa"/>
            <w:vAlign w:val="center"/>
          </w:tcPr>
          <w:p w14:paraId="4FBB6452">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二苯并[a,h]蒽</w:t>
            </w:r>
          </w:p>
        </w:tc>
        <w:tc>
          <w:tcPr>
            <w:tcW w:w="725" w:type="dxa"/>
            <w:vAlign w:val="center"/>
          </w:tcPr>
          <w:p w14:paraId="63047980">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1.5</w:t>
            </w:r>
          </w:p>
        </w:tc>
        <w:tc>
          <w:tcPr>
            <w:tcW w:w="799" w:type="dxa"/>
          </w:tcPr>
          <w:p w14:paraId="3DB609ED">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0BA7AE8E">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3AE02ED1">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3E02A9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12C379B8">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18</w:t>
            </w:r>
          </w:p>
        </w:tc>
        <w:tc>
          <w:tcPr>
            <w:tcW w:w="908" w:type="dxa"/>
            <w:vAlign w:val="center"/>
          </w:tcPr>
          <w:p w14:paraId="70214AD4">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氯乙烯</w:t>
            </w:r>
          </w:p>
        </w:tc>
        <w:tc>
          <w:tcPr>
            <w:tcW w:w="762" w:type="dxa"/>
            <w:vAlign w:val="center"/>
          </w:tcPr>
          <w:p w14:paraId="48408FB1">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0.43</w:t>
            </w:r>
          </w:p>
        </w:tc>
        <w:tc>
          <w:tcPr>
            <w:tcW w:w="977" w:type="dxa"/>
          </w:tcPr>
          <w:p w14:paraId="6FD549B2">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48" w:type="dxa"/>
            <w:vAlign w:val="center"/>
          </w:tcPr>
          <w:p w14:paraId="64792E0B">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709" w:type="dxa"/>
            <w:vAlign w:val="center"/>
          </w:tcPr>
          <w:p w14:paraId="17E849EB">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456881C1">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37</w:t>
            </w:r>
          </w:p>
        </w:tc>
        <w:tc>
          <w:tcPr>
            <w:tcW w:w="900" w:type="dxa"/>
            <w:vAlign w:val="center"/>
          </w:tcPr>
          <w:p w14:paraId="5546AA98">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茚并[1,2,3-cd]芘</w:t>
            </w:r>
          </w:p>
        </w:tc>
        <w:tc>
          <w:tcPr>
            <w:tcW w:w="725" w:type="dxa"/>
            <w:vAlign w:val="center"/>
          </w:tcPr>
          <w:p w14:paraId="130B6F20">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15</w:t>
            </w:r>
          </w:p>
        </w:tc>
        <w:tc>
          <w:tcPr>
            <w:tcW w:w="799" w:type="dxa"/>
          </w:tcPr>
          <w:p w14:paraId="38B2D34D">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3F60FF0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0725538B">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r w14:paraId="73A699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0" w:type="dxa"/>
            <w:vAlign w:val="center"/>
          </w:tcPr>
          <w:p w14:paraId="0727C1D5">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19</w:t>
            </w:r>
          </w:p>
        </w:tc>
        <w:tc>
          <w:tcPr>
            <w:tcW w:w="908" w:type="dxa"/>
            <w:vAlign w:val="center"/>
          </w:tcPr>
          <w:p w14:paraId="1B43BD95">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szCs w:val="21"/>
              </w:rPr>
              <w:t>苯</w:t>
            </w:r>
          </w:p>
        </w:tc>
        <w:tc>
          <w:tcPr>
            <w:tcW w:w="762" w:type="dxa"/>
            <w:vAlign w:val="center"/>
          </w:tcPr>
          <w:p w14:paraId="10CCAF42">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4</w:t>
            </w:r>
          </w:p>
        </w:tc>
        <w:tc>
          <w:tcPr>
            <w:tcW w:w="977" w:type="dxa"/>
          </w:tcPr>
          <w:p w14:paraId="176C3E50">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48" w:type="dxa"/>
            <w:vAlign w:val="center"/>
          </w:tcPr>
          <w:p w14:paraId="2E9F338B">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709" w:type="dxa"/>
            <w:vAlign w:val="center"/>
          </w:tcPr>
          <w:p w14:paraId="2C8922FB">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c>
          <w:tcPr>
            <w:tcW w:w="541" w:type="dxa"/>
            <w:vAlign w:val="center"/>
          </w:tcPr>
          <w:p w14:paraId="240FB59A">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38</w:t>
            </w:r>
          </w:p>
        </w:tc>
        <w:tc>
          <w:tcPr>
            <w:tcW w:w="900" w:type="dxa"/>
            <w:vAlign w:val="center"/>
          </w:tcPr>
          <w:p w14:paraId="09B69430">
            <w:pPr>
              <w:adjustRightInd w:val="0"/>
              <w:snapToGrid w:val="0"/>
              <w:spacing w:line="300" w:lineRule="exact"/>
              <w:jc w:val="center"/>
              <w:textAlignment w:val="baseline"/>
              <w:rPr>
                <w:rFonts w:hint="eastAsia" w:ascii="宋体" w:hAnsi="宋体" w:cs="宋体"/>
                <w:color w:val="auto"/>
                <w:szCs w:val="21"/>
              </w:rPr>
            </w:pPr>
            <w:r>
              <w:rPr>
                <w:rFonts w:hint="eastAsia" w:ascii="宋体" w:hAnsi="宋体" w:cs="宋体"/>
                <w:color w:val="auto"/>
                <w:szCs w:val="21"/>
              </w:rPr>
              <w:t>萘</w:t>
            </w:r>
          </w:p>
        </w:tc>
        <w:tc>
          <w:tcPr>
            <w:tcW w:w="725" w:type="dxa"/>
            <w:vAlign w:val="center"/>
          </w:tcPr>
          <w:p w14:paraId="3C5FB49A">
            <w:pPr>
              <w:adjustRightInd w:val="0"/>
              <w:snapToGri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70</w:t>
            </w:r>
          </w:p>
        </w:tc>
        <w:tc>
          <w:tcPr>
            <w:tcW w:w="799" w:type="dxa"/>
          </w:tcPr>
          <w:p w14:paraId="3EA05681">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ND</w:t>
            </w:r>
          </w:p>
        </w:tc>
        <w:tc>
          <w:tcPr>
            <w:tcW w:w="789" w:type="dxa"/>
            <w:vAlign w:val="center"/>
          </w:tcPr>
          <w:p w14:paraId="2823758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kern w:val="0"/>
                <w:szCs w:val="21"/>
              </w:rPr>
              <w:t>/</w:t>
            </w:r>
          </w:p>
        </w:tc>
        <w:tc>
          <w:tcPr>
            <w:tcW w:w="668" w:type="dxa"/>
            <w:vAlign w:val="center"/>
          </w:tcPr>
          <w:p w14:paraId="736137CD">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达标</w:t>
            </w:r>
          </w:p>
        </w:tc>
      </w:tr>
    </w:tbl>
    <w:p w14:paraId="5953F31E">
      <w:pPr>
        <w:ind w:firstLine="197" w:firstLineChars="94"/>
        <w:jc w:val="center"/>
        <w:rPr>
          <w:rFonts w:hint="eastAsia" w:ascii="黑体" w:hAnsi="黑体" w:eastAsia="黑体"/>
          <w:bCs/>
          <w:color w:val="auto"/>
          <w:szCs w:val="21"/>
        </w:rPr>
      </w:pPr>
    </w:p>
    <w:p w14:paraId="04A29F24">
      <w:pPr>
        <w:ind w:firstLine="197" w:firstLineChars="94"/>
        <w:jc w:val="center"/>
        <w:rPr>
          <w:rFonts w:hint="eastAsia" w:ascii="黑体" w:hAnsi="黑体" w:eastAsia="黑体"/>
          <w:bCs/>
          <w:color w:val="auto"/>
          <w:szCs w:val="21"/>
        </w:rPr>
      </w:pPr>
    </w:p>
    <w:p w14:paraId="6DBFE85D">
      <w:pPr>
        <w:ind w:firstLine="197" w:firstLineChars="94"/>
        <w:jc w:val="center"/>
        <w:rPr>
          <w:rFonts w:hint="eastAsia" w:ascii="黑体" w:hAnsi="黑体" w:eastAsia="黑体"/>
          <w:bCs/>
          <w:color w:val="auto"/>
          <w:szCs w:val="21"/>
        </w:rPr>
        <w:sectPr>
          <w:headerReference r:id="rId16" w:type="default"/>
          <w:pgSz w:w="11906" w:h="16838"/>
          <w:pgMar w:top="1418" w:right="1588" w:bottom="1418" w:left="1588" w:header="1020" w:footer="1020" w:gutter="0"/>
          <w:cols w:space="720" w:num="1"/>
          <w:docGrid w:type="lines" w:linePitch="312" w:charSpace="0"/>
        </w:sectPr>
      </w:pPr>
    </w:p>
    <w:p w14:paraId="76423224">
      <w:pPr>
        <w:ind w:firstLine="197" w:firstLineChars="94"/>
        <w:jc w:val="center"/>
        <w:rPr>
          <w:rFonts w:hint="eastAsia" w:ascii="黑体" w:hAnsi="黑体" w:eastAsia="黑体"/>
          <w:bCs/>
          <w:color w:val="auto"/>
          <w:szCs w:val="21"/>
        </w:rPr>
      </w:pPr>
      <w:r>
        <w:rPr>
          <w:rFonts w:hint="eastAsia" w:ascii="黑体" w:hAnsi="黑体" w:eastAsia="黑体"/>
          <w:bCs/>
          <w:color w:val="auto"/>
          <w:szCs w:val="21"/>
        </w:rPr>
        <w:t>表</w:t>
      </w:r>
      <w:r>
        <w:rPr>
          <w:rFonts w:ascii="黑体" w:hAnsi="黑体" w:eastAsia="黑体"/>
          <w:bCs/>
          <w:color w:val="auto"/>
          <w:szCs w:val="21"/>
        </w:rPr>
        <w:t>4.3</w:t>
      </w:r>
      <w:r>
        <w:rPr>
          <w:rFonts w:hint="eastAsia" w:ascii="黑体" w:hAnsi="黑体" w:eastAsia="黑体"/>
          <w:bCs/>
          <w:color w:val="auto"/>
          <w:szCs w:val="21"/>
        </w:rPr>
        <w:t>-</w:t>
      </w:r>
      <w:r>
        <w:rPr>
          <w:rFonts w:ascii="黑体" w:hAnsi="黑体" w:eastAsia="黑体"/>
          <w:bCs/>
          <w:color w:val="auto"/>
          <w:szCs w:val="21"/>
        </w:rPr>
        <w:t>1</w:t>
      </w:r>
      <w:r>
        <w:rPr>
          <w:rFonts w:hint="eastAsia" w:ascii="黑体" w:hAnsi="黑体" w:eastAsia="黑体"/>
          <w:bCs/>
          <w:color w:val="auto"/>
          <w:szCs w:val="21"/>
        </w:rPr>
        <w:t>1</w:t>
      </w:r>
      <w:r>
        <w:rPr>
          <w:rFonts w:ascii="黑体" w:hAnsi="黑体" w:eastAsia="黑体"/>
          <w:bCs/>
          <w:color w:val="auto"/>
          <w:szCs w:val="21"/>
        </w:rPr>
        <w:t xml:space="preserve">  </w:t>
      </w:r>
      <w:r>
        <w:rPr>
          <w:rFonts w:hint="eastAsia" w:ascii="黑体" w:hAnsi="黑体" w:eastAsia="黑体"/>
          <w:bCs/>
          <w:color w:val="auto"/>
          <w:szCs w:val="21"/>
        </w:rPr>
        <w:t>其他监测点</w:t>
      </w:r>
      <w:r>
        <w:rPr>
          <w:rFonts w:ascii="黑体" w:hAnsi="黑体" w:eastAsia="黑体"/>
          <w:bCs/>
          <w:color w:val="auto"/>
          <w:szCs w:val="21"/>
        </w:rPr>
        <w:t>监测结果及评价结果一览表</w:t>
      </w:r>
    </w:p>
    <w:tbl>
      <w:tblPr>
        <w:tblStyle w:val="51"/>
        <w:tblW w:w="4963" w:type="pct"/>
        <w:tblInd w:w="-2"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9"/>
        <w:gridCol w:w="1556"/>
        <w:gridCol w:w="1263"/>
        <w:gridCol w:w="850"/>
        <w:gridCol w:w="847"/>
        <w:gridCol w:w="1126"/>
        <w:gridCol w:w="1210"/>
        <w:gridCol w:w="1044"/>
        <w:gridCol w:w="1226"/>
        <w:gridCol w:w="1024"/>
        <w:gridCol w:w="951"/>
        <w:gridCol w:w="1138"/>
        <w:gridCol w:w="1079"/>
        <w:gridCol w:w="240"/>
      </w:tblGrid>
      <w:tr w14:paraId="1915E9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Merge w:val="restart"/>
            <w:vAlign w:val="center"/>
          </w:tcPr>
          <w:p w14:paraId="648A80BE">
            <w:pPr>
              <w:jc w:val="center"/>
              <w:rPr>
                <w:rFonts w:hint="eastAsia" w:ascii="宋体" w:hAnsi="宋体" w:cs="宋体"/>
                <w:color w:val="auto"/>
                <w:kern w:val="0"/>
                <w:szCs w:val="21"/>
              </w:rPr>
            </w:pPr>
            <w:r>
              <w:rPr>
                <w:rFonts w:hint="eastAsia" w:ascii="宋体" w:hAnsi="宋体" w:cs="宋体"/>
                <w:color w:val="auto"/>
                <w:szCs w:val="21"/>
              </w:rPr>
              <w:t>序号</w:t>
            </w:r>
          </w:p>
        </w:tc>
        <w:tc>
          <w:tcPr>
            <w:tcW w:w="1587" w:type="dxa"/>
            <w:vMerge w:val="restart"/>
            <w:vAlign w:val="center"/>
          </w:tcPr>
          <w:p w14:paraId="3079E7FE">
            <w:pPr>
              <w:jc w:val="center"/>
              <w:rPr>
                <w:rFonts w:hint="eastAsia" w:ascii="宋体" w:hAnsi="宋体" w:cs="宋体"/>
                <w:color w:val="auto"/>
                <w:kern w:val="0"/>
                <w:szCs w:val="21"/>
              </w:rPr>
            </w:pPr>
            <w:r>
              <w:rPr>
                <w:rFonts w:hint="eastAsia" w:ascii="宋体" w:hAnsi="宋体" w:cs="宋体"/>
                <w:color w:val="auto"/>
                <w:szCs w:val="21"/>
              </w:rPr>
              <w:t>名称</w:t>
            </w:r>
          </w:p>
        </w:tc>
        <w:tc>
          <w:tcPr>
            <w:tcW w:w="1286" w:type="dxa"/>
            <w:vMerge w:val="restart"/>
            <w:vAlign w:val="center"/>
          </w:tcPr>
          <w:p w14:paraId="4FC5D57D">
            <w:pPr>
              <w:jc w:val="center"/>
              <w:rPr>
                <w:rFonts w:hint="eastAsia" w:ascii="宋体" w:hAnsi="宋体" w:cs="宋体"/>
                <w:color w:val="auto"/>
                <w:kern w:val="0"/>
                <w:szCs w:val="21"/>
              </w:rPr>
            </w:pPr>
            <w:r>
              <w:rPr>
                <w:rFonts w:hint="eastAsia" w:ascii="宋体" w:hAnsi="宋体" w:cs="宋体"/>
                <w:color w:val="auto"/>
                <w:szCs w:val="21"/>
              </w:rPr>
              <w:t>标准限值（mg/kg）</w:t>
            </w:r>
          </w:p>
        </w:tc>
        <w:tc>
          <w:tcPr>
            <w:tcW w:w="862" w:type="dxa"/>
            <w:vMerge w:val="restart"/>
            <w:vAlign w:val="center"/>
          </w:tcPr>
          <w:p w14:paraId="739BEA8F">
            <w:pPr>
              <w:jc w:val="center"/>
              <w:rPr>
                <w:rFonts w:hint="eastAsia" w:ascii="宋体" w:hAnsi="宋体" w:cs="宋体"/>
                <w:color w:val="auto"/>
                <w:kern w:val="0"/>
                <w:szCs w:val="21"/>
              </w:rPr>
            </w:pPr>
            <w:r>
              <w:rPr>
                <w:rFonts w:hint="eastAsia" w:ascii="宋体" w:hAnsi="宋体" w:cs="宋体"/>
                <w:color w:val="auto"/>
                <w:szCs w:val="21"/>
              </w:rPr>
              <w:t>监测值单位</w:t>
            </w:r>
          </w:p>
        </w:tc>
        <w:tc>
          <w:tcPr>
            <w:tcW w:w="859" w:type="dxa"/>
            <w:vAlign w:val="center"/>
          </w:tcPr>
          <w:p w14:paraId="3F825B19">
            <w:pPr>
              <w:jc w:val="center"/>
              <w:rPr>
                <w:rFonts w:hint="eastAsia" w:ascii="宋体" w:hAnsi="宋体" w:cs="宋体"/>
                <w:color w:val="auto"/>
                <w:kern w:val="0"/>
                <w:szCs w:val="21"/>
              </w:rPr>
            </w:pPr>
            <w:r>
              <w:rPr>
                <w:rFonts w:hint="eastAsia" w:ascii="宋体" w:hAnsi="宋体" w:cs="宋体"/>
                <w:color w:val="auto"/>
                <w:szCs w:val="21"/>
              </w:rPr>
              <w:t>监测值</w:t>
            </w:r>
          </w:p>
        </w:tc>
        <w:tc>
          <w:tcPr>
            <w:tcW w:w="1146" w:type="dxa"/>
            <w:vAlign w:val="center"/>
          </w:tcPr>
          <w:p w14:paraId="06ED9E56">
            <w:pPr>
              <w:jc w:val="center"/>
              <w:rPr>
                <w:rFonts w:hint="eastAsia" w:ascii="宋体" w:hAnsi="宋体" w:cs="宋体"/>
                <w:color w:val="auto"/>
                <w:kern w:val="0"/>
                <w:szCs w:val="21"/>
              </w:rPr>
            </w:pPr>
            <w:r>
              <w:rPr>
                <w:rFonts w:hint="eastAsia" w:ascii="宋体" w:hAnsi="宋体" w:cs="宋体"/>
                <w:color w:val="auto"/>
                <w:szCs w:val="21"/>
              </w:rPr>
              <w:t>标准指数</w:t>
            </w:r>
          </w:p>
        </w:tc>
        <w:tc>
          <w:tcPr>
            <w:tcW w:w="1232" w:type="dxa"/>
            <w:vAlign w:val="center"/>
          </w:tcPr>
          <w:p w14:paraId="64DFEAF5">
            <w:pPr>
              <w:jc w:val="center"/>
              <w:rPr>
                <w:rFonts w:hint="eastAsia" w:ascii="宋体" w:hAnsi="宋体" w:cs="宋体"/>
                <w:color w:val="auto"/>
                <w:kern w:val="0"/>
                <w:szCs w:val="21"/>
              </w:rPr>
            </w:pPr>
            <w:r>
              <w:rPr>
                <w:rFonts w:hint="eastAsia" w:ascii="宋体" w:hAnsi="宋体" w:cs="宋体"/>
                <w:color w:val="auto"/>
                <w:szCs w:val="21"/>
              </w:rPr>
              <w:t>达标情况</w:t>
            </w:r>
          </w:p>
        </w:tc>
        <w:tc>
          <w:tcPr>
            <w:tcW w:w="1061" w:type="dxa"/>
            <w:vAlign w:val="center"/>
          </w:tcPr>
          <w:p w14:paraId="7D45AF2A">
            <w:pPr>
              <w:jc w:val="center"/>
              <w:rPr>
                <w:rFonts w:hint="eastAsia" w:ascii="宋体" w:hAnsi="宋体" w:cs="宋体"/>
                <w:color w:val="auto"/>
                <w:kern w:val="0"/>
                <w:szCs w:val="21"/>
              </w:rPr>
            </w:pPr>
            <w:r>
              <w:rPr>
                <w:rFonts w:hint="eastAsia" w:ascii="宋体" w:hAnsi="宋体" w:cs="宋体"/>
                <w:color w:val="auto"/>
                <w:szCs w:val="21"/>
              </w:rPr>
              <w:t>监测值</w:t>
            </w:r>
          </w:p>
        </w:tc>
        <w:tc>
          <w:tcPr>
            <w:tcW w:w="1248" w:type="dxa"/>
            <w:vAlign w:val="center"/>
          </w:tcPr>
          <w:p w14:paraId="755DC941">
            <w:pPr>
              <w:jc w:val="center"/>
              <w:rPr>
                <w:rFonts w:hint="eastAsia" w:ascii="宋体" w:hAnsi="宋体" w:cs="宋体"/>
                <w:color w:val="auto"/>
                <w:kern w:val="0"/>
                <w:szCs w:val="21"/>
              </w:rPr>
            </w:pPr>
            <w:r>
              <w:rPr>
                <w:rFonts w:hint="eastAsia" w:ascii="宋体" w:hAnsi="宋体" w:cs="宋体"/>
                <w:color w:val="auto"/>
                <w:szCs w:val="21"/>
              </w:rPr>
              <w:t>标准指数</w:t>
            </w:r>
          </w:p>
        </w:tc>
        <w:tc>
          <w:tcPr>
            <w:tcW w:w="1041" w:type="dxa"/>
            <w:vAlign w:val="center"/>
          </w:tcPr>
          <w:p w14:paraId="29FEAB24">
            <w:pPr>
              <w:jc w:val="center"/>
              <w:rPr>
                <w:rFonts w:hint="eastAsia" w:ascii="宋体" w:hAnsi="宋体" w:cs="宋体"/>
                <w:color w:val="auto"/>
                <w:kern w:val="0"/>
                <w:szCs w:val="21"/>
              </w:rPr>
            </w:pPr>
            <w:r>
              <w:rPr>
                <w:rFonts w:hint="eastAsia" w:ascii="宋体" w:hAnsi="宋体" w:cs="宋体"/>
                <w:color w:val="auto"/>
                <w:szCs w:val="21"/>
              </w:rPr>
              <w:t>达标情况</w:t>
            </w:r>
          </w:p>
        </w:tc>
        <w:tc>
          <w:tcPr>
            <w:tcW w:w="967" w:type="dxa"/>
            <w:vAlign w:val="center"/>
          </w:tcPr>
          <w:p w14:paraId="29F8468B">
            <w:pPr>
              <w:jc w:val="center"/>
              <w:rPr>
                <w:rFonts w:hint="eastAsia" w:ascii="宋体" w:hAnsi="宋体" w:cs="宋体"/>
                <w:color w:val="auto"/>
                <w:kern w:val="0"/>
                <w:szCs w:val="21"/>
              </w:rPr>
            </w:pPr>
            <w:r>
              <w:rPr>
                <w:rFonts w:hint="eastAsia" w:ascii="宋体" w:hAnsi="宋体" w:cs="宋体"/>
                <w:color w:val="auto"/>
                <w:szCs w:val="21"/>
              </w:rPr>
              <w:t>监测值</w:t>
            </w:r>
          </w:p>
        </w:tc>
        <w:tc>
          <w:tcPr>
            <w:tcW w:w="1158" w:type="dxa"/>
            <w:vAlign w:val="center"/>
          </w:tcPr>
          <w:p w14:paraId="34B6FA65">
            <w:pPr>
              <w:jc w:val="center"/>
              <w:rPr>
                <w:rFonts w:hint="eastAsia" w:ascii="宋体" w:hAnsi="宋体" w:cs="宋体"/>
                <w:color w:val="auto"/>
                <w:kern w:val="0"/>
                <w:szCs w:val="21"/>
              </w:rPr>
            </w:pPr>
            <w:r>
              <w:rPr>
                <w:rFonts w:hint="eastAsia" w:ascii="宋体" w:hAnsi="宋体" w:cs="宋体"/>
                <w:color w:val="auto"/>
                <w:szCs w:val="21"/>
              </w:rPr>
              <w:t>标准指数</w:t>
            </w:r>
          </w:p>
        </w:tc>
        <w:tc>
          <w:tcPr>
            <w:tcW w:w="1098" w:type="dxa"/>
            <w:vAlign w:val="center"/>
          </w:tcPr>
          <w:p w14:paraId="6AB0BB7F">
            <w:pPr>
              <w:jc w:val="center"/>
              <w:rPr>
                <w:rFonts w:hint="eastAsia" w:ascii="宋体" w:hAnsi="宋体" w:cs="宋体"/>
                <w:color w:val="auto"/>
                <w:kern w:val="0"/>
                <w:szCs w:val="21"/>
              </w:rPr>
            </w:pPr>
            <w:r>
              <w:rPr>
                <w:rFonts w:hint="eastAsia" w:ascii="宋体" w:hAnsi="宋体" w:cs="宋体"/>
                <w:color w:val="auto"/>
                <w:szCs w:val="21"/>
              </w:rPr>
              <w:t>达标情况</w:t>
            </w:r>
          </w:p>
        </w:tc>
      </w:tr>
      <w:tr w14:paraId="4BA392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563" w:type="dxa"/>
            <w:vMerge w:val="continue"/>
            <w:vAlign w:val="center"/>
          </w:tcPr>
          <w:p w14:paraId="78BC0D6C">
            <w:pPr>
              <w:jc w:val="center"/>
              <w:rPr>
                <w:rFonts w:hint="eastAsia" w:ascii="宋体" w:hAnsi="宋体" w:cs="宋体"/>
                <w:color w:val="auto"/>
                <w:kern w:val="0"/>
                <w:szCs w:val="21"/>
              </w:rPr>
            </w:pPr>
          </w:p>
        </w:tc>
        <w:tc>
          <w:tcPr>
            <w:tcW w:w="1587" w:type="dxa"/>
            <w:vMerge w:val="continue"/>
            <w:vAlign w:val="center"/>
          </w:tcPr>
          <w:p w14:paraId="615BF0C1">
            <w:pPr>
              <w:jc w:val="center"/>
              <w:rPr>
                <w:rFonts w:hint="eastAsia" w:ascii="宋体" w:hAnsi="宋体" w:cs="宋体"/>
                <w:color w:val="auto"/>
                <w:kern w:val="0"/>
                <w:szCs w:val="21"/>
              </w:rPr>
            </w:pPr>
          </w:p>
        </w:tc>
        <w:tc>
          <w:tcPr>
            <w:tcW w:w="1286" w:type="dxa"/>
            <w:vMerge w:val="continue"/>
            <w:vAlign w:val="center"/>
          </w:tcPr>
          <w:p w14:paraId="1F2FF428">
            <w:pPr>
              <w:jc w:val="center"/>
              <w:rPr>
                <w:rFonts w:hint="eastAsia" w:ascii="宋体" w:hAnsi="宋体" w:cs="宋体"/>
                <w:color w:val="auto"/>
                <w:kern w:val="0"/>
                <w:szCs w:val="21"/>
              </w:rPr>
            </w:pPr>
          </w:p>
        </w:tc>
        <w:tc>
          <w:tcPr>
            <w:tcW w:w="862" w:type="dxa"/>
            <w:vMerge w:val="continue"/>
            <w:vAlign w:val="center"/>
          </w:tcPr>
          <w:p w14:paraId="0DB6666B">
            <w:pPr>
              <w:jc w:val="center"/>
              <w:rPr>
                <w:rFonts w:hint="eastAsia" w:ascii="宋体" w:hAnsi="宋体" w:cs="宋体"/>
                <w:color w:val="auto"/>
                <w:kern w:val="0"/>
                <w:szCs w:val="21"/>
              </w:rPr>
            </w:pPr>
          </w:p>
        </w:tc>
        <w:tc>
          <w:tcPr>
            <w:tcW w:w="3237" w:type="dxa"/>
            <w:gridSpan w:val="3"/>
            <w:vAlign w:val="center"/>
          </w:tcPr>
          <w:p w14:paraId="2983E014">
            <w:pPr>
              <w:jc w:val="center"/>
              <w:rPr>
                <w:rFonts w:hint="eastAsia" w:ascii="宋体" w:hAnsi="宋体" w:cs="宋体"/>
                <w:color w:val="auto"/>
                <w:kern w:val="0"/>
                <w:szCs w:val="21"/>
              </w:rPr>
            </w:pPr>
            <w:r>
              <w:rPr>
                <w:rFonts w:hint="eastAsia" w:ascii="宋体" w:hAnsi="宋体" w:cs="宋体"/>
                <w:color w:val="auto"/>
                <w:szCs w:val="21"/>
              </w:rPr>
              <w:t>S1(0m～0.5m)</w:t>
            </w:r>
          </w:p>
        </w:tc>
        <w:tc>
          <w:tcPr>
            <w:tcW w:w="3350" w:type="dxa"/>
            <w:gridSpan w:val="3"/>
            <w:vAlign w:val="center"/>
          </w:tcPr>
          <w:p w14:paraId="43382480">
            <w:pPr>
              <w:jc w:val="center"/>
              <w:rPr>
                <w:rFonts w:hint="eastAsia" w:ascii="宋体" w:hAnsi="宋体" w:cs="宋体"/>
                <w:color w:val="auto"/>
                <w:kern w:val="0"/>
                <w:szCs w:val="21"/>
              </w:rPr>
            </w:pPr>
            <w:r>
              <w:rPr>
                <w:rFonts w:hint="eastAsia" w:ascii="宋体" w:hAnsi="宋体" w:cs="宋体"/>
                <w:color w:val="auto"/>
                <w:szCs w:val="21"/>
              </w:rPr>
              <w:t>S1(0.5m～1.5m)</w:t>
            </w:r>
          </w:p>
        </w:tc>
        <w:tc>
          <w:tcPr>
            <w:tcW w:w="3229" w:type="dxa"/>
            <w:gridSpan w:val="4"/>
            <w:vAlign w:val="center"/>
          </w:tcPr>
          <w:p w14:paraId="5BDD160B">
            <w:pPr>
              <w:jc w:val="center"/>
              <w:rPr>
                <w:rFonts w:hint="eastAsia" w:ascii="宋体" w:hAnsi="宋体" w:cs="宋体"/>
                <w:color w:val="auto"/>
                <w:kern w:val="0"/>
                <w:szCs w:val="21"/>
              </w:rPr>
            </w:pPr>
            <w:r>
              <w:rPr>
                <w:rFonts w:hint="eastAsia" w:ascii="宋体" w:hAnsi="宋体" w:cs="宋体"/>
                <w:color w:val="auto"/>
                <w:szCs w:val="21"/>
              </w:rPr>
              <w:t>S1(1.5m～3m)</w:t>
            </w:r>
          </w:p>
        </w:tc>
      </w:tr>
      <w:tr w14:paraId="5AF752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5D2A495E">
            <w:pPr>
              <w:jc w:val="center"/>
              <w:rPr>
                <w:rFonts w:hint="eastAsia" w:ascii="宋体" w:hAnsi="宋体" w:cs="宋体"/>
                <w:color w:val="auto"/>
                <w:kern w:val="0"/>
                <w:szCs w:val="21"/>
              </w:rPr>
            </w:pPr>
            <w:r>
              <w:rPr>
                <w:rFonts w:hint="eastAsia" w:ascii="宋体" w:hAnsi="宋体" w:cs="宋体"/>
                <w:color w:val="auto"/>
                <w:szCs w:val="21"/>
              </w:rPr>
              <w:t>1</w:t>
            </w:r>
          </w:p>
        </w:tc>
        <w:tc>
          <w:tcPr>
            <w:tcW w:w="1587" w:type="dxa"/>
            <w:vAlign w:val="center"/>
          </w:tcPr>
          <w:p w14:paraId="3A4D7045">
            <w:pPr>
              <w:jc w:val="center"/>
              <w:rPr>
                <w:rFonts w:hint="eastAsia" w:ascii="宋体" w:hAnsi="宋体" w:cs="宋体"/>
                <w:color w:val="auto"/>
                <w:kern w:val="0"/>
                <w:szCs w:val="21"/>
              </w:rPr>
            </w:pPr>
            <w:r>
              <w:rPr>
                <w:rFonts w:hint="eastAsia" w:ascii="宋体" w:hAnsi="宋体" w:cs="宋体"/>
                <w:color w:val="auto"/>
                <w:szCs w:val="21"/>
              </w:rPr>
              <w:t>pH</w:t>
            </w:r>
          </w:p>
        </w:tc>
        <w:tc>
          <w:tcPr>
            <w:tcW w:w="1286" w:type="dxa"/>
            <w:vAlign w:val="center"/>
          </w:tcPr>
          <w:p w14:paraId="47D8C7BB">
            <w:pPr>
              <w:jc w:val="center"/>
              <w:rPr>
                <w:rFonts w:hint="eastAsia" w:ascii="宋体" w:hAnsi="宋体" w:cs="宋体"/>
                <w:color w:val="auto"/>
                <w:kern w:val="0"/>
                <w:szCs w:val="21"/>
              </w:rPr>
            </w:pPr>
            <w:r>
              <w:rPr>
                <w:rFonts w:hint="eastAsia" w:ascii="宋体" w:hAnsi="宋体" w:cs="宋体"/>
                <w:color w:val="auto"/>
                <w:szCs w:val="21"/>
              </w:rPr>
              <w:t>/</w:t>
            </w:r>
          </w:p>
        </w:tc>
        <w:tc>
          <w:tcPr>
            <w:tcW w:w="862" w:type="dxa"/>
            <w:vAlign w:val="center"/>
          </w:tcPr>
          <w:p w14:paraId="62732168">
            <w:pPr>
              <w:jc w:val="center"/>
              <w:rPr>
                <w:rFonts w:hint="eastAsia" w:ascii="宋体" w:hAnsi="宋体" w:cs="宋体"/>
                <w:color w:val="auto"/>
                <w:kern w:val="0"/>
                <w:szCs w:val="21"/>
              </w:rPr>
            </w:pPr>
            <w:r>
              <w:rPr>
                <w:rFonts w:hint="eastAsia" w:ascii="宋体" w:hAnsi="宋体" w:cs="宋体"/>
                <w:color w:val="auto"/>
                <w:szCs w:val="21"/>
              </w:rPr>
              <w:t>/</w:t>
            </w:r>
          </w:p>
        </w:tc>
        <w:tc>
          <w:tcPr>
            <w:tcW w:w="859" w:type="dxa"/>
            <w:vAlign w:val="center"/>
          </w:tcPr>
          <w:p w14:paraId="75D56FC4">
            <w:pPr>
              <w:jc w:val="center"/>
              <w:rPr>
                <w:rFonts w:hint="eastAsia" w:ascii="宋体" w:hAnsi="宋体" w:cs="宋体"/>
                <w:color w:val="auto"/>
                <w:szCs w:val="21"/>
              </w:rPr>
            </w:pPr>
            <w:r>
              <w:rPr>
                <w:rFonts w:hint="eastAsia" w:ascii="宋体" w:hAnsi="宋体" w:cs="宋体"/>
                <w:color w:val="auto"/>
                <w:szCs w:val="21"/>
              </w:rPr>
              <w:t>7.92</w:t>
            </w:r>
          </w:p>
        </w:tc>
        <w:tc>
          <w:tcPr>
            <w:tcW w:w="1146" w:type="dxa"/>
            <w:vAlign w:val="center"/>
          </w:tcPr>
          <w:p w14:paraId="182D9C01">
            <w:pPr>
              <w:jc w:val="center"/>
              <w:rPr>
                <w:rFonts w:hint="eastAsia" w:ascii="宋体" w:hAnsi="宋体" w:cs="宋体"/>
                <w:color w:val="auto"/>
                <w:szCs w:val="21"/>
              </w:rPr>
            </w:pPr>
            <w:r>
              <w:rPr>
                <w:rFonts w:hint="eastAsia" w:ascii="宋体" w:hAnsi="宋体" w:cs="宋体"/>
                <w:color w:val="auto"/>
                <w:szCs w:val="21"/>
              </w:rPr>
              <w:t>/</w:t>
            </w:r>
          </w:p>
        </w:tc>
        <w:tc>
          <w:tcPr>
            <w:tcW w:w="1232" w:type="dxa"/>
            <w:vAlign w:val="center"/>
          </w:tcPr>
          <w:p w14:paraId="28C69820">
            <w:pPr>
              <w:jc w:val="center"/>
              <w:rPr>
                <w:rFonts w:hint="eastAsia" w:ascii="宋体" w:hAnsi="宋体" w:cs="宋体"/>
                <w:color w:val="auto"/>
                <w:szCs w:val="21"/>
              </w:rPr>
            </w:pPr>
            <w:r>
              <w:rPr>
                <w:rFonts w:hint="eastAsia" w:ascii="宋体" w:hAnsi="宋体" w:cs="宋体"/>
                <w:color w:val="auto"/>
                <w:szCs w:val="21"/>
              </w:rPr>
              <w:t>/</w:t>
            </w:r>
          </w:p>
        </w:tc>
        <w:tc>
          <w:tcPr>
            <w:tcW w:w="1061" w:type="dxa"/>
            <w:vAlign w:val="center"/>
          </w:tcPr>
          <w:p w14:paraId="65C6BB38">
            <w:pPr>
              <w:jc w:val="center"/>
              <w:rPr>
                <w:rFonts w:hint="eastAsia" w:ascii="宋体" w:hAnsi="宋体" w:cs="宋体"/>
                <w:color w:val="auto"/>
                <w:szCs w:val="21"/>
              </w:rPr>
            </w:pPr>
            <w:r>
              <w:rPr>
                <w:rFonts w:hint="eastAsia" w:ascii="宋体" w:hAnsi="宋体" w:cs="宋体"/>
                <w:color w:val="auto"/>
                <w:szCs w:val="21"/>
              </w:rPr>
              <w:t>7.88</w:t>
            </w:r>
          </w:p>
        </w:tc>
        <w:tc>
          <w:tcPr>
            <w:tcW w:w="1248" w:type="dxa"/>
            <w:vAlign w:val="center"/>
          </w:tcPr>
          <w:p w14:paraId="14094B02">
            <w:pPr>
              <w:jc w:val="center"/>
              <w:rPr>
                <w:rFonts w:hint="eastAsia" w:ascii="宋体" w:hAnsi="宋体" w:cs="宋体"/>
                <w:color w:val="auto"/>
                <w:szCs w:val="21"/>
              </w:rPr>
            </w:pPr>
            <w:r>
              <w:rPr>
                <w:rFonts w:hint="eastAsia" w:ascii="宋体" w:hAnsi="宋体" w:cs="宋体"/>
                <w:color w:val="auto"/>
                <w:szCs w:val="21"/>
              </w:rPr>
              <w:t>/</w:t>
            </w:r>
          </w:p>
        </w:tc>
        <w:tc>
          <w:tcPr>
            <w:tcW w:w="1041" w:type="dxa"/>
            <w:vAlign w:val="center"/>
          </w:tcPr>
          <w:p w14:paraId="438F4246">
            <w:pPr>
              <w:jc w:val="center"/>
              <w:rPr>
                <w:rFonts w:hint="eastAsia" w:ascii="宋体" w:hAnsi="宋体" w:cs="宋体"/>
                <w:color w:val="auto"/>
                <w:szCs w:val="21"/>
              </w:rPr>
            </w:pPr>
            <w:r>
              <w:rPr>
                <w:rFonts w:hint="eastAsia" w:ascii="宋体" w:hAnsi="宋体" w:cs="宋体"/>
                <w:color w:val="auto"/>
                <w:szCs w:val="21"/>
              </w:rPr>
              <w:t>/</w:t>
            </w:r>
          </w:p>
        </w:tc>
        <w:tc>
          <w:tcPr>
            <w:tcW w:w="967" w:type="dxa"/>
            <w:vAlign w:val="center"/>
          </w:tcPr>
          <w:p w14:paraId="69EE5A42">
            <w:pPr>
              <w:jc w:val="center"/>
              <w:rPr>
                <w:rFonts w:hint="eastAsia" w:ascii="宋体" w:hAnsi="宋体" w:cs="宋体"/>
                <w:color w:val="auto"/>
                <w:szCs w:val="21"/>
              </w:rPr>
            </w:pPr>
            <w:r>
              <w:rPr>
                <w:rFonts w:hint="eastAsia" w:ascii="宋体" w:hAnsi="宋体" w:cs="宋体"/>
                <w:color w:val="auto"/>
                <w:szCs w:val="21"/>
              </w:rPr>
              <w:t>7.95</w:t>
            </w:r>
          </w:p>
        </w:tc>
        <w:tc>
          <w:tcPr>
            <w:tcW w:w="1158" w:type="dxa"/>
            <w:vAlign w:val="center"/>
          </w:tcPr>
          <w:p w14:paraId="78098637">
            <w:pPr>
              <w:jc w:val="center"/>
              <w:rPr>
                <w:rFonts w:hint="eastAsia" w:ascii="宋体" w:hAnsi="宋体" w:cs="宋体"/>
                <w:color w:val="auto"/>
                <w:szCs w:val="21"/>
              </w:rPr>
            </w:pPr>
            <w:r>
              <w:rPr>
                <w:rFonts w:hint="eastAsia" w:ascii="宋体" w:hAnsi="宋体" w:cs="宋体"/>
                <w:color w:val="auto"/>
                <w:szCs w:val="21"/>
              </w:rPr>
              <w:t>/</w:t>
            </w:r>
          </w:p>
        </w:tc>
        <w:tc>
          <w:tcPr>
            <w:tcW w:w="1098" w:type="dxa"/>
            <w:vAlign w:val="center"/>
          </w:tcPr>
          <w:p w14:paraId="206EEFEE">
            <w:pPr>
              <w:jc w:val="center"/>
              <w:rPr>
                <w:rFonts w:hint="eastAsia" w:ascii="宋体" w:hAnsi="宋体" w:cs="宋体"/>
                <w:color w:val="auto"/>
                <w:szCs w:val="21"/>
              </w:rPr>
            </w:pPr>
            <w:r>
              <w:rPr>
                <w:rFonts w:hint="eastAsia" w:ascii="宋体" w:hAnsi="宋体" w:cs="宋体"/>
                <w:color w:val="auto"/>
                <w:szCs w:val="21"/>
              </w:rPr>
              <w:t>/</w:t>
            </w:r>
          </w:p>
        </w:tc>
      </w:tr>
      <w:tr w14:paraId="4AC60B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5D1F3F2E">
            <w:pPr>
              <w:jc w:val="center"/>
              <w:rPr>
                <w:rFonts w:hint="eastAsia" w:ascii="宋体" w:hAnsi="宋体" w:cs="宋体"/>
                <w:color w:val="auto"/>
                <w:kern w:val="0"/>
                <w:szCs w:val="21"/>
              </w:rPr>
            </w:pPr>
            <w:r>
              <w:rPr>
                <w:rFonts w:hint="eastAsia" w:ascii="宋体" w:hAnsi="宋体" w:cs="宋体"/>
                <w:color w:val="auto"/>
                <w:szCs w:val="21"/>
              </w:rPr>
              <w:t>2</w:t>
            </w:r>
          </w:p>
        </w:tc>
        <w:tc>
          <w:tcPr>
            <w:tcW w:w="1587" w:type="dxa"/>
            <w:vAlign w:val="center"/>
          </w:tcPr>
          <w:p w14:paraId="12C7A48D">
            <w:pPr>
              <w:jc w:val="center"/>
              <w:rPr>
                <w:rFonts w:hint="eastAsia" w:ascii="宋体" w:hAnsi="宋体" w:cs="宋体"/>
                <w:color w:val="auto"/>
                <w:kern w:val="0"/>
                <w:szCs w:val="21"/>
              </w:rPr>
            </w:pPr>
            <w:r>
              <w:rPr>
                <w:rFonts w:hint="eastAsia" w:ascii="宋体" w:hAnsi="宋体" w:cs="宋体"/>
                <w:color w:val="auto"/>
                <w:szCs w:val="21"/>
              </w:rPr>
              <w:t>土壤盐分含量</w:t>
            </w:r>
          </w:p>
        </w:tc>
        <w:tc>
          <w:tcPr>
            <w:tcW w:w="1286" w:type="dxa"/>
            <w:vAlign w:val="center"/>
          </w:tcPr>
          <w:p w14:paraId="10006ABA">
            <w:pPr>
              <w:jc w:val="center"/>
              <w:rPr>
                <w:rFonts w:hint="eastAsia" w:ascii="宋体" w:hAnsi="宋体" w:cs="宋体"/>
                <w:color w:val="auto"/>
                <w:kern w:val="0"/>
                <w:szCs w:val="21"/>
              </w:rPr>
            </w:pPr>
            <w:r>
              <w:rPr>
                <w:rFonts w:hint="eastAsia" w:ascii="宋体" w:hAnsi="宋体" w:cs="宋体"/>
                <w:color w:val="auto"/>
                <w:szCs w:val="21"/>
              </w:rPr>
              <w:t>/</w:t>
            </w:r>
          </w:p>
        </w:tc>
        <w:tc>
          <w:tcPr>
            <w:tcW w:w="862" w:type="dxa"/>
            <w:vAlign w:val="center"/>
          </w:tcPr>
          <w:p w14:paraId="7B0B0934">
            <w:pPr>
              <w:jc w:val="center"/>
              <w:rPr>
                <w:rFonts w:hint="eastAsia" w:ascii="宋体" w:hAnsi="宋体" w:cs="宋体"/>
                <w:color w:val="auto"/>
                <w:kern w:val="0"/>
                <w:szCs w:val="21"/>
              </w:rPr>
            </w:pPr>
            <w:r>
              <w:rPr>
                <w:rFonts w:hint="eastAsia" w:ascii="宋体" w:hAnsi="宋体" w:cs="宋体"/>
                <w:color w:val="auto"/>
                <w:szCs w:val="21"/>
              </w:rPr>
              <w:t>g/kg</w:t>
            </w:r>
          </w:p>
        </w:tc>
        <w:tc>
          <w:tcPr>
            <w:tcW w:w="859" w:type="dxa"/>
            <w:vAlign w:val="center"/>
          </w:tcPr>
          <w:p w14:paraId="716D1376">
            <w:pPr>
              <w:jc w:val="center"/>
              <w:rPr>
                <w:rFonts w:hint="eastAsia" w:ascii="宋体" w:hAnsi="宋体" w:cs="宋体"/>
                <w:color w:val="auto"/>
                <w:szCs w:val="21"/>
              </w:rPr>
            </w:pPr>
            <w:r>
              <w:rPr>
                <w:rFonts w:hint="eastAsia" w:ascii="宋体" w:hAnsi="宋体" w:cs="宋体"/>
                <w:color w:val="auto"/>
                <w:szCs w:val="21"/>
              </w:rPr>
              <w:t>1.4</w:t>
            </w:r>
          </w:p>
        </w:tc>
        <w:tc>
          <w:tcPr>
            <w:tcW w:w="1146" w:type="dxa"/>
            <w:vAlign w:val="center"/>
          </w:tcPr>
          <w:p w14:paraId="00909493">
            <w:pPr>
              <w:jc w:val="center"/>
              <w:rPr>
                <w:rFonts w:hint="eastAsia" w:ascii="宋体" w:hAnsi="宋体" w:cs="宋体"/>
                <w:color w:val="auto"/>
                <w:szCs w:val="21"/>
              </w:rPr>
            </w:pPr>
            <w:r>
              <w:rPr>
                <w:rFonts w:hint="eastAsia" w:ascii="宋体" w:hAnsi="宋体" w:cs="宋体"/>
                <w:color w:val="auto"/>
                <w:szCs w:val="21"/>
              </w:rPr>
              <w:t>/</w:t>
            </w:r>
          </w:p>
        </w:tc>
        <w:tc>
          <w:tcPr>
            <w:tcW w:w="1232" w:type="dxa"/>
            <w:vAlign w:val="center"/>
          </w:tcPr>
          <w:p w14:paraId="45A084DF">
            <w:pPr>
              <w:jc w:val="center"/>
              <w:rPr>
                <w:rFonts w:hint="eastAsia" w:ascii="宋体" w:hAnsi="宋体" w:cs="宋体"/>
                <w:color w:val="auto"/>
                <w:szCs w:val="21"/>
              </w:rPr>
            </w:pPr>
            <w:r>
              <w:rPr>
                <w:rFonts w:hint="eastAsia" w:ascii="宋体" w:hAnsi="宋体" w:cs="宋体"/>
                <w:color w:val="auto"/>
                <w:szCs w:val="21"/>
              </w:rPr>
              <w:t>/</w:t>
            </w:r>
          </w:p>
        </w:tc>
        <w:tc>
          <w:tcPr>
            <w:tcW w:w="1061" w:type="dxa"/>
            <w:vAlign w:val="center"/>
          </w:tcPr>
          <w:p w14:paraId="3A164511">
            <w:pPr>
              <w:jc w:val="center"/>
              <w:rPr>
                <w:rFonts w:hint="eastAsia" w:ascii="宋体" w:hAnsi="宋体" w:cs="宋体"/>
                <w:color w:val="auto"/>
                <w:szCs w:val="21"/>
              </w:rPr>
            </w:pPr>
            <w:r>
              <w:rPr>
                <w:rFonts w:hint="eastAsia" w:ascii="宋体" w:hAnsi="宋体" w:cs="宋体"/>
                <w:color w:val="auto"/>
                <w:szCs w:val="21"/>
              </w:rPr>
              <w:t>1.4</w:t>
            </w:r>
          </w:p>
        </w:tc>
        <w:tc>
          <w:tcPr>
            <w:tcW w:w="1248" w:type="dxa"/>
            <w:vAlign w:val="center"/>
          </w:tcPr>
          <w:p w14:paraId="03646B41">
            <w:pPr>
              <w:jc w:val="center"/>
              <w:rPr>
                <w:rFonts w:hint="eastAsia" w:ascii="宋体" w:hAnsi="宋体" w:cs="宋体"/>
                <w:color w:val="auto"/>
                <w:szCs w:val="21"/>
              </w:rPr>
            </w:pPr>
            <w:r>
              <w:rPr>
                <w:rFonts w:hint="eastAsia" w:ascii="宋体" w:hAnsi="宋体" w:cs="宋体"/>
                <w:color w:val="auto"/>
                <w:szCs w:val="21"/>
              </w:rPr>
              <w:t>/</w:t>
            </w:r>
          </w:p>
        </w:tc>
        <w:tc>
          <w:tcPr>
            <w:tcW w:w="1041" w:type="dxa"/>
            <w:vAlign w:val="center"/>
          </w:tcPr>
          <w:p w14:paraId="3E735A6E">
            <w:pPr>
              <w:jc w:val="center"/>
              <w:rPr>
                <w:rFonts w:hint="eastAsia" w:ascii="宋体" w:hAnsi="宋体" w:cs="宋体"/>
                <w:color w:val="auto"/>
                <w:szCs w:val="21"/>
              </w:rPr>
            </w:pPr>
            <w:r>
              <w:rPr>
                <w:rFonts w:hint="eastAsia" w:ascii="宋体" w:hAnsi="宋体" w:cs="宋体"/>
                <w:color w:val="auto"/>
                <w:szCs w:val="21"/>
              </w:rPr>
              <w:t>/</w:t>
            </w:r>
          </w:p>
        </w:tc>
        <w:tc>
          <w:tcPr>
            <w:tcW w:w="967" w:type="dxa"/>
            <w:vAlign w:val="center"/>
          </w:tcPr>
          <w:p w14:paraId="6A61022E">
            <w:pPr>
              <w:jc w:val="center"/>
              <w:rPr>
                <w:rFonts w:hint="eastAsia" w:ascii="宋体" w:hAnsi="宋体" w:cs="宋体"/>
                <w:color w:val="auto"/>
                <w:szCs w:val="21"/>
              </w:rPr>
            </w:pPr>
            <w:r>
              <w:rPr>
                <w:rFonts w:hint="eastAsia" w:ascii="宋体" w:hAnsi="宋体" w:cs="宋体"/>
                <w:color w:val="auto"/>
                <w:szCs w:val="21"/>
              </w:rPr>
              <w:t>1.4</w:t>
            </w:r>
          </w:p>
        </w:tc>
        <w:tc>
          <w:tcPr>
            <w:tcW w:w="1158" w:type="dxa"/>
            <w:vAlign w:val="center"/>
          </w:tcPr>
          <w:p w14:paraId="269D7ED9">
            <w:pPr>
              <w:jc w:val="center"/>
              <w:rPr>
                <w:rFonts w:hint="eastAsia" w:ascii="宋体" w:hAnsi="宋体" w:cs="宋体"/>
                <w:color w:val="auto"/>
                <w:szCs w:val="21"/>
              </w:rPr>
            </w:pPr>
            <w:r>
              <w:rPr>
                <w:rFonts w:hint="eastAsia" w:ascii="宋体" w:hAnsi="宋体" w:cs="宋体"/>
                <w:color w:val="auto"/>
                <w:szCs w:val="21"/>
              </w:rPr>
              <w:t>/</w:t>
            </w:r>
          </w:p>
        </w:tc>
        <w:tc>
          <w:tcPr>
            <w:tcW w:w="1098" w:type="dxa"/>
            <w:vAlign w:val="center"/>
          </w:tcPr>
          <w:p w14:paraId="03180009">
            <w:pPr>
              <w:jc w:val="center"/>
              <w:rPr>
                <w:rFonts w:hint="eastAsia" w:ascii="宋体" w:hAnsi="宋体" w:cs="宋体"/>
                <w:color w:val="auto"/>
                <w:szCs w:val="21"/>
              </w:rPr>
            </w:pPr>
            <w:r>
              <w:rPr>
                <w:rFonts w:hint="eastAsia" w:ascii="宋体" w:hAnsi="宋体" w:cs="宋体"/>
                <w:color w:val="auto"/>
                <w:szCs w:val="21"/>
              </w:rPr>
              <w:t>/</w:t>
            </w:r>
          </w:p>
        </w:tc>
      </w:tr>
      <w:tr w14:paraId="09841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2AB00F64">
            <w:pPr>
              <w:jc w:val="center"/>
              <w:rPr>
                <w:rFonts w:hint="eastAsia" w:ascii="宋体" w:hAnsi="宋体" w:cs="宋体"/>
                <w:color w:val="auto"/>
                <w:kern w:val="0"/>
                <w:szCs w:val="21"/>
              </w:rPr>
            </w:pPr>
            <w:r>
              <w:rPr>
                <w:rFonts w:hint="eastAsia" w:ascii="宋体" w:hAnsi="宋体" w:cs="宋体"/>
                <w:color w:val="auto"/>
                <w:szCs w:val="21"/>
              </w:rPr>
              <w:t>3</w:t>
            </w:r>
          </w:p>
        </w:tc>
        <w:tc>
          <w:tcPr>
            <w:tcW w:w="1587" w:type="dxa"/>
            <w:vAlign w:val="center"/>
          </w:tcPr>
          <w:p w14:paraId="3F4B36CF">
            <w:pPr>
              <w:jc w:val="center"/>
              <w:rPr>
                <w:rFonts w:hint="eastAsia" w:ascii="宋体" w:hAnsi="宋体" w:cs="宋体"/>
                <w:color w:val="auto"/>
                <w:kern w:val="0"/>
                <w:szCs w:val="21"/>
              </w:rPr>
            </w:pPr>
            <w:r>
              <w:rPr>
                <w:rFonts w:hint="eastAsia" w:ascii="宋体" w:hAnsi="宋体" w:cs="宋体"/>
                <w:color w:val="auto"/>
                <w:szCs w:val="21"/>
              </w:rPr>
              <w:t>汞</w:t>
            </w:r>
          </w:p>
        </w:tc>
        <w:tc>
          <w:tcPr>
            <w:tcW w:w="1286" w:type="dxa"/>
            <w:vAlign w:val="center"/>
          </w:tcPr>
          <w:p w14:paraId="438287FA">
            <w:pPr>
              <w:jc w:val="center"/>
              <w:rPr>
                <w:rFonts w:hint="eastAsia" w:ascii="宋体" w:hAnsi="宋体" w:cs="宋体"/>
                <w:color w:val="auto"/>
                <w:kern w:val="0"/>
                <w:szCs w:val="21"/>
              </w:rPr>
            </w:pPr>
            <w:r>
              <w:rPr>
                <w:rFonts w:hint="eastAsia" w:ascii="宋体" w:hAnsi="宋体" w:cs="宋体"/>
                <w:color w:val="auto"/>
                <w:szCs w:val="21"/>
              </w:rPr>
              <w:t>38</w:t>
            </w:r>
          </w:p>
        </w:tc>
        <w:tc>
          <w:tcPr>
            <w:tcW w:w="862" w:type="dxa"/>
            <w:vAlign w:val="center"/>
          </w:tcPr>
          <w:p w14:paraId="01A7676D">
            <w:pPr>
              <w:jc w:val="center"/>
              <w:rPr>
                <w:rFonts w:hint="eastAsia" w:ascii="宋体" w:hAnsi="宋体" w:cs="宋体"/>
                <w:color w:val="auto"/>
                <w:kern w:val="0"/>
                <w:szCs w:val="21"/>
              </w:rPr>
            </w:pPr>
            <w:r>
              <w:rPr>
                <w:rFonts w:hint="eastAsia" w:ascii="宋体" w:hAnsi="宋体" w:cs="宋体"/>
                <w:color w:val="auto"/>
                <w:szCs w:val="21"/>
              </w:rPr>
              <w:t>mg/kg</w:t>
            </w:r>
          </w:p>
        </w:tc>
        <w:tc>
          <w:tcPr>
            <w:tcW w:w="859" w:type="dxa"/>
            <w:vAlign w:val="center"/>
          </w:tcPr>
          <w:p w14:paraId="0E377FC4">
            <w:pPr>
              <w:jc w:val="center"/>
              <w:rPr>
                <w:rFonts w:hint="eastAsia" w:ascii="宋体" w:hAnsi="宋体" w:cs="宋体"/>
                <w:color w:val="auto"/>
                <w:szCs w:val="21"/>
              </w:rPr>
            </w:pPr>
            <w:r>
              <w:rPr>
                <w:rFonts w:hint="eastAsia" w:ascii="宋体" w:hAnsi="宋体" w:cs="宋体"/>
                <w:color w:val="auto"/>
                <w:szCs w:val="21"/>
              </w:rPr>
              <w:t>0.137</w:t>
            </w:r>
          </w:p>
        </w:tc>
        <w:tc>
          <w:tcPr>
            <w:tcW w:w="1146" w:type="dxa"/>
            <w:vAlign w:val="center"/>
          </w:tcPr>
          <w:p w14:paraId="022D3A68">
            <w:pPr>
              <w:jc w:val="center"/>
              <w:rPr>
                <w:rFonts w:hint="eastAsia" w:ascii="宋体" w:hAnsi="宋体" w:cs="宋体"/>
                <w:color w:val="auto"/>
                <w:szCs w:val="21"/>
              </w:rPr>
            </w:pPr>
            <w:r>
              <w:rPr>
                <w:rFonts w:hint="eastAsia" w:ascii="宋体" w:hAnsi="宋体" w:cs="宋体"/>
                <w:color w:val="auto"/>
                <w:szCs w:val="21"/>
              </w:rPr>
              <w:t xml:space="preserve">0.0036 </w:t>
            </w:r>
          </w:p>
        </w:tc>
        <w:tc>
          <w:tcPr>
            <w:tcW w:w="1232" w:type="dxa"/>
            <w:vAlign w:val="center"/>
          </w:tcPr>
          <w:p w14:paraId="1C26493D">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03D473C2">
            <w:pPr>
              <w:jc w:val="center"/>
              <w:rPr>
                <w:rFonts w:hint="eastAsia" w:ascii="宋体" w:hAnsi="宋体" w:cs="宋体"/>
                <w:color w:val="auto"/>
                <w:szCs w:val="21"/>
              </w:rPr>
            </w:pPr>
            <w:r>
              <w:rPr>
                <w:rFonts w:hint="eastAsia" w:ascii="宋体" w:hAnsi="宋体" w:cs="宋体"/>
                <w:color w:val="auto"/>
                <w:szCs w:val="21"/>
              </w:rPr>
              <w:t>0.115</w:t>
            </w:r>
          </w:p>
        </w:tc>
        <w:tc>
          <w:tcPr>
            <w:tcW w:w="1248" w:type="dxa"/>
            <w:vAlign w:val="center"/>
          </w:tcPr>
          <w:p w14:paraId="086989FF">
            <w:pPr>
              <w:jc w:val="center"/>
              <w:rPr>
                <w:rFonts w:hint="eastAsia" w:ascii="宋体" w:hAnsi="宋体" w:cs="宋体"/>
                <w:color w:val="auto"/>
                <w:szCs w:val="21"/>
              </w:rPr>
            </w:pPr>
            <w:r>
              <w:rPr>
                <w:rFonts w:hint="eastAsia" w:ascii="宋体" w:hAnsi="宋体" w:cs="宋体"/>
                <w:color w:val="auto"/>
                <w:szCs w:val="21"/>
              </w:rPr>
              <w:t xml:space="preserve">0.0030 </w:t>
            </w:r>
          </w:p>
        </w:tc>
        <w:tc>
          <w:tcPr>
            <w:tcW w:w="1041" w:type="dxa"/>
            <w:vAlign w:val="center"/>
          </w:tcPr>
          <w:p w14:paraId="53DFB36C">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47F305C5">
            <w:pPr>
              <w:jc w:val="center"/>
              <w:rPr>
                <w:rFonts w:hint="eastAsia" w:ascii="宋体" w:hAnsi="宋体" w:cs="宋体"/>
                <w:color w:val="auto"/>
                <w:szCs w:val="21"/>
              </w:rPr>
            </w:pPr>
            <w:r>
              <w:rPr>
                <w:rFonts w:hint="eastAsia" w:ascii="宋体" w:hAnsi="宋体" w:cs="宋体"/>
                <w:color w:val="auto"/>
                <w:szCs w:val="21"/>
              </w:rPr>
              <w:t>0.118</w:t>
            </w:r>
          </w:p>
        </w:tc>
        <w:tc>
          <w:tcPr>
            <w:tcW w:w="1158" w:type="dxa"/>
            <w:vAlign w:val="center"/>
          </w:tcPr>
          <w:p w14:paraId="51313C51">
            <w:pPr>
              <w:jc w:val="center"/>
              <w:rPr>
                <w:rFonts w:hint="eastAsia" w:ascii="宋体" w:hAnsi="宋体" w:cs="宋体"/>
                <w:color w:val="auto"/>
                <w:szCs w:val="21"/>
              </w:rPr>
            </w:pPr>
            <w:r>
              <w:rPr>
                <w:rFonts w:hint="eastAsia" w:ascii="宋体" w:hAnsi="宋体" w:cs="宋体"/>
                <w:color w:val="auto"/>
                <w:szCs w:val="21"/>
              </w:rPr>
              <w:t xml:space="preserve">0.0031 </w:t>
            </w:r>
          </w:p>
        </w:tc>
        <w:tc>
          <w:tcPr>
            <w:tcW w:w="1098" w:type="dxa"/>
            <w:vAlign w:val="center"/>
          </w:tcPr>
          <w:p w14:paraId="68E3E2E3">
            <w:pPr>
              <w:jc w:val="center"/>
              <w:rPr>
                <w:rFonts w:hint="eastAsia" w:ascii="宋体" w:hAnsi="宋体" w:cs="宋体"/>
                <w:color w:val="auto"/>
                <w:szCs w:val="21"/>
              </w:rPr>
            </w:pPr>
            <w:r>
              <w:rPr>
                <w:rFonts w:hint="eastAsia" w:ascii="宋体" w:hAnsi="宋体" w:cs="宋体"/>
                <w:color w:val="auto"/>
                <w:szCs w:val="21"/>
              </w:rPr>
              <w:t>达标</w:t>
            </w:r>
          </w:p>
        </w:tc>
      </w:tr>
      <w:tr w14:paraId="5B42E8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2C123DDF">
            <w:pPr>
              <w:jc w:val="center"/>
              <w:rPr>
                <w:rFonts w:hint="eastAsia" w:ascii="宋体" w:hAnsi="宋体" w:cs="宋体"/>
                <w:color w:val="auto"/>
                <w:kern w:val="0"/>
                <w:szCs w:val="21"/>
              </w:rPr>
            </w:pPr>
            <w:r>
              <w:rPr>
                <w:rFonts w:hint="eastAsia" w:ascii="宋体" w:hAnsi="宋体" w:cs="宋体"/>
                <w:color w:val="auto"/>
                <w:szCs w:val="21"/>
              </w:rPr>
              <w:t>4</w:t>
            </w:r>
          </w:p>
        </w:tc>
        <w:tc>
          <w:tcPr>
            <w:tcW w:w="1587" w:type="dxa"/>
            <w:vAlign w:val="center"/>
          </w:tcPr>
          <w:p w14:paraId="52DC6F46">
            <w:pPr>
              <w:jc w:val="center"/>
              <w:rPr>
                <w:rFonts w:hint="eastAsia" w:ascii="宋体" w:hAnsi="宋体" w:cs="宋体"/>
                <w:color w:val="auto"/>
                <w:kern w:val="0"/>
                <w:szCs w:val="21"/>
              </w:rPr>
            </w:pPr>
            <w:r>
              <w:rPr>
                <w:rFonts w:hint="eastAsia" w:ascii="宋体" w:hAnsi="宋体" w:cs="宋体"/>
                <w:color w:val="auto"/>
                <w:szCs w:val="21"/>
              </w:rPr>
              <w:t>砷</w:t>
            </w:r>
          </w:p>
        </w:tc>
        <w:tc>
          <w:tcPr>
            <w:tcW w:w="1286" w:type="dxa"/>
            <w:vAlign w:val="center"/>
          </w:tcPr>
          <w:p w14:paraId="6DA5B368">
            <w:pPr>
              <w:jc w:val="center"/>
              <w:rPr>
                <w:rFonts w:hint="eastAsia" w:ascii="宋体" w:hAnsi="宋体" w:cs="宋体"/>
                <w:color w:val="auto"/>
                <w:kern w:val="0"/>
                <w:szCs w:val="21"/>
              </w:rPr>
            </w:pPr>
            <w:r>
              <w:rPr>
                <w:rFonts w:hint="eastAsia" w:ascii="宋体" w:hAnsi="宋体" w:cs="宋体"/>
                <w:color w:val="auto"/>
                <w:szCs w:val="21"/>
              </w:rPr>
              <w:t>60</w:t>
            </w:r>
          </w:p>
        </w:tc>
        <w:tc>
          <w:tcPr>
            <w:tcW w:w="862" w:type="dxa"/>
            <w:vAlign w:val="center"/>
          </w:tcPr>
          <w:p w14:paraId="08E09AF7">
            <w:pPr>
              <w:jc w:val="center"/>
              <w:rPr>
                <w:rFonts w:hint="eastAsia" w:ascii="宋体" w:hAnsi="宋体" w:cs="宋体"/>
                <w:color w:val="auto"/>
                <w:kern w:val="0"/>
                <w:szCs w:val="21"/>
              </w:rPr>
            </w:pPr>
            <w:r>
              <w:rPr>
                <w:rFonts w:hint="eastAsia" w:ascii="宋体" w:hAnsi="宋体" w:cs="宋体"/>
                <w:color w:val="auto"/>
                <w:szCs w:val="21"/>
              </w:rPr>
              <w:t>mg/kg</w:t>
            </w:r>
          </w:p>
        </w:tc>
        <w:tc>
          <w:tcPr>
            <w:tcW w:w="859" w:type="dxa"/>
            <w:vAlign w:val="center"/>
          </w:tcPr>
          <w:p w14:paraId="2BA5A4B6">
            <w:pPr>
              <w:jc w:val="center"/>
              <w:rPr>
                <w:rFonts w:hint="eastAsia" w:ascii="宋体" w:hAnsi="宋体" w:cs="宋体"/>
                <w:color w:val="auto"/>
                <w:szCs w:val="21"/>
              </w:rPr>
            </w:pPr>
            <w:r>
              <w:rPr>
                <w:rFonts w:hint="eastAsia" w:ascii="宋体" w:hAnsi="宋体" w:cs="宋体"/>
                <w:color w:val="auto"/>
                <w:szCs w:val="21"/>
              </w:rPr>
              <w:t>7.9</w:t>
            </w:r>
          </w:p>
        </w:tc>
        <w:tc>
          <w:tcPr>
            <w:tcW w:w="1146" w:type="dxa"/>
            <w:vAlign w:val="center"/>
          </w:tcPr>
          <w:p w14:paraId="0CACAFB0">
            <w:pPr>
              <w:jc w:val="center"/>
              <w:rPr>
                <w:rFonts w:hint="eastAsia" w:ascii="宋体" w:hAnsi="宋体" w:cs="宋体"/>
                <w:color w:val="auto"/>
                <w:szCs w:val="21"/>
              </w:rPr>
            </w:pPr>
            <w:r>
              <w:rPr>
                <w:rFonts w:hint="eastAsia" w:ascii="宋体" w:hAnsi="宋体" w:cs="宋体"/>
                <w:color w:val="auto"/>
                <w:szCs w:val="21"/>
              </w:rPr>
              <w:t xml:space="preserve">0.1317 </w:t>
            </w:r>
          </w:p>
        </w:tc>
        <w:tc>
          <w:tcPr>
            <w:tcW w:w="1232" w:type="dxa"/>
            <w:vAlign w:val="center"/>
          </w:tcPr>
          <w:p w14:paraId="57DCB70C">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49672578">
            <w:pPr>
              <w:jc w:val="center"/>
              <w:rPr>
                <w:rFonts w:hint="eastAsia" w:ascii="宋体" w:hAnsi="宋体" w:cs="宋体"/>
                <w:color w:val="auto"/>
                <w:szCs w:val="21"/>
              </w:rPr>
            </w:pPr>
            <w:r>
              <w:rPr>
                <w:rFonts w:hint="eastAsia" w:ascii="宋体" w:hAnsi="宋体" w:cs="宋体"/>
                <w:color w:val="auto"/>
                <w:szCs w:val="21"/>
              </w:rPr>
              <w:t>9.4</w:t>
            </w:r>
          </w:p>
        </w:tc>
        <w:tc>
          <w:tcPr>
            <w:tcW w:w="1248" w:type="dxa"/>
            <w:vAlign w:val="center"/>
          </w:tcPr>
          <w:p w14:paraId="15154BD5">
            <w:pPr>
              <w:jc w:val="center"/>
              <w:rPr>
                <w:rFonts w:hint="eastAsia" w:ascii="宋体" w:hAnsi="宋体" w:cs="宋体"/>
                <w:color w:val="auto"/>
                <w:szCs w:val="21"/>
              </w:rPr>
            </w:pPr>
            <w:r>
              <w:rPr>
                <w:rFonts w:hint="eastAsia" w:ascii="宋体" w:hAnsi="宋体" w:cs="宋体"/>
                <w:color w:val="auto"/>
                <w:szCs w:val="21"/>
              </w:rPr>
              <w:t xml:space="preserve">0.1567 </w:t>
            </w:r>
          </w:p>
        </w:tc>
        <w:tc>
          <w:tcPr>
            <w:tcW w:w="1041" w:type="dxa"/>
            <w:vAlign w:val="center"/>
          </w:tcPr>
          <w:p w14:paraId="6D0AD8AF">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54279527">
            <w:pPr>
              <w:jc w:val="center"/>
              <w:rPr>
                <w:rFonts w:hint="eastAsia" w:ascii="宋体" w:hAnsi="宋体" w:cs="宋体"/>
                <w:color w:val="auto"/>
                <w:szCs w:val="21"/>
              </w:rPr>
            </w:pPr>
            <w:r>
              <w:rPr>
                <w:rFonts w:hint="eastAsia" w:ascii="宋体" w:hAnsi="宋体" w:cs="宋体"/>
                <w:color w:val="auto"/>
                <w:szCs w:val="21"/>
              </w:rPr>
              <w:t>9.0</w:t>
            </w:r>
          </w:p>
        </w:tc>
        <w:tc>
          <w:tcPr>
            <w:tcW w:w="1158" w:type="dxa"/>
            <w:vAlign w:val="center"/>
          </w:tcPr>
          <w:p w14:paraId="0D91E272">
            <w:pPr>
              <w:jc w:val="center"/>
              <w:rPr>
                <w:rFonts w:hint="eastAsia" w:ascii="宋体" w:hAnsi="宋体" w:cs="宋体"/>
                <w:color w:val="auto"/>
                <w:szCs w:val="21"/>
              </w:rPr>
            </w:pPr>
            <w:r>
              <w:rPr>
                <w:rFonts w:hint="eastAsia" w:ascii="宋体" w:hAnsi="宋体" w:cs="宋体"/>
                <w:color w:val="auto"/>
                <w:szCs w:val="21"/>
              </w:rPr>
              <w:t xml:space="preserve">0.1500 </w:t>
            </w:r>
          </w:p>
        </w:tc>
        <w:tc>
          <w:tcPr>
            <w:tcW w:w="1098" w:type="dxa"/>
            <w:vAlign w:val="center"/>
          </w:tcPr>
          <w:p w14:paraId="30A8EAC2">
            <w:pPr>
              <w:jc w:val="center"/>
              <w:rPr>
                <w:rFonts w:hint="eastAsia" w:ascii="宋体" w:hAnsi="宋体" w:cs="宋体"/>
                <w:color w:val="auto"/>
                <w:szCs w:val="21"/>
              </w:rPr>
            </w:pPr>
            <w:r>
              <w:rPr>
                <w:rFonts w:hint="eastAsia" w:ascii="宋体" w:hAnsi="宋体" w:cs="宋体"/>
                <w:color w:val="auto"/>
                <w:szCs w:val="21"/>
              </w:rPr>
              <w:t>达标</w:t>
            </w:r>
          </w:p>
        </w:tc>
      </w:tr>
      <w:tr w14:paraId="47527C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30EE7469">
            <w:pPr>
              <w:jc w:val="center"/>
              <w:rPr>
                <w:rFonts w:hint="eastAsia" w:ascii="宋体" w:hAnsi="宋体" w:cs="宋体"/>
                <w:color w:val="auto"/>
                <w:kern w:val="0"/>
                <w:szCs w:val="21"/>
              </w:rPr>
            </w:pPr>
            <w:r>
              <w:rPr>
                <w:rFonts w:hint="eastAsia" w:ascii="宋体" w:hAnsi="宋体" w:cs="宋体"/>
                <w:color w:val="auto"/>
                <w:szCs w:val="21"/>
              </w:rPr>
              <w:t>5</w:t>
            </w:r>
          </w:p>
        </w:tc>
        <w:tc>
          <w:tcPr>
            <w:tcW w:w="1587" w:type="dxa"/>
            <w:vAlign w:val="center"/>
          </w:tcPr>
          <w:p w14:paraId="46F4AF58">
            <w:pPr>
              <w:jc w:val="center"/>
              <w:rPr>
                <w:rFonts w:hint="eastAsia" w:ascii="宋体" w:hAnsi="宋体" w:cs="宋体"/>
                <w:color w:val="auto"/>
                <w:kern w:val="0"/>
                <w:szCs w:val="21"/>
              </w:rPr>
            </w:pPr>
            <w:r>
              <w:rPr>
                <w:rFonts w:hint="eastAsia" w:ascii="宋体" w:hAnsi="宋体" w:cs="宋体"/>
                <w:color w:val="auto"/>
                <w:szCs w:val="21"/>
              </w:rPr>
              <w:t>铜</w:t>
            </w:r>
          </w:p>
        </w:tc>
        <w:tc>
          <w:tcPr>
            <w:tcW w:w="1286" w:type="dxa"/>
            <w:vAlign w:val="center"/>
          </w:tcPr>
          <w:p w14:paraId="33F79C96">
            <w:pPr>
              <w:jc w:val="center"/>
              <w:rPr>
                <w:rFonts w:hint="eastAsia" w:ascii="宋体" w:hAnsi="宋体" w:cs="宋体"/>
                <w:color w:val="auto"/>
                <w:kern w:val="0"/>
                <w:szCs w:val="21"/>
              </w:rPr>
            </w:pPr>
            <w:r>
              <w:rPr>
                <w:rFonts w:hint="eastAsia" w:ascii="宋体" w:hAnsi="宋体" w:cs="宋体"/>
                <w:color w:val="auto"/>
                <w:szCs w:val="21"/>
              </w:rPr>
              <w:t>18000</w:t>
            </w:r>
          </w:p>
        </w:tc>
        <w:tc>
          <w:tcPr>
            <w:tcW w:w="862" w:type="dxa"/>
            <w:vAlign w:val="center"/>
          </w:tcPr>
          <w:p w14:paraId="3D3EE342">
            <w:pPr>
              <w:jc w:val="center"/>
              <w:rPr>
                <w:rFonts w:hint="eastAsia" w:ascii="宋体" w:hAnsi="宋体" w:cs="宋体"/>
                <w:color w:val="auto"/>
                <w:kern w:val="0"/>
                <w:szCs w:val="21"/>
              </w:rPr>
            </w:pPr>
            <w:r>
              <w:rPr>
                <w:rFonts w:hint="eastAsia" w:ascii="宋体" w:hAnsi="宋体" w:cs="宋体"/>
                <w:color w:val="auto"/>
                <w:szCs w:val="21"/>
              </w:rPr>
              <w:t>mg/kg</w:t>
            </w:r>
          </w:p>
        </w:tc>
        <w:tc>
          <w:tcPr>
            <w:tcW w:w="859" w:type="dxa"/>
            <w:vAlign w:val="center"/>
          </w:tcPr>
          <w:p w14:paraId="30A140BB">
            <w:pPr>
              <w:jc w:val="center"/>
              <w:rPr>
                <w:rFonts w:hint="eastAsia" w:ascii="宋体" w:hAnsi="宋体" w:cs="宋体"/>
                <w:color w:val="auto"/>
                <w:szCs w:val="21"/>
              </w:rPr>
            </w:pPr>
            <w:r>
              <w:rPr>
                <w:rFonts w:hint="eastAsia" w:ascii="宋体" w:hAnsi="宋体" w:cs="宋体"/>
                <w:color w:val="auto"/>
                <w:szCs w:val="21"/>
              </w:rPr>
              <w:t>17.5</w:t>
            </w:r>
          </w:p>
        </w:tc>
        <w:tc>
          <w:tcPr>
            <w:tcW w:w="1146" w:type="dxa"/>
            <w:vAlign w:val="center"/>
          </w:tcPr>
          <w:p w14:paraId="353D1309">
            <w:pPr>
              <w:jc w:val="center"/>
              <w:rPr>
                <w:rFonts w:hint="eastAsia" w:ascii="宋体" w:hAnsi="宋体" w:cs="宋体"/>
                <w:color w:val="auto"/>
                <w:szCs w:val="21"/>
              </w:rPr>
            </w:pPr>
            <w:r>
              <w:rPr>
                <w:rFonts w:hint="eastAsia" w:ascii="宋体" w:hAnsi="宋体" w:cs="宋体"/>
                <w:color w:val="auto"/>
                <w:szCs w:val="21"/>
              </w:rPr>
              <w:t xml:space="preserve">0.0010 </w:t>
            </w:r>
          </w:p>
        </w:tc>
        <w:tc>
          <w:tcPr>
            <w:tcW w:w="1232" w:type="dxa"/>
            <w:vAlign w:val="center"/>
          </w:tcPr>
          <w:p w14:paraId="03101697">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1B3F5BED">
            <w:pPr>
              <w:jc w:val="center"/>
              <w:rPr>
                <w:rFonts w:hint="eastAsia" w:ascii="宋体" w:hAnsi="宋体" w:cs="宋体"/>
                <w:color w:val="auto"/>
                <w:szCs w:val="21"/>
              </w:rPr>
            </w:pPr>
            <w:r>
              <w:rPr>
                <w:rFonts w:hint="eastAsia" w:ascii="宋体" w:hAnsi="宋体" w:cs="宋体"/>
                <w:color w:val="auto"/>
                <w:szCs w:val="21"/>
              </w:rPr>
              <w:t>21.4</w:t>
            </w:r>
          </w:p>
        </w:tc>
        <w:tc>
          <w:tcPr>
            <w:tcW w:w="1248" w:type="dxa"/>
            <w:vAlign w:val="center"/>
          </w:tcPr>
          <w:p w14:paraId="68B647FF">
            <w:pPr>
              <w:jc w:val="center"/>
              <w:rPr>
                <w:rFonts w:hint="eastAsia" w:ascii="宋体" w:hAnsi="宋体" w:cs="宋体"/>
                <w:color w:val="auto"/>
                <w:szCs w:val="21"/>
              </w:rPr>
            </w:pPr>
            <w:r>
              <w:rPr>
                <w:rFonts w:hint="eastAsia" w:ascii="宋体" w:hAnsi="宋体" w:cs="宋体"/>
                <w:color w:val="auto"/>
                <w:szCs w:val="21"/>
              </w:rPr>
              <w:t xml:space="preserve">0.0012 </w:t>
            </w:r>
          </w:p>
        </w:tc>
        <w:tc>
          <w:tcPr>
            <w:tcW w:w="1041" w:type="dxa"/>
            <w:vAlign w:val="center"/>
          </w:tcPr>
          <w:p w14:paraId="33F4FB9F">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5865D183">
            <w:pPr>
              <w:jc w:val="center"/>
              <w:rPr>
                <w:rFonts w:hint="eastAsia" w:ascii="宋体" w:hAnsi="宋体" w:cs="宋体"/>
                <w:color w:val="auto"/>
                <w:szCs w:val="21"/>
              </w:rPr>
            </w:pPr>
            <w:r>
              <w:rPr>
                <w:rFonts w:hint="eastAsia" w:ascii="宋体" w:hAnsi="宋体" w:cs="宋体"/>
                <w:color w:val="auto"/>
                <w:szCs w:val="21"/>
              </w:rPr>
              <w:t>19.4</w:t>
            </w:r>
          </w:p>
        </w:tc>
        <w:tc>
          <w:tcPr>
            <w:tcW w:w="1158" w:type="dxa"/>
            <w:vAlign w:val="center"/>
          </w:tcPr>
          <w:p w14:paraId="552364C2">
            <w:pPr>
              <w:jc w:val="center"/>
              <w:rPr>
                <w:rFonts w:hint="eastAsia" w:ascii="宋体" w:hAnsi="宋体" w:cs="宋体"/>
                <w:color w:val="auto"/>
                <w:szCs w:val="21"/>
              </w:rPr>
            </w:pPr>
            <w:r>
              <w:rPr>
                <w:rFonts w:hint="eastAsia" w:ascii="宋体" w:hAnsi="宋体" w:cs="宋体"/>
                <w:color w:val="auto"/>
                <w:szCs w:val="21"/>
              </w:rPr>
              <w:t xml:space="preserve">0.0011 </w:t>
            </w:r>
          </w:p>
        </w:tc>
        <w:tc>
          <w:tcPr>
            <w:tcW w:w="1098" w:type="dxa"/>
            <w:vAlign w:val="center"/>
          </w:tcPr>
          <w:p w14:paraId="49DD3BF8">
            <w:pPr>
              <w:jc w:val="center"/>
              <w:rPr>
                <w:rFonts w:hint="eastAsia" w:ascii="宋体" w:hAnsi="宋体" w:cs="宋体"/>
                <w:color w:val="auto"/>
                <w:szCs w:val="21"/>
              </w:rPr>
            </w:pPr>
            <w:r>
              <w:rPr>
                <w:rFonts w:hint="eastAsia" w:ascii="宋体" w:hAnsi="宋体" w:cs="宋体"/>
                <w:color w:val="auto"/>
                <w:szCs w:val="21"/>
              </w:rPr>
              <w:t>达标</w:t>
            </w:r>
          </w:p>
        </w:tc>
      </w:tr>
      <w:tr w14:paraId="625068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4282DBD0">
            <w:pPr>
              <w:jc w:val="center"/>
              <w:rPr>
                <w:rFonts w:hint="eastAsia" w:ascii="宋体" w:hAnsi="宋体" w:cs="宋体"/>
                <w:color w:val="auto"/>
                <w:kern w:val="0"/>
                <w:szCs w:val="21"/>
              </w:rPr>
            </w:pPr>
            <w:r>
              <w:rPr>
                <w:rFonts w:hint="eastAsia" w:ascii="宋体" w:hAnsi="宋体" w:cs="宋体"/>
                <w:color w:val="auto"/>
                <w:szCs w:val="21"/>
              </w:rPr>
              <w:t>6</w:t>
            </w:r>
          </w:p>
        </w:tc>
        <w:tc>
          <w:tcPr>
            <w:tcW w:w="1587" w:type="dxa"/>
            <w:vAlign w:val="center"/>
          </w:tcPr>
          <w:p w14:paraId="3137996C">
            <w:pPr>
              <w:jc w:val="center"/>
              <w:rPr>
                <w:rFonts w:hint="eastAsia" w:ascii="宋体" w:hAnsi="宋体" w:cs="宋体"/>
                <w:color w:val="auto"/>
                <w:kern w:val="0"/>
                <w:szCs w:val="21"/>
              </w:rPr>
            </w:pPr>
            <w:r>
              <w:rPr>
                <w:rFonts w:hint="eastAsia" w:ascii="宋体" w:hAnsi="宋体" w:cs="宋体"/>
                <w:color w:val="auto"/>
                <w:szCs w:val="21"/>
              </w:rPr>
              <w:t>铅</w:t>
            </w:r>
          </w:p>
        </w:tc>
        <w:tc>
          <w:tcPr>
            <w:tcW w:w="1286" w:type="dxa"/>
            <w:vAlign w:val="center"/>
          </w:tcPr>
          <w:p w14:paraId="3D059C6D">
            <w:pPr>
              <w:jc w:val="center"/>
              <w:rPr>
                <w:rFonts w:hint="eastAsia" w:ascii="宋体" w:hAnsi="宋体" w:cs="宋体"/>
                <w:color w:val="auto"/>
                <w:kern w:val="0"/>
                <w:szCs w:val="21"/>
              </w:rPr>
            </w:pPr>
            <w:r>
              <w:rPr>
                <w:rFonts w:hint="eastAsia" w:ascii="宋体" w:hAnsi="宋体" w:cs="宋体"/>
                <w:color w:val="auto"/>
                <w:szCs w:val="21"/>
              </w:rPr>
              <w:t>800</w:t>
            </w:r>
          </w:p>
        </w:tc>
        <w:tc>
          <w:tcPr>
            <w:tcW w:w="862" w:type="dxa"/>
            <w:vAlign w:val="center"/>
          </w:tcPr>
          <w:p w14:paraId="1B4ED36C">
            <w:pPr>
              <w:jc w:val="center"/>
              <w:rPr>
                <w:rFonts w:hint="eastAsia" w:ascii="宋体" w:hAnsi="宋体" w:cs="宋体"/>
                <w:color w:val="auto"/>
                <w:kern w:val="0"/>
                <w:szCs w:val="21"/>
              </w:rPr>
            </w:pPr>
            <w:r>
              <w:rPr>
                <w:rFonts w:hint="eastAsia" w:ascii="宋体" w:hAnsi="宋体" w:cs="宋体"/>
                <w:color w:val="auto"/>
                <w:szCs w:val="21"/>
              </w:rPr>
              <w:t>mg/kg</w:t>
            </w:r>
          </w:p>
        </w:tc>
        <w:tc>
          <w:tcPr>
            <w:tcW w:w="859" w:type="dxa"/>
            <w:vAlign w:val="center"/>
          </w:tcPr>
          <w:p w14:paraId="3A119733">
            <w:pPr>
              <w:jc w:val="center"/>
              <w:rPr>
                <w:rFonts w:hint="eastAsia" w:ascii="宋体" w:hAnsi="宋体" w:cs="宋体"/>
                <w:color w:val="auto"/>
                <w:szCs w:val="21"/>
              </w:rPr>
            </w:pPr>
            <w:r>
              <w:rPr>
                <w:rFonts w:hint="eastAsia" w:ascii="宋体" w:hAnsi="宋体" w:cs="宋体"/>
                <w:color w:val="auto"/>
                <w:szCs w:val="21"/>
              </w:rPr>
              <w:t>9</w:t>
            </w:r>
          </w:p>
        </w:tc>
        <w:tc>
          <w:tcPr>
            <w:tcW w:w="1146" w:type="dxa"/>
            <w:vAlign w:val="center"/>
          </w:tcPr>
          <w:p w14:paraId="4FE24582">
            <w:pPr>
              <w:jc w:val="center"/>
              <w:rPr>
                <w:rFonts w:hint="eastAsia" w:ascii="宋体" w:hAnsi="宋体" w:cs="宋体"/>
                <w:color w:val="auto"/>
                <w:szCs w:val="21"/>
              </w:rPr>
            </w:pPr>
            <w:r>
              <w:rPr>
                <w:rFonts w:hint="eastAsia" w:ascii="宋体" w:hAnsi="宋体" w:cs="宋体"/>
                <w:color w:val="auto"/>
                <w:szCs w:val="21"/>
              </w:rPr>
              <w:t xml:space="preserve">0.0113 </w:t>
            </w:r>
          </w:p>
        </w:tc>
        <w:tc>
          <w:tcPr>
            <w:tcW w:w="1232" w:type="dxa"/>
            <w:vAlign w:val="center"/>
          </w:tcPr>
          <w:p w14:paraId="36917F18">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06C580A8">
            <w:pPr>
              <w:jc w:val="center"/>
              <w:rPr>
                <w:rFonts w:hint="eastAsia" w:ascii="宋体" w:hAnsi="宋体" w:cs="宋体"/>
                <w:color w:val="auto"/>
                <w:szCs w:val="21"/>
              </w:rPr>
            </w:pPr>
            <w:r>
              <w:rPr>
                <w:rFonts w:hint="eastAsia" w:ascii="宋体" w:hAnsi="宋体" w:cs="宋体"/>
                <w:color w:val="auto"/>
                <w:szCs w:val="21"/>
              </w:rPr>
              <w:t>12</w:t>
            </w:r>
          </w:p>
        </w:tc>
        <w:tc>
          <w:tcPr>
            <w:tcW w:w="1248" w:type="dxa"/>
            <w:vAlign w:val="center"/>
          </w:tcPr>
          <w:p w14:paraId="61E564B4">
            <w:pPr>
              <w:jc w:val="center"/>
              <w:rPr>
                <w:rFonts w:hint="eastAsia" w:ascii="宋体" w:hAnsi="宋体" w:cs="宋体"/>
                <w:color w:val="auto"/>
                <w:szCs w:val="21"/>
              </w:rPr>
            </w:pPr>
            <w:r>
              <w:rPr>
                <w:rFonts w:hint="eastAsia" w:ascii="宋体" w:hAnsi="宋体" w:cs="宋体"/>
                <w:color w:val="auto"/>
                <w:szCs w:val="21"/>
              </w:rPr>
              <w:t xml:space="preserve">0.0150 </w:t>
            </w:r>
          </w:p>
        </w:tc>
        <w:tc>
          <w:tcPr>
            <w:tcW w:w="1041" w:type="dxa"/>
            <w:vAlign w:val="center"/>
          </w:tcPr>
          <w:p w14:paraId="385525A8">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359276D2">
            <w:pPr>
              <w:jc w:val="center"/>
              <w:rPr>
                <w:rFonts w:hint="eastAsia" w:ascii="宋体" w:hAnsi="宋体" w:cs="宋体"/>
                <w:color w:val="auto"/>
                <w:szCs w:val="21"/>
              </w:rPr>
            </w:pPr>
            <w:r>
              <w:rPr>
                <w:rFonts w:hint="eastAsia" w:ascii="宋体" w:hAnsi="宋体" w:cs="宋体"/>
                <w:color w:val="auto"/>
                <w:szCs w:val="21"/>
              </w:rPr>
              <w:t>11</w:t>
            </w:r>
          </w:p>
        </w:tc>
        <w:tc>
          <w:tcPr>
            <w:tcW w:w="1158" w:type="dxa"/>
            <w:vAlign w:val="center"/>
          </w:tcPr>
          <w:p w14:paraId="4EE5397E">
            <w:pPr>
              <w:jc w:val="center"/>
              <w:rPr>
                <w:rFonts w:hint="eastAsia" w:ascii="宋体" w:hAnsi="宋体" w:cs="宋体"/>
                <w:color w:val="auto"/>
                <w:szCs w:val="21"/>
              </w:rPr>
            </w:pPr>
            <w:r>
              <w:rPr>
                <w:rFonts w:hint="eastAsia" w:ascii="宋体" w:hAnsi="宋体" w:cs="宋体"/>
                <w:color w:val="auto"/>
                <w:szCs w:val="21"/>
              </w:rPr>
              <w:t xml:space="preserve">0.0138 </w:t>
            </w:r>
          </w:p>
        </w:tc>
        <w:tc>
          <w:tcPr>
            <w:tcW w:w="1098" w:type="dxa"/>
            <w:vAlign w:val="center"/>
          </w:tcPr>
          <w:p w14:paraId="4ADB837E">
            <w:pPr>
              <w:jc w:val="center"/>
              <w:rPr>
                <w:rFonts w:hint="eastAsia" w:ascii="宋体" w:hAnsi="宋体" w:cs="宋体"/>
                <w:color w:val="auto"/>
                <w:szCs w:val="21"/>
              </w:rPr>
            </w:pPr>
            <w:r>
              <w:rPr>
                <w:rFonts w:hint="eastAsia" w:ascii="宋体" w:hAnsi="宋体" w:cs="宋体"/>
                <w:color w:val="auto"/>
                <w:szCs w:val="21"/>
              </w:rPr>
              <w:t>达标</w:t>
            </w:r>
          </w:p>
        </w:tc>
      </w:tr>
      <w:tr w14:paraId="40F2EE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41B71D97">
            <w:pPr>
              <w:jc w:val="center"/>
              <w:rPr>
                <w:rFonts w:hint="eastAsia" w:ascii="宋体" w:hAnsi="宋体" w:cs="宋体"/>
                <w:color w:val="auto"/>
                <w:kern w:val="0"/>
                <w:szCs w:val="21"/>
              </w:rPr>
            </w:pPr>
            <w:r>
              <w:rPr>
                <w:rFonts w:hint="eastAsia" w:ascii="宋体" w:hAnsi="宋体" w:cs="宋体"/>
                <w:color w:val="auto"/>
                <w:szCs w:val="21"/>
              </w:rPr>
              <w:t>7</w:t>
            </w:r>
          </w:p>
        </w:tc>
        <w:tc>
          <w:tcPr>
            <w:tcW w:w="1587" w:type="dxa"/>
            <w:vAlign w:val="center"/>
          </w:tcPr>
          <w:p w14:paraId="28F709C4">
            <w:pPr>
              <w:jc w:val="center"/>
              <w:rPr>
                <w:rFonts w:hint="eastAsia" w:ascii="宋体" w:hAnsi="宋体" w:cs="宋体"/>
                <w:color w:val="auto"/>
                <w:kern w:val="0"/>
                <w:szCs w:val="21"/>
              </w:rPr>
            </w:pPr>
            <w:r>
              <w:rPr>
                <w:rFonts w:hint="eastAsia" w:ascii="宋体" w:hAnsi="宋体" w:cs="宋体"/>
                <w:color w:val="auto"/>
                <w:szCs w:val="21"/>
              </w:rPr>
              <w:t>镍</w:t>
            </w:r>
          </w:p>
        </w:tc>
        <w:tc>
          <w:tcPr>
            <w:tcW w:w="1286" w:type="dxa"/>
            <w:vAlign w:val="center"/>
          </w:tcPr>
          <w:p w14:paraId="283E6ADD">
            <w:pPr>
              <w:jc w:val="center"/>
              <w:rPr>
                <w:rFonts w:hint="eastAsia" w:ascii="宋体" w:hAnsi="宋体" w:cs="宋体"/>
                <w:color w:val="auto"/>
                <w:kern w:val="0"/>
                <w:szCs w:val="21"/>
              </w:rPr>
            </w:pPr>
            <w:r>
              <w:rPr>
                <w:rFonts w:hint="eastAsia" w:ascii="宋体" w:hAnsi="宋体" w:cs="宋体"/>
                <w:color w:val="auto"/>
                <w:szCs w:val="21"/>
              </w:rPr>
              <w:t>900</w:t>
            </w:r>
          </w:p>
        </w:tc>
        <w:tc>
          <w:tcPr>
            <w:tcW w:w="862" w:type="dxa"/>
            <w:vAlign w:val="center"/>
          </w:tcPr>
          <w:p w14:paraId="7D965EC6">
            <w:pPr>
              <w:jc w:val="center"/>
              <w:rPr>
                <w:rFonts w:hint="eastAsia" w:ascii="宋体" w:hAnsi="宋体" w:cs="宋体"/>
                <w:color w:val="auto"/>
                <w:kern w:val="0"/>
                <w:szCs w:val="21"/>
              </w:rPr>
            </w:pPr>
            <w:r>
              <w:rPr>
                <w:rFonts w:hint="eastAsia" w:ascii="宋体" w:hAnsi="宋体" w:cs="宋体"/>
                <w:color w:val="auto"/>
                <w:szCs w:val="21"/>
              </w:rPr>
              <w:t>mg/kg</w:t>
            </w:r>
          </w:p>
        </w:tc>
        <w:tc>
          <w:tcPr>
            <w:tcW w:w="859" w:type="dxa"/>
            <w:vAlign w:val="center"/>
          </w:tcPr>
          <w:p w14:paraId="0CBEBE81">
            <w:pPr>
              <w:jc w:val="center"/>
              <w:rPr>
                <w:rFonts w:hint="eastAsia" w:ascii="宋体" w:hAnsi="宋体" w:cs="宋体"/>
                <w:color w:val="auto"/>
                <w:szCs w:val="21"/>
              </w:rPr>
            </w:pPr>
            <w:r>
              <w:rPr>
                <w:rFonts w:hint="eastAsia" w:ascii="宋体" w:hAnsi="宋体" w:cs="宋体"/>
                <w:color w:val="auto"/>
                <w:szCs w:val="21"/>
              </w:rPr>
              <w:t>16</w:t>
            </w:r>
          </w:p>
        </w:tc>
        <w:tc>
          <w:tcPr>
            <w:tcW w:w="1146" w:type="dxa"/>
            <w:vAlign w:val="center"/>
          </w:tcPr>
          <w:p w14:paraId="0C9F15FC">
            <w:pPr>
              <w:jc w:val="center"/>
              <w:rPr>
                <w:rFonts w:hint="eastAsia" w:ascii="宋体" w:hAnsi="宋体" w:cs="宋体"/>
                <w:color w:val="auto"/>
                <w:szCs w:val="21"/>
              </w:rPr>
            </w:pPr>
            <w:r>
              <w:rPr>
                <w:rFonts w:hint="eastAsia" w:ascii="宋体" w:hAnsi="宋体" w:cs="宋体"/>
                <w:color w:val="auto"/>
                <w:szCs w:val="21"/>
              </w:rPr>
              <w:t xml:space="preserve">0.0178 </w:t>
            </w:r>
          </w:p>
        </w:tc>
        <w:tc>
          <w:tcPr>
            <w:tcW w:w="1232" w:type="dxa"/>
            <w:vAlign w:val="center"/>
          </w:tcPr>
          <w:p w14:paraId="4E1B2416">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02443B09">
            <w:pPr>
              <w:jc w:val="center"/>
              <w:rPr>
                <w:rFonts w:hint="eastAsia" w:ascii="宋体" w:hAnsi="宋体" w:cs="宋体"/>
                <w:color w:val="auto"/>
                <w:szCs w:val="21"/>
              </w:rPr>
            </w:pPr>
            <w:r>
              <w:rPr>
                <w:rFonts w:hint="eastAsia" w:ascii="宋体" w:hAnsi="宋体" w:cs="宋体"/>
                <w:color w:val="auto"/>
                <w:szCs w:val="21"/>
              </w:rPr>
              <w:t>19</w:t>
            </w:r>
          </w:p>
        </w:tc>
        <w:tc>
          <w:tcPr>
            <w:tcW w:w="1248" w:type="dxa"/>
            <w:vAlign w:val="center"/>
          </w:tcPr>
          <w:p w14:paraId="0E996FFC">
            <w:pPr>
              <w:jc w:val="center"/>
              <w:rPr>
                <w:rFonts w:hint="eastAsia" w:ascii="宋体" w:hAnsi="宋体" w:cs="宋体"/>
                <w:color w:val="auto"/>
                <w:szCs w:val="21"/>
              </w:rPr>
            </w:pPr>
            <w:r>
              <w:rPr>
                <w:rFonts w:hint="eastAsia" w:ascii="宋体" w:hAnsi="宋体" w:cs="宋体"/>
                <w:color w:val="auto"/>
                <w:szCs w:val="21"/>
              </w:rPr>
              <w:t xml:space="preserve">0.0211 </w:t>
            </w:r>
          </w:p>
        </w:tc>
        <w:tc>
          <w:tcPr>
            <w:tcW w:w="1041" w:type="dxa"/>
            <w:vAlign w:val="center"/>
          </w:tcPr>
          <w:p w14:paraId="2F69D45E">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0A04DF03">
            <w:pPr>
              <w:jc w:val="center"/>
              <w:rPr>
                <w:rFonts w:hint="eastAsia" w:ascii="宋体" w:hAnsi="宋体" w:cs="宋体"/>
                <w:color w:val="auto"/>
                <w:szCs w:val="21"/>
              </w:rPr>
            </w:pPr>
            <w:r>
              <w:rPr>
                <w:rFonts w:hint="eastAsia" w:ascii="宋体" w:hAnsi="宋体" w:cs="宋体"/>
                <w:color w:val="auto"/>
                <w:szCs w:val="21"/>
              </w:rPr>
              <w:t>16</w:t>
            </w:r>
          </w:p>
        </w:tc>
        <w:tc>
          <w:tcPr>
            <w:tcW w:w="1158" w:type="dxa"/>
            <w:vAlign w:val="center"/>
          </w:tcPr>
          <w:p w14:paraId="77EC26CA">
            <w:pPr>
              <w:jc w:val="center"/>
              <w:rPr>
                <w:rFonts w:hint="eastAsia" w:ascii="宋体" w:hAnsi="宋体" w:cs="宋体"/>
                <w:color w:val="auto"/>
                <w:szCs w:val="21"/>
              </w:rPr>
            </w:pPr>
            <w:r>
              <w:rPr>
                <w:rFonts w:hint="eastAsia" w:ascii="宋体" w:hAnsi="宋体" w:cs="宋体"/>
                <w:color w:val="auto"/>
                <w:szCs w:val="21"/>
              </w:rPr>
              <w:t xml:space="preserve">0.0178 </w:t>
            </w:r>
          </w:p>
        </w:tc>
        <w:tc>
          <w:tcPr>
            <w:tcW w:w="1098" w:type="dxa"/>
            <w:vAlign w:val="center"/>
          </w:tcPr>
          <w:p w14:paraId="39991622">
            <w:pPr>
              <w:jc w:val="center"/>
              <w:rPr>
                <w:rFonts w:hint="eastAsia" w:ascii="宋体" w:hAnsi="宋体" w:cs="宋体"/>
                <w:color w:val="auto"/>
                <w:szCs w:val="21"/>
              </w:rPr>
            </w:pPr>
            <w:r>
              <w:rPr>
                <w:rFonts w:hint="eastAsia" w:ascii="宋体" w:hAnsi="宋体" w:cs="宋体"/>
                <w:color w:val="auto"/>
                <w:szCs w:val="21"/>
              </w:rPr>
              <w:t>达标</w:t>
            </w:r>
          </w:p>
        </w:tc>
      </w:tr>
      <w:tr w14:paraId="624961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42C19BCD">
            <w:pPr>
              <w:jc w:val="center"/>
              <w:rPr>
                <w:rFonts w:hint="eastAsia" w:ascii="宋体" w:hAnsi="宋体" w:cs="宋体"/>
                <w:color w:val="auto"/>
                <w:kern w:val="0"/>
                <w:szCs w:val="21"/>
              </w:rPr>
            </w:pPr>
            <w:r>
              <w:rPr>
                <w:rFonts w:hint="eastAsia" w:ascii="宋体" w:hAnsi="宋体" w:cs="宋体"/>
                <w:color w:val="auto"/>
                <w:szCs w:val="21"/>
              </w:rPr>
              <w:t>8</w:t>
            </w:r>
          </w:p>
        </w:tc>
        <w:tc>
          <w:tcPr>
            <w:tcW w:w="1587" w:type="dxa"/>
            <w:vAlign w:val="center"/>
          </w:tcPr>
          <w:p w14:paraId="1882DE51">
            <w:pPr>
              <w:jc w:val="center"/>
              <w:rPr>
                <w:rFonts w:hint="eastAsia" w:ascii="宋体" w:hAnsi="宋体" w:cs="宋体"/>
                <w:color w:val="auto"/>
                <w:kern w:val="0"/>
                <w:szCs w:val="21"/>
              </w:rPr>
            </w:pPr>
            <w:r>
              <w:rPr>
                <w:rFonts w:hint="eastAsia" w:ascii="宋体" w:hAnsi="宋体" w:cs="宋体"/>
                <w:color w:val="auto"/>
                <w:szCs w:val="21"/>
              </w:rPr>
              <w:t>镉</w:t>
            </w:r>
          </w:p>
        </w:tc>
        <w:tc>
          <w:tcPr>
            <w:tcW w:w="1286" w:type="dxa"/>
            <w:vAlign w:val="center"/>
          </w:tcPr>
          <w:p w14:paraId="6F9790E8">
            <w:pPr>
              <w:jc w:val="center"/>
              <w:rPr>
                <w:rFonts w:hint="eastAsia" w:ascii="宋体" w:hAnsi="宋体" w:cs="宋体"/>
                <w:color w:val="auto"/>
                <w:kern w:val="0"/>
                <w:szCs w:val="21"/>
              </w:rPr>
            </w:pPr>
            <w:r>
              <w:rPr>
                <w:rFonts w:hint="eastAsia" w:ascii="宋体" w:hAnsi="宋体" w:cs="宋体"/>
                <w:color w:val="auto"/>
                <w:szCs w:val="21"/>
              </w:rPr>
              <w:t>65</w:t>
            </w:r>
          </w:p>
        </w:tc>
        <w:tc>
          <w:tcPr>
            <w:tcW w:w="862" w:type="dxa"/>
            <w:vAlign w:val="center"/>
          </w:tcPr>
          <w:p w14:paraId="249EF910">
            <w:pPr>
              <w:jc w:val="center"/>
              <w:rPr>
                <w:rFonts w:hint="eastAsia" w:ascii="宋体" w:hAnsi="宋体" w:cs="宋体"/>
                <w:color w:val="auto"/>
                <w:kern w:val="0"/>
                <w:szCs w:val="21"/>
              </w:rPr>
            </w:pPr>
            <w:r>
              <w:rPr>
                <w:rFonts w:hint="eastAsia" w:ascii="宋体" w:hAnsi="宋体" w:cs="宋体"/>
                <w:color w:val="auto"/>
                <w:szCs w:val="21"/>
              </w:rPr>
              <w:t>mg/kg</w:t>
            </w:r>
          </w:p>
        </w:tc>
        <w:tc>
          <w:tcPr>
            <w:tcW w:w="859" w:type="dxa"/>
            <w:vAlign w:val="center"/>
          </w:tcPr>
          <w:p w14:paraId="01C59A22">
            <w:pPr>
              <w:jc w:val="center"/>
              <w:rPr>
                <w:rFonts w:hint="eastAsia" w:ascii="宋体" w:hAnsi="宋体" w:cs="宋体"/>
                <w:color w:val="auto"/>
                <w:szCs w:val="21"/>
              </w:rPr>
            </w:pPr>
            <w:r>
              <w:rPr>
                <w:rFonts w:hint="eastAsia" w:ascii="宋体" w:hAnsi="宋体" w:cs="宋体"/>
                <w:color w:val="auto"/>
                <w:szCs w:val="21"/>
              </w:rPr>
              <w:t>ND</w:t>
            </w:r>
          </w:p>
        </w:tc>
        <w:tc>
          <w:tcPr>
            <w:tcW w:w="1146" w:type="dxa"/>
            <w:vAlign w:val="center"/>
          </w:tcPr>
          <w:p w14:paraId="14B6AA20">
            <w:pPr>
              <w:jc w:val="center"/>
              <w:rPr>
                <w:rFonts w:hint="eastAsia" w:ascii="宋体" w:hAnsi="宋体" w:cs="宋体"/>
                <w:color w:val="auto"/>
                <w:szCs w:val="21"/>
              </w:rPr>
            </w:pPr>
            <w:r>
              <w:rPr>
                <w:rFonts w:hint="eastAsia" w:ascii="宋体" w:hAnsi="宋体" w:cs="宋体"/>
                <w:color w:val="auto"/>
                <w:szCs w:val="21"/>
              </w:rPr>
              <w:t>/</w:t>
            </w:r>
          </w:p>
        </w:tc>
        <w:tc>
          <w:tcPr>
            <w:tcW w:w="1232" w:type="dxa"/>
            <w:vAlign w:val="center"/>
          </w:tcPr>
          <w:p w14:paraId="3EA941B4">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7E4A6A15">
            <w:pPr>
              <w:jc w:val="center"/>
              <w:rPr>
                <w:rFonts w:hint="eastAsia" w:ascii="宋体" w:hAnsi="宋体" w:cs="宋体"/>
                <w:color w:val="auto"/>
                <w:szCs w:val="21"/>
              </w:rPr>
            </w:pPr>
            <w:r>
              <w:rPr>
                <w:rFonts w:hint="eastAsia" w:ascii="宋体" w:hAnsi="宋体" w:cs="宋体"/>
                <w:color w:val="auto"/>
                <w:szCs w:val="21"/>
              </w:rPr>
              <w:t>0.12</w:t>
            </w:r>
          </w:p>
        </w:tc>
        <w:tc>
          <w:tcPr>
            <w:tcW w:w="1248" w:type="dxa"/>
            <w:vAlign w:val="center"/>
          </w:tcPr>
          <w:p w14:paraId="07D4A3B7">
            <w:pPr>
              <w:jc w:val="center"/>
              <w:rPr>
                <w:rFonts w:hint="eastAsia" w:ascii="宋体" w:hAnsi="宋体" w:cs="宋体"/>
                <w:color w:val="auto"/>
                <w:szCs w:val="21"/>
              </w:rPr>
            </w:pPr>
            <w:r>
              <w:rPr>
                <w:rFonts w:hint="eastAsia" w:ascii="宋体" w:hAnsi="宋体" w:cs="宋体"/>
                <w:color w:val="auto"/>
                <w:szCs w:val="21"/>
              </w:rPr>
              <w:t xml:space="preserve">0.0018 </w:t>
            </w:r>
          </w:p>
        </w:tc>
        <w:tc>
          <w:tcPr>
            <w:tcW w:w="1041" w:type="dxa"/>
            <w:vAlign w:val="center"/>
          </w:tcPr>
          <w:p w14:paraId="03994F2B">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2B7ED421">
            <w:pPr>
              <w:jc w:val="center"/>
              <w:rPr>
                <w:rFonts w:hint="eastAsia" w:ascii="宋体" w:hAnsi="宋体" w:cs="宋体"/>
                <w:color w:val="auto"/>
                <w:szCs w:val="21"/>
              </w:rPr>
            </w:pPr>
            <w:r>
              <w:rPr>
                <w:rFonts w:hint="eastAsia" w:ascii="宋体" w:hAnsi="宋体" w:cs="宋体"/>
                <w:color w:val="auto"/>
                <w:szCs w:val="21"/>
              </w:rPr>
              <w:t>ND</w:t>
            </w:r>
          </w:p>
        </w:tc>
        <w:tc>
          <w:tcPr>
            <w:tcW w:w="1158" w:type="dxa"/>
            <w:vAlign w:val="center"/>
          </w:tcPr>
          <w:p w14:paraId="3B9CAF9C">
            <w:pPr>
              <w:jc w:val="center"/>
              <w:rPr>
                <w:rFonts w:hint="eastAsia" w:ascii="宋体" w:hAnsi="宋体" w:cs="宋体"/>
                <w:color w:val="auto"/>
                <w:szCs w:val="21"/>
              </w:rPr>
            </w:pPr>
            <w:r>
              <w:rPr>
                <w:rFonts w:hint="eastAsia" w:ascii="宋体" w:hAnsi="宋体" w:cs="宋体"/>
                <w:color w:val="auto"/>
                <w:szCs w:val="21"/>
              </w:rPr>
              <w:t>/</w:t>
            </w:r>
          </w:p>
        </w:tc>
        <w:tc>
          <w:tcPr>
            <w:tcW w:w="1098" w:type="dxa"/>
            <w:vAlign w:val="center"/>
          </w:tcPr>
          <w:p w14:paraId="0509C14D">
            <w:pPr>
              <w:jc w:val="center"/>
              <w:rPr>
                <w:rFonts w:hint="eastAsia" w:ascii="宋体" w:hAnsi="宋体" w:cs="宋体"/>
                <w:color w:val="auto"/>
                <w:szCs w:val="21"/>
              </w:rPr>
            </w:pPr>
            <w:r>
              <w:rPr>
                <w:rFonts w:hint="eastAsia" w:ascii="宋体" w:hAnsi="宋体" w:cs="宋体"/>
                <w:color w:val="auto"/>
                <w:szCs w:val="21"/>
              </w:rPr>
              <w:t>达标</w:t>
            </w:r>
          </w:p>
        </w:tc>
      </w:tr>
      <w:tr w14:paraId="3087EB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3428338D">
            <w:pPr>
              <w:jc w:val="center"/>
              <w:rPr>
                <w:rFonts w:hint="eastAsia" w:ascii="宋体" w:hAnsi="宋体" w:cs="宋体"/>
                <w:color w:val="auto"/>
                <w:kern w:val="0"/>
                <w:szCs w:val="21"/>
              </w:rPr>
            </w:pPr>
            <w:r>
              <w:rPr>
                <w:rFonts w:hint="eastAsia" w:ascii="宋体" w:hAnsi="宋体" w:cs="宋体"/>
                <w:color w:val="auto"/>
                <w:szCs w:val="21"/>
              </w:rPr>
              <w:t>9</w:t>
            </w:r>
          </w:p>
        </w:tc>
        <w:tc>
          <w:tcPr>
            <w:tcW w:w="1587" w:type="dxa"/>
            <w:vAlign w:val="center"/>
          </w:tcPr>
          <w:p w14:paraId="054E861D">
            <w:pPr>
              <w:jc w:val="center"/>
              <w:rPr>
                <w:rFonts w:hint="eastAsia" w:ascii="宋体" w:hAnsi="宋体" w:cs="宋体"/>
                <w:color w:val="auto"/>
                <w:kern w:val="0"/>
                <w:szCs w:val="21"/>
              </w:rPr>
            </w:pPr>
            <w:r>
              <w:rPr>
                <w:rFonts w:hint="eastAsia" w:ascii="宋体" w:hAnsi="宋体" w:cs="宋体"/>
                <w:color w:val="auto"/>
                <w:szCs w:val="21"/>
              </w:rPr>
              <w:t>六价铬</w:t>
            </w:r>
          </w:p>
        </w:tc>
        <w:tc>
          <w:tcPr>
            <w:tcW w:w="1286" w:type="dxa"/>
            <w:vAlign w:val="center"/>
          </w:tcPr>
          <w:p w14:paraId="307BAA81">
            <w:pPr>
              <w:jc w:val="center"/>
              <w:rPr>
                <w:rFonts w:hint="eastAsia" w:ascii="宋体" w:hAnsi="宋体" w:cs="宋体"/>
                <w:color w:val="auto"/>
                <w:kern w:val="0"/>
                <w:szCs w:val="21"/>
              </w:rPr>
            </w:pPr>
            <w:r>
              <w:rPr>
                <w:rFonts w:hint="eastAsia" w:ascii="宋体" w:hAnsi="宋体" w:cs="宋体"/>
                <w:color w:val="auto"/>
                <w:szCs w:val="21"/>
              </w:rPr>
              <w:t>5.7</w:t>
            </w:r>
          </w:p>
        </w:tc>
        <w:tc>
          <w:tcPr>
            <w:tcW w:w="862" w:type="dxa"/>
            <w:vAlign w:val="center"/>
          </w:tcPr>
          <w:p w14:paraId="1348D189">
            <w:pPr>
              <w:jc w:val="center"/>
              <w:rPr>
                <w:rFonts w:hint="eastAsia" w:ascii="宋体" w:hAnsi="宋体" w:cs="宋体"/>
                <w:color w:val="auto"/>
                <w:kern w:val="0"/>
                <w:szCs w:val="21"/>
              </w:rPr>
            </w:pPr>
            <w:r>
              <w:rPr>
                <w:rFonts w:hint="eastAsia" w:ascii="宋体" w:hAnsi="宋体" w:cs="宋体"/>
                <w:color w:val="auto"/>
                <w:szCs w:val="21"/>
              </w:rPr>
              <w:t>mg/kg</w:t>
            </w:r>
          </w:p>
        </w:tc>
        <w:tc>
          <w:tcPr>
            <w:tcW w:w="859" w:type="dxa"/>
            <w:vAlign w:val="center"/>
          </w:tcPr>
          <w:p w14:paraId="6B9B30DC">
            <w:pPr>
              <w:jc w:val="center"/>
              <w:rPr>
                <w:rFonts w:hint="eastAsia" w:ascii="宋体" w:hAnsi="宋体" w:cs="宋体"/>
                <w:color w:val="auto"/>
                <w:szCs w:val="21"/>
              </w:rPr>
            </w:pPr>
            <w:r>
              <w:rPr>
                <w:rFonts w:hint="eastAsia" w:ascii="宋体" w:hAnsi="宋体" w:cs="宋体"/>
                <w:color w:val="auto"/>
                <w:szCs w:val="21"/>
              </w:rPr>
              <w:t>ND</w:t>
            </w:r>
          </w:p>
        </w:tc>
        <w:tc>
          <w:tcPr>
            <w:tcW w:w="1146" w:type="dxa"/>
            <w:vAlign w:val="center"/>
          </w:tcPr>
          <w:p w14:paraId="3BAE5BB0">
            <w:pPr>
              <w:jc w:val="center"/>
              <w:rPr>
                <w:rFonts w:hint="eastAsia" w:ascii="宋体" w:hAnsi="宋体" w:cs="宋体"/>
                <w:color w:val="auto"/>
                <w:szCs w:val="21"/>
              </w:rPr>
            </w:pPr>
            <w:r>
              <w:rPr>
                <w:rFonts w:hint="eastAsia" w:ascii="宋体" w:hAnsi="宋体" w:cs="宋体"/>
                <w:color w:val="auto"/>
                <w:szCs w:val="21"/>
              </w:rPr>
              <w:t>/</w:t>
            </w:r>
          </w:p>
        </w:tc>
        <w:tc>
          <w:tcPr>
            <w:tcW w:w="1232" w:type="dxa"/>
            <w:vAlign w:val="center"/>
          </w:tcPr>
          <w:p w14:paraId="2B003AD7">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42DE2405">
            <w:pPr>
              <w:jc w:val="center"/>
              <w:rPr>
                <w:rFonts w:hint="eastAsia" w:ascii="宋体" w:hAnsi="宋体" w:cs="宋体"/>
                <w:color w:val="auto"/>
                <w:szCs w:val="21"/>
              </w:rPr>
            </w:pPr>
            <w:r>
              <w:rPr>
                <w:rFonts w:hint="eastAsia" w:ascii="宋体" w:hAnsi="宋体" w:cs="宋体"/>
                <w:color w:val="auto"/>
                <w:szCs w:val="21"/>
              </w:rPr>
              <w:t>ND</w:t>
            </w:r>
          </w:p>
        </w:tc>
        <w:tc>
          <w:tcPr>
            <w:tcW w:w="1248" w:type="dxa"/>
            <w:vAlign w:val="center"/>
          </w:tcPr>
          <w:p w14:paraId="5F18AC74">
            <w:pPr>
              <w:jc w:val="center"/>
              <w:rPr>
                <w:rFonts w:hint="eastAsia" w:ascii="宋体" w:hAnsi="宋体" w:cs="宋体"/>
                <w:color w:val="auto"/>
                <w:szCs w:val="21"/>
              </w:rPr>
            </w:pPr>
            <w:r>
              <w:rPr>
                <w:rFonts w:hint="eastAsia" w:ascii="宋体" w:hAnsi="宋体" w:cs="宋体"/>
                <w:color w:val="auto"/>
                <w:szCs w:val="21"/>
              </w:rPr>
              <w:t>/</w:t>
            </w:r>
          </w:p>
        </w:tc>
        <w:tc>
          <w:tcPr>
            <w:tcW w:w="1041" w:type="dxa"/>
            <w:vAlign w:val="center"/>
          </w:tcPr>
          <w:p w14:paraId="509CD9C6">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2C5B4F88">
            <w:pPr>
              <w:jc w:val="center"/>
              <w:rPr>
                <w:rFonts w:hint="eastAsia" w:ascii="宋体" w:hAnsi="宋体" w:cs="宋体"/>
                <w:color w:val="auto"/>
                <w:szCs w:val="21"/>
              </w:rPr>
            </w:pPr>
            <w:r>
              <w:rPr>
                <w:rFonts w:hint="eastAsia" w:ascii="宋体" w:hAnsi="宋体" w:cs="宋体"/>
                <w:color w:val="auto"/>
                <w:szCs w:val="21"/>
              </w:rPr>
              <w:t>ND</w:t>
            </w:r>
          </w:p>
        </w:tc>
        <w:tc>
          <w:tcPr>
            <w:tcW w:w="1158" w:type="dxa"/>
            <w:vAlign w:val="center"/>
          </w:tcPr>
          <w:p w14:paraId="4606DCA3">
            <w:pPr>
              <w:jc w:val="center"/>
              <w:rPr>
                <w:rFonts w:hint="eastAsia" w:ascii="宋体" w:hAnsi="宋体" w:cs="宋体"/>
                <w:color w:val="auto"/>
                <w:szCs w:val="21"/>
              </w:rPr>
            </w:pPr>
            <w:r>
              <w:rPr>
                <w:rFonts w:hint="eastAsia" w:ascii="宋体" w:hAnsi="宋体" w:cs="宋体"/>
                <w:color w:val="auto"/>
                <w:szCs w:val="21"/>
              </w:rPr>
              <w:t>/</w:t>
            </w:r>
          </w:p>
        </w:tc>
        <w:tc>
          <w:tcPr>
            <w:tcW w:w="1098" w:type="dxa"/>
            <w:vAlign w:val="center"/>
          </w:tcPr>
          <w:p w14:paraId="104B36F4">
            <w:pPr>
              <w:jc w:val="center"/>
              <w:rPr>
                <w:rFonts w:hint="eastAsia" w:ascii="宋体" w:hAnsi="宋体" w:cs="宋体"/>
                <w:color w:val="auto"/>
                <w:szCs w:val="21"/>
              </w:rPr>
            </w:pPr>
            <w:r>
              <w:rPr>
                <w:rFonts w:hint="eastAsia" w:ascii="宋体" w:hAnsi="宋体" w:cs="宋体"/>
                <w:color w:val="auto"/>
                <w:szCs w:val="21"/>
              </w:rPr>
              <w:t>达标</w:t>
            </w:r>
          </w:p>
        </w:tc>
      </w:tr>
      <w:tr w14:paraId="21403F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69507B2E">
            <w:pPr>
              <w:jc w:val="center"/>
              <w:rPr>
                <w:rFonts w:hint="eastAsia" w:ascii="宋体" w:hAnsi="宋体" w:cs="宋体"/>
                <w:color w:val="auto"/>
                <w:kern w:val="0"/>
                <w:szCs w:val="21"/>
              </w:rPr>
            </w:pPr>
            <w:r>
              <w:rPr>
                <w:rFonts w:hint="eastAsia" w:ascii="宋体" w:hAnsi="宋体" w:cs="宋体"/>
                <w:color w:val="auto"/>
                <w:szCs w:val="21"/>
              </w:rPr>
              <w:t>10</w:t>
            </w:r>
          </w:p>
        </w:tc>
        <w:tc>
          <w:tcPr>
            <w:tcW w:w="1587" w:type="dxa"/>
            <w:vAlign w:val="center"/>
          </w:tcPr>
          <w:p w14:paraId="4F92756B">
            <w:pPr>
              <w:jc w:val="center"/>
              <w:rPr>
                <w:rFonts w:hint="eastAsia" w:ascii="宋体" w:hAnsi="宋体" w:cs="宋体"/>
                <w:color w:val="auto"/>
                <w:kern w:val="0"/>
                <w:szCs w:val="21"/>
              </w:rPr>
            </w:pPr>
            <w:r>
              <w:rPr>
                <w:rFonts w:hint="eastAsia" w:ascii="宋体" w:hAnsi="宋体" w:cs="宋体"/>
                <w:color w:val="auto"/>
                <w:szCs w:val="21"/>
              </w:rPr>
              <w:t>石油烃</w:t>
            </w:r>
          </w:p>
        </w:tc>
        <w:tc>
          <w:tcPr>
            <w:tcW w:w="1286" w:type="dxa"/>
            <w:vAlign w:val="center"/>
          </w:tcPr>
          <w:p w14:paraId="40AF5E51">
            <w:pPr>
              <w:jc w:val="center"/>
              <w:rPr>
                <w:rFonts w:hint="eastAsia" w:ascii="宋体" w:hAnsi="宋体" w:cs="宋体"/>
                <w:color w:val="auto"/>
                <w:kern w:val="0"/>
                <w:szCs w:val="21"/>
              </w:rPr>
            </w:pPr>
            <w:r>
              <w:rPr>
                <w:rFonts w:hint="eastAsia" w:ascii="宋体" w:hAnsi="宋体" w:cs="宋体"/>
                <w:color w:val="auto"/>
                <w:szCs w:val="21"/>
              </w:rPr>
              <w:t>4500</w:t>
            </w:r>
          </w:p>
        </w:tc>
        <w:tc>
          <w:tcPr>
            <w:tcW w:w="862" w:type="dxa"/>
            <w:vAlign w:val="center"/>
          </w:tcPr>
          <w:p w14:paraId="22C2181A">
            <w:pPr>
              <w:jc w:val="center"/>
              <w:rPr>
                <w:rFonts w:hint="eastAsia" w:ascii="宋体" w:hAnsi="宋体" w:cs="宋体"/>
                <w:color w:val="auto"/>
                <w:kern w:val="0"/>
                <w:szCs w:val="21"/>
              </w:rPr>
            </w:pPr>
            <w:r>
              <w:rPr>
                <w:rFonts w:hint="eastAsia" w:ascii="宋体" w:hAnsi="宋体" w:cs="宋体"/>
                <w:color w:val="auto"/>
                <w:szCs w:val="21"/>
              </w:rPr>
              <w:t>mg/kg</w:t>
            </w:r>
          </w:p>
        </w:tc>
        <w:tc>
          <w:tcPr>
            <w:tcW w:w="859" w:type="dxa"/>
            <w:vAlign w:val="center"/>
          </w:tcPr>
          <w:p w14:paraId="0B236CA6">
            <w:pPr>
              <w:jc w:val="center"/>
              <w:rPr>
                <w:rFonts w:hint="eastAsia" w:ascii="宋体" w:hAnsi="宋体" w:cs="宋体"/>
                <w:color w:val="auto"/>
                <w:szCs w:val="21"/>
              </w:rPr>
            </w:pPr>
            <w:r>
              <w:rPr>
                <w:rFonts w:hint="eastAsia" w:ascii="宋体" w:hAnsi="宋体" w:cs="宋体"/>
                <w:color w:val="auto"/>
                <w:szCs w:val="21"/>
              </w:rPr>
              <w:t>42.6</w:t>
            </w:r>
          </w:p>
        </w:tc>
        <w:tc>
          <w:tcPr>
            <w:tcW w:w="1146" w:type="dxa"/>
            <w:vAlign w:val="center"/>
          </w:tcPr>
          <w:p w14:paraId="690BCF8E">
            <w:pPr>
              <w:jc w:val="center"/>
              <w:rPr>
                <w:rFonts w:hint="eastAsia" w:ascii="宋体" w:hAnsi="宋体" w:cs="宋体"/>
                <w:color w:val="auto"/>
                <w:szCs w:val="21"/>
              </w:rPr>
            </w:pPr>
            <w:r>
              <w:rPr>
                <w:rFonts w:hint="eastAsia" w:ascii="宋体" w:hAnsi="宋体" w:cs="宋体"/>
                <w:color w:val="auto"/>
                <w:szCs w:val="21"/>
              </w:rPr>
              <w:t xml:space="preserve">0.0095 </w:t>
            </w:r>
          </w:p>
        </w:tc>
        <w:tc>
          <w:tcPr>
            <w:tcW w:w="1232" w:type="dxa"/>
            <w:vAlign w:val="center"/>
          </w:tcPr>
          <w:p w14:paraId="05265DB8">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2BE61B3C">
            <w:pPr>
              <w:jc w:val="center"/>
              <w:rPr>
                <w:rFonts w:hint="eastAsia" w:ascii="宋体" w:hAnsi="宋体" w:cs="宋体"/>
                <w:color w:val="auto"/>
                <w:szCs w:val="21"/>
              </w:rPr>
            </w:pPr>
            <w:r>
              <w:rPr>
                <w:rFonts w:hint="eastAsia" w:ascii="宋体" w:hAnsi="宋体" w:cs="宋体"/>
                <w:color w:val="auto"/>
                <w:szCs w:val="21"/>
              </w:rPr>
              <w:t>36.2</w:t>
            </w:r>
          </w:p>
        </w:tc>
        <w:tc>
          <w:tcPr>
            <w:tcW w:w="1248" w:type="dxa"/>
            <w:vAlign w:val="center"/>
          </w:tcPr>
          <w:p w14:paraId="35AF99E6">
            <w:pPr>
              <w:jc w:val="center"/>
              <w:rPr>
                <w:rFonts w:hint="eastAsia" w:ascii="宋体" w:hAnsi="宋体" w:cs="宋体"/>
                <w:color w:val="auto"/>
                <w:szCs w:val="21"/>
              </w:rPr>
            </w:pPr>
            <w:r>
              <w:rPr>
                <w:rFonts w:hint="eastAsia" w:ascii="宋体" w:hAnsi="宋体" w:cs="宋体"/>
                <w:color w:val="auto"/>
                <w:szCs w:val="21"/>
              </w:rPr>
              <w:t xml:space="preserve">0.0080 </w:t>
            </w:r>
          </w:p>
        </w:tc>
        <w:tc>
          <w:tcPr>
            <w:tcW w:w="1041" w:type="dxa"/>
            <w:vAlign w:val="center"/>
          </w:tcPr>
          <w:p w14:paraId="2CAFE2E0">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729F6870">
            <w:pPr>
              <w:jc w:val="center"/>
              <w:rPr>
                <w:rFonts w:hint="eastAsia" w:ascii="宋体" w:hAnsi="宋体" w:cs="宋体"/>
                <w:color w:val="auto"/>
                <w:szCs w:val="21"/>
              </w:rPr>
            </w:pPr>
            <w:r>
              <w:rPr>
                <w:rFonts w:hint="eastAsia" w:ascii="宋体" w:hAnsi="宋体" w:cs="宋体"/>
                <w:color w:val="auto"/>
                <w:szCs w:val="21"/>
              </w:rPr>
              <w:t>33.4</w:t>
            </w:r>
          </w:p>
        </w:tc>
        <w:tc>
          <w:tcPr>
            <w:tcW w:w="1158" w:type="dxa"/>
            <w:vAlign w:val="center"/>
          </w:tcPr>
          <w:p w14:paraId="68769250">
            <w:pPr>
              <w:jc w:val="center"/>
              <w:rPr>
                <w:rFonts w:hint="eastAsia" w:ascii="宋体" w:hAnsi="宋体" w:cs="宋体"/>
                <w:color w:val="auto"/>
                <w:szCs w:val="21"/>
              </w:rPr>
            </w:pPr>
            <w:r>
              <w:rPr>
                <w:rFonts w:hint="eastAsia" w:ascii="宋体" w:hAnsi="宋体" w:cs="宋体"/>
                <w:color w:val="auto"/>
                <w:szCs w:val="21"/>
              </w:rPr>
              <w:t xml:space="preserve">0.0074 </w:t>
            </w:r>
          </w:p>
        </w:tc>
        <w:tc>
          <w:tcPr>
            <w:tcW w:w="1098" w:type="dxa"/>
            <w:vAlign w:val="center"/>
          </w:tcPr>
          <w:p w14:paraId="27D7EA32">
            <w:pPr>
              <w:jc w:val="center"/>
              <w:rPr>
                <w:rFonts w:hint="eastAsia" w:ascii="宋体" w:hAnsi="宋体" w:cs="宋体"/>
                <w:color w:val="auto"/>
                <w:szCs w:val="21"/>
              </w:rPr>
            </w:pPr>
            <w:r>
              <w:rPr>
                <w:rFonts w:hint="eastAsia" w:ascii="宋体" w:hAnsi="宋体" w:cs="宋体"/>
                <w:color w:val="auto"/>
                <w:szCs w:val="21"/>
              </w:rPr>
              <w:t>达标</w:t>
            </w:r>
          </w:p>
        </w:tc>
      </w:tr>
      <w:tr w14:paraId="54ABD6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3" w:type="dxa"/>
            <w:vAlign w:val="center"/>
          </w:tcPr>
          <w:p w14:paraId="38D2F7B0">
            <w:pPr>
              <w:jc w:val="center"/>
              <w:rPr>
                <w:rFonts w:hint="eastAsia" w:ascii="宋体" w:hAnsi="宋体" w:cs="宋体"/>
                <w:color w:val="auto"/>
                <w:szCs w:val="21"/>
              </w:rPr>
            </w:pPr>
            <w:r>
              <w:rPr>
                <w:rFonts w:hint="eastAsia" w:ascii="宋体" w:hAnsi="宋体" w:cs="宋体"/>
                <w:color w:val="auto"/>
                <w:szCs w:val="21"/>
              </w:rPr>
              <w:t>/</w:t>
            </w:r>
          </w:p>
        </w:tc>
        <w:tc>
          <w:tcPr>
            <w:tcW w:w="1587" w:type="dxa"/>
            <w:vAlign w:val="center"/>
          </w:tcPr>
          <w:p w14:paraId="1074F142">
            <w:pPr>
              <w:jc w:val="center"/>
              <w:rPr>
                <w:rFonts w:hint="eastAsia" w:ascii="宋体" w:hAnsi="宋体" w:cs="宋体"/>
                <w:color w:val="auto"/>
                <w:szCs w:val="21"/>
              </w:rPr>
            </w:pPr>
            <w:r>
              <w:rPr>
                <w:rFonts w:hint="eastAsia" w:ascii="宋体" w:hAnsi="宋体" w:cs="宋体"/>
                <w:color w:val="auto"/>
                <w:szCs w:val="21"/>
              </w:rPr>
              <w:t>/</w:t>
            </w:r>
          </w:p>
        </w:tc>
        <w:tc>
          <w:tcPr>
            <w:tcW w:w="1286" w:type="dxa"/>
            <w:vAlign w:val="center"/>
          </w:tcPr>
          <w:p w14:paraId="71582E0A">
            <w:pPr>
              <w:jc w:val="center"/>
              <w:rPr>
                <w:rFonts w:hint="eastAsia" w:ascii="宋体" w:hAnsi="宋体" w:cs="宋体"/>
                <w:color w:val="auto"/>
                <w:szCs w:val="21"/>
              </w:rPr>
            </w:pPr>
            <w:r>
              <w:rPr>
                <w:rFonts w:hint="eastAsia" w:ascii="宋体" w:hAnsi="宋体" w:cs="宋体"/>
                <w:color w:val="auto"/>
                <w:szCs w:val="21"/>
              </w:rPr>
              <w:t>/</w:t>
            </w:r>
          </w:p>
        </w:tc>
        <w:tc>
          <w:tcPr>
            <w:tcW w:w="862" w:type="dxa"/>
            <w:vAlign w:val="center"/>
          </w:tcPr>
          <w:p w14:paraId="5EEB3742">
            <w:pPr>
              <w:jc w:val="center"/>
              <w:rPr>
                <w:rFonts w:hint="eastAsia" w:ascii="宋体" w:hAnsi="宋体" w:cs="宋体"/>
                <w:color w:val="auto"/>
                <w:szCs w:val="21"/>
              </w:rPr>
            </w:pPr>
            <w:r>
              <w:rPr>
                <w:rFonts w:hint="eastAsia" w:ascii="宋体" w:hAnsi="宋体" w:cs="宋体"/>
                <w:color w:val="auto"/>
                <w:szCs w:val="21"/>
              </w:rPr>
              <w:t>/</w:t>
            </w:r>
          </w:p>
        </w:tc>
        <w:tc>
          <w:tcPr>
            <w:tcW w:w="3237" w:type="dxa"/>
            <w:gridSpan w:val="3"/>
            <w:vAlign w:val="center"/>
          </w:tcPr>
          <w:p w14:paraId="00B3C21C">
            <w:pPr>
              <w:jc w:val="center"/>
              <w:rPr>
                <w:rFonts w:hint="eastAsia" w:ascii="宋体" w:hAnsi="宋体" w:cs="宋体"/>
                <w:color w:val="auto"/>
                <w:szCs w:val="21"/>
              </w:rPr>
            </w:pPr>
            <w:r>
              <w:rPr>
                <w:rFonts w:hint="eastAsia" w:ascii="宋体" w:hAnsi="宋体" w:cs="宋体"/>
                <w:color w:val="auto"/>
                <w:szCs w:val="21"/>
              </w:rPr>
              <w:t>S2(0m～0.5m)</w:t>
            </w:r>
          </w:p>
        </w:tc>
        <w:tc>
          <w:tcPr>
            <w:tcW w:w="3350" w:type="dxa"/>
            <w:gridSpan w:val="3"/>
            <w:vAlign w:val="center"/>
          </w:tcPr>
          <w:p w14:paraId="0B2A6B91">
            <w:pPr>
              <w:jc w:val="center"/>
              <w:rPr>
                <w:rFonts w:hint="eastAsia" w:ascii="宋体" w:hAnsi="宋体" w:cs="宋体"/>
                <w:color w:val="auto"/>
                <w:szCs w:val="21"/>
              </w:rPr>
            </w:pPr>
            <w:r>
              <w:rPr>
                <w:rFonts w:hint="eastAsia" w:ascii="宋体" w:hAnsi="宋体" w:cs="宋体"/>
                <w:color w:val="auto"/>
                <w:szCs w:val="21"/>
              </w:rPr>
              <w:t>S2(0.5m～1.5m)</w:t>
            </w:r>
          </w:p>
        </w:tc>
        <w:tc>
          <w:tcPr>
            <w:tcW w:w="3223" w:type="dxa"/>
            <w:gridSpan w:val="3"/>
            <w:vAlign w:val="center"/>
          </w:tcPr>
          <w:p w14:paraId="756D4069">
            <w:pPr>
              <w:jc w:val="center"/>
              <w:rPr>
                <w:rFonts w:hint="eastAsia" w:ascii="宋体" w:hAnsi="宋体" w:cs="宋体"/>
                <w:color w:val="auto"/>
                <w:szCs w:val="21"/>
              </w:rPr>
            </w:pPr>
            <w:r>
              <w:rPr>
                <w:rFonts w:hint="eastAsia" w:ascii="宋体" w:hAnsi="宋体" w:cs="宋体"/>
                <w:color w:val="auto"/>
                <w:szCs w:val="21"/>
              </w:rPr>
              <w:t>S2(1.5m～3m)</w:t>
            </w:r>
          </w:p>
        </w:tc>
        <w:tc>
          <w:tcPr>
            <w:tcW w:w="6" w:type="dxa"/>
            <w:vAlign w:val="center"/>
          </w:tcPr>
          <w:p w14:paraId="7B4D0453">
            <w:pPr>
              <w:widowControl/>
              <w:jc w:val="center"/>
              <w:rPr>
                <w:rFonts w:hint="eastAsia" w:ascii="宋体" w:hAnsi="宋体" w:cs="宋体"/>
                <w:color w:val="auto"/>
                <w:szCs w:val="21"/>
              </w:rPr>
            </w:pPr>
          </w:p>
        </w:tc>
      </w:tr>
      <w:tr w14:paraId="2DD796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5F47E11E">
            <w:pPr>
              <w:jc w:val="center"/>
              <w:rPr>
                <w:rFonts w:hint="eastAsia" w:ascii="宋体" w:hAnsi="宋体" w:cs="宋体"/>
                <w:color w:val="auto"/>
                <w:szCs w:val="21"/>
              </w:rPr>
            </w:pPr>
            <w:r>
              <w:rPr>
                <w:rFonts w:hint="eastAsia" w:ascii="宋体" w:hAnsi="宋体" w:cs="宋体"/>
                <w:color w:val="auto"/>
                <w:szCs w:val="21"/>
              </w:rPr>
              <w:t>1</w:t>
            </w:r>
          </w:p>
        </w:tc>
        <w:tc>
          <w:tcPr>
            <w:tcW w:w="1587" w:type="dxa"/>
            <w:vAlign w:val="center"/>
          </w:tcPr>
          <w:p w14:paraId="639423BF">
            <w:pPr>
              <w:jc w:val="center"/>
              <w:rPr>
                <w:rFonts w:hint="eastAsia" w:ascii="宋体" w:hAnsi="宋体" w:cs="宋体"/>
                <w:color w:val="auto"/>
                <w:szCs w:val="21"/>
              </w:rPr>
            </w:pPr>
            <w:r>
              <w:rPr>
                <w:rFonts w:hint="eastAsia" w:ascii="宋体" w:hAnsi="宋体" w:cs="宋体"/>
                <w:color w:val="auto"/>
                <w:szCs w:val="21"/>
              </w:rPr>
              <w:t>pH</w:t>
            </w:r>
          </w:p>
        </w:tc>
        <w:tc>
          <w:tcPr>
            <w:tcW w:w="1286" w:type="dxa"/>
            <w:vAlign w:val="center"/>
          </w:tcPr>
          <w:p w14:paraId="452C4D26">
            <w:pPr>
              <w:jc w:val="center"/>
              <w:rPr>
                <w:rFonts w:hint="eastAsia" w:ascii="宋体" w:hAnsi="宋体" w:cs="宋体"/>
                <w:color w:val="auto"/>
                <w:szCs w:val="21"/>
              </w:rPr>
            </w:pPr>
            <w:r>
              <w:rPr>
                <w:rFonts w:hint="eastAsia" w:ascii="宋体" w:hAnsi="宋体" w:cs="宋体"/>
                <w:color w:val="auto"/>
                <w:szCs w:val="21"/>
              </w:rPr>
              <w:t>/</w:t>
            </w:r>
          </w:p>
        </w:tc>
        <w:tc>
          <w:tcPr>
            <w:tcW w:w="862" w:type="dxa"/>
            <w:vAlign w:val="center"/>
          </w:tcPr>
          <w:p w14:paraId="4F9880D2">
            <w:pPr>
              <w:jc w:val="center"/>
              <w:rPr>
                <w:rFonts w:hint="eastAsia" w:ascii="宋体" w:hAnsi="宋体" w:cs="宋体"/>
                <w:color w:val="auto"/>
                <w:szCs w:val="21"/>
              </w:rPr>
            </w:pPr>
            <w:r>
              <w:rPr>
                <w:rFonts w:hint="eastAsia" w:ascii="宋体" w:hAnsi="宋体" w:cs="宋体"/>
                <w:color w:val="auto"/>
                <w:szCs w:val="21"/>
              </w:rPr>
              <w:t>/</w:t>
            </w:r>
          </w:p>
        </w:tc>
        <w:tc>
          <w:tcPr>
            <w:tcW w:w="859" w:type="dxa"/>
            <w:vAlign w:val="center"/>
          </w:tcPr>
          <w:p w14:paraId="2892E636">
            <w:pPr>
              <w:jc w:val="center"/>
              <w:rPr>
                <w:rFonts w:hint="eastAsia" w:ascii="宋体" w:hAnsi="宋体" w:cs="宋体"/>
                <w:color w:val="auto"/>
                <w:szCs w:val="21"/>
              </w:rPr>
            </w:pPr>
            <w:r>
              <w:rPr>
                <w:rFonts w:hint="eastAsia" w:ascii="宋体" w:hAnsi="宋体" w:cs="宋体"/>
                <w:color w:val="auto"/>
                <w:szCs w:val="21"/>
              </w:rPr>
              <w:t>7.89</w:t>
            </w:r>
          </w:p>
        </w:tc>
        <w:tc>
          <w:tcPr>
            <w:tcW w:w="1146" w:type="dxa"/>
            <w:vAlign w:val="center"/>
          </w:tcPr>
          <w:p w14:paraId="26966B01">
            <w:pPr>
              <w:jc w:val="center"/>
              <w:rPr>
                <w:rFonts w:hint="eastAsia" w:ascii="宋体" w:hAnsi="宋体" w:cs="宋体"/>
                <w:color w:val="auto"/>
                <w:szCs w:val="21"/>
              </w:rPr>
            </w:pPr>
            <w:r>
              <w:rPr>
                <w:rFonts w:hint="eastAsia" w:ascii="宋体" w:hAnsi="宋体" w:cs="宋体"/>
                <w:color w:val="auto"/>
                <w:szCs w:val="21"/>
              </w:rPr>
              <w:t>/</w:t>
            </w:r>
          </w:p>
        </w:tc>
        <w:tc>
          <w:tcPr>
            <w:tcW w:w="1232" w:type="dxa"/>
            <w:vAlign w:val="center"/>
          </w:tcPr>
          <w:p w14:paraId="7393C07B">
            <w:pPr>
              <w:jc w:val="center"/>
              <w:rPr>
                <w:rFonts w:hint="eastAsia" w:ascii="宋体" w:hAnsi="宋体" w:cs="宋体"/>
                <w:color w:val="auto"/>
                <w:szCs w:val="21"/>
              </w:rPr>
            </w:pPr>
            <w:r>
              <w:rPr>
                <w:rFonts w:hint="eastAsia" w:ascii="宋体" w:hAnsi="宋体" w:cs="宋体"/>
                <w:color w:val="auto"/>
                <w:szCs w:val="21"/>
              </w:rPr>
              <w:t>/</w:t>
            </w:r>
          </w:p>
        </w:tc>
        <w:tc>
          <w:tcPr>
            <w:tcW w:w="1061" w:type="dxa"/>
            <w:vAlign w:val="center"/>
          </w:tcPr>
          <w:p w14:paraId="064C1497">
            <w:pPr>
              <w:jc w:val="center"/>
              <w:rPr>
                <w:rFonts w:hint="eastAsia" w:ascii="宋体" w:hAnsi="宋体" w:cs="宋体"/>
                <w:color w:val="auto"/>
                <w:szCs w:val="21"/>
              </w:rPr>
            </w:pPr>
            <w:r>
              <w:rPr>
                <w:rFonts w:hint="eastAsia" w:ascii="宋体" w:hAnsi="宋体" w:cs="宋体"/>
                <w:color w:val="auto"/>
                <w:szCs w:val="21"/>
              </w:rPr>
              <w:t>7.89</w:t>
            </w:r>
          </w:p>
        </w:tc>
        <w:tc>
          <w:tcPr>
            <w:tcW w:w="1248" w:type="dxa"/>
            <w:vAlign w:val="center"/>
          </w:tcPr>
          <w:p w14:paraId="2FBE9988">
            <w:pPr>
              <w:jc w:val="center"/>
              <w:rPr>
                <w:rFonts w:hint="eastAsia" w:ascii="宋体" w:hAnsi="宋体" w:cs="宋体"/>
                <w:color w:val="auto"/>
                <w:szCs w:val="21"/>
              </w:rPr>
            </w:pPr>
            <w:r>
              <w:rPr>
                <w:rFonts w:hint="eastAsia" w:ascii="宋体" w:hAnsi="宋体" w:cs="宋体"/>
                <w:color w:val="auto"/>
                <w:szCs w:val="21"/>
              </w:rPr>
              <w:t>/</w:t>
            </w:r>
          </w:p>
        </w:tc>
        <w:tc>
          <w:tcPr>
            <w:tcW w:w="1041" w:type="dxa"/>
            <w:vAlign w:val="center"/>
          </w:tcPr>
          <w:p w14:paraId="3E14C47B">
            <w:pPr>
              <w:jc w:val="center"/>
              <w:rPr>
                <w:rFonts w:hint="eastAsia" w:ascii="宋体" w:hAnsi="宋体" w:cs="宋体"/>
                <w:color w:val="auto"/>
                <w:szCs w:val="21"/>
              </w:rPr>
            </w:pPr>
            <w:r>
              <w:rPr>
                <w:rFonts w:hint="eastAsia" w:ascii="宋体" w:hAnsi="宋体" w:cs="宋体"/>
                <w:color w:val="auto"/>
                <w:szCs w:val="21"/>
              </w:rPr>
              <w:t>/</w:t>
            </w:r>
          </w:p>
        </w:tc>
        <w:tc>
          <w:tcPr>
            <w:tcW w:w="967" w:type="dxa"/>
            <w:vAlign w:val="center"/>
          </w:tcPr>
          <w:p w14:paraId="3DC286DD">
            <w:pPr>
              <w:jc w:val="center"/>
              <w:rPr>
                <w:rFonts w:hint="eastAsia" w:ascii="宋体" w:hAnsi="宋体" w:cs="宋体"/>
                <w:color w:val="auto"/>
                <w:szCs w:val="21"/>
              </w:rPr>
            </w:pPr>
            <w:r>
              <w:rPr>
                <w:rFonts w:hint="eastAsia" w:ascii="宋体" w:hAnsi="宋体" w:cs="宋体"/>
                <w:color w:val="auto"/>
                <w:szCs w:val="21"/>
              </w:rPr>
              <w:t>7.13</w:t>
            </w:r>
          </w:p>
        </w:tc>
        <w:tc>
          <w:tcPr>
            <w:tcW w:w="1158" w:type="dxa"/>
            <w:vAlign w:val="center"/>
          </w:tcPr>
          <w:p w14:paraId="6ABCA081">
            <w:pPr>
              <w:jc w:val="center"/>
              <w:rPr>
                <w:rFonts w:hint="eastAsia" w:ascii="宋体" w:hAnsi="宋体" w:cs="宋体"/>
                <w:color w:val="auto"/>
                <w:szCs w:val="21"/>
              </w:rPr>
            </w:pPr>
            <w:r>
              <w:rPr>
                <w:rFonts w:hint="eastAsia" w:ascii="宋体" w:hAnsi="宋体" w:cs="宋体"/>
                <w:color w:val="auto"/>
                <w:szCs w:val="21"/>
              </w:rPr>
              <w:t>/</w:t>
            </w:r>
          </w:p>
        </w:tc>
        <w:tc>
          <w:tcPr>
            <w:tcW w:w="1098" w:type="dxa"/>
            <w:vAlign w:val="center"/>
          </w:tcPr>
          <w:p w14:paraId="616654FF">
            <w:pPr>
              <w:jc w:val="center"/>
              <w:rPr>
                <w:rFonts w:hint="eastAsia" w:ascii="宋体" w:hAnsi="宋体" w:cs="宋体"/>
                <w:color w:val="auto"/>
                <w:szCs w:val="21"/>
              </w:rPr>
            </w:pPr>
            <w:r>
              <w:rPr>
                <w:rFonts w:hint="eastAsia" w:ascii="宋体" w:hAnsi="宋体" w:cs="宋体"/>
                <w:color w:val="auto"/>
                <w:szCs w:val="21"/>
              </w:rPr>
              <w:t>/</w:t>
            </w:r>
          </w:p>
        </w:tc>
      </w:tr>
      <w:tr w14:paraId="470292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42A9FB05">
            <w:pPr>
              <w:jc w:val="center"/>
              <w:rPr>
                <w:rFonts w:hint="eastAsia" w:ascii="宋体" w:hAnsi="宋体" w:cs="宋体"/>
                <w:color w:val="auto"/>
                <w:szCs w:val="21"/>
              </w:rPr>
            </w:pPr>
            <w:r>
              <w:rPr>
                <w:rFonts w:hint="eastAsia" w:ascii="宋体" w:hAnsi="宋体" w:cs="宋体"/>
                <w:color w:val="auto"/>
                <w:szCs w:val="21"/>
              </w:rPr>
              <w:t>2</w:t>
            </w:r>
          </w:p>
        </w:tc>
        <w:tc>
          <w:tcPr>
            <w:tcW w:w="1587" w:type="dxa"/>
            <w:vAlign w:val="center"/>
          </w:tcPr>
          <w:p w14:paraId="0E0FB627">
            <w:pPr>
              <w:jc w:val="center"/>
              <w:rPr>
                <w:rFonts w:hint="eastAsia" w:ascii="宋体" w:hAnsi="宋体" w:cs="宋体"/>
                <w:color w:val="auto"/>
                <w:szCs w:val="21"/>
              </w:rPr>
            </w:pPr>
            <w:r>
              <w:rPr>
                <w:rFonts w:hint="eastAsia" w:ascii="宋体" w:hAnsi="宋体" w:cs="宋体"/>
                <w:color w:val="auto"/>
                <w:szCs w:val="21"/>
              </w:rPr>
              <w:t>土壤盐分含量</w:t>
            </w:r>
          </w:p>
        </w:tc>
        <w:tc>
          <w:tcPr>
            <w:tcW w:w="1286" w:type="dxa"/>
            <w:vAlign w:val="center"/>
          </w:tcPr>
          <w:p w14:paraId="0BCBA6A6">
            <w:pPr>
              <w:jc w:val="center"/>
              <w:rPr>
                <w:rFonts w:hint="eastAsia" w:ascii="宋体" w:hAnsi="宋体" w:cs="宋体"/>
                <w:color w:val="auto"/>
                <w:szCs w:val="21"/>
              </w:rPr>
            </w:pPr>
            <w:r>
              <w:rPr>
                <w:rFonts w:hint="eastAsia" w:ascii="宋体" w:hAnsi="宋体" w:cs="宋体"/>
                <w:color w:val="auto"/>
                <w:szCs w:val="21"/>
              </w:rPr>
              <w:t>/</w:t>
            </w:r>
          </w:p>
        </w:tc>
        <w:tc>
          <w:tcPr>
            <w:tcW w:w="862" w:type="dxa"/>
            <w:vAlign w:val="center"/>
          </w:tcPr>
          <w:p w14:paraId="1EC4F5CA">
            <w:pPr>
              <w:jc w:val="center"/>
              <w:rPr>
                <w:rFonts w:hint="eastAsia" w:ascii="宋体" w:hAnsi="宋体" w:cs="宋体"/>
                <w:color w:val="auto"/>
                <w:szCs w:val="21"/>
              </w:rPr>
            </w:pPr>
            <w:r>
              <w:rPr>
                <w:rFonts w:hint="eastAsia" w:ascii="宋体" w:hAnsi="宋体" w:cs="宋体"/>
                <w:color w:val="auto"/>
                <w:szCs w:val="21"/>
              </w:rPr>
              <w:t>g/kg</w:t>
            </w:r>
          </w:p>
        </w:tc>
        <w:tc>
          <w:tcPr>
            <w:tcW w:w="859" w:type="dxa"/>
            <w:vAlign w:val="center"/>
          </w:tcPr>
          <w:p w14:paraId="051604CD">
            <w:pPr>
              <w:jc w:val="center"/>
              <w:rPr>
                <w:rFonts w:hint="eastAsia" w:ascii="宋体" w:hAnsi="宋体" w:cs="宋体"/>
                <w:color w:val="auto"/>
                <w:szCs w:val="21"/>
              </w:rPr>
            </w:pPr>
            <w:r>
              <w:rPr>
                <w:rFonts w:hint="eastAsia" w:ascii="宋体" w:hAnsi="宋体" w:cs="宋体"/>
                <w:color w:val="auto"/>
                <w:szCs w:val="21"/>
              </w:rPr>
              <w:t>1.4</w:t>
            </w:r>
          </w:p>
        </w:tc>
        <w:tc>
          <w:tcPr>
            <w:tcW w:w="1146" w:type="dxa"/>
            <w:vAlign w:val="center"/>
          </w:tcPr>
          <w:p w14:paraId="38C2EBB7">
            <w:pPr>
              <w:jc w:val="center"/>
              <w:rPr>
                <w:rFonts w:hint="eastAsia" w:ascii="宋体" w:hAnsi="宋体" w:cs="宋体"/>
                <w:color w:val="auto"/>
                <w:szCs w:val="21"/>
              </w:rPr>
            </w:pPr>
            <w:r>
              <w:rPr>
                <w:rFonts w:hint="eastAsia" w:ascii="宋体" w:hAnsi="宋体" w:cs="宋体"/>
                <w:color w:val="auto"/>
                <w:szCs w:val="21"/>
              </w:rPr>
              <w:t>/</w:t>
            </w:r>
          </w:p>
        </w:tc>
        <w:tc>
          <w:tcPr>
            <w:tcW w:w="1232" w:type="dxa"/>
            <w:vAlign w:val="center"/>
          </w:tcPr>
          <w:p w14:paraId="28D98AA6">
            <w:pPr>
              <w:jc w:val="center"/>
              <w:rPr>
                <w:rFonts w:hint="eastAsia" w:ascii="宋体" w:hAnsi="宋体" w:cs="宋体"/>
                <w:color w:val="auto"/>
                <w:szCs w:val="21"/>
              </w:rPr>
            </w:pPr>
            <w:r>
              <w:rPr>
                <w:rFonts w:hint="eastAsia" w:ascii="宋体" w:hAnsi="宋体" w:cs="宋体"/>
                <w:color w:val="auto"/>
                <w:szCs w:val="21"/>
              </w:rPr>
              <w:t>/</w:t>
            </w:r>
          </w:p>
        </w:tc>
        <w:tc>
          <w:tcPr>
            <w:tcW w:w="1061" w:type="dxa"/>
            <w:vAlign w:val="center"/>
          </w:tcPr>
          <w:p w14:paraId="3CA8BA80">
            <w:pPr>
              <w:jc w:val="center"/>
              <w:rPr>
                <w:rFonts w:hint="eastAsia" w:ascii="宋体" w:hAnsi="宋体" w:cs="宋体"/>
                <w:color w:val="auto"/>
                <w:szCs w:val="21"/>
              </w:rPr>
            </w:pPr>
            <w:r>
              <w:rPr>
                <w:rFonts w:hint="eastAsia" w:ascii="宋体" w:hAnsi="宋体" w:cs="宋体"/>
                <w:color w:val="auto"/>
                <w:szCs w:val="21"/>
              </w:rPr>
              <w:t>1.4</w:t>
            </w:r>
          </w:p>
        </w:tc>
        <w:tc>
          <w:tcPr>
            <w:tcW w:w="1248" w:type="dxa"/>
            <w:vAlign w:val="center"/>
          </w:tcPr>
          <w:p w14:paraId="3007A32F">
            <w:pPr>
              <w:jc w:val="center"/>
              <w:rPr>
                <w:rFonts w:hint="eastAsia" w:ascii="宋体" w:hAnsi="宋体" w:cs="宋体"/>
                <w:color w:val="auto"/>
                <w:szCs w:val="21"/>
              </w:rPr>
            </w:pPr>
            <w:r>
              <w:rPr>
                <w:rFonts w:hint="eastAsia" w:ascii="宋体" w:hAnsi="宋体" w:cs="宋体"/>
                <w:color w:val="auto"/>
                <w:szCs w:val="21"/>
              </w:rPr>
              <w:t>/</w:t>
            </w:r>
          </w:p>
        </w:tc>
        <w:tc>
          <w:tcPr>
            <w:tcW w:w="1041" w:type="dxa"/>
            <w:vAlign w:val="center"/>
          </w:tcPr>
          <w:p w14:paraId="300BFE05">
            <w:pPr>
              <w:jc w:val="center"/>
              <w:rPr>
                <w:rFonts w:hint="eastAsia" w:ascii="宋体" w:hAnsi="宋体" w:cs="宋体"/>
                <w:color w:val="auto"/>
                <w:szCs w:val="21"/>
              </w:rPr>
            </w:pPr>
            <w:r>
              <w:rPr>
                <w:rFonts w:hint="eastAsia" w:ascii="宋体" w:hAnsi="宋体" w:cs="宋体"/>
                <w:color w:val="auto"/>
                <w:szCs w:val="21"/>
              </w:rPr>
              <w:t>/</w:t>
            </w:r>
          </w:p>
        </w:tc>
        <w:tc>
          <w:tcPr>
            <w:tcW w:w="967" w:type="dxa"/>
            <w:vAlign w:val="center"/>
          </w:tcPr>
          <w:p w14:paraId="571CC548">
            <w:pPr>
              <w:jc w:val="center"/>
              <w:rPr>
                <w:rFonts w:hint="eastAsia" w:ascii="宋体" w:hAnsi="宋体" w:cs="宋体"/>
                <w:color w:val="auto"/>
                <w:szCs w:val="21"/>
              </w:rPr>
            </w:pPr>
            <w:r>
              <w:rPr>
                <w:rFonts w:hint="eastAsia" w:ascii="宋体" w:hAnsi="宋体" w:cs="宋体"/>
                <w:color w:val="auto"/>
                <w:szCs w:val="21"/>
              </w:rPr>
              <w:t>1.0</w:t>
            </w:r>
          </w:p>
        </w:tc>
        <w:tc>
          <w:tcPr>
            <w:tcW w:w="1158" w:type="dxa"/>
            <w:vAlign w:val="center"/>
          </w:tcPr>
          <w:p w14:paraId="05C92F3B">
            <w:pPr>
              <w:jc w:val="center"/>
              <w:rPr>
                <w:rFonts w:hint="eastAsia" w:ascii="宋体" w:hAnsi="宋体" w:cs="宋体"/>
                <w:color w:val="auto"/>
                <w:szCs w:val="21"/>
              </w:rPr>
            </w:pPr>
            <w:r>
              <w:rPr>
                <w:rFonts w:hint="eastAsia" w:ascii="宋体" w:hAnsi="宋体" w:cs="宋体"/>
                <w:color w:val="auto"/>
                <w:szCs w:val="21"/>
              </w:rPr>
              <w:t>/</w:t>
            </w:r>
          </w:p>
        </w:tc>
        <w:tc>
          <w:tcPr>
            <w:tcW w:w="1098" w:type="dxa"/>
            <w:vAlign w:val="center"/>
          </w:tcPr>
          <w:p w14:paraId="12259645">
            <w:pPr>
              <w:jc w:val="center"/>
              <w:rPr>
                <w:rFonts w:hint="eastAsia" w:ascii="宋体" w:hAnsi="宋体" w:cs="宋体"/>
                <w:color w:val="auto"/>
                <w:szCs w:val="21"/>
              </w:rPr>
            </w:pPr>
            <w:r>
              <w:rPr>
                <w:rFonts w:hint="eastAsia" w:ascii="宋体" w:hAnsi="宋体" w:cs="宋体"/>
                <w:color w:val="auto"/>
                <w:szCs w:val="21"/>
              </w:rPr>
              <w:t>/</w:t>
            </w:r>
          </w:p>
        </w:tc>
      </w:tr>
      <w:tr w14:paraId="086423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48BB5CF8">
            <w:pPr>
              <w:jc w:val="center"/>
              <w:rPr>
                <w:rFonts w:hint="eastAsia" w:ascii="宋体" w:hAnsi="宋体" w:cs="宋体"/>
                <w:color w:val="auto"/>
                <w:szCs w:val="21"/>
              </w:rPr>
            </w:pPr>
            <w:r>
              <w:rPr>
                <w:rFonts w:hint="eastAsia" w:ascii="宋体" w:hAnsi="宋体" w:cs="宋体"/>
                <w:color w:val="auto"/>
                <w:szCs w:val="21"/>
              </w:rPr>
              <w:t>3</w:t>
            </w:r>
          </w:p>
        </w:tc>
        <w:tc>
          <w:tcPr>
            <w:tcW w:w="1587" w:type="dxa"/>
            <w:vAlign w:val="center"/>
          </w:tcPr>
          <w:p w14:paraId="56EA6478">
            <w:pPr>
              <w:jc w:val="center"/>
              <w:rPr>
                <w:rFonts w:hint="eastAsia" w:ascii="宋体" w:hAnsi="宋体" w:cs="宋体"/>
                <w:color w:val="auto"/>
                <w:szCs w:val="21"/>
              </w:rPr>
            </w:pPr>
            <w:r>
              <w:rPr>
                <w:rFonts w:hint="eastAsia" w:ascii="宋体" w:hAnsi="宋体" w:cs="宋体"/>
                <w:color w:val="auto"/>
                <w:szCs w:val="21"/>
              </w:rPr>
              <w:t>汞</w:t>
            </w:r>
          </w:p>
        </w:tc>
        <w:tc>
          <w:tcPr>
            <w:tcW w:w="1286" w:type="dxa"/>
            <w:vAlign w:val="center"/>
          </w:tcPr>
          <w:p w14:paraId="791D2948">
            <w:pPr>
              <w:jc w:val="center"/>
              <w:rPr>
                <w:rFonts w:hint="eastAsia" w:ascii="宋体" w:hAnsi="宋体" w:cs="宋体"/>
                <w:color w:val="auto"/>
                <w:szCs w:val="21"/>
              </w:rPr>
            </w:pPr>
            <w:r>
              <w:rPr>
                <w:rFonts w:hint="eastAsia" w:ascii="宋体" w:hAnsi="宋体" w:cs="宋体"/>
                <w:color w:val="auto"/>
                <w:szCs w:val="21"/>
              </w:rPr>
              <w:t>38</w:t>
            </w:r>
          </w:p>
        </w:tc>
        <w:tc>
          <w:tcPr>
            <w:tcW w:w="862" w:type="dxa"/>
            <w:vAlign w:val="center"/>
          </w:tcPr>
          <w:p w14:paraId="6EC59941">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2D95343F">
            <w:pPr>
              <w:jc w:val="center"/>
              <w:rPr>
                <w:rFonts w:hint="eastAsia" w:ascii="宋体" w:hAnsi="宋体" w:cs="宋体"/>
                <w:color w:val="auto"/>
                <w:szCs w:val="21"/>
              </w:rPr>
            </w:pPr>
            <w:r>
              <w:rPr>
                <w:rFonts w:hint="eastAsia" w:ascii="宋体" w:hAnsi="宋体" w:cs="宋体"/>
                <w:color w:val="auto"/>
                <w:szCs w:val="21"/>
              </w:rPr>
              <w:t>0.154</w:t>
            </w:r>
          </w:p>
        </w:tc>
        <w:tc>
          <w:tcPr>
            <w:tcW w:w="1146" w:type="dxa"/>
            <w:vAlign w:val="center"/>
          </w:tcPr>
          <w:p w14:paraId="50022270">
            <w:pPr>
              <w:jc w:val="center"/>
              <w:rPr>
                <w:rFonts w:hint="eastAsia" w:ascii="宋体" w:hAnsi="宋体" w:cs="宋体"/>
                <w:color w:val="auto"/>
                <w:szCs w:val="21"/>
              </w:rPr>
            </w:pPr>
            <w:r>
              <w:rPr>
                <w:rFonts w:hint="eastAsia" w:ascii="宋体" w:hAnsi="宋体" w:cs="宋体"/>
                <w:color w:val="auto"/>
                <w:szCs w:val="21"/>
              </w:rPr>
              <w:t xml:space="preserve">0.0041 </w:t>
            </w:r>
          </w:p>
        </w:tc>
        <w:tc>
          <w:tcPr>
            <w:tcW w:w="1232" w:type="dxa"/>
            <w:vAlign w:val="center"/>
          </w:tcPr>
          <w:p w14:paraId="7CEFFC73">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1DB4B8D9">
            <w:pPr>
              <w:jc w:val="center"/>
              <w:rPr>
                <w:rFonts w:hint="eastAsia" w:ascii="宋体" w:hAnsi="宋体" w:cs="宋体"/>
                <w:color w:val="auto"/>
                <w:szCs w:val="21"/>
              </w:rPr>
            </w:pPr>
            <w:r>
              <w:rPr>
                <w:rFonts w:hint="eastAsia" w:ascii="宋体" w:hAnsi="宋体" w:cs="宋体"/>
                <w:color w:val="auto"/>
                <w:szCs w:val="21"/>
              </w:rPr>
              <w:t>0.0627</w:t>
            </w:r>
          </w:p>
        </w:tc>
        <w:tc>
          <w:tcPr>
            <w:tcW w:w="1248" w:type="dxa"/>
            <w:vAlign w:val="center"/>
          </w:tcPr>
          <w:p w14:paraId="3924140E">
            <w:pPr>
              <w:jc w:val="center"/>
              <w:rPr>
                <w:rFonts w:hint="eastAsia" w:ascii="宋体" w:hAnsi="宋体" w:cs="宋体"/>
                <w:color w:val="auto"/>
                <w:szCs w:val="21"/>
              </w:rPr>
            </w:pPr>
            <w:r>
              <w:rPr>
                <w:rFonts w:hint="eastAsia" w:ascii="宋体" w:hAnsi="宋体" w:cs="宋体"/>
                <w:color w:val="auto"/>
                <w:szCs w:val="21"/>
              </w:rPr>
              <w:t xml:space="preserve">0.0017 </w:t>
            </w:r>
          </w:p>
        </w:tc>
        <w:tc>
          <w:tcPr>
            <w:tcW w:w="1041" w:type="dxa"/>
            <w:vAlign w:val="center"/>
          </w:tcPr>
          <w:p w14:paraId="382231E8">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12E15C70">
            <w:pPr>
              <w:jc w:val="center"/>
              <w:rPr>
                <w:rFonts w:hint="eastAsia" w:ascii="宋体" w:hAnsi="宋体" w:cs="宋体"/>
                <w:color w:val="auto"/>
                <w:szCs w:val="21"/>
              </w:rPr>
            </w:pPr>
            <w:r>
              <w:rPr>
                <w:rFonts w:hint="eastAsia" w:ascii="宋体" w:hAnsi="宋体" w:cs="宋体"/>
                <w:color w:val="auto"/>
                <w:szCs w:val="21"/>
              </w:rPr>
              <w:t>0.0830</w:t>
            </w:r>
          </w:p>
        </w:tc>
        <w:tc>
          <w:tcPr>
            <w:tcW w:w="1158" w:type="dxa"/>
            <w:vAlign w:val="center"/>
          </w:tcPr>
          <w:p w14:paraId="6AA3EF47">
            <w:pPr>
              <w:jc w:val="center"/>
              <w:rPr>
                <w:rFonts w:hint="eastAsia" w:ascii="宋体" w:hAnsi="宋体" w:cs="宋体"/>
                <w:color w:val="auto"/>
                <w:szCs w:val="21"/>
              </w:rPr>
            </w:pPr>
            <w:r>
              <w:rPr>
                <w:rFonts w:hint="eastAsia" w:ascii="宋体" w:hAnsi="宋体" w:cs="宋体"/>
                <w:color w:val="auto"/>
                <w:szCs w:val="21"/>
              </w:rPr>
              <w:t xml:space="preserve">0.0022 </w:t>
            </w:r>
          </w:p>
        </w:tc>
        <w:tc>
          <w:tcPr>
            <w:tcW w:w="1098" w:type="dxa"/>
            <w:vAlign w:val="center"/>
          </w:tcPr>
          <w:p w14:paraId="2E1F78A5">
            <w:pPr>
              <w:jc w:val="center"/>
              <w:rPr>
                <w:rFonts w:hint="eastAsia" w:ascii="宋体" w:hAnsi="宋体" w:cs="宋体"/>
                <w:color w:val="auto"/>
                <w:szCs w:val="21"/>
              </w:rPr>
            </w:pPr>
            <w:r>
              <w:rPr>
                <w:rFonts w:hint="eastAsia" w:ascii="宋体" w:hAnsi="宋体" w:cs="宋体"/>
                <w:color w:val="auto"/>
                <w:szCs w:val="21"/>
              </w:rPr>
              <w:t>达标</w:t>
            </w:r>
          </w:p>
        </w:tc>
      </w:tr>
      <w:tr w14:paraId="63C785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04B157B0">
            <w:pPr>
              <w:jc w:val="center"/>
              <w:rPr>
                <w:rFonts w:hint="eastAsia" w:ascii="宋体" w:hAnsi="宋体" w:cs="宋体"/>
                <w:color w:val="auto"/>
                <w:szCs w:val="21"/>
              </w:rPr>
            </w:pPr>
            <w:r>
              <w:rPr>
                <w:rFonts w:hint="eastAsia" w:ascii="宋体" w:hAnsi="宋体" w:cs="宋体"/>
                <w:color w:val="auto"/>
                <w:szCs w:val="21"/>
              </w:rPr>
              <w:t>4</w:t>
            </w:r>
          </w:p>
        </w:tc>
        <w:tc>
          <w:tcPr>
            <w:tcW w:w="1587" w:type="dxa"/>
            <w:vAlign w:val="center"/>
          </w:tcPr>
          <w:p w14:paraId="227DAB0B">
            <w:pPr>
              <w:jc w:val="center"/>
              <w:rPr>
                <w:rFonts w:hint="eastAsia" w:ascii="宋体" w:hAnsi="宋体" w:cs="宋体"/>
                <w:color w:val="auto"/>
                <w:szCs w:val="21"/>
              </w:rPr>
            </w:pPr>
            <w:r>
              <w:rPr>
                <w:rFonts w:hint="eastAsia" w:ascii="宋体" w:hAnsi="宋体" w:cs="宋体"/>
                <w:color w:val="auto"/>
                <w:szCs w:val="21"/>
              </w:rPr>
              <w:t>砷</w:t>
            </w:r>
          </w:p>
        </w:tc>
        <w:tc>
          <w:tcPr>
            <w:tcW w:w="1286" w:type="dxa"/>
            <w:vAlign w:val="center"/>
          </w:tcPr>
          <w:p w14:paraId="4A179000">
            <w:pPr>
              <w:jc w:val="center"/>
              <w:rPr>
                <w:rFonts w:hint="eastAsia" w:ascii="宋体" w:hAnsi="宋体" w:cs="宋体"/>
                <w:color w:val="auto"/>
                <w:szCs w:val="21"/>
              </w:rPr>
            </w:pPr>
            <w:r>
              <w:rPr>
                <w:rFonts w:hint="eastAsia" w:ascii="宋体" w:hAnsi="宋体" w:cs="宋体"/>
                <w:color w:val="auto"/>
                <w:szCs w:val="21"/>
              </w:rPr>
              <w:t>60</w:t>
            </w:r>
          </w:p>
        </w:tc>
        <w:tc>
          <w:tcPr>
            <w:tcW w:w="862" w:type="dxa"/>
            <w:vAlign w:val="center"/>
          </w:tcPr>
          <w:p w14:paraId="04FC2306">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57D85A8B">
            <w:pPr>
              <w:jc w:val="center"/>
              <w:rPr>
                <w:rFonts w:hint="eastAsia" w:ascii="宋体" w:hAnsi="宋体" w:cs="宋体"/>
                <w:color w:val="auto"/>
                <w:szCs w:val="21"/>
              </w:rPr>
            </w:pPr>
            <w:r>
              <w:rPr>
                <w:rFonts w:hint="eastAsia" w:ascii="宋体" w:hAnsi="宋体" w:cs="宋体"/>
                <w:color w:val="auto"/>
                <w:szCs w:val="21"/>
              </w:rPr>
              <w:t>6.0</w:t>
            </w:r>
          </w:p>
        </w:tc>
        <w:tc>
          <w:tcPr>
            <w:tcW w:w="1146" w:type="dxa"/>
            <w:vAlign w:val="center"/>
          </w:tcPr>
          <w:p w14:paraId="22167DA2">
            <w:pPr>
              <w:jc w:val="center"/>
              <w:rPr>
                <w:rFonts w:hint="eastAsia" w:ascii="宋体" w:hAnsi="宋体" w:cs="宋体"/>
                <w:color w:val="auto"/>
                <w:szCs w:val="21"/>
              </w:rPr>
            </w:pPr>
            <w:r>
              <w:rPr>
                <w:rFonts w:hint="eastAsia" w:ascii="宋体" w:hAnsi="宋体" w:cs="宋体"/>
                <w:color w:val="auto"/>
                <w:szCs w:val="21"/>
              </w:rPr>
              <w:t xml:space="preserve">0.1000 </w:t>
            </w:r>
          </w:p>
        </w:tc>
        <w:tc>
          <w:tcPr>
            <w:tcW w:w="1232" w:type="dxa"/>
            <w:vAlign w:val="center"/>
          </w:tcPr>
          <w:p w14:paraId="53DE8259">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1A3B69A6">
            <w:pPr>
              <w:jc w:val="center"/>
              <w:rPr>
                <w:rFonts w:hint="eastAsia" w:ascii="宋体" w:hAnsi="宋体" w:cs="宋体"/>
                <w:color w:val="auto"/>
                <w:szCs w:val="21"/>
              </w:rPr>
            </w:pPr>
            <w:r>
              <w:rPr>
                <w:rFonts w:hint="eastAsia" w:ascii="宋体" w:hAnsi="宋体" w:cs="宋体"/>
                <w:color w:val="auto"/>
                <w:szCs w:val="21"/>
              </w:rPr>
              <w:t>10.3</w:t>
            </w:r>
          </w:p>
        </w:tc>
        <w:tc>
          <w:tcPr>
            <w:tcW w:w="1248" w:type="dxa"/>
            <w:vAlign w:val="center"/>
          </w:tcPr>
          <w:p w14:paraId="7450CC8F">
            <w:pPr>
              <w:jc w:val="center"/>
              <w:rPr>
                <w:rFonts w:hint="eastAsia" w:ascii="宋体" w:hAnsi="宋体" w:cs="宋体"/>
                <w:color w:val="auto"/>
                <w:szCs w:val="21"/>
              </w:rPr>
            </w:pPr>
            <w:r>
              <w:rPr>
                <w:rFonts w:hint="eastAsia" w:ascii="宋体" w:hAnsi="宋体" w:cs="宋体"/>
                <w:color w:val="auto"/>
                <w:szCs w:val="21"/>
              </w:rPr>
              <w:t xml:space="preserve">0.1717 </w:t>
            </w:r>
          </w:p>
        </w:tc>
        <w:tc>
          <w:tcPr>
            <w:tcW w:w="1041" w:type="dxa"/>
            <w:vAlign w:val="center"/>
          </w:tcPr>
          <w:p w14:paraId="5AC4802F">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3F767D31">
            <w:pPr>
              <w:jc w:val="center"/>
              <w:rPr>
                <w:rFonts w:hint="eastAsia" w:ascii="宋体" w:hAnsi="宋体" w:cs="宋体"/>
                <w:color w:val="auto"/>
                <w:szCs w:val="21"/>
              </w:rPr>
            </w:pPr>
            <w:r>
              <w:rPr>
                <w:rFonts w:hint="eastAsia" w:ascii="宋体" w:hAnsi="宋体" w:cs="宋体"/>
                <w:color w:val="auto"/>
                <w:szCs w:val="21"/>
              </w:rPr>
              <w:t>7.9</w:t>
            </w:r>
          </w:p>
        </w:tc>
        <w:tc>
          <w:tcPr>
            <w:tcW w:w="1158" w:type="dxa"/>
            <w:vAlign w:val="center"/>
          </w:tcPr>
          <w:p w14:paraId="3FAD8CC7">
            <w:pPr>
              <w:jc w:val="center"/>
              <w:rPr>
                <w:rFonts w:hint="eastAsia" w:ascii="宋体" w:hAnsi="宋体" w:cs="宋体"/>
                <w:color w:val="auto"/>
                <w:szCs w:val="21"/>
              </w:rPr>
            </w:pPr>
            <w:r>
              <w:rPr>
                <w:rFonts w:hint="eastAsia" w:ascii="宋体" w:hAnsi="宋体" w:cs="宋体"/>
                <w:color w:val="auto"/>
                <w:szCs w:val="21"/>
              </w:rPr>
              <w:t xml:space="preserve">0.1317 </w:t>
            </w:r>
          </w:p>
        </w:tc>
        <w:tc>
          <w:tcPr>
            <w:tcW w:w="1098" w:type="dxa"/>
            <w:vAlign w:val="center"/>
          </w:tcPr>
          <w:p w14:paraId="7FFE8F2C">
            <w:pPr>
              <w:jc w:val="center"/>
              <w:rPr>
                <w:rFonts w:hint="eastAsia" w:ascii="宋体" w:hAnsi="宋体" w:cs="宋体"/>
                <w:color w:val="auto"/>
                <w:szCs w:val="21"/>
              </w:rPr>
            </w:pPr>
            <w:r>
              <w:rPr>
                <w:rFonts w:hint="eastAsia" w:ascii="宋体" w:hAnsi="宋体" w:cs="宋体"/>
                <w:color w:val="auto"/>
                <w:szCs w:val="21"/>
              </w:rPr>
              <w:t>达标</w:t>
            </w:r>
          </w:p>
        </w:tc>
      </w:tr>
      <w:tr w14:paraId="5462CB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78676B4A">
            <w:pPr>
              <w:jc w:val="center"/>
              <w:rPr>
                <w:rFonts w:hint="eastAsia" w:ascii="宋体" w:hAnsi="宋体" w:cs="宋体"/>
                <w:color w:val="auto"/>
                <w:szCs w:val="21"/>
              </w:rPr>
            </w:pPr>
            <w:r>
              <w:rPr>
                <w:rFonts w:hint="eastAsia" w:ascii="宋体" w:hAnsi="宋体" w:cs="宋体"/>
                <w:color w:val="auto"/>
                <w:szCs w:val="21"/>
              </w:rPr>
              <w:t>5</w:t>
            </w:r>
          </w:p>
        </w:tc>
        <w:tc>
          <w:tcPr>
            <w:tcW w:w="1587" w:type="dxa"/>
            <w:vAlign w:val="center"/>
          </w:tcPr>
          <w:p w14:paraId="328BE753">
            <w:pPr>
              <w:jc w:val="center"/>
              <w:rPr>
                <w:rFonts w:hint="eastAsia" w:ascii="宋体" w:hAnsi="宋体" w:cs="宋体"/>
                <w:color w:val="auto"/>
                <w:szCs w:val="21"/>
              </w:rPr>
            </w:pPr>
            <w:r>
              <w:rPr>
                <w:rFonts w:hint="eastAsia" w:ascii="宋体" w:hAnsi="宋体" w:cs="宋体"/>
                <w:color w:val="auto"/>
                <w:szCs w:val="21"/>
              </w:rPr>
              <w:t>铜</w:t>
            </w:r>
          </w:p>
        </w:tc>
        <w:tc>
          <w:tcPr>
            <w:tcW w:w="1286" w:type="dxa"/>
            <w:vAlign w:val="center"/>
          </w:tcPr>
          <w:p w14:paraId="3C36354B">
            <w:pPr>
              <w:jc w:val="center"/>
              <w:rPr>
                <w:rFonts w:hint="eastAsia" w:ascii="宋体" w:hAnsi="宋体" w:cs="宋体"/>
                <w:color w:val="auto"/>
                <w:szCs w:val="21"/>
              </w:rPr>
            </w:pPr>
            <w:r>
              <w:rPr>
                <w:rFonts w:hint="eastAsia" w:ascii="宋体" w:hAnsi="宋体" w:cs="宋体"/>
                <w:color w:val="auto"/>
                <w:szCs w:val="21"/>
              </w:rPr>
              <w:t>18000</w:t>
            </w:r>
          </w:p>
        </w:tc>
        <w:tc>
          <w:tcPr>
            <w:tcW w:w="862" w:type="dxa"/>
            <w:vAlign w:val="center"/>
          </w:tcPr>
          <w:p w14:paraId="06A7456F">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5A1F55DD">
            <w:pPr>
              <w:jc w:val="center"/>
              <w:rPr>
                <w:rFonts w:hint="eastAsia" w:ascii="宋体" w:hAnsi="宋体" w:cs="宋体"/>
                <w:color w:val="auto"/>
                <w:szCs w:val="21"/>
              </w:rPr>
            </w:pPr>
            <w:r>
              <w:rPr>
                <w:rFonts w:hint="eastAsia" w:ascii="宋体" w:hAnsi="宋体" w:cs="宋体"/>
                <w:color w:val="auto"/>
                <w:szCs w:val="21"/>
              </w:rPr>
              <w:t>13.3</w:t>
            </w:r>
          </w:p>
        </w:tc>
        <w:tc>
          <w:tcPr>
            <w:tcW w:w="1146" w:type="dxa"/>
            <w:vAlign w:val="center"/>
          </w:tcPr>
          <w:p w14:paraId="7F2DF55E">
            <w:pPr>
              <w:jc w:val="center"/>
              <w:rPr>
                <w:rFonts w:hint="eastAsia" w:ascii="宋体" w:hAnsi="宋体" w:cs="宋体"/>
                <w:color w:val="auto"/>
                <w:szCs w:val="21"/>
              </w:rPr>
            </w:pPr>
            <w:r>
              <w:rPr>
                <w:rFonts w:hint="eastAsia" w:ascii="宋体" w:hAnsi="宋体" w:cs="宋体"/>
                <w:color w:val="auto"/>
                <w:szCs w:val="21"/>
              </w:rPr>
              <w:t xml:space="preserve">0.0007 </w:t>
            </w:r>
          </w:p>
        </w:tc>
        <w:tc>
          <w:tcPr>
            <w:tcW w:w="1232" w:type="dxa"/>
            <w:vAlign w:val="center"/>
          </w:tcPr>
          <w:p w14:paraId="212B218B">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0EB297DB">
            <w:pPr>
              <w:jc w:val="center"/>
              <w:rPr>
                <w:rFonts w:hint="eastAsia" w:ascii="宋体" w:hAnsi="宋体" w:cs="宋体"/>
                <w:color w:val="auto"/>
                <w:szCs w:val="21"/>
              </w:rPr>
            </w:pPr>
            <w:r>
              <w:rPr>
                <w:rFonts w:hint="eastAsia" w:ascii="宋体" w:hAnsi="宋体" w:cs="宋体"/>
                <w:color w:val="auto"/>
                <w:szCs w:val="21"/>
              </w:rPr>
              <w:t>23.5</w:t>
            </w:r>
          </w:p>
        </w:tc>
        <w:tc>
          <w:tcPr>
            <w:tcW w:w="1248" w:type="dxa"/>
            <w:vAlign w:val="center"/>
          </w:tcPr>
          <w:p w14:paraId="74787589">
            <w:pPr>
              <w:jc w:val="center"/>
              <w:rPr>
                <w:rFonts w:hint="eastAsia" w:ascii="宋体" w:hAnsi="宋体" w:cs="宋体"/>
                <w:color w:val="auto"/>
                <w:szCs w:val="21"/>
              </w:rPr>
            </w:pPr>
            <w:r>
              <w:rPr>
                <w:rFonts w:hint="eastAsia" w:ascii="宋体" w:hAnsi="宋体" w:cs="宋体"/>
                <w:color w:val="auto"/>
                <w:szCs w:val="21"/>
              </w:rPr>
              <w:t xml:space="preserve">0.0013 </w:t>
            </w:r>
          </w:p>
        </w:tc>
        <w:tc>
          <w:tcPr>
            <w:tcW w:w="1041" w:type="dxa"/>
            <w:vAlign w:val="center"/>
          </w:tcPr>
          <w:p w14:paraId="4C4205D3">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1BE64FA3">
            <w:pPr>
              <w:jc w:val="center"/>
              <w:rPr>
                <w:rFonts w:hint="eastAsia" w:ascii="宋体" w:hAnsi="宋体" w:cs="宋体"/>
                <w:color w:val="auto"/>
                <w:szCs w:val="21"/>
              </w:rPr>
            </w:pPr>
            <w:r>
              <w:rPr>
                <w:rFonts w:hint="eastAsia" w:ascii="宋体" w:hAnsi="宋体" w:cs="宋体"/>
                <w:color w:val="auto"/>
                <w:szCs w:val="21"/>
              </w:rPr>
              <w:t>17.6</w:t>
            </w:r>
          </w:p>
        </w:tc>
        <w:tc>
          <w:tcPr>
            <w:tcW w:w="1158" w:type="dxa"/>
            <w:vAlign w:val="center"/>
          </w:tcPr>
          <w:p w14:paraId="6D89EDD7">
            <w:pPr>
              <w:jc w:val="center"/>
              <w:rPr>
                <w:rFonts w:hint="eastAsia" w:ascii="宋体" w:hAnsi="宋体" w:cs="宋体"/>
                <w:color w:val="auto"/>
                <w:szCs w:val="21"/>
              </w:rPr>
            </w:pPr>
            <w:r>
              <w:rPr>
                <w:rFonts w:hint="eastAsia" w:ascii="宋体" w:hAnsi="宋体" w:cs="宋体"/>
                <w:color w:val="auto"/>
                <w:szCs w:val="21"/>
              </w:rPr>
              <w:t xml:space="preserve">0.0010 </w:t>
            </w:r>
          </w:p>
        </w:tc>
        <w:tc>
          <w:tcPr>
            <w:tcW w:w="1098" w:type="dxa"/>
            <w:vAlign w:val="center"/>
          </w:tcPr>
          <w:p w14:paraId="5F7631D6">
            <w:pPr>
              <w:jc w:val="center"/>
              <w:rPr>
                <w:rFonts w:hint="eastAsia" w:ascii="宋体" w:hAnsi="宋体" w:cs="宋体"/>
                <w:color w:val="auto"/>
                <w:szCs w:val="21"/>
              </w:rPr>
            </w:pPr>
            <w:r>
              <w:rPr>
                <w:rFonts w:hint="eastAsia" w:ascii="宋体" w:hAnsi="宋体" w:cs="宋体"/>
                <w:color w:val="auto"/>
                <w:szCs w:val="21"/>
              </w:rPr>
              <w:t>达标</w:t>
            </w:r>
          </w:p>
        </w:tc>
      </w:tr>
      <w:tr w14:paraId="058CB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6D2FDCB1">
            <w:pPr>
              <w:jc w:val="center"/>
              <w:rPr>
                <w:rFonts w:hint="eastAsia" w:ascii="宋体" w:hAnsi="宋体" w:cs="宋体"/>
                <w:color w:val="auto"/>
                <w:szCs w:val="21"/>
              </w:rPr>
            </w:pPr>
            <w:r>
              <w:rPr>
                <w:rFonts w:hint="eastAsia" w:ascii="宋体" w:hAnsi="宋体" w:cs="宋体"/>
                <w:color w:val="auto"/>
                <w:szCs w:val="21"/>
              </w:rPr>
              <w:t>6</w:t>
            </w:r>
          </w:p>
        </w:tc>
        <w:tc>
          <w:tcPr>
            <w:tcW w:w="1587" w:type="dxa"/>
            <w:vAlign w:val="center"/>
          </w:tcPr>
          <w:p w14:paraId="60325EDF">
            <w:pPr>
              <w:jc w:val="center"/>
              <w:rPr>
                <w:rFonts w:hint="eastAsia" w:ascii="宋体" w:hAnsi="宋体" w:cs="宋体"/>
                <w:color w:val="auto"/>
                <w:szCs w:val="21"/>
              </w:rPr>
            </w:pPr>
            <w:r>
              <w:rPr>
                <w:rFonts w:hint="eastAsia" w:ascii="宋体" w:hAnsi="宋体" w:cs="宋体"/>
                <w:color w:val="auto"/>
                <w:szCs w:val="21"/>
              </w:rPr>
              <w:t>铅</w:t>
            </w:r>
          </w:p>
        </w:tc>
        <w:tc>
          <w:tcPr>
            <w:tcW w:w="1286" w:type="dxa"/>
            <w:vAlign w:val="center"/>
          </w:tcPr>
          <w:p w14:paraId="076E727F">
            <w:pPr>
              <w:jc w:val="center"/>
              <w:rPr>
                <w:rFonts w:hint="eastAsia" w:ascii="宋体" w:hAnsi="宋体" w:cs="宋体"/>
                <w:color w:val="auto"/>
                <w:szCs w:val="21"/>
              </w:rPr>
            </w:pPr>
            <w:r>
              <w:rPr>
                <w:rFonts w:hint="eastAsia" w:ascii="宋体" w:hAnsi="宋体" w:cs="宋体"/>
                <w:color w:val="auto"/>
                <w:szCs w:val="21"/>
              </w:rPr>
              <w:t>800</w:t>
            </w:r>
          </w:p>
        </w:tc>
        <w:tc>
          <w:tcPr>
            <w:tcW w:w="862" w:type="dxa"/>
            <w:vAlign w:val="center"/>
          </w:tcPr>
          <w:p w14:paraId="332B31AD">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1B1D94E3">
            <w:pPr>
              <w:jc w:val="center"/>
              <w:rPr>
                <w:rFonts w:hint="eastAsia" w:ascii="宋体" w:hAnsi="宋体" w:cs="宋体"/>
                <w:color w:val="auto"/>
                <w:szCs w:val="21"/>
              </w:rPr>
            </w:pPr>
            <w:r>
              <w:rPr>
                <w:rFonts w:hint="eastAsia" w:ascii="宋体" w:hAnsi="宋体" w:cs="宋体"/>
                <w:color w:val="auto"/>
                <w:szCs w:val="21"/>
              </w:rPr>
              <w:t>7</w:t>
            </w:r>
          </w:p>
        </w:tc>
        <w:tc>
          <w:tcPr>
            <w:tcW w:w="1146" w:type="dxa"/>
            <w:vAlign w:val="center"/>
          </w:tcPr>
          <w:p w14:paraId="58E5968A">
            <w:pPr>
              <w:jc w:val="center"/>
              <w:rPr>
                <w:rFonts w:hint="eastAsia" w:ascii="宋体" w:hAnsi="宋体" w:cs="宋体"/>
                <w:color w:val="auto"/>
                <w:szCs w:val="21"/>
              </w:rPr>
            </w:pPr>
            <w:r>
              <w:rPr>
                <w:rFonts w:hint="eastAsia" w:ascii="宋体" w:hAnsi="宋体" w:cs="宋体"/>
                <w:color w:val="auto"/>
                <w:szCs w:val="21"/>
              </w:rPr>
              <w:t xml:space="preserve">0.0088 </w:t>
            </w:r>
          </w:p>
        </w:tc>
        <w:tc>
          <w:tcPr>
            <w:tcW w:w="1232" w:type="dxa"/>
            <w:vAlign w:val="center"/>
          </w:tcPr>
          <w:p w14:paraId="7ACD104F">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27F7A149">
            <w:pPr>
              <w:jc w:val="center"/>
              <w:rPr>
                <w:rFonts w:hint="eastAsia" w:ascii="宋体" w:hAnsi="宋体" w:cs="宋体"/>
                <w:color w:val="auto"/>
                <w:szCs w:val="21"/>
              </w:rPr>
            </w:pPr>
            <w:r>
              <w:rPr>
                <w:rFonts w:hint="eastAsia" w:ascii="宋体" w:hAnsi="宋体" w:cs="宋体"/>
                <w:color w:val="auto"/>
                <w:szCs w:val="21"/>
              </w:rPr>
              <w:t>14</w:t>
            </w:r>
          </w:p>
        </w:tc>
        <w:tc>
          <w:tcPr>
            <w:tcW w:w="1248" w:type="dxa"/>
            <w:vAlign w:val="center"/>
          </w:tcPr>
          <w:p w14:paraId="61F3274A">
            <w:pPr>
              <w:jc w:val="center"/>
              <w:rPr>
                <w:rFonts w:hint="eastAsia" w:ascii="宋体" w:hAnsi="宋体" w:cs="宋体"/>
                <w:color w:val="auto"/>
                <w:szCs w:val="21"/>
              </w:rPr>
            </w:pPr>
            <w:r>
              <w:rPr>
                <w:rFonts w:hint="eastAsia" w:ascii="宋体" w:hAnsi="宋体" w:cs="宋体"/>
                <w:color w:val="auto"/>
                <w:szCs w:val="21"/>
              </w:rPr>
              <w:t xml:space="preserve">0.0175 </w:t>
            </w:r>
          </w:p>
        </w:tc>
        <w:tc>
          <w:tcPr>
            <w:tcW w:w="1041" w:type="dxa"/>
            <w:vAlign w:val="center"/>
          </w:tcPr>
          <w:p w14:paraId="48371D72">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057176E9">
            <w:pPr>
              <w:jc w:val="center"/>
              <w:rPr>
                <w:rFonts w:hint="eastAsia" w:ascii="宋体" w:hAnsi="宋体" w:cs="宋体"/>
                <w:color w:val="auto"/>
                <w:szCs w:val="21"/>
              </w:rPr>
            </w:pPr>
            <w:r>
              <w:rPr>
                <w:rFonts w:hint="eastAsia" w:ascii="宋体" w:hAnsi="宋体" w:cs="宋体"/>
                <w:color w:val="auto"/>
                <w:szCs w:val="21"/>
              </w:rPr>
              <w:t>9</w:t>
            </w:r>
          </w:p>
        </w:tc>
        <w:tc>
          <w:tcPr>
            <w:tcW w:w="1158" w:type="dxa"/>
            <w:vAlign w:val="center"/>
          </w:tcPr>
          <w:p w14:paraId="6CEB699C">
            <w:pPr>
              <w:jc w:val="center"/>
              <w:rPr>
                <w:rFonts w:hint="eastAsia" w:ascii="宋体" w:hAnsi="宋体" w:cs="宋体"/>
                <w:color w:val="auto"/>
                <w:szCs w:val="21"/>
              </w:rPr>
            </w:pPr>
            <w:r>
              <w:rPr>
                <w:rFonts w:hint="eastAsia" w:ascii="宋体" w:hAnsi="宋体" w:cs="宋体"/>
                <w:color w:val="auto"/>
                <w:szCs w:val="21"/>
              </w:rPr>
              <w:t xml:space="preserve">0.0113 </w:t>
            </w:r>
          </w:p>
        </w:tc>
        <w:tc>
          <w:tcPr>
            <w:tcW w:w="1098" w:type="dxa"/>
            <w:vAlign w:val="center"/>
          </w:tcPr>
          <w:p w14:paraId="1E3F82E1">
            <w:pPr>
              <w:jc w:val="center"/>
              <w:rPr>
                <w:rFonts w:hint="eastAsia" w:ascii="宋体" w:hAnsi="宋体" w:cs="宋体"/>
                <w:color w:val="auto"/>
                <w:szCs w:val="21"/>
              </w:rPr>
            </w:pPr>
            <w:r>
              <w:rPr>
                <w:rFonts w:hint="eastAsia" w:ascii="宋体" w:hAnsi="宋体" w:cs="宋体"/>
                <w:color w:val="auto"/>
                <w:szCs w:val="21"/>
              </w:rPr>
              <w:t>达标</w:t>
            </w:r>
          </w:p>
        </w:tc>
      </w:tr>
      <w:tr w14:paraId="7D4146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02AD5DFF">
            <w:pPr>
              <w:jc w:val="center"/>
              <w:rPr>
                <w:rFonts w:hint="eastAsia" w:ascii="宋体" w:hAnsi="宋体" w:cs="宋体"/>
                <w:color w:val="auto"/>
                <w:szCs w:val="21"/>
              </w:rPr>
            </w:pPr>
            <w:r>
              <w:rPr>
                <w:rFonts w:hint="eastAsia" w:ascii="宋体" w:hAnsi="宋体" w:cs="宋体"/>
                <w:color w:val="auto"/>
                <w:szCs w:val="21"/>
              </w:rPr>
              <w:t>7</w:t>
            </w:r>
          </w:p>
        </w:tc>
        <w:tc>
          <w:tcPr>
            <w:tcW w:w="1587" w:type="dxa"/>
            <w:vAlign w:val="center"/>
          </w:tcPr>
          <w:p w14:paraId="4FFBBAC1">
            <w:pPr>
              <w:jc w:val="center"/>
              <w:rPr>
                <w:rFonts w:hint="eastAsia" w:ascii="宋体" w:hAnsi="宋体" w:cs="宋体"/>
                <w:color w:val="auto"/>
                <w:szCs w:val="21"/>
              </w:rPr>
            </w:pPr>
            <w:r>
              <w:rPr>
                <w:rFonts w:hint="eastAsia" w:ascii="宋体" w:hAnsi="宋体" w:cs="宋体"/>
                <w:color w:val="auto"/>
                <w:szCs w:val="21"/>
              </w:rPr>
              <w:t>镍</w:t>
            </w:r>
          </w:p>
        </w:tc>
        <w:tc>
          <w:tcPr>
            <w:tcW w:w="1286" w:type="dxa"/>
            <w:vAlign w:val="center"/>
          </w:tcPr>
          <w:p w14:paraId="07386406">
            <w:pPr>
              <w:jc w:val="center"/>
              <w:rPr>
                <w:rFonts w:hint="eastAsia" w:ascii="宋体" w:hAnsi="宋体" w:cs="宋体"/>
                <w:color w:val="auto"/>
                <w:szCs w:val="21"/>
              </w:rPr>
            </w:pPr>
            <w:r>
              <w:rPr>
                <w:rFonts w:hint="eastAsia" w:ascii="宋体" w:hAnsi="宋体" w:cs="宋体"/>
                <w:color w:val="auto"/>
                <w:szCs w:val="21"/>
              </w:rPr>
              <w:t>900</w:t>
            </w:r>
          </w:p>
        </w:tc>
        <w:tc>
          <w:tcPr>
            <w:tcW w:w="862" w:type="dxa"/>
            <w:vAlign w:val="center"/>
          </w:tcPr>
          <w:p w14:paraId="1961DF7F">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5AC7D025">
            <w:pPr>
              <w:jc w:val="center"/>
              <w:rPr>
                <w:rFonts w:hint="eastAsia" w:ascii="宋体" w:hAnsi="宋体" w:cs="宋体"/>
                <w:color w:val="auto"/>
                <w:szCs w:val="21"/>
              </w:rPr>
            </w:pPr>
            <w:r>
              <w:rPr>
                <w:rFonts w:hint="eastAsia" w:ascii="宋体" w:hAnsi="宋体" w:cs="宋体"/>
                <w:color w:val="auto"/>
                <w:szCs w:val="21"/>
              </w:rPr>
              <w:t>11</w:t>
            </w:r>
          </w:p>
        </w:tc>
        <w:tc>
          <w:tcPr>
            <w:tcW w:w="1146" w:type="dxa"/>
            <w:vAlign w:val="center"/>
          </w:tcPr>
          <w:p w14:paraId="3E890072">
            <w:pPr>
              <w:jc w:val="center"/>
              <w:rPr>
                <w:rFonts w:hint="eastAsia" w:ascii="宋体" w:hAnsi="宋体" w:cs="宋体"/>
                <w:color w:val="auto"/>
                <w:szCs w:val="21"/>
              </w:rPr>
            </w:pPr>
            <w:r>
              <w:rPr>
                <w:rFonts w:hint="eastAsia" w:ascii="宋体" w:hAnsi="宋体" w:cs="宋体"/>
                <w:color w:val="auto"/>
                <w:szCs w:val="21"/>
              </w:rPr>
              <w:t xml:space="preserve">0.0122 </w:t>
            </w:r>
          </w:p>
        </w:tc>
        <w:tc>
          <w:tcPr>
            <w:tcW w:w="1232" w:type="dxa"/>
            <w:vAlign w:val="center"/>
          </w:tcPr>
          <w:p w14:paraId="28E2E98F">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2426EC1E">
            <w:pPr>
              <w:jc w:val="center"/>
              <w:rPr>
                <w:rFonts w:hint="eastAsia" w:ascii="宋体" w:hAnsi="宋体" w:cs="宋体"/>
                <w:color w:val="auto"/>
                <w:szCs w:val="21"/>
              </w:rPr>
            </w:pPr>
            <w:r>
              <w:rPr>
                <w:rFonts w:hint="eastAsia" w:ascii="宋体" w:hAnsi="宋体" w:cs="宋体"/>
                <w:color w:val="auto"/>
                <w:szCs w:val="21"/>
              </w:rPr>
              <w:t>21</w:t>
            </w:r>
          </w:p>
        </w:tc>
        <w:tc>
          <w:tcPr>
            <w:tcW w:w="1248" w:type="dxa"/>
            <w:vAlign w:val="center"/>
          </w:tcPr>
          <w:p w14:paraId="043CF439">
            <w:pPr>
              <w:jc w:val="center"/>
              <w:rPr>
                <w:rFonts w:hint="eastAsia" w:ascii="宋体" w:hAnsi="宋体" w:cs="宋体"/>
                <w:color w:val="auto"/>
                <w:szCs w:val="21"/>
              </w:rPr>
            </w:pPr>
            <w:r>
              <w:rPr>
                <w:rFonts w:hint="eastAsia" w:ascii="宋体" w:hAnsi="宋体" w:cs="宋体"/>
                <w:color w:val="auto"/>
                <w:szCs w:val="21"/>
              </w:rPr>
              <w:t xml:space="preserve">0.0233 </w:t>
            </w:r>
          </w:p>
        </w:tc>
        <w:tc>
          <w:tcPr>
            <w:tcW w:w="1041" w:type="dxa"/>
            <w:vAlign w:val="center"/>
          </w:tcPr>
          <w:p w14:paraId="3171E076">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78BCD9B8">
            <w:pPr>
              <w:jc w:val="center"/>
              <w:rPr>
                <w:rFonts w:hint="eastAsia" w:ascii="宋体" w:hAnsi="宋体" w:cs="宋体"/>
                <w:color w:val="auto"/>
                <w:szCs w:val="21"/>
              </w:rPr>
            </w:pPr>
            <w:r>
              <w:rPr>
                <w:rFonts w:hint="eastAsia" w:ascii="宋体" w:hAnsi="宋体" w:cs="宋体"/>
                <w:color w:val="auto"/>
                <w:szCs w:val="21"/>
              </w:rPr>
              <w:t>15</w:t>
            </w:r>
          </w:p>
        </w:tc>
        <w:tc>
          <w:tcPr>
            <w:tcW w:w="1158" w:type="dxa"/>
            <w:vAlign w:val="center"/>
          </w:tcPr>
          <w:p w14:paraId="7FF9534A">
            <w:pPr>
              <w:jc w:val="center"/>
              <w:rPr>
                <w:rFonts w:hint="eastAsia" w:ascii="宋体" w:hAnsi="宋体" w:cs="宋体"/>
                <w:color w:val="auto"/>
                <w:szCs w:val="21"/>
              </w:rPr>
            </w:pPr>
            <w:r>
              <w:rPr>
                <w:rFonts w:hint="eastAsia" w:ascii="宋体" w:hAnsi="宋体" w:cs="宋体"/>
                <w:color w:val="auto"/>
                <w:szCs w:val="21"/>
              </w:rPr>
              <w:t xml:space="preserve">0.0167 </w:t>
            </w:r>
          </w:p>
        </w:tc>
        <w:tc>
          <w:tcPr>
            <w:tcW w:w="1098" w:type="dxa"/>
            <w:vAlign w:val="center"/>
          </w:tcPr>
          <w:p w14:paraId="1AFD2A02">
            <w:pPr>
              <w:jc w:val="center"/>
              <w:rPr>
                <w:rFonts w:hint="eastAsia" w:ascii="宋体" w:hAnsi="宋体" w:cs="宋体"/>
                <w:color w:val="auto"/>
                <w:szCs w:val="21"/>
              </w:rPr>
            </w:pPr>
            <w:r>
              <w:rPr>
                <w:rFonts w:hint="eastAsia" w:ascii="宋体" w:hAnsi="宋体" w:cs="宋体"/>
                <w:color w:val="auto"/>
                <w:szCs w:val="21"/>
              </w:rPr>
              <w:t>达标</w:t>
            </w:r>
          </w:p>
        </w:tc>
      </w:tr>
      <w:tr w14:paraId="123B75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90" w:hRule="atLeast"/>
        </w:trPr>
        <w:tc>
          <w:tcPr>
            <w:tcW w:w="563" w:type="dxa"/>
            <w:vAlign w:val="center"/>
          </w:tcPr>
          <w:p w14:paraId="4C368F52">
            <w:pPr>
              <w:jc w:val="center"/>
              <w:rPr>
                <w:rFonts w:hint="eastAsia" w:ascii="宋体" w:hAnsi="宋体" w:cs="宋体"/>
                <w:color w:val="auto"/>
                <w:szCs w:val="21"/>
              </w:rPr>
            </w:pPr>
            <w:r>
              <w:rPr>
                <w:rFonts w:hint="eastAsia" w:ascii="宋体" w:hAnsi="宋体" w:cs="宋体"/>
                <w:color w:val="auto"/>
                <w:szCs w:val="21"/>
              </w:rPr>
              <w:t>8</w:t>
            </w:r>
          </w:p>
        </w:tc>
        <w:tc>
          <w:tcPr>
            <w:tcW w:w="1587" w:type="dxa"/>
            <w:vAlign w:val="center"/>
          </w:tcPr>
          <w:p w14:paraId="642515BA">
            <w:pPr>
              <w:jc w:val="center"/>
              <w:rPr>
                <w:rFonts w:hint="eastAsia" w:ascii="宋体" w:hAnsi="宋体" w:cs="宋体"/>
                <w:color w:val="auto"/>
                <w:szCs w:val="21"/>
              </w:rPr>
            </w:pPr>
            <w:r>
              <w:rPr>
                <w:rFonts w:hint="eastAsia" w:ascii="宋体" w:hAnsi="宋体" w:cs="宋体"/>
                <w:color w:val="auto"/>
                <w:szCs w:val="21"/>
              </w:rPr>
              <w:t>镉</w:t>
            </w:r>
          </w:p>
        </w:tc>
        <w:tc>
          <w:tcPr>
            <w:tcW w:w="1286" w:type="dxa"/>
            <w:vAlign w:val="center"/>
          </w:tcPr>
          <w:p w14:paraId="7DBF71B5">
            <w:pPr>
              <w:jc w:val="center"/>
              <w:rPr>
                <w:rFonts w:hint="eastAsia" w:ascii="宋体" w:hAnsi="宋体" w:cs="宋体"/>
                <w:color w:val="auto"/>
                <w:szCs w:val="21"/>
              </w:rPr>
            </w:pPr>
            <w:r>
              <w:rPr>
                <w:rFonts w:hint="eastAsia" w:ascii="宋体" w:hAnsi="宋体" w:cs="宋体"/>
                <w:color w:val="auto"/>
                <w:szCs w:val="21"/>
              </w:rPr>
              <w:t>65</w:t>
            </w:r>
          </w:p>
        </w:tc>
        <w:tc>
          <w:tcPr>
            <w:tcW w:w="862" w:type="dxa"/>
            <w:vAlign w:val="center"/>
          </w:tcPr>
          <w:p w14:paraId="347A3799">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4FB3B263">
            <w:pPr>
              <w:jc w:val="center"/>
              <w:rPr>
                <w:rFonts w:hint="eastAsia" w:ascii="宋体" w:hAnsi="宋体" w:cs="宋体"/>
                <w:color w:val="auto"/>
                <w:szCs w:val="21"/>
              </w:rPr>
            </w:pPr>
            <w:r>
              <w:rPr>
                <w:rFonts w:hint="eastAsia" w:ascii="宋体" w:hAnsi="宋体" w:cs="宋体"/>
                <w:color w:val="auto"/>
                <w:szCs w:val="21"/>
              </w:rPr>
              <w:t>ND</w:t>
            </w:r>
          </w:p>
        </w:tc>
        <w:tc>
          <w:tcPr>
            <w:tcW w:w="1146" w:type="dxa"/>
            <w:vAlign w:val="center"/>
          </w:tcPr>
          <w:p w14:paraId="3BCF5695">
            <w:pPr>
              <w:jc w:val="center"/>
              <w:rPr>
                <w:rFonts w:hint="eastAsia" w:ascii="宋体" w:hAnsi="宋体" w:cs="宋体"/>
                <w:color w:val="auto"/>
                <w:szCs w:val="21"/>
              </w:rPr>
            </w:pPr>
            <w:r>
              <w:rPr>
                <w:rFonts w:hint="eastAsia" w:ascii="宋体" w:hAnsi="宋体" w:cs="宋体"/>
                <w:color w:val="auto"/>
                <w:szCs w:val="21"/>
              </w:rPr>
              <w:t>/</w:t>
            </w:r>
          </w:p>
        </w:tc>
        <w:tc>
          <w:tcPr>
            <w:tcW w:w="1232" w:type="dxa"/>
            <w:vAlign w:val="center"/>
          </w:tcPr>
          <w:p w14:paraId="1C396B12">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61CD5C51">
            <w:pPr>
              <w:jc w:val="center"/>
              <w:rPr>
                <w:rFonts w:hint="eastAsia" w:ascii="宋体" w:hAnsi="宋体" w:cs="宋体"/>
                <w:color w:val="auto"/>
                <w:szCs w:val="21"/>
              </w:rPr>
            </w:pPr>
            <w:r>
              <w:rPr>
                <w:rFonts w:hint="eastAsia" w:ascii="宋体" w:hAnsi="宋体" w:cs="宋体"/>
                <w:color w:val="auto"/>
                <w:szCs w:val="21"/>
              </w:rPr>
              <w:t>0.13</w:t>
            </w:r>
          </w:p>
        </w:tc>
        <w:tc>
          <w:tcPr>
            <w:tcW w:w="1248" w:type="dxa"/>
            <w:vAlign w:val="center"/>
          </w:tcPr>
          <w:p w14:paraId="1E5B73E8">
            <w:pPr>
              <w:jc w:val="center"/>
              <w:rPr>
                <w:rFonts w:hint="eastAsia" w:ascii="宋体" w:hAnsi="宋体" w:cs="宋体"/>
                <w:color w:val="auto"/>
                <w:szCs w:val="21"/>
              </w:rPr>
            </w:pPr>
            <w:r>
              <w:rPr>
                <w:rFonts w:hint="eastAsia" w:ascii="宋体" w:hAnsi="宋体" w:cs="宋体"/>
                <w:color w:val="auto"/>
                <w:szCs w:val="21"/>
              </w:rPr>
              <w:t xml:space="preserve">0.0020 </w:t>
            </w:r>
          </w:p>
        </w:tc>
        <w:tc>
          <w:tcPr>
            <w:tcW w:w="1041" w:type="dxa"/>
            <w:vAlign w:val="center"/>
          </w:tcPr>
          <w:p w14:paraId="357A5503">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311C23BD">
            <w:pPr>
              <w:jc w:val="center"/>
              <w:rPr>
                <w:rFonts w:hint="eastAsia" w:ascii="宋体" w:hAnsi="宋体" w:cs="宋体"/>
                <w:color w:val="auto"/>
                <w:szCs w:val="21"/>
              </w:rPr>
            </w:pPr>
            <w:r>
              <w:rPr>
                <w:rFonts w:hint="eastAsia" w:ascii="宋体" w:hAnsi="宋体" w:cs="宋体"/>
                <w:color w:val="auto"/>
                <w:szCs w:val="21"/>
              </w:rPr>
              <w:t>1.00</w:t>
            </w:r>
          </w:p>
        </w:tc>
        <w:tc>
          <w:tcPr>
            <w:tcW w:w="1158" w:type="dxa"/>
            <w:vAlign w:val="center"/>
          </w:tcPr>
          <w:p w14:paraId="1F93E6B9">
            <w:pPr>
              <w:jc w:val="center"/>
              <w:rPr>
                <w:rFonts w:hint="eastAsia" w:ascii="宋体" w:hAnsi="宋体" w:cs="宋体"/>
                <w:color w:val="auto"/>
                <w:szCs w:val="21"/>
              </w:rPr>
            </w:pPr>
            <w:r>
              <w:rPr>
                <w:rFonts w:hint="eastAsia" w:ascii="宋体" w:hAnsi="宋体" w:cs="宋体"/>
                <w:color w:val="auto"/>
                <w:szCs w:val="21"/>
              </w:rPr>
              <w:t xml:space="preserve">0.0154 </w:t>
            </w:r>
          </w:p>
        </w:tc>
        <w:tc>
          <w:tcPr>
            <w:tcW w:w="1098" w:type="dxa"/>
            <w:vAlign w:val="center"/>
          </w:tcPr>
          <w:p w14:paraId="0807119D">
            <w:pPr>
              <w:jc w:val="center"/>
              <w:rPr>
                <w:rFonts w:hint="eastAsia" w:ascii="宋体" w:hAnsi="宋体" w:cs="宋体"/>
                <w:color w:val="auto"/>
                <w:szCs w:val="21"/>
              </w:rPr>
            </w:pPr>
            <w:r>
              <w:rPr>
                <w:rFonts w:hint="eastAsia" w:ascii="宋体" w:hAnsi="宋体" w:cs="宋体"/>
                <w:color w:val="auto"/>
                <w:szCs w:val="21"/>
              </w:rPr>
              <w:t>达标</w:t>
            </w:r>
          </w:p>
        </w:tc>
      </w:tr>
      <w:tr w14:paraId="17B2EA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0E1E25D3">
            <w:pPr>
              <w:jc w:val="center"/>
              <w:rPr>
                <w:rFonts w:hint="eastAsia" w:ascii="宋体" w:hAnsi="宋体" w:cs="宋体"/>
                <w:color w:val="auto"/>
                <w:szCs w:val="21"/>
              </w:rPr>
            </w:pPr>
            <w:r>
              <w:rPr>
                <w:rFonts w:hint="eastAsia" w:ascii="宋体" w:hAnsi="宋体" w:cs="宋体"/>
                <w:color w:val="auto"/>
                <w:szCs w:val="21"/>
              </w:rPr>
              <w:t>9</w:t>
            </w:r>
          </w:p>
        </w:tc>
        <w:tc>
          <w:tcPr>
            <w:tcW w:w="1587" w:type="dxa"/>
            <w:vAlign w:val="center"/>
          </w:tcPr>
          <w:p w14:paraId="359DB711">
            <w:pPr>
              <w:jc w:val="center"/>
              <w:rPr>
                <w:rFonts w:hint="eastAsia" w:ascii="宋体" w:hAnsi="宋体" w:cs="宋体"/>
                <w:color w:val="auto"/>
                <w:szCs w:val="21"/>
              </w:rPr>
            </w:pPr>
            <w:r>
              <w:rPr>
                <w:rFonts w:hint="eastAsia" w:ascii="宋体" w:hAnsi="宋体" w:cs="宋体"/>
                <w:color w:val="auto"/>
                <w:szCs w:val="21"/>
              </w:rPr>
              <w:t>六价铬</w:t>
            </w:r>
          </w:p>
        </w:tc>
        <w:tc>
          <w:tcPr>
            <w:tcW w:w="1286" w:type="dxa"/>
            <w:vAlign w:val="center"/>
          </w:tcPr>
          <w:p w14:paraId="7E84CF7A">
            <w:pPr>
              <w:jc w:val="center"/>
              <w:rPr>
                <w:rFonts w:hint="eastAsia" w:ascii="宋体" w:hAnsi="宋体" w:cs="宋体"/>
                <w:color w:val="auto"/>
                <w:szCs w:val="21"/>
              </w:rPr>
            </w:pPr>
            <w:r>
              <w:rPr>
                <w:rFonts w:hint="eastAsia" w:ascii="宋体" w:hAnsi="宋体" w:cs="宋体"/>
                <w:color w:val="auto"/>
                <w:szCs w:val="21"/>
              </w:rPr>
              <w:t>5.7</w:t>
            </w:r>
          </w:p>
        </w:tc>
        <w:tc>
          <w:tcPr>
            <w:tcW w:w="862" w:type="dxa"/>
            <w:vAlign w:val="center"/>
          </w:tcPr>
          <w:p w14:paraId="48188663">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6FE86299">
            <w:pPr>
              <w:jc w:val="center"/>
              <w:rPr>
                <w:rFonts w:hint="eastAsia" w:ascii="宋体" w:hAnsi="宋体" w:cs="宋体"/>
                <w:color w:val="auto"/>
                <w:szCs w:val="21"/>
              </w:rPr>
            </w:pPr>
            <w:r>
              <w:rPr>
                <w:rFonts w:hint="eastAsia" w:ascii="宋体" w:hAnsi="宋体" w:cs="宋体"/>
                <w:color w:val="auto"/>
                <w:szCs w:val="21"/>
              </w:rPr>
              <w:t>ND</w:t>
            </w:r>
          </w:p>
        </w:tc>
        <w:tc>
          <w:tcPr>
            <w:tcW w:w="1146" w:type="dxa"/>
            <w:vAlign w:val="center"/>
          </w:tcPr>
          <w:p w14:paraId="411B713B">
            <w:pPr>
              <w:jc w:val="center"/>
              <w:rPr>
                <w:rFonts w:hint="eastAsia" w:ascii="宋体" w:hAnsi="宋体" w:cs="宋体"/>
                <w:color w:val="auto"/>
                <w:szCs w:val="21"/>
              </w:rPr>
            </w:pPr>
            <w:r>
              <w:rPr>
                <w:rFonts w:hint="eastAsia" w:ascii="宋体" w:hAnsi="宋体" w:cs="宋体"/>
                <w:color w:val="auto"/>
                <w:szCs w:val="21"/>
              </w:rPr>
              <w:t>/</w:t>
            </w:r>
          </w:p>
        </w:tc>
        <w:tc>
          <w:tcPr>
            <w:tcW w:w="1232" w:type="dxa"/>
            <w:vAlign w:val="center"/>
          </w:tcPr>
          <w:p w14:paraId="54D3C2C4">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5AE3CD57">
            <w:pPr>
              <w:jc w:val="center"/>
              <w:rPr>
                <w:rFonts w:hint="eastAsia" w:ascii="宋体" w:hAnsi="宋体" w:cs="宋体"/>
                <w:color w:val="auto"/>
                <w:szCs w:val="21"/>
              </w:rPr>
            </w:pPr>
            <w:r>
              <w:rPr>
                <w:rFonts w:hint="eastAsia" w:ascii="宋体" w:hAnsi="宋体" w:cs="宋体"/>
                <w:color w:val="auto"/>
                <w:szCs w:val="21"/>
              </w:rPr>
              <w:t>ND</w:t>
            </w:r>
          </w:p>
        </w:tc>
        <w:tc>
          <w:tcPr>
            <w:tcW w:w="1248" w:type="dxa"/>
            <w:vAlign w:val="center"/>
          </w:tcPr>
          <w:p w14:paraId="70497146">
            <w:pPr>
              <w:jc w:val="center"/>
              <w:rPr>
                <w:rFonts w:hint="eastAsia" w:ascii="宋体" w:hAnsi="宋体" w:cs="宋体"/>
                <w:color w:val="auto"/>
                <w:szCs w:val="21"/>
              </w:rPr>
            </w:pPr>
            <w:r>
              <w:rPr>
                <w:rFonts w:hint="eastAsia" w:ascii="宋体" w:hAnsi="宋体" w:cs="宋体"/>
                <w:color w:val="auto"/>
                <w:szCs w:val="21"/>
              </w:rPr>
              <w:t>/</w:t>
            </w:r>
          </w:p>
        </w:tc>
        <w:tc>
          <w:tcPr>
            <w:tcW w:w="1041" w:type="dxa"/>
            <w:vAlign w:val="center"/>
          </w:tcPr>
          <w:p w14:paraId="4C8B6F22">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1C3349FD">
            <w:pPr>
              <w:jc w:val="center"/>
              <w:rPr>
                <w:rFonts w:hint="eastAsia" w:ascii="宋体" w:hAnsi="宋体" w:cs="宋体"/>
                <w:color w:val="auto"/>
                <w:szCs w:val="21"/>
              </w:rPr>
            </w:pPr>
            <w:r>
              <w:rPr>
                <w:rFonts w:hint="eastAsia" w:ascii="宋体" w:hAnsi="宋体" w:cs="宋体"/>
                <w:color w:val="auto"/>
                <w:szCs w:val="21"/>
              </w:rPr>
              <w:t>ND</w:t>
            </w:r>
          </w:p>
        </w:tc>
        <w:tc>
          <w:tcPr>
            <w:tcW w:w="1158" w:type="dxa"/>
            <w:vAlign w:val="center"/>
          </w:tcPr>
          <w:p w14:paraId="76AA3231">
            <w:pPr>
              <w:jc w:val="center"/>
              <w:rPr>
                <w:rFonts w:hint="eastAsia" w:ascii="宋体" w:hAnsi="宋体" w:cs="宋体"/>
                <w:color w:val="auto"/>
                <w:szCs w:val="21"/>
              </w:rPr>
            </w:pPr>
            <w:r>
              <w:rPr>
                <w:rFonts w:hint="eastAsia" w:ascii="宋体" w:hAnsi="宋体" w:cs="宋体"/>
                <w:color w:val="auto"/>
                <w:szCs w:val="21"/>
              </w:rPr>
              <w:t>/</w:t>
            </w:r>
          </w:p>
        </w:tc>
        <w:tc>
          <w:tcPr>
            <w:tcW w:w="1098" w:type="dxa"/>
            <w:vAlign w:val="center"/>
          </w:tcPr>
          <w:p w14:paraId="7A548658">
            <w:pPr>
              <w:jc w:val="center"/>
              <w:rPr>
                <w:rFonts w:hint="eastAsia" w:ascii="宋体" w:hAnsi="宋体" w:cs="宋体"/>
                <w:color w:val="auto"/>
                <w:szCs w:val="21"/>
              </w:rPr>
            </w:pPr>
            <w:r>
              <w:rPr>
                <w:rFonts w:hint="eastAsia" w:ascii="宋体" w:hAnsi="宋体" w:cs="宋体"/>
                <w:color w:val="auto"/>
                <w:szCs w:val="21"/>
              </w:rPr>
              <w:t>达标</w:t>
            </w:r>
          </w:p>
        </w:tc>
      </w:tr>
      <w:tr w14:paraId="153C4D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45DF3A43">
            <w:pPr>
              <w:jc w:val="center"/>
              <w:rPr>
                <w:rFonts w:hint="eastAsia" w:ascii="宋体" w:hAnsi="宋体" w:cs="宋体"/>
                <w:color w:val="auto"/>
                <w:szCs w:val="21"/>
              </w:rPr>
            </w:pPr>
            <w:r>
              <w:rPr>
                <w:rFonts w:hint="eastAsia" w:ascii="宋体" w:hAnsi="宋体" w:cs="宋体"/>
                <w:color w:val="auto"/>
                <w:szCs w:val="21"/>
              </w:rPr>
              <w:t>10</w:t>
            </w:r>
          </w:p>
        </w:tc>
        <w:tc>
          <w:tcPr>
            <w:tcW w:w="1587" w:type="dxa"/>
            <w:vAlign w:val="center"/>
          </w:tcPr>
          <w:p w14:paraId="1FCB0325">
            <w:pPr>
              <w:jc w:val="center"/>
              <w:rPr>
                <w:rFonts w:hint="eastAsia" w:ascii="宋体" w:hAnsi="宋体" w:cs="宋体"/>
                <w:color w:val="auto"/>
                <w:szCs w:val="21"/>
              </w:rPr>
            </w:pPr>
            <w:r>
              <w:rPr>
                <w:rFonts w:hint="eastAsia" w:ascii="宋体" w:hAnsi="宋体" w:cs="宋体"/>
                <w:color w:val="auto"/>
                <w:szCs w:val="21"/>
              </w:rPr>
              <w:t>石油烃</w:t>
            </w:r>
          </w:p>
        </w:tc>
        <w:tc>
          <w:tcPr>
            <w:tcW w:w="1286" w:type="dxa"/>
            <w:vAlign w:val="center"/>
          </w:tcPr>
          <w:p w14:paraId="4A445E02">
            <w:pPr>
              <w:jc w:val="center"/>
              <w:rPr>
                <w:rFonts w:hint="eastAsia" w:ascii="宋体" w:hAnsi="宋体" w:cs="宋体"/>
                <w:color w:val="auto"/>
                <w:szCs w:val="21"/>
              </w:rPr>
            </w:pPr>
            <w:r>
              <w:rPr>
                <w:rFonts w:hint="eastAsia" w:ascii="宋体" w:hAnsi="宋体" w:cs="宋体"/>
                <w:color w:val="auto"/>
                <w:szCs w:val="21"/>
              </w:rPr>
              <w:t>4500</w:t>
            </w:r>
          </w:p>
        </w:tc>
        <w:tc>
          <w:tcPr>
            <w:tcW w:w="862" w:type="dxa"/>
            <w:vAlign w:val="center"/>
          </w:tcPr>
          <w:p w14:paraId="3BD75C14">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4FF42D94">
            <w:pPr>
              <w:jc w:val="center"/>
              <w:rPr>
                <w:rFonts w:hint="eastAsia" w:ascii="宋体" w:hAnsi="宋体" w:cs="宋体"/>
                <w:color w:val="auto"/>
                <w:szCs w:val="21"/>
              </w:rPr>
            </w:pPr>
            <w:r>
              <w:rPr>
                <w:rFonts w:hint="eastAsia" w:ascii="宋体" w:hAnsi="宋体" w:cs="宋体"/>
                <w:color w:val="auto"/>
                <w:szCs w:val="21"/>
              </w:rPr>
              <w:t>35.6</w:t>
            </w:r>
          </w:p>
        </w:tc>
        <w:tc>
          <w:tcPr>
            <w:tcW w:w="1146" w:type="dxa"/>
            <w:vAlign w:val="center"/>
          </w:tcPr>
          <w:p w14:paraId="65855716">
            <w:pPr>
              <w:jc w:val="center"/>
              <w:rPr>
                <w:rFonts w:hint="eastAsia" w:ascii="宋体" w:hAnsi="宋体" w:cs="宋体"/>
                <w:color w:val="auto"/>
                <w:szCs w:val="21"/>
              </w:rPr>
            </w:pPr>
            <w:r>
              <w:rPr>
                <w:rFonts w:hint="eastAsia" w:ascii="宋体" w:hAnsi="宋体" w:cs="宋体"/>
                <w:color w:val="auto"/>
                <w:szCs w:val="21"/>
              </w:rPr>
              <w:t>0.0079</w:t>
            </w:r>
          </w:p>
        </w:tc>
        <w:tc>
          <w:tcPr>
            <w:tcW w:w="1232" w:type="dxa"/>
            <w:vAlign w:val="center"/>
          </w:tcPr>
          <w:p w14:paraId="476ADC68">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69964D75">
            <w:pPr>
              <w:jc w:val="center"/>
              <w:rPr>
                <w:rFonts w:hint="eastAsia" w:ascii="宋体" w:hAnsi="宋体" w:cs="宋体"/>
                <w:color w:val="auto"/>
                <w:szCs w:val="21"/>
              </w:rPr>
            </w:pPr>
            <w:r>
              <w:rPr>
                <w:rFonts w:hint="eastAsia" w:ascii="宋体" w:hAnsi="宋体" w:cs="宋体"/>
                <w:color w:val="auto"/>
                <w:szCs w:val="21"/>
              </w:rPr>
              <w:t>31.7</w:t>
            </w:r>
          </w:p>
        </w:tc>
        <w:tc>
          <w:tcPr>
            <w:tcW w:w="1248" w:type="dxa"/>
            <w:vAlign w:val="center"/>
          </w:tcPr>
          <w:p w14:paraId="46266CE0">
            <w:pPr>
              <w:jc w:val="center"/>
              <w:rPr>
                <w:rFonts w:hint="eastAsia" w:ascii="宋体" w:hAnsi="宋体" w:cs="宋体"/>
                <w:color w:val="auto"/>
                <w:szCs w:val="21"/>
              </w:rPr>
            </w:pPr>
            <w:r>
              <w:rPr>
                <w:rFonts w:hint="eastAsia" w:ascii="宋体" w:hAnsi="宋体" w:cs="宋体"/>
                <w:color w:val="auto"/>
                <w:szCs w:val="21"/>
              </w:rPr>
              <w:t>0.0070</w:t>
            </w:r>
          </w:p>
        </w:tc>
        <w:tc>
          <w:tcPr>
            <w:tcW w:w="1041" w:type="dxa"/>
            <w:vAlign w:val="center"/>
          </w:tcPr>
          <w:p w14:paraId="4B2BB261">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66670761">
            <w:pPr>
              <w:jc w:val="center"/>
              <w:rPr>
                <w:rFonts w:hint="eastAsia" w:ascii="宋体" w:hAnsi="宋体" w:cs="宋体"/>
                <w:color w:val="auto"/>
                <w:szCs w:val="21"/>
              </w:rPr>
            </w:pPr>
            <w:r>
              <w:rPr>
                <w:rFonts w:hint="eastAsia" w:ascii="宋体" w:hAnsi="宋体" w:cs="宋体"/>
                <w:color w:val="auto"/>
                <w:szCs w:val="21"/>
              </w:rPr>
              <w:t>29.0</w:t>
            </w:r>
          </w:p>
        </w:tc>
        <w:tc>
          <w:tcPr>
            <w:tcW w:w="1158" w:type="dxa"/>
            <w:vAlign w:val="center"/>
          </w:tcPr>
          <w:p w14:paraId="199313C5">
            <w:pPr>
              <w:jc w:val="center"/>
              <w:rPr>
                <w:rFonts w:hint="eastAsia" w:ascii="宋体" w:hAnsi="宋体" w:cs="宋体"/>
                <w:color w:val="auto"/>
                <w:szCs w:val="21"/>
              </w:rPr>
            </w:pPr>
            <w:r>
              <w:rPr>
                <w:rFonts w:hint="eastAsia" w:ascii="宋体" w:hAnsi="宋体" w:cs="宋体"/>
                <w:color w:val="auto"/>
                <w:szCs w:val="21"/>
              </w:rPr>
              <w:t>0.0064</w:t>
            </w:r>
          </w:p>
        </w:tc>
        <w:tc>
          <w:tcPr>
            <w:tcW w:w="1098" w:type="dxa"/>
            <w:vAlign w:val="center"/>
          </w:tcPr>
          <w:p w14:paraId="3A6A25E3">
            <w:pPr>
              <w:jc w:val="center"/>
              <w:rPr>
                <w:rFonts w:hint="eastAsia" w:ascii="宋体" w:hAnsi="宋体" w:cs="宋体"/>
                <w:color w:val="auto"/>
                <w:szCs w:val="21"/>
              </w:rPr>
            </w:pPr>
            <w:r>
              <w:rPr>
                <w:rFonts w:hint="eastAsia" w:ascii="宋体" w:hAnsi="宋体" w:cs="宋体"/>
                <w:color w:val="auto"/>
                <w:szCs w:val="21"/>
              </w:rPr>
              <w:t>达标</w:t>
            </w:r>
          </w:p>
        </w:tc>
      </w:tr>
      <w:tr w14:paraId="0319EB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3" w:type="dxa"/>
            <w:vAlign w:val="center"/>
          </w:tcPr>
          <w:p w14:paraId="457917FB">
            <w:pPr>
              <w:jc w:val="center"/>
              <w:rPr>
                <w:rFonts w:hint="eastAsia" w:ascii="宋体" w:hAnsi="宋体" w:cs="宋体"/>
                <w:color w:val="auto"/>
                <w:kern w:val="0"/>
                <w:szCs w:val="21"/>
              </w:rPr>
            </w:pPr>
            <w:r>
              <w:rPr>
                <w:rFonts w:hint="eastAsia" w:ascii="宋体" w:hAnsi="宋体" w:cs="宋体"/>
                <w:color w:val="auto"/>
                <w:szCs w:val="21"/>
              </w:rPr>
              <w:t>/</w:t>
            </w:r>
          </w:p>
        </w:tc>
        <w:tc>
          <w:tcPr>
            <w:tcW w:w="1587" w:type="dxa"/>
            <w:vAlign w:val="center"/>
          </w:tcPr>
          <w:p w14:paraId="5199E3A1">
            <w:pPr>
              <w:jc w:val="center"/>
              <w:rPr>
                <w:rFonts w:hint="eastAsia" w:ascii="宋体" w:hAnsi="宋体" w:cs="宋体"/>
                <w:color w:val="auto"/>
                <w:kern w:val="0"/>
                <w:szCs w:val="21"/>
              </w:rPr>
            </w:pPr>
            <w:r>
              <w:rPr>
                <w:rFonts w:hint="eastAsia" w:ascii="宋体" w:hAnsi="宋体" w:cs="宋体"/>
                <w:color w:val="auto"/>
                <w:szCs w:val="21"/>
              </w:rPr>
              <w:t>/</w:t>
            </w:r>
          </w:p>
        </w:tc>
        <w:tc>
          <w:tcPr>
            <w:tcW w:w="1286" w:type="dxa"/>
            <w:vAlign w:val="center"/>
          </w:tcPr>
          <w:p w14:paraId="17BE8376">
            <w:pPr>
              <w:jc w:val="center"/>
              <w:rPr>
                <w:rFonts w:hint="eastAsia" w:ascii="宋体" w:hAnsi="宋体" w:cs="宋体"/>
                <w:color w:val="auto"/>
                <w:kern w:val="0"/>
                <w:szCs w:val="21"/>
              </w:rPr>
            </w:pPr>
            <w:r>
              <w:rPr>
                <w:rFonts w:hint="eastAsia" w:ascii="宋体" w:hAnsi="宋体" w:cs="宋体"/>
                <w:color w:val="auto"/>
                <w:szCs w:val="21"/>
              </w:rPr>
              <w:t>/</w:t>
            </w:r>
          </w:p>
        </w:tc>
        <w:tc>
          <w:tcPr>
            <w:tcW w:w="862" w:type="dxa"/>
            <w:vAlign w:val="center"/>
          </w:tcPr>
          <w:p w14:paraId="02C615E5">
            <w:pPr>
              <w:jc w:val="center"/>
              <w:rPr>
                <w:rFonts w:hint="eastAsia" w:ascii="宋体" w:hAnsi="宋体" w:cs="宋体"/>
                <w:color w:val="auto"/>
                <w:szCs w:val="21"/>
              </w:rPr>
            </w:pPr>
            <w:r>
              <w:rPr>
                <w:rFonts w:hint="eastAsia" w:ascii="宋体" w:hAnsi="宋体" w:cs="宋体"/>
                <w:color w:val="auto"/>
                <w:szCs w:val="21"/>
              </w:rPr>
              <w:t>/</w:t>
            </w:r>
          </w:p>
        </w:tc>
        <w:tc>
          <w:tcPr>
            <w:tcW w:w="3237" w:type="dxa"/>
            <w:gridSpan w:val="3"/>
            <w:vAlign w:val="center"/>
          </w:tcPr>
          <w:p w14:paraId="0442A55F">
            <w:pPr>
              <w:jc w:val="center"/>
              <w:rPr>
                <w:rFonts w:hint="eastAsia" w:ascii="宋体" w:hAnsi="宋体" w:cs="宋体"/>
                <w:color w:val="auto"/>
                <w:szCs w:val="21"/>
              </w:rPr>
            </w:pPr>
            <w:r>
              <w:rPr>
                <w:rFonts w:hint="eastAsia" w:ascii="宋体" w:hAnsi="宋体" w:cs="宋体"/>
                <w:color w:val="auto"/>
                <w:szCs w:val="21"/>
              </w:rPr>
              <w:t>S3(0m～0.5m)</w:t>
            </w:r>
          </w:p>
        </w:tc>
        <w:tc>
          <w:tcPr>
            <w:tcW w:w="3350" w:type="dxa"/>
            <w:gridSpan w:val="3"/>
            <w:vAlign w:val="center"/>
          </w:tcPr>
          <w:p w14:paraId="0BCEE351">
            <w:pPr>
              <w:jc w:val="center"/>
              <w:rPr>
                <w:rFonts w:hint="eastAsia" w:ascii="宋体" w:hAnsi="宋体" w:cs="宋体"/>
                <w:color w:val="auto"/>
                <w:szCs w:val="21"/>
              </w:rPr>
            </w:pPr>
            <w:r>
              <w:rPr>
                <w:rFonts w:hint="eastAsia" w:ascii="宋体" w:hAnsi="宋体" w:cs="宋体"/>
                <w:color w:val="auto"/>
                <w:szCs w:val="21"/>
              </w:rPr>
              <w:t>S3(0.5m～1.5m)</w:t>
            </w:r>
          </w:p>
        </w:tc>
        <w:tc>
          <w:tcPr>
            <w:tcW w:w="3229" w:type="dxa"/>
            <w:gridSpan w:val="4"/>
            <w:vAlign w:val="center"/>
          </w:tcPr>
          <w:p w14:paraId="1AF34E92">
            <w:pPr>
              <w:jc w:val="center"/>
              <w:rPr>
                <w:rFonts w:hint="eastAsia" w:ascii="宋体" w:hAnsi="宋体" w:cs="宋体"/>
                <w:color w:val="auto"/>
                <w:szCs w:val="21"/>
              </w:rPr>
            </w:pPr>
            <w:r>
              <w:rPr>
                <w:rFonts w:hint="eastAsia" w:ascii="宋体" w:hAnsi="宋体" w:cs="宋体"/>
                <w:color w:val="auto"/>
                <w:szCs w:val="21"/>
              </w:rPr>
              <w:t>S3(1.5m～3m)</w:t>
            </w:r>
          </w:p>
        </w:tc>
      </w:tr>
      <w:tr w14:paraId="7A829C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146A2E09">
            <w:pPr>
              <w:jc w:val="center"/>
              <w:rPr>
                <w:rFonts w:hint="eastAsia" w:ascii="宋体" w:hAnsi="宋体" w:cs="宋体"/>
                <w:color w:val="auto"/>
                <w:kern w:val="0"/>
                <w:szCs w:val="21"/>
              </w:rPr>
            </w:pPr>
            <w:r>
              <w:rPr>
                <w:rFonts w:hint="eastAsia" w:ascii="宋体" w:hAnsi="宋体" w:cs="宋体"/>
                <w:color w:val="auto"/>
                <w:szCs w:val="21"/>
              </w:rPr>
              <w:t>1</w:t>
            </w:r>
          </w:p>
        </w:tc>
        <w:tc>
          <w:tcPr>
            <w:tcW w:w="1587" w:type="dxa"/>
            <w:vAlign w:val="center"/>
          </w:tcPr>
          <w:p w14:paraId="4874DCE6">
            <w:pPr>
              <w:jc w:val="center"/>
              <w:rPr>
                <w:rFonts w:hint="eastAsia" w:ascii="宋体" w:hAnsi="宋体" w:cs="宋体"/>
                <w:color w:val="auto"/>
                <w:szCs w:val="21"/>
              </w:rPr>
            </w:pPr>
            <w:r>
              <w:rPr>
                <w:rFonts w:hint="eastAsia" w:ascii="宋体" w:hAnsi="宋体" w:cs="宋体"/>
                <w:color w:val="auto"/>
                <w:szCs w:val="21"/>
              </w:rPr>
              <w:t>pH</w:t>
            </w:r>
          </w:p>
        </w:tc>
        <w:tc>
          <w:tcPr>
            <w:tcW w:w="1286" w:type="dxa"/>
            <w:vAlign w:val="center"/>
          </w:tcPr>
          <w:p w14:paraId="464B34ED">
            <w:pPr>
              <w:jc w:val="center"/>
              <w:rPr>
                <w:rFonts w:hint="eastAsia" w:ascii="宋体" w:hAnsi="宋体" w:cs="宋体"/>
                <w:color w:val="auto"/>
                <w:szCs w:val="21"/>
              </w:rPr>
            </w:pPr>
            <w:r>
              <w:rPr>
                <w:rFonts w:hint="eastAsia" w:ascii="宋体" w:hAnsi="宋体" w:cs="宋体"/>
                <w:color w:val="auto"/>
                <w:szCs w:val="21"/>
              </w:rPr>
              <w:t>/</w:t>
            </w:r>
          </w:p>
        </w:tc>
        <w:tc>
          <w:tcPr>
            <w:tcW w:w="862" w:type="dxa"/>
            <w:vAlign w:val="center"/>
          </w:tcPr>
          <w:p w14:paraId="4E3A4BFA">
            <w:pPr>
              <w:jc w:val="center"/>
              <w:rPr>
                <w:rFonts w:hint="eastAsia" w:ascii="宋体" w:hAnsi="宋体" w:cs="宋体"/>
                <w:color w:val="auto"/>
                <w:szCs w:val="21"/>
              </w:rPr>
            </w:pPr>
            <w:r>
              <w:rPr>
                <w:rFonts w:hint="eastAsia" w:ascii="宋体" w:hAnsi="宋体" w:cs="宋体"/>
                <w:color w:val="auto"/>
                <w:szCs w:val="21"/>
              </w:rPr>
              <w:t>/</w:t>
            </w:r>
          </w:p>
        </w:tc>
        <w:tc>
          <w:tcPr>
            <w:tcW w:w="859" w:type="dxa"/>
            <w:vAlign w:val="center"/>
          </w:tcPr>
          <w:p w14:paraId="2D819488">
            <w:pPr>
              <w:jc w:val="center"/>
              <w:rPr>
                <w:rFonts w:hint="eastAsia" w:ascii="宋体" w:hAnsi="宋体" w:cs="宋体"/>
                <w:color w:val="auto"/>
                <w:szCs w:val="21"/>
              </w:rPr>
            </w:pPr>
            <w:r>
              <w:rPr>
                <w:rFonts w:hint="eastAsia" w:ascii="宋体" w:hAnsi="宋体" w:cs="宋体"/>
                <w:color w:val="auto"/>
                <w:szCs w:val="21"/>
              </w:rPr>
              <w:t>8.01</w:t>
            </w:r>
          </w:p>
        </w:tc>
        <w:tc>
          <w:tcPr>
            <w:tcW w:w="1146" w:type="dxa"/>
            <w:vAlign w:val="center"/>
          </w:tcPr>
          <w:p w14:paraId="5F2BEFA9">
            <w:pPr>
              <w:jc w:val="center"/>
              <w:rPr>
                <w:rFonts w:hint="eastAsia" w:ascii="宋体" w:hAnsi="宋体" w:cs="宋体"/>
                <w:color w:val="auto"/>
                <w:szCs w:val="21"/>
              </w:rPr>
            </w:pPr>
            <w:r>
              <w:rPr>
                <w:rFonts w:hint="eastAsia" w:ascii="宋体" w:hAnsi="宋体" w:cs="宋体"/>
                <w:color w:val="auto"/>
                <w:szCs w:val="21"/>
              </w:rPr>
              <w:t>/</w:t>
            </w:r>
          </w:p>
        </w:tc>
        <w:tc>
          <w:tcPr>
            <w:tcW w:w="1232" w:type="dxa"/>
            <w:vAlign w:val="center"/>
          </w:tcPr>
          <w:p w14:paraId="33960076">
            <w:pPr>
              <w:jc w:val="center"/>
              <w:rPr>
                <w:rFonts w:hint="eastAsia" w:ascii="宋体" w:hAnsi="宋体" w:cs="宋体"/>
                <w:color w:val="auto"/>
                <w:szCs w:val="21"/>
              </w:rPr>
            </w:pPr>
            <w:r>
              <w:rPr>
                <w:rFonts w:hint="eastAsia" w:ascii="宋体" w:hAnsi="宋体" w:cs="宋体"/>
                <w:color w:val="auto"/>
                <w:szCs w:val="21"/>
              </w:rPr>
              <w:t>/</w:t>
            </w:r>
          </w:p>
        </w:tc>
        <w:tc>
          <w:tcPr>
            <w:tcW w:w="1061" w:type="dxa"/>
            <w:vAlign w:val="center"/>
          </w:tcPr>
          <w:p w14:paraId="1C9C6F15">
            <w:pPr>
              <w:jc w:val="center"/>
              <w:rPr>
                <w:rFonts w:hint="eastAsia" w:ascii="宋体" w:hAnsi="宋体" w:cs="宋体"/>
                <w:color w:val="auto"/>
                <w:szCs w:val="21"/>
              </w:rPr>
            </w:pPr>
            <w:r>
              <w:rPr>
                <w:rFonts w:hint="eastAsia" w:ascii="宋体" w:hAnsi="宋体" w:cs="宋体"/>
                <w:color w:val="auto"/>
                <w:szCs w:val="21"/>
              </w:rPr>
              <w:t>8.03</w:t>
            </w:r>
          </w:p>
        </w:tc>
        <w:tc>
          <w:tcPr>
            <w:tcW w:w="1248" w:type="dxa"/>
            <w:vAlign w:val="center"/>
          </w:tcPr>
          <w:p w14:paraId="385E45A8">
            <w:pPr>
              <w:jc w:val="center"/>
              <w:rPr>
                <w:rFonts w:hint="eastAsia" w:ascii="宋体" w:hAnsi="宋体" w:cs="宋体"/>
                <w:color w:val="auto"/>
                <w:szCs w:val="21"/>
              </w:rPr>
            </w:pPr>
            <w:r>
              <w:rPr>
                <w:rFonts w:hint="eastAsia" w:ascii="宋体" w:hAnsi="宋体" w:cs="宋体"/>
                <w:color w:val="auto"/>
                <w:szCs w:val="21"/>
              </w:rPr>
              <w:t>/</w:t>
            </w:r>
          </w:p>
        </w:tc>
        <w:tc>
          <w:tcPr>
            <w:tcW w:w="1041" w:type="dxa"/>
            <w:vAlign w:val="center"/>
          </w:tcPr>
          <w:p w14:paraId="13A30D62">
            <w:pPr>
              <w:jc w:val="center"/>
              <w:rPr>
                <w:rFonts w:hint="eastAsia" w:ascii="宋体" w:hAnsi="宋体" w:cs="宋体"/>
                <w:color w:val="auto"/>
                <w:szCs w:val="21"/>
              </w:rPr>
            </w:pPr>
            <w:r>
              <w:rPr>
                <w:rFonts w:hint="eastAsia" w:ascii="宋体" w:hAnsi="宋体" w:cs="宋体"/>
                <w:color w:val="auto"/>
                <w:szCs w:val="21"/>
              </w:rPr>
              <w:t>/</w:t>
            </w:r>
          </w:p>
        </w:tc>
        <w:tc>
          <w:tcPr>
            <w:tcW w:w="967" w:type="dxa"/>
            <w:vAlign w:val="center"/>
          </w:tcPr>
          <w:p w14:paraId="714529C9">
            <w:pPr>
              <w:jc w:val="center"/>
              <w:rPr>
                <w:rFonts w:hint="eastAsia" w:ascii="宋体" w:hAnsi="宋体" w:cs="宋体"/>
                <w:color w:val="auto"/>
                <w:szCs w:val="21"/>
              </w:rPr>
            </w:pPr>
            <w:r>
              <w:rPr>
                <w:rFonts w:hint="eastAsia" w:ascii="宋体" w:hAnsi="宋体" w:cs="宋体"/>
                <w:color w:val="auto"/>
                <w:szCs w:val="21"/>
              </w:rPr>
              <w:t>7.98</w:t>
            </w:r>
          </w:p>
        </w:tc>
        <w:tc>
          <w:tcPr>
            <w:tcW w:w="1158" w:type="dxa"/>
            <w:vAlign w:val="center"/>
          </w:tcPr>
          <w:p w14:paraId="05610546">
            <w:pPr>
              <w:jc w:val="center"/>
              <w:rPr>
                <w:rFonts w:hint="eastAsia" w:ascii="宋体" w:hAnsi="宋体" w:cs="宋体"/>
                <w:color w:val="auto"/>
                <w:szCs w:val="21"/>
              </w:rPr>
            </w:pPr>
            <w:r>
              <w:rPr>
                <w:rFonts w:hint="eastAsia" w:ascii="宋体" w:hAnsi="宋体" w:cs="宋体"/>
                <w:color w:val="auto"/>
                <w:szCs w:val="21"/>
              </w:rPr>
              <w:t>/</w:t>
            </w:r>
          </w:p>
        </w:tc>
        <w:tc>
          <w:tcPr>
            <w:tcW w:w="1098" w:type="dxa"/>
            <w:vAlign w:val="center"/>
          </w:tcPr>
          <w:p w14:paraId="76140EA4">
            <w:pPr>
              <w:jc w:val="center"/>
              <w:rPr>
                <w:rFonts w:hint="eastAsia" w:ascii="宋体" w:hAnsi="宋体" w:cs="宋体"/>
                <w:color w:val="auto"/>
                <w:szCs w:val="21"/>
              </w:rPr>
            </w:pPr>
            <w:r>
              <w:rPr>
                <w:rFonts w:hint="eastAsia" w:ascii="宋体" w:hAnsi="宋体" w:cs="宋体"/>
                <w:color w:val="auto"/>
                <w:szCs w:val="21"/>
              </w:rPr>
              <w:t>/</w:t>
            </w:r>
          </w:p>
        </w:tc>
      </w:tr>
      <w:tr w14:paraId="77B44E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7FCCA570">
            <w:pPr>
              <w:jc w:val="center"/>
              <w:rPr>
                <w:rFonts w:hint="eastAsia" w:ascii="宋体" w:hAnsi="宋体" w:cs="宋体"/>
                <w:color w:val="auto"/>
                <w:kern w:val="0"/>
                <w:szCs w:val="21"/>
              </w:rPr>
            </w:pPr>
            <w:r>
              <w:rPr>
                <w:rFonts w:hint="eastAsia" w:ascii="宋体" w:hAnsi="宋体" w:cs="宋体"/>
                <w:color w:val="auto"/>
                <w:szCs w:val="21"/>
              </w:rPr>
              <w:t>2</w:t>
            </w:r>
          </w:p>
        </w:tc>
        <w:tc>
          <w:tcPr>
            <w:tcW w:w="1587" w:type="dxa"/>
            <w:vAlign w:val="center"/>
          </w:tcPr>
          <w:p w14:paraId="68F3C7AD">
            <w:pPr>
              <w:jc w:val="center"/>
              <w:rPr>
                <w:rFonts w:hint="eastAsia" w:ascii="宋体" w:hAnsi="宋体" w:cs="宋体"/>
                <w:color w:val="auto"/>
                <w:szCs w:val="21"/>
              </w:rPr>
            </w:pPr>
            <w:r>
              <w:rPr>
                <w:rFonts w:hint="eastAsia" w:ascii="宋体" w:hAnsi="宋体" w:cs="宋体"/>
                <w:color w:val="auto"/>
                <w:szCs w:val="21"/>
              </w:rPr>
              <w:t>土壤盐分含量</w:t>
            </w:r>
          </w:p>
        </w:tc>
        <w:tc>
          <w:tcPr>
            <w:tcW w:w="1286" w:type="dxa"/>
            <w:vAlign w:val="center"/>
          </w:tcPr>
          <w:p w14:paraId="6B4019C7">
            <w:pPr>
              <w:jc w:val="center"/>
              <w:rPr>
                <w:rFonts w:hint="eastAsia" w:ascii="宋体" w:hAnsi="宋体" w:cs="宋体"/>
                <w:color w:val="auto"/>
                <w:szCs w:val="21"/>
              </w:rPr>
            </w:pPr>
            <w:r>
              <w:rPr>
                <w:rFonts w:hint="eastAsia" w:ascii="宋体" w:hAnsi="宋体" w:cs="宋体"/>
                <w:color w:val="auto"/>
                <w:szCs w:val="21"/>
              </w:rPr>
              <w:t>/</w:t>
            </w:r>
          </w:p>
        </w:tc>
        <w:tc>
          <w:tcPr>
            <w:tcW w:w="862" w:type="dxa"/>
            <w:vAlign w:val="center"/>
          </w:tcPr>
          <w:p w14:paraId="1529D0A5">
            <w:pPr>
              <w:jc w:val="center"/>
              <w:rPr>
                <w:rFonts w:hint="eastAsia" w:ascii="宋体" w:hAnsi="宋体" w:cs="宋体"/>
                <w:color w:val="auto"/>
                <w:szCs w:val="21"/>
              </w:rPr>
            </w:pPr>
            <w:r>
              <w:rPr>
                <w:rFonts w:hint="eastAsia" w:ascii="宋体" w:hAnsi="宋体" w:cs="宋体"/>
                <w:color w:val="auto"/>
                <w:szCs w:val="21"/>
              </w:rPr>
              <w:t>g/kg</w:t>
            </w:r>
          </w:p>
        </w:tc>
        <w:tc>
          <w:tcPr>
            <w:tcW w:w="859" w:type="dxa"/>
            <w:vAlign w:val="center"/>
          </w:tcPr>
          <w:p w14:paraId="00360C68">
            <w:pPr>
              <w:jc w:val="center"/>
              <w:rPr>
                <w:rFonts w:hint="eastAsia" w:ascii="宋体" w:hAnsi="宋体" w:cs="宋体"/>
                <w:color w:val="auto"/>
                <w:szCs w:val="21"/>
              </w:rPr>
            </w:pPr>
            <w:r>
              <w:rPr>
                <w:rFonts w:hint="eastAsia" w:ascii="宋体" w:hAnsi="宋体" w:cs="宋体"/>
                <w:color w:val="auto"/>
                <w:szCs w:val="21"/>
              </w:rPr>
              <w:t>1.2</w:t>
            </w:r>
          </w:p>
        </w:tc>
        <w:tc>
          <w:tcPr>
            <w:tcW w:w="1146" w:type="dxa"/>
            <w:vAlign w:val="center"/>
          </w:tcPr>
          <w:p w14:paraId="3486A9AE">
            <w:pPr>
              <w:jc w:val="center"/>
              <w:rPr>
                <w:rFonts w:hint="eastAsia" w:ascii="宋体" w:hAnsi="宋体" w:cs="宋体"/>
                <w:color w:val="auto"/>
                <w:szCs w:val="21"/>
              </w:rPr>
            </w:pPr>
            <w:r>
              <w:rPr>
                <w:rFonts w:hint="eastAsia" w:ascii="宋体" w:hAnsi="宋体" w:cs="宋体"/>
                <w:color w:val="auto"/>
                <w:szCs w:val="21"/>
              </w:rPr>
              <w:t>/</w:t>
            </w:r>
          </w:p>
        </w:tc>
        <w:tc>
          <w:tcPr>
            <w:tcW w:w="1232" w:type="dxa"/>
            <w:vAlign w:val="center"/>
          </w:tcPr>
          <w:p w14:paraId="2D283F05">
            <w:pPr>
              <w:jc w:val="center"/>
              <w:rPr>
                <w:rFonts w:hint="eastAsia" w:ascii="宋体" w:hAnsi="宋体" w:cs="宋体"/>
                <w:color w:val="auto"/>
                <w:szCs w:val="21"/>
              </w:rPr>
            </w:pPr>
            <w:r>
              <w:rPr>
                <w:rFonts w:hint="eastAsia" w:ascii="宋体" w:hAnsi="宋体" w:cs="宋体"/>
                <w:color w:val="auto"/>
                <w:szCs w:val="21"/>
              </w:rPr>
              <w:t>/</w:t>
            </w:r>
          </w:p>
        </w:tc>
        <w:tc>
          <w:tcPr>
            <w:tcW w:w="1061" w:type="dxa"/>
            <w:vAlign w:val="center"/>
          </w:tcPr>
          <w:p w14:paraId="7C067DA0">
            <w:pPr>
              <w:jc w:val="center"/>
              <w:rPr>
                <w:rFonts w:hint="eastAsia" w:ascii="宋体" w:hAnsi="宋体" w:cs="宋体"/>
                <w:color w:val="auto"/>
                <w:szCs w:val="21"/>
              </w:rPr>
            </w:pPr>
            <w:r>
              <w:rPr>
                <w:rFonts w:hint="eastAsia" w:ascii="宋体" w:hAnsi="宋体" w:cs="宋体"/>
                <w:color w:val="auto"/>
                <w:szCs w:val="21"/>
              </w:rPr>
              <w:t>1.1</w:t>
            </w:r>
          </w:p>
        </w:tc>
        <w:tc>
          <w:tcPr>
            <w:tcW w:w="1248" w:type="dxa"/>
            <w:vAlign w:val="center"/>
          </w:tcPr>
          <w:p w14:paraId="200E6906">
            <w:pPr>
              <w:jc w:val="center"/>
              <w:rPr>
                <w:rFonts w:hint="eastAsia" w:ascii="宋体" w:hAnsi="宋体" w:cs="宋体"/>
                <w:color w:val="auto"/>
                <w:szCs w:val="21"/>
              </w:rPr>
            </w:pPr>
            <w:r>
              <w:rPr>
                <w:rFonts w:hint="eastAsia" w:ascii="宋体" w:hAnsi="宋体" w:cs="宋体"/>
                <w:color w:val="auto"/>
                <w:szCs w:val="21"/>
              </w:rPr>
              <w:t>/</w:t>
            </w:r>
          </w:p>
        </w:tc>
        <w:tc>
          <w:tcPr>
            <w:tcW w:w="1041" w:type="dxa"/>
            <w:vAlign w:val="center"/>
          </w:tcPr>
          <w:p w14:paraId="63DFD56F">
            <w:pPr>
              <w:jc w:val="center"/>
              <w:rPr>
                <w:rFonts w:hint="eastAsia" w:ascii="宋体" w:hAnsi="宋体" w:cs="宋体"/>
                <w:color w:val="auto"/>
                <w:szCs w:val="21"/>
              </w:rPr>
            </w:pPr>
            <w:r>
              <w:rPr>
                <w:rFonts w:hint="eastAsia" w:ascii="宋体" w:hAnsi="宋体" w:cs="宋体"/>
                <w:color w:val="auto"/>
                <w:szCs w:val="21"/>
              </w:rPr>
              <w:t>/</w:t>
            </w:r>
          </w:p>
        </w:tc>
        <w:tc>
          <w:tcPr>
            <w:tcW w:w="967" w:type="dxa"/>
            <w:vAlign w:val="center"/>
          </w:tcPr>
          <w:p w14:paraId="1D0BDD64">
            <w:pPr>
              <w:jc w:val="center"/>
              <w:rPr>
                <w:rFonts w:hint="eastAsia" w:ascii="宋体" w:hAnsi="宋体" w:cs="宋体"/>
                <w:color w:val="auto"/>
                <w:szCs w:val="21"/>
              </w:rPr>
            </w:pPr>
            <w:r>
              <w:rPr>
                <w:rFonts w:hint="eastAsia" w:ascii="宋体" w:hAnsi="宋体" w:cs="宋体"/>
                <w:color w:val="auto"/>
                <w:szCs w:val="21"/>
              </w:rPr>
              <w:t>1.1</w:t>
            </w:r>
          </w:p>
        </w:tc>
        <w:tc>
          <w:tcPr>
            <w:tcW w:w="1158" w:type="dxa"/>
            <w:vAlign w:val="center"/>
          </w:tcPr>
          <w:p w14:paraId="6B39058A">
            <w:pPr>
              <w:jc w:val="center"/>
              <w:rPr>
                <w:rFonts w:hint="eastAsia" w:ascii="宋体" w:hAnsi="宋体" w:cs="宋体"/>
                <w:color w:val="auto"/>
                <w:szCs w:val="21"/>
              </w:rPr>
            </w:pPr>
            <w:r>
              <w:rPr>
                <w:rFonts w:hint="eastAsia" w:ascii="宋体" w:hAnsi="宋体" w:cs="宋体"/>
                <w:color w:val="auto"/>
                <w:szCs w:val="21"/>
              </w:rPr>
              <w:t>/</w:t>
            </w:r>
          </w:p>
        </w:tc>
        <w:tc>
          <w:tcPr>
            <w:tcW w:w="1098" w:type="dxa"/>
            <w:vAlign w:val="center"/>
          </w:tcPr>
          <w:p w14:paraId="05967287">
            <w:pPr>
              <w:jc w:val="center"/>
              <w:rPr>
                <w:rFonts w:hint="eastAsia" w:ascii="宋体" w:hAnsi="宋体" w:cs="宋体"/>
                <w:color w:val="auto"/>
                <w:szCs w:val="21"/>
              </w:rPr>
            </w:pPr>
            <w:r>
              <w:rPr>
                <w:rFonts w:hint="eastAsia" w:ascii="宋体" w:hAnsi="宋体" w:cs="宋体"/>
                <w:color w:val="auto"/>
                <w:szCs w:val="21"/>
              </w:rPr>
              <w:t>/</w:t>
            </w:r>
          </w:p>
        </w:tc>
      </w:tr>
      <w:tr w14:paraId="728053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5B224A18">
            <w:pPr>
              <w:jc w:val="center"/>
              <w:rPr>
                <w:rFonts w:hint="eastAsia" w:ascii="宋体" w:hAnsi="宋体" w:cs="宋体"/>
                <w:color w:val="auto"/>
                <w:kern w:val="0"/>
                <w:szCs w:val="21"/>
              </w:rPr>
            </w:pPr>
            <w:r>
              <w:rPr>
                <w:rFonts w:hint="eastAsia" w:ascii="宋体" w:hAnsi="宋体" w:cs="宋体"/>
                <w:color w:val="auto"/>
                <w:szCs w:val="21"/>
              </w:rPr>
              <w:t>3</w:t>
            </w:r>
          </w:p>
        </w:tc>
        <w:tc>
          <w:tcPr>
            <w:tcW w:w="1587" w:type="dxa"/>
            <w:vAlign w:val="center"/>
          </w:tcPr>
          <w:p w14:paraId="4D8155C2">
            <w:pPr>
              <w:jc w:val="center"/>
              <w:rPr>
                <w:rFonts w:hint="eastAsia" w:ascii="宋体" w:hAnsi="宋体" w:cs="宋体"/>
                <w:color w:val="auto"/>
                <w:szCs w:val="21"/>
              </w:rPr>
            </w:pPr>
            <w:r>
              <w:rPr>
                <w:rFonts w:hint="eastAsia" w:ascii="宋体" w:hAnsi="宋体" w:cs="宋体"/>
                <w:color w:val="auto"/>
                <w:szCs w:val="21"/>
              </w:rPr>
              <w:t>汞</w:t>
            </w:r>
          </w:p>
        </w:tc>
        <w:tc>
          <w:tcPr>
            <w:tcW w:w="1286" w:type="dxa"/>
            <w:vAlign w:val="center"/>
          </w:tcPr>
          <w:p w14:paraId="75C3C18D">
            <w:pPr>
              <w:jc w:val="center"/>
              <w:rPr>
                <w:rFonts w:hint="eastAsia" w:ascii="宋体" w:hAnsi="宋体" w:cs="宋体"/>
                <w:color w:val="auto"/>
                <w:szCs w:val="21"/>
              </w:rPr>
            </w:pPr>
            <w:r>
              <w:rPr>
                <w:rFonts w:hint="eastAsia" w:ascii="宋体" w:hAnsi="宋体" w:cs="宋体"/>
                <w:color w:val="auto"/>
                <w:szCs w:val="21"/>
              </w:rPr>
              <w:t>38</w:t>
            </w:r>
          </w:p>
        </w:tc>
        <w:tc>
          <w:tcPr>
            <w:tcW w:w="862" w:type="dxa"/>
            <w:vAlign w:val="center"/>
          </w:tcPr>
          <w:p w14:paraId="71E52266">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7E659DB5">
            <w:pPr>
              <w:jc w:val="center"/>
              <w:rPr>
                <w:rFonts w:hint="eastAsia" w:ascii="宋体" w:hAnsi="宋体" w:cs="宋体"/>
                <w:color w:val="auto"/>
                <w:szCs w:val="21"/>
              </w:rPr>
            </w:pPr>
            <w:r>
              <w:rPr>
                <w:rFonts w:hint="eastAsia" w:ascii="宋体" w:hAnsi="宋体" w:cs="宋体"/>
                <w:color w:val="auto"/>
                <w:szCs w:val="21"/>
              </w:rPr>
              <w:t>0.188</w:t>
            </w:r>
          </w:p>
        </w:tc>
        <w:tc>
          <w:tcPr>
            <w:tcW w:w="1146" w:type="dxa"/>
            <w:vAlign w:val="center"/>
          </w:tcPr>
          <w:p w14:paraId="1B60364C">
            <w:pPr>
              <w:jc w:val="center"/>
              <w:rPr>
                <w:rFonts w:hint="eastAsia" w:ascii="宋体" w:hAnsi="宋体" w:cs="宋体"/>
                <w:color w:val="auto"/>
                <w:szCs w:val="21"/>
              </w:rPr>
            </w:pPr>
            <w:r>
              <w:rPr>
                <w:rFonts w:hint="eastAsia" w:ascii="宋体" w:hAnsi="宋体" w:cs="宋体"/>
                <w:color w:val="auto"/>
                <w:szCs w:val="21"/>
              </w:rPr>
              <w:t xml:space="preserve">0.0049 </w:t>
            </w:r>
          </w:p>
        </w:tc>
        <w:tc>
          <w:tcPr>
            <w:tcW w:w="1232" w:type="dxa"/>
            <w:vAlign w:val="center"/>
          </w:tcPr>
          <w:p w14:paraId="550FB9BB">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575516A5">
            <w:pPr>
              <w:jc w:val="center"/>
              <w:rPr>
                <w:rFonts w:hint="eastAsia" w:ascii="宋体" w:hAnsi="宋体" w:cs="宋体"/>
                <w:color w:val="auto"/>
                <w:szCs w:val="21"/>
              </w:rPr>
            </w:pPr>
            <w:r>
              <w:rPr>
                <w:rFonts w:hint="eastAsia" w:ascii="宋体" w:hAnsi="宋体" w:cs="宋体"/>
                <w:color w:val="auto"/>
                <w:szCs w:val="21"/>
              </w:rPr>
              <w:t>0.143</w:t>
            </w:r>
          </w:p>
        </w:tc>
        <w:tc>
          <w:tcPr>
            <w:tcW w:w="1248" w:type="dxa"/>
            <w:vAlign w:val="center"/>
          </w:tcPr>
          <w:p w14:paraId="76529E5E">
            <w:pPr>
              <w:jc w:val="center"/>
              <w:rPr>
                <w:rFonts w:hint="eastAsia" w:ascii="宋体" w:hAnsi="宋体" w:cs="宋体"/>
                <w:color w:val="auto"/>
                <w:szCs w:val="21"/>
              </w:rPr>
            </w:pPr>
            <w:r>
              <w:rPr>
                <w:rFonts w:hint="eastAsia" w:ascii="宋体" w:hAnsi="宋体" w:cs="宋体"/>
                <w:color w:val="auto"/>
                <w:szCs w:val="21"/>
              </w:rPr>
              <w:t xml:space="preserve">0.0038 </w:t>
            </w:r>
          </w:p>
        </w:tc>
        <w:tc>
          <w:tcPr>
            <w:tcW w:w="1041" w:type="dxa"/>
            <w:vAlign w:val="center"/>
          </w:tcPr>
          <w:p w14:paraId="5A92619A">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3CB728B0">
            <w:pPr>
              <w:jc w:val="center"/>
              <w:rPr>
                <w:rFonts w:hint="eastAsia" w:ascii="宋体" w:hAnsi="宋体" w:cs="宋体"/>
                <w:color w:val="auto"/>
                <w:szCs w:val="21"/>
              </w:rPr>
            </w:pPr>
            <w:r>
              <w:rPr>
                <w:rFonts w:hint="eastAsia" w:ascii="宋体" w:hAnsi="宋体" w:cs="宋体"/>
                <w:color w:val="auto"/>
                <w:szCs w:val="21"/>
              </w:rPr>
              <w:t>0.217</w:t>
            </w:r>
          </w:p>
        </w:tc>
        <w:tc>
          <w:tcPr>
            <w:tcW w:w="1158" w:type="dxa"/>
            <w:vAlign w:val="center"/>
          </w:tcPr>
          <w:p w14:paraId="59A0B650">
            <w:pPr>
              <w:jc w:val="center"/>
              <w:rPr>
                <w:rFonts w:hint="eastAsia" w:ascii="宋体" w:hAnsi="宋体" w:cs="宋体"/>
                <w:color w:val="auto"/>
                <w:szCs w:val="21"/>
              </w:rPr>
            </w:pPr>
            <w:r>
              <w:rPr>
                <w:rFonts w:hint="eastAsia" w:ascii="宋体" w:hAnsi="宋体" w:cs="宋体"/>
                <w:color w:val="auto"/>
                <w:szCs w:val="21"/>
              </w:rPr>
              <w:t xml:space="preserve">0.0057 </w:t>
            </w:r>
          </w:p>
        </w:tc>
        <w:tc>
          <w:tcPr>
            <w:tcW w:w="1098" w:type="dxa"/>
            <w:vAlign w:val="center"/>
          </w:tcPr>
          <w:p w14:paraId="057EF4C1">
            <w:pPr>
              <w:jc w:val="center"/>
              <w:rPr>
                <w:rFonts w:hint="eastAsia" w:ascii="宋体" w:hAnsi="宋体" w:cs="宋体"/>
                <w:color w:val="auto"/>
                <w:szCs w:val="21"/>
              </w:rPr>
            </w:pPr>
            <w:r>
              <w:rPr>
                <w:rFonts w:hint="eastAsia" w:ascii="宋体" w:hAnsi="宋体" w:cs="宋体"/>
                <w:color w:val="auto"/>
                <w:szCs w:val="21"/>
              </w:rPr>
              <w:t>达标</w:t>
            </w:r>
          </w:p>
        </w:tc>
      </w:tr>
      <w:tr w14:paraId="345EAA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401D8D77">
            <w:pPr>
              <w:jc w:val="center"/>
              <w:rPr>
                <w:rFonts w:hint="eastAsia" w:ascii="宋体" w:hAnsi="宋体" w:cs="宋体"/>
                <w:color w:val="auto"/>
                <w:kern w:val="0"/>
                <w:szCs w:val="21"/>
              </w:rPr>
            </w:pPr>
            <w:r>
              <w:rPr>
                <w:rFonts w:hint="eastAsia" w:ascii="宋体" w:hAnsi="宋体" w:cs="宋体"/>
                <w:color w:val="auto"/>
                <w:szCs w:val="21"/>
              </w:rPr>
              <w:t>4</w:t>
            </w:r>
          </w:p>
        </w:tc>
        <w:tc>
          <w:tcPr>
            <w:tcW w:w="1587" w:type="dxa"/>
            <w:vAlign w:val="center"/>
          </w:tcPr>
          <w:p w14:paraId="48C8DBC8">
            <w:pPr>
              <w:jc w:val="center"/>
              <w:rPr>
                <w:rFonts w:hint="eastAsia" w:ascii="宋体" w:hAnsi="宋体" w:cs="宋体"/>
                <w:color w:val="auto"/>
                <w:szCs w:val="21"/>
              </w:rPr>
            </w:pPr>
            <w:r>
              <w:rPr>
                <w:rFonts w:hint="eastAsia" w:ascii="宋体" w:hAnsi="宋体" w:cs="宋体"/>
                <w:color w:val="auto"/>
                <w:szCs w:val="21"/>
              </w:rPr>
              <w:t>砷</w:t>
            </w:r>
          </w:p>
        </w:tc>
        <w:tc>
          <w:tcPr>
            <w:tcW w:w="1286" w:type="dxa"/>
            <w:vAlign w:val="center"/>
          </w:tcPr>
          <w:p w14:paraId="5CA4616B">
            <w:pPr>
              <w:jc w:val="center"/>
              <w:rPr>
                <w:rFonts w:hint="eastAsia" w:ascii="宋体" w:hAnsi="宋体" w:cs="宋体"/>
                <w:color w:val="auto"/>
                <w:szCs w:val="21"/>
              </w:rPr>
            </w:pPr>
            <w:r>
              <w:rPr>
                <w:rFonts w:hint="eastAsia" w:ascii="宋体" w:hAnsi="宋体" w:cs="宋体"/>
                <w:color w:val="auto"/>
                <w:szCs w:val="21"/>
              </w:rPr>
              <w:t>60</w:t>
            </w:r>
          </w:p>
        </w:tc>
        <w:tc>
          <w:tcPr>
            <w:tcW w:w="862" w:type="dxa"/>
            <w:vAlign w:val="center"/>
          </w:tcPr>
          <w:p w14:paraId="293A36F1">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395A72B3">
            <w:pPr>
              <w:jc w:val="center"/>
              <w:rPr>
                <w:rFonts w:hint="eastAsia" w:ascii="宋体" w:hAnsi="宋体" w:cs="宋体"/>
                <w:color w:val="auto"/>
                <w:szCs w:val="21"/>
              </w:rPr>
            </w:pPr>
            <w:r>
              <w:rPr>
                <w:rFonts w:hint="eastAsia" w:ascii="宋体" w:hAnsi="宋体" w:cs="宋体"/>
                <w:color w:val="auto"/>
                <w:szCs w:val="21"/>
              </w:rPr>
              <w:t>8.3</w:t>
            </w:r>
          </w:p>
        </w:tc>
        <w:tc>
          <w:tcPr>
            <w:tcW w:w="1146" w:type="dxa"/>
            <w:vAlign w:val="center"/>
          </w:tcPr>
          <w:p w14:paraId="5DEF0AE0">
            <w:pPr>
              <w:jc w:val="center"/>
              <w:rPr>
                <w:rFonts w:hint="eastAsia" w:ascii="宋体" w:hAnsi="宋体" w:cs="宋体"/>
                <w:color w:val="auto"/>
                <w:szCs w:val="21"/>
              </w:rPr>
            </w:pPr>
            <w:r>
              <w:rPr>
                <w:rFonts w:hint="eastAsia" w:ascii="宋体" w:hAnsi="宋体" w:cs="宋体"/>
                <w:color w:val="auto"/>
                <w:szCs w:val="21"/>
              </w:rPr>
              <w:t xml:space="preserve">0.1383 </w:t>
            </w:r>
          </w:p>
        </w:tc>
        <w:tc>
          <w:tcPr>
            <w:tcW w:w="1232" w:type="dxa"/>
            <w:vAlign w:val="center"/>
          </w:tcPr>
          <w:p w14:paraId="36812903">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140F38AD">
            <w:pPr>
              <w:jc w:val="center"/>
              <w:rPr>
                <w:rFonts w:hint="eastAsia" w:ascii="宋体" w:hAnsi="宋体" w:cs="宋体"/>
                <w:color w:val="auto"/>
                <w:szCs w:val="21"/>
              </w:rPr>
            </w:pPr>
            <w:r>
              <w:rPr>
                <w:rFonts w:hint="eastAsia" w:ascii="宋体" w:hAnsi="宋体" w:cs="宋体"/>
                <w:color w:val="auto"/>
                <w:szCs w:val="21"/>
              </w:rPr>
              <w:t>8.3</w:t>
            </w:r>
          </w:p>
        </w:tc>
        <w:tc>
          <w:tcPr>
            <w:tcW w:w="1248" w:type="dxa"/>
            <w:vAlign w:val="center"/>
          </w:tcPr>
          <w:p w14:paraId="26FDFD7F">
            <w:pPr>
              <w:jc w:val="center"/>
              <w:rPr>
                <w:rFonts w:hint="eastAsia" w:ascii="宋体" w:hAnsi="宋体" w:cs="宋体"/>
                <w:color w:val="auto"/>
                <w:szCs w:val="21"/>
              </w:rPr>
            </w:pPr>
            <w:r>
              <w:rPr>
                <w:rFonts w:hint="eastAsia" w:ascii="宋体" w:hAnsi="宋体" w:cs="宋体"/>
                <w:color w:val="auto"/>
                <w:szCs w:val="21"/>
              </w:rPr>
              <w:t xml:space="preserve">0.1383 </w:t>
            </w:r>
          </w:p>
        </w:tc>
        <w:tc>
          <w:tcPr>
            <w:tcW w:w="1041" w:type="dxa"/>
            <w:vAlign w:val="center"/>
          </w:tcPr>
          <w:p w14:paraId="78F2B0E6">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11795780">
            <w:pPr>
              <w:jc w:val="center"/>
              <w:rPr>
                <w:rFonts w:hint="eastAsia" w:ascii="宋体" w:hAnsi="宋体" w:cs="宋体"/>
                <w:color w:val="auto"/>
                <w:szCs w:val="21"/>
              </w:rPr>
            </w:pPr>
            <w:r>
              <w:rPr>
                <w:rFonts w:hint="eastAsia" w:ascii="宋体" w:hAnsi="宋体" w:cs="宋体"/>
                <w:color w:val="auto"/>
                <w:szCs w:val="21"/>
              </w:rPr>
              <w:t>9.8</w:t>
            </w:r>
          </w:p>
        </w:tc>
        <w:tc>
          <w:tcPr>
            <w:tcW w:w="1158" w:type="dxa"/>
            <w:vAlign w:val="center"/>
          </w:tcPr>
          <w:p w14:paraId="771E8B5C">
            <w:pPr>
              <w:jc w:val="center"/>
              <w:rPr>
                <w:rFonts w:hint="eastAsia" w:ascii="宋体" w:hAnsi="宋体" w:cs="宋体"/>
                <w:color w:val="auto"/>
                <w:szCs w:val="21"/>
              </w:rPr>
            </w:pPr>
            <w:r>
              <w:rPr>
                <w:rFonts w:hint="eastAsia" w:ascii="宋体" w:hAnsi="宋体" w:cs="宋体"/>
                <w:color w:val="auto"/>
                <w:szCs w:val="21"/>
              </w:rPr>
              <w:t xml:space="preserve">0.1633 </w:t>
            </w:r>
          </w:p>
        </w:tc>
        <w:tc>
          <w:tcPr>
            <w:tcW w:w="1098" w:type="dxa"/>
            <w:vAlign w:val="center"/>
          </w:tcPr>
          <w:p w14:paraId="69D53BA9">
            <w:pPr>
              <w:jc w:val="center"/>
              <w:rPr>
                <w:rFonts w:hint="eastAsia" w:ascii="宋体" w:hAnsi="宋体" w:cs="宋体"/>
                <w:color w:val="auto"/>
                <w:szCs w:val="21"/>
              </w:rPr>
            </w:pPr>
            <w:r>
              <w:rPr>
                <w:rFonts w:hint="eastAsia" w:ascii="宋体" w:hAnsi="宋体" w:cs="宋体"/>
                <w:color w:val="auto"/>
                <w:szCs w:val="21"/>
              </w:rPr>
              <w:t>达标</w:t>
            </w:r>
          </w:p>
        </w:tc>
      </w:tr>
      <w:tr w14:paraId="2FA35A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2EB8E328">
            <w:pPr>
              <w:jc w:val="center"/>
              <w:rPr>
                <w:rFonts w:hint="eastAsia" w:ascii="宋体" w:hAnsi="宋体" w:cs="宋体"/>
                <w:color w:val="auto"/>
                <w:kern w:val="0"/>
                <w:szCs w:val="21"/>
              </w:rPr>
            </w:pPr>
            <w:r>
              <w:rPr>
                <w:rFonts w:hint="eastAsia" w:ascii="宋体" w:hAnsi="宋体" w:cs="宋体"/>
                <w:color w:val="auto"/>
                <w:szCs w:val="21"/>
              </w:rPr>
              <w:t>5</w:t>
            </w:r>
          </w:p>
        </w:tc>
        <w:tc>
          <w:tcPr>
            <w:tcW w:w="1587" w:type="dxa"/>
            <w:vAlign w:val="center"/>
          </w:tcPr>
          <w:p w14:paraId="05EF476F">
            <w:pPr>
              <w:jc w:val="center"/>
              <w:rPr>
                <w:rFonts w:hint="eastAsia" w:ascii="宋体" w:hAnsi="宋体" w:cs="宋体"/>
                <w:color w:val="auto"/>
                <w:szCs w:val="21"/>
              </w:rPr>
            </w:pPr>
            <w:r>
              <w:rPr>
                <w:rFonts w:hint="eastAsia" w:ascii="宋体" w:hAnsi="宋体" w:cs="宋体"/>
                <w:color w:val="auto"/>
                <w:szCs w:val="21"/>
              </w:rPr>
              <w:t>铜</w:t>
            </w:r>
          </w:p>
        </w:tc>
        <w:tc>
          <w:tcPr>
            <w:tcW w:w="1286" w:type="dxa"/>
            <w:vAlign w:val="center"/>
          </w:tcPr>
          <w:p w14:paraId="47940EE4">
            <w:pPr>
              <w:jc w:val="center"/>
              <w:rPr>
                <w:rFonts w:hint="eastAsia" w:ascii="宋体" w:hAnsi="宋体" w:cs="宋体"/>
                <w:color w:val="auto"/>
                <w:szCs w:val="21"/>
              </w:rPr>
            </w:pPr>
            <w:r>
              <w:rPr>
                <w:rFonts w:hint="eastAsia" w:ascii="宋体" w:hAnsi="宋体" w:cs="宋体"/>
                <w:color w:val="auto"/>
                <w:szCs w:val="21"/>
              </w:rPr>
              <w:t>18000</w:t>
            </w:r>
          </w:p>
        </w:tc>
        <w:tc>
          <w:tcPr>
            <w:tcW w:w="862" w:type="dxa"/>
            <w:vAlign w:val="center"/>
          </w:tcPr>
          <w:p w14:paraId="160C290E">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6B8FCAF6">
            <w:pPr>
              <w:jc w:val="center"/>
              <w:rPr>
                <w:rFonts w:hint="eastAsia" w:ascii="宋体" w:hAnsi="宋体" w:cs="宋体"/>
                <w:color w:val="auto"/>
                <w:szCs w:val="21"/>
              </w:rPr>
            </w:pPr>
            <w:r>
              <w:rPr>
                <w:rFonts w:hint="eastAsia" w:ascii="宋体" w:hAnsi="宋体" w:cs="宋体"/>
                <w:color w:val="auto"/>
                <w:szCs w:val="21"/>
              </w:rPr>
              <w:t>18.7</w:t>
            </w:r>
          </w:p>
        </w:tc>
        <w:tc>
          <w:tcPr>
            <w:tcW w:w="1146" w:type="dxa"/>
            <w:vAlign w:val="center"/>
          </w:tcPr>
          <w:p w14:paraId="066A2726">
            <w:pPr>
              <w:jc w:val="center"/>
              <w:rPr>
                <w:rFonts w:hint="eastAsia" w:ascii="宋体" w:hAnsi="宋体" w:cs="宋体"/>
                <w:color w:val="auto"/>
                <w:szCs w:val="21"/>
              </w:rPr>
            </w:pPr>
            <w:r>
              <w:rPr>
                <w:rFonts w:hint="eastAsia" w:ascii="宋体" w:hAnsi="宋体" w:cs="宋体"/>
                <w:color w:val="auto"/>
                <w:szCs w:val="21"/>
              </w:rPr>
              <w:t xml:space="preserve">0.0010 </w:t>
            </w:r>
          </w:p>
        </w:tc>
        <w:tc>
          <w:tcPr>
            <w:tcW w:w="1232" w:type="dxa"/>
            <w:vAlign w:val="center"/>
          </w:tcPr>
          <w:p w14:paraId="316C7FF3">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2A754806">
            <w:pPr>
              <w:jc w:val="center"/>
              <w:rPr>
                <w:rFonts w:hint="eastAsia" w:ascii="宋体" w:hAnsi="宋体" w:cs="宋体"/>
                <w:color w:val="auto"/>
                <w:szCs w:val="21"/>
              </w:rPr>
            </w:pPr>
            <w:r>
              <w:rPr>
                <w:rFonts w:hint="eastAsia" w:ascii="宋体" w:hAnsi="宋体" w:cs="宋体"/>
                <w:color w:val="auto"/>
                <w:szCs w:val="21"/>
              </w:rPr>
              <w:t>17.8</w:t>
            </w:r>
          </w:p>
        </w:tc>
        <w:tc>
          <w:tcPr>
            <w:tcW w:w="1248" w:type="dxa"/>
            <w:vAlign w:val="center"/>
          </w:tcPr>
          <w:p w14:paraId="7058D13D">
            <w:pPr>
              <w:jc w:val="center"/>
              <w:rPr>
                <w:rFonts w:hint="eastAsia" w:ascii="宋体" w:hAnsi="宋体" w:cs="宋体"/>
                <w:color w:val="auto"/>
                <w:szCs w:val="21"/>
              </w:rPr>
            </w:pPr>
            <w:r>
              <w:rPr>
                <w:rFonts w:hint="eastAsia" w:ascii="宋体" w:hAnsi="宋体" w:cs="宋体"/>
                <w:color w:val="auto"/>
                <w:szCs w:val="21"/>
              </w:rPr>
              <w:t xml:space="preserve">0.0010 </w:t>
            </w:r>
          </w:p>
        </w:tc>
        <w:tc>
          <w:tcPr>
            <w:tcW w:w="1041" w:type="dxa"/>
            <w:vAlign w:val="center"/>
          </w:tcPr>
          <w:p w14:paraId="1A6000CE">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700BAB2F">
            <w:pPr>
              <w:jc w:val="center"/>
              <w:rPr>
                <w:rFonts w:hint="eastAsia" w:ascii="宋体" w:hAnsi="宋体" w:cs="宋体"/>
                <w:color w:val="auto"/>
                <w:szCs w:val="21"/>
              </w:rPr>
            </w:pPr>
            <w:r>
              <w:rPr>
                <w:rFonts w:hint="eastAsia" w:ascii="宋体" w:hAnsi="宋体" w:cs="宋体"/>
                <w:color w:val="auto"/>
                <w:szCs w:val="21"/>
              </w:rPr>
              <w:t>19.9</w:t>
            </w:r>
          </w:p>
        </w:tc>
        <w:tc>
          <w:tcPr>
            <w:tcW w:w="1158" w:type="dxa"/>
            <w:vAlign w:val="center"/>
          </w:tcPr>
          <w:p w14:paraId="0AB32DCD">
            <w:pPr>
              <w:jc w:val="center"/>
              <w:rPr>
                <w:rFonts w:hint="eastAsia" w:ascii="宋体" w:hAnsi="宋体" w:cs="宋体"/>
                <w:color w:val="auto"/>
                <w:szCs w:val="21"/>
              </w:rPr>
            </w:pPr>
            <w:r>
              <w:rPr>
                <w:rFonts w:hint="eastAsia" w:ascii="宋体" w:hAnsi="宋体" w:cs="宋体"/>
                <w:color w:val="auto"/>
                <w:szCs w:val="21"/>
              </w:rPr>
              <w:t xml:space="preserve">0.0011 </w:t>
            </w:r>
          </w:p>
        </w:tc>
        <w:tc>
          <w:tcPr>
            <w:tcW w:w="1098" w:type="dxa"/>
            <w:vAlign w:val="center"/>
          </w:tcPr>
          <w:p w14:paraId="16F0D18A">
            <w:pPr>
              <w:jc w:val="center"/>
              <w:rPr>
                <w:rFonts w:hint="eastAsia" w:ascii="宋体" w:hAnsi="宋体" w:cs="宋体"/>
                <w:color w:val="auto"/>
                <w:szCs w:val="21"/>
              </w:rPr>
            </w:pPr>
            <w:r>
              <w:rPr>
                <w:rFonts w:hint="eastAsia" w:ascii="宋体" w:hAnsi="宋体" w:cs="宋体"/>
                <w:color w:val="auto"/>
                <w:szCs w:val="21"/>
              </w:rPr>
              <w:t>达标</w:t>
            </w:r>
          </w:p>
        </w:tc>
      </w:tr>
      <w:tr w14:paraId="4B27C3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28C9144D">
            <w:pPr>
              <w:jc w:val="center"/>
              <w:rPr>
                <w:rFonts w:hint="eastAsia" w:ascii="宋体" w:hAnsi="宋体" w:cs="宋体"/>
                <w:color w:val="auto"/>
                <w:kern w:val="0"/>
                <w:szCs w:val="21"/>
              </w:rPr>
            </w:pPr>
            <w:r>
              <w:rPr>
                <w:rFonts w:hint="eastAsia" w:ascii="宋体" w:hAnsi="宋体" w:cs="宋体"/>
                <w:color w:val="auto"/>
                <w:szCs w:val="21"/>
              </w:rPr>
              <w:t>6</w:t>
            </w:r>
          </w:p>
        </w:tc>
        <w:tc>
          <w:tcPr>
            <w:tcW w:w="1587" w:type="dxa"/>
            <w:vAlign w:val="center"/>
          </w:tcPr>
          <w:p w14:paraId="451C8E69">
            <w:pPr>
              <w:jc w:val="center"/>
              <w:rPr>
                <w:rFonts w:hint="eastAsia" w:ascii="宋体" w:hAnsi="宋体" w:cs="宋体"/>
                <w:color w:val="auto"/>
                <w:szCs w:val="21"/>
              </w:rPr>
            </w:pPr>
            <w:r>
              <w:rPr>
                <w:rFonts w:hint="eastAsia" w:ascii="宋体" w:hAnsi="宋体" w:cs="宋体"/>
                <w:color w:val="auto"/>
                <w:szCs w:val="21"/>
              </w:rPr>
              <w:t>铅</w:t>
            </w:r>
          </w:p>
        </w:tc>
        <w:tc>
          <w:tcPr>
            <w:tcW w:w="1286" w:type="dxa"/>
            <w:vAlign w:val="center"/>
          </w:tcPr>
          <w:p w14:paraId="73903413">
            <w:pPr>
              <w:jc w:val="center"/>
              <w:rPr>
                <w:rFonts w:hint="eastAsia" w:ascii="宋体" w:hAnsi="宋体" w:cs="宋体"/>
                <w:color w:val="auto"/>
                <w:szCs w:val="21"/>
              </w:rPr>
            </w:pPr>
            <w:r>
              <w:rPr>
                <w:rFonts w:hint="eastAsia" w:ascii="宋体" w:hAnsi="宋体" w:cs="宋体"/>
                <w:color w:val="auto"/>
                <w:szCs w:val="21"/>
              </w:rPr>
              <w:t>800</w:t>
            </w:r>
          </w:p>
        </w:tc>
        <w:tc>
          <w:tcPr>
            <w:tcW w:w="862" w:type="dxa"/>
            <w:vAlign w:val="center"/>
          </w:tcPr>
          <w:p w14:paraId="7E2AA640">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4538CE13">
            <w:pPr>
              <w:jc w:val="center"/>
              <w:rPr>
                <w:rFonts w:hint="eastAsia" w:ascii="宋体" w:hAnsi="宋体" w:cs="宋体"/>
                <w:color w:val="auto"/>
                <w:szCs w:val="21"/>
              </w:rPr>
            </w:pPr>
            <w:r>
              <w:rPr>
                <w:rFonts w:hint="eastAsia" w:ascii="宋体" w:hAnsi="宋体" w:cs="宋体"/>
                <w:color w:val="auto"/>
                <w:szCs w:val="21"/>
              </w:rPr>
              <w:t>11</w:t>
            </w:r>
          </w:p>
        </w:tc>
        <w:tc>
          <w:tcPr>
            <w:tcW w:w="1146" w:type="dxa"/>
            <w:vAlign w:val="center"/>
          </w:tcPr>
          <w:p w14:paraId="2F468D3D">
            <w:pPr>
              <w:jc w:val="center"/>
              <w:rPr>
                <w:rFonts w:hint="eastAsia" w:ascii="宋体" w:hAnsi="宋体" w:cs="宋体"/>
                <w:color w:val="auto"/>
                <w:szCs w:val="21"/>
              </w:rPr>
            </w:pPr>
            <w:r>
              <w:rPr>
                <w:rFonts w:hint="eastAsia" w:ascii="宋体" w:hAnsi="宋体" w:cs="宋体"/>
                <w:color w:val="auto"/>
                <w:szCs w:val="21"/>
              </w:rPr>
              <w:t xml:space="preserve">0.0138 </w:t>
            </w:r>
          </w:p>
        </w:tc>
        <w:tc>
          <w:tcPr>
            <w:tcW w:w="1232" w:type="dxa"/>
            <w:vAlign w:val="center"/>
          </w:tcPr>
          <w:p w14:paraId="40A52AF0">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1B6D017F">
            <w:pPr>
              <w:jc w:val="center"/>
              <w:rPr>
                <w:rFonts w:hint="eastAsia" w:ascii="宋体" w:hAnsi="宋体" w:cs="宋体"/>
                <w:color w:val="auto"/>
                <w:szCs w:val="21"/>
              </w:rPr>
            </w:pPr>
            <w:r>
              <w:rPr>
                <w:rFonts w:hint="eastAsia" w:ascii="宋体" w:hAnsi="宋体" w:cs="宋体"/>
                <w:color w:val="auto"/>
                <w:szCs w:val="21"/>
              </w:rPr>
              <w:t>9</w:t>
            </w:r>
          </w:p>
        </w:tc>
        <w:tc>
          <w:tcPr>
            <w:tcW w:w="1248" w:type="dxa"/>
            <w:vAlign w:val="center"/>
          </w:tcPr>
          <w:p w14:paraId="3FDF237A">
            <w:pPr>
              <w:jc w:val="center"/>
              <w:rPr>
                <w:rFonts w:hint="eastAsia" w:ascii="宋体" w:hAnsi="宋体" w:cs="宋体"/>
                <w:color w:val="auto"/>
                <w:szCs w:val="21"/>
              </w:rPr>
            </w:pPr>
            <w:r>
              <w:rPr>
                <w:rFonts w:hint="eastAsia" w:ascii="宋体" w:hAnsi="宋体" w:cs="宋体"/>
                <w:color w:val="auto"/>
                <w:szCs w:val="21"/>
              </w:rPr>
              <w:t xml:space="preserve">0.0113 </w:t>
            </w:r>
          </w:p>
        </w:tc>
        <w:tc>
          <w:tcPr>
            <w:tcW w:w="1041" w:type="dxa"/>
            <w:vAlign w:val="center"/>
          </w:tcPr>
          <w:p w14:paraId="6E60DDF4">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152FC34B">
            <w:pPr>
              <w:jc w:val="center"/>
              <w:rPr>
                <w:rFonts w:hint="eastAsia" w:ascii="宋体" w:hAnsi="宋体" w:cs="宋体"/>
                <w:color w:val="auto"/>
                <w:szCs w:val="21"/>
              </w:rPr>
            </w:pPr>
            <w:r>
              <w:rPr>
                <w:rFonts w:hint="eastAsia" w:ascii="宋体" w:hAnsi="宋体" w:cs="宋体"/>
                <w:color w:val="auto"/>
                <w:szCs w:val="21"/>
              </w:rPr>
              <w:t>13</w:t>
            </w:r>
          </w:p>
        </w:tc>
        <w:tc>
          <w:tcPr>
            <w:tcW w:w="1158" w:type="dxa"/>
            <w:vAlign w:val="center"/>
          </w:tcPr>
          <w:p w14:paraId="6463CC37">
            <w:pPr>
              <w:jc w:val="center"/>
              <w:rPr>
                <w:rFonts w:hint="eastAsia" w:ascii="宋体" w:hAnsi="宋体" w:cs="宋体"/>
                <w:color w:val="auto"/>
                <w:szCs w:val="21"/>
              </w:rPr>
            </w:pPr>
            <w:r>
              <w:rPr>
                <w:rFonts w:hint="eastAsia" w:ascii="宋体" w:hAnsi="宋体" w:cs="宋体"/>
                <w:color w:val="auto"/>
                <w:szCs w:val="21"/>
              </w:rPr>
              <w:t xml:space="preserve">0.0163 </w:t>
            </w:r>
          </w:p>
        </w:tc>
        <w:tc>
          <w:tcPr>
            <w:tcW w:w="1098" w:type="dxa"/>
            <w:vAlign w:val="center"/>
          </w:tcPr>
          <w:p w14:paraId="639E4E1E">
            <w:pPr>
              <w:jc w:val="center"/>
              <w:rPr>
                <w:rFonts w:hint="eastAsia" w:ascii="宋体" w:hAnsi="宋体" w:cs="宋体"/>
                <w:color w:val="auto"/>
                <w:szCs w:val="21"/>
              </w:rPr>
            </w:pPr>
            <w:r>
              <w:rPr>
                <w:rFonts w:hint="eastAsia" w:ascii="宋体" w:hAnsi="宋体" w:cs="宋体"/>
                <w:color w:val="auto"/>
                <w:szCs w:val="21"/>
              </w:rPr>
              <w:t>达标</w:t>
            </w:r>
          </w:p>
        </w:tc>
      </w:tr>
      <w:tr w14:paraId="0662E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4F867661">
            <w:pPr>
              <w:jc w:val="center"/>
              <w:rPr>
                <w:rFonts w:hint="eastAsia" w:ascii="宋体" w:hAnsi="宋体" w:cs="宋体"/>
                <w:color w:val="auto"/>
                <w:kern w:val="0"/>
                <w:szCs w:val="21"/>
              </w:rPr>
            </w:pPr>
            <w:r>
              <w:rPr>
                <w:rFonts w:hint="eastAsia" w:ascii="宋体" w:hAnsi="宋体" w:cs="宋体"/>
                <w:color w:val="auto"/>
                <w:szCs w:val="21"/>
              </w:rPr>
              <w:t>7</w:t>
            </w:r>
          </w:p>
        </w:tc>
        <w:tc>
          <w:tcPr>
            <w:tcW w:w="1587" w:type="dxa"/>
            <w:vAlign w:val="center"/>
          </w:tcPr>
          <w:p w14:paraId="747845DF">
            <w:pPr>
              <w:jc w:val="center"/>
              <w:rPr>
                <w:rFonts w:hint="eastAsia" w:ascii="宋体" w:hAnsi="宋体" w:cs="宋体"/>
                <w:color w:val="auto"/>
                <w:szCs w:val="21"/>
              </w:rPr>
            </w:pPr>
            <w:r>
              <w:rPr>
                <w:rFonts w:hint="eastAsia" w:ascii="宋体" w:hAnsi="宋体" w:cs="宋体"/>
                <w:color w:val="auto"/>
                <w:szCs w:val="21"/>
              </w:rPr>
              <w:t>镍</w:t>
            </w:r>
          </w:p>
        </w:tc>
        <w:tc>
          <w:tcPr>
            <w:tcW w:w="1286" w:type="dxa"/>
            <w:vAlign w:val="center"/>
          </w:tcPr>
          <w:p w14:paraId="451D65A9">
            <w:pPr>
              <w:jc w:val="center"/>
              <w:rPr>
                <w:rFonts w:hint="eastAsia" w:ascii="宋体" w:hAnsi="宋体" w:cs="宋体"/>
                <w:color w:val="auto"/>
                <w:szCs w:val="21"/>
              </w:rPr>
            </w:pPr>
            <w:r>
              <w:rPr>
                <w:rFonts w:hint="eastAsia" w:ascii="宋体" w:hAnsi="宋体" w:cs="宋体"/>
                <w:color w:val="auto"/>
                <w:szCs w:val="21"/>
              </w:rPr>
              <w:t>900</w:t>
            </w:r>
          </w:p>
        </w:tc>
        <w:tc>
          <w:tcPr>
            <w:tcW w:w="862" w:type="dxa"/>
            <w:vAlign w:val="center"/>
          </w:tcPr>
          <w:p w14:paraId="13D1E2BB">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75F3EDB5">
            <w:pPr>
              <w:jc w:val="center"/>
              <w:rPr>
                <w:rFonts w:hint="eastAsia" w:ascii="宋体" w:hAnsi="宋体" w:cs="宋体"/>
                <w:color w:val="auto"/>
                <w:szCs w:val="21"/>
              </w:rPr>
            </w:pPr>
            <w:r>
              <w:rPr>
                <w:rFonts w:hint="eastAsia" w:ascii="宋体" w:hAnsi="宋体" w:cs="宋体"/>
                <w:color w:val="auto"/>
                <w:szCs w:val="21"/>
              </w:rPr>
              <w:t>16</w:t>
            </w:r>
          </w:p>
        </w:tc>
        <w:tc>
          <w:tcPr>
            <w:tcW w:w="1146" w:type="dxa"/>
            <w:vAlign w:val="center"/>
          </w:tcPr>
          <w:p w14:paraId="29F3276D">
            <w:pPr>
              <w:jc w:val="center"/>
              <w:rPr>
                <w:rFonts w:hint="eastAsia" w:ascii="宋体" w:hAnsi="宋体" w:cs="宋体"/>
                <w:color w:val="auto"/>
                <w:szCs w:val="21"/>
              </w:rPr>
            </w:pPr>
            <w:r>
              <w:rPr>
                <w:rFonts w:hint="eastAsia" w:ascii="宋体" w:hAnsi="宋体" w:cs="宋体"/>
                <w:color w:val="auto"/>
                <w:szCs w:val="21"/>
              </w:rPr>
              <w:t xml:space="preserve">0.0178 </w:t>
            </w:r>
          </w:p>
        </w:tc>
        <w:tc>
          <w:tcPr>
            <w:tcW w:w="1232" w:type="dxa"/>
            <w:vAlign w:val="center"/>
          </w:tcPr>
          <w:p w14:paraId="703C3F03">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524A3BB1">
            <w:pPr>
              <w:jc w:val="center"/>
              <w:rPr>
                <w:rFonts w:hint="eastAsia" w:ascii="宋体" w:hAnsi="宋体" w:cs="宋体"/>
                <w:color w:val="auto"/>
                <w:szCs w:val="21"/>
              </w:rPr>
            </w:pPr>
            <w:r>
              <w:rPr>
                <w:rFonts w:hint="eastAsia" w:ascii="宋体" w:hAnsi="宋体" w:cs="宋体"/>
                <w:color w:val="auto"/>
                <w:szCs w:val="21"/>
              </w:rPr>
              <w:t>16</w:t>
            </w:r>
          </w:p>
        </w:tc>
        <w:tc>
          <w:tcPr>
            <w:tcW w:w="1248" w:type="dxa"/>
            <w:vAlign w:val="center"/>
          </w:tcPr>
          <w:p w14:paraId="04E0DAD5">
            <w:pPr>
              <w:jc w:val="center"/>
              <w:rPr>
                <w:rFonts w:hint="eastAsia" w:ascii="宋体" w:hAnsi="宋体" w:cs="宋体"/>
                <w:color w:val="auto"/>
                <w:szCs w:val="21"/>
              </w:rPr>
            </w:pPr>
            <w:r>
              <w:rPr>
                <w:rFonts w:hint="eastAsia" w:ascii="宋体" w:hAnsi="宋体" w:cs="宋体"/>
                <w:color w:val="auto"/>
                <w:szCs w:val="21"/>
              </w:rPr>
              <w:t xml:space="preserve">0.0178 </w:t>
            </w:r>
          </w:p>
        </w:tc>
        <w:tc>
          <w:tcPr>
            <w:tcW w:w="1041" w:type="dxa"/>
            <w:vAlign w:val="center"/>
          </w:tcPr>
          <w:p w14:paraId="4137D593">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16094B16">
            <w:pPr>
              <w:jc w:val="center"/>
              <w:rPr>
                <w:rFonts w:hint="eastAsia" w:ascii="宋体" w:hAnsi="宋体" w:cs="宋体"/>
                <w:color w:val="auto"/>
                <w:szCs w:val="21"/>
              </w:rPr>
            </w:pPr>
            <w:r>
              <w:rPr>
                <w:rFonts w:hint="eastAsia" w:ascii="宋体" w:hAnsi="宋体" w:cs="宋体"/>
                <w:color w:val="auto"/>
                <w:szCs w:val="21"/>
              </w:rPr>
              <w:t>20</w:t>
            </w:r>
          </w:p>
        </w:tc>
        <w:tc>
          <w:tcPr>
            <w:tcW w:w="1158" w:type="dxa"/>
            <w:vAlign w:val="center"/>
          </w:tcPr>
          <w:p w14:paraId="7D9246EE">
            <w:pPr>
              <w:jc w:val="center"/>
              <w:rPr>
                <w:rFonts w:hint="eastAsia" w:ascii="宋体" w:hAnsi="宋体" w:cs="宋体"/>
                <w:color w:val="auto"/>
                <w:szCs w:val="21"/>
              </w:rPr>
            </w:pPr>
            <w:r>
              <w:rPr>
                <w:rFonts w:hint="eastAsia" w:ascii="宋体" w:hAnsi="宋体" w:cs="宋体"/>
                <w:color w:val="auto"/>
                <w:szCs w:val="21"/>
              </w:rPr>
              <w:t xml:space="preserve">0.0222 </w:t>
            </w:r>
          </w:p>
        </w:tc>
        <w:tc>
          <w:tcPr>
            <w:tcW w:w="1098" w:type="dxa"/>
            <w:vAlign w:val="center"/>
          </w:tcPr>
          <w:p w14:paraId="6FB824A6">
            <w:pPr>
              <w:jc w:val="center"/>
              <w:rPr>
                <w:rFonts w:hint="eastAsia" w:ascii="宋体" w:hAnsi="宋体" w:cs="宋体"/>
                <w:color w:val="auto"/>
                <w:szCs w:val="21"/>
              </w:rPr>
            </w:pPr>
            <w:r>
              <w:rPr>
                <w:rFonts w:hint="eastAsia" w:ascii="宋体" w:hAnsi="宋体" w:cs="宋体"/>
                <w:color w:val="auto"/>
                <w:szCs w:val="21"/>
              </w:rPr>
              <w:t>达标</w:t>
            </w:r>
          </w:p>
        </w:tc>
      </w:tr>
      <w:tr w14:paraId="1B933C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1C707ACE">
            <w:pPr>
              <w:jc w:val="center"/>
              <w:rPr>
                <w:rFonts w:hint="eastAsia" w:ascii="宋体" w:hAnsi="宋体" w:cs="宋体"/>
                <w:color w:val="auto"/>
                <w:kern w:val="0"/>
                <w:szCs w:val="21"/>
              </w:rPr>
            </w:pPr>
            <w:r>
              <w:rPr>
                <w:rFonts w:hint="eastAsia" w:ascii="宋体" w:hAnsi="宋体" w:cs="宋体"/>
                <w:color w:val="auto"/>
                <w:szCs w:val="21"/>
              </w:rPr>
              <w:t>8</w:t>
            </w:r>
          </w:p>
        </w:tc>
        <w:tc>
          <w:tcPr>
            <w:tcW w:w="1587" w:type="dxa"/>
            <w:vAlign w:val="center"/>
          </w:tcPr>
          <w:p w14:paraId="2223F120">
            <w:pPr>
              <w:jc w:val="center"/>
              <w:rPr>
                <w:rFonts w:hint="eastAsia" w:ascii="宋体" w:hAnsi="宋体" w:cs="宋体"/>
                <w:color w:val="auto"/>
                <w:szCs w:val="21"/>
              </w:rPr>
            </w:pPr>
            <w:r>
              <w:rPr>
                <w:rFonts w:hint="eastAsia" w:ascii="宋体" w:hAnsi="宋体" w:cs="宋体"/>
                <w:color w:val="auto"/>
                <w:szCs w:val="21"/>
              </w:rPr>
              <w:t>镉</w:t>
            </w:r>
          </w:p>
        </w:tc>
        <w:tc>
          <w:tcPr>
            <w:tcW w:w="1286" w:type="dxa"/>
            <w:vAlign w:val="center"/>
          </w:tcPr>
          <w:p w14:paraId="57E62C9E">
            <w:pPr>
              <w:jc w:val="center"/>
              <w:rPr>
                <w:rFonts w:hint="eastAsia" w:ascii="宋体" w:hAnsi="宋体" w:cs="宋体"/>
                <w:color w:val="auto"/>
                <w:szCs w:val="21"/>
              </w:rPr>
            </w:pPr>
            <w:r>
              <w:rPr>
                <w:rFonts w:hint="eastAsia" w:ascii="宋体" w:hAnsi="宋体" w:cs="宋体"/>
                <w:color w:val="auto"/>
                <w:szCs w:val="21"/>
              </w:rPr>
              <w:t>65</w:t>
            </w:r>
          </w:p>
        </w:tc>
        <w:tc>
          <w:tcPr>
            <w:tcW w:w="862" w:type="dxa"/>
            <w:vAlign w:val="center"/>
          </w:tcPr>
          <w:p w14:paraId="344A9AFE">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2D28C3D6">
            <w:pPr>
              <w:jc w:val="center"/>
              <w:rPr>
                <w:rFonts w:hint="eastAsia" w:ascii="宋体" w:hAnsi="宋体" w:cs="宋体"/>
                <w:color w:val="auto"/>
                <w:szCs w:val="21"/>
              </w:rPr>
            </w:pPr>
            <w:r>
              <w:rPr>
                <w:rFonts w:hint="eastAsia" w:ascii="宋体" w:hAnsi="宋体" w:cs="宋体"/>
                <w:color w:val="auto"/>
                <w:szCs w:val="21"/>
              </w:rPr>
              <w:t>0.11</w:t>
            </w:r>
          </w:p>
        </w:tc>
        <w:tc>
          <w:tcPr>
            <w:tcW w:w="1146" w:type="dxa"/>
            <w:vAlign w:val="center"/>
          </w:tcPr>
          <w:p w14:paraId="0FEDC01D">
            <w:pPr>
              <w:jc w:val="center"/>
              <w:rPr>
                <w:rFonts w:hint="eastAsia" w:ascii="宋体" w:hAnsi="宋体" w:cs="宋体"/>
                <w:color w:val="auto"/>
                <w:szCs w:val="21"/>
              </w:rPr>
            </w:pPr>
            <w:r>
              <w:rPr>
                <w:rFonts w:hint="eastAsia" w:ascii="宋体" w:hAnsi="宋体" w:cs="宋体"/>
                <w:color w:val="auto"/>
                <w:szCs w:val="21"/>
              </w:rPr>
              <w:t xml:space="preserve">0.0017 </w:t>
            </w:r>
          </w:p>
        </w:tc>
        <w:tc>
          <w:tcPr>
            <w:tcW w:w="1232" w:type="dxa"/>
            <w:vAlign w:val="center"/>
          </w:tcPr>
          <w:p w14:paraId="2EEFC412">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3F41AE78">
            <w:pPr>
              <w:jc w:val="center"/>
              <w:rPr>
                <w:rFonts w:hint="eastAsia" w:ascii="宋体" w:hAnsi="宋体" w:cs="宋体"/>
                <w:color w:val="auto"/>
                <w:szCs w:val="21"/>
              </w:rPr>
            </w:pPr>
            <w:r>
              <w:rPr>
                <w:rFonts w:hint="eastAsia" w:ascii="宋体" w:hAnsi="宋体" w:cs="宋体"/>
                <w:color w:val="auto"/>
                <w:szCs w:val="21"/>
              </w:rPr>
              <w:t>0.12</w:t>
            </w:r>
          </w:p>
        </w:tc>
        <w:tc>
          <w:tcPr>
            <w:tcW w:w="1248" w:type="dxa"/>
            <w:vAlign w:val="center"/>
          </w:tcPr>
          <w:p w14:paraId="55CF19D1">
            <w:pPr>
              <w:jc w:val="center"/>
              <w:rPr>
                <w:rFonts w:hint="eastAsia" w:ascii="宋体" w:hAnsi="宋体" w:cs="宋体"/>
                <w:color w:val="auto"/>
                <w:szCs w:val="21"/>
              </w:rPr>
            </w:pPr>
            <w:r>
              <w:rPr>
                <w:rFonts w:hint="eastAsia" w:ascii="宋体" w:hAnsi="宋体" w:cs="宋体"/>
                <w:color w:val="auto"/>
                <w:szCs w:val="21"/>
              </w:rPr>
              <w:t xml:space="preserve">0.0018 </w:t>
            </w:r>
          </w:p>
        </w:tc>
        <w:tc>
          <w:tcPr>
            <w:tcW w:w="1041" w:type="dxa"/>
            <w:vAlign w:val="center"/>
          </w:tcPr>
          <w:p w14:paraId="051E5A2B">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7875E508">
            <w:pPr>
              <w:jc w:val="center"/>
              <w:rPr>
                <w:rFonts w:hint="eastAsia" w:ascii="宋体" w:hAnsi="宋体" w:cs="宋体"/>
                <w:color w:val="auto"/>
                <w:szCs w:val="21"/>
              </w:rPr>
            </w:pPr>
            <w:r>
              <w:rPr>
                <w:rFonts w:hint="eastAsia" w:ascii="宋体" w:hAnsi="宋体" w:cs="宋体"/>
                <w:color w:val="auto"/>
                <w:szCs w:val="21"/>
              </w:rPr>
              <w:t>ND</w:t>
            </w:r>
          </w:p>
        </w:tc>
        <w:tc>
          <w:tcPr>
            <w:tcW w:w="1158" w:type="dxa"/>
            <w:vAlign w:val="center"/>
          </w:tcPr>
          <w:p w14:paraId="5DE053B3">
            <w:pPr>
              <w:jc w:val="center"/>
              <w:rPr>
                <w:rFonts w:hint="eastAsia" w:ascii="宋体" w:hAnsi="宋体" w:cs="宋体"/>
                <w:color w:val="auto"/>
                <w:szCs w:val="21"/>
              </w:rPr>
            </w:pPr>
            <w:r>
              <w:rPr>
                <w:rFonts w:hint="eastAsia" w:ascii="宋体" w:hAnsi="宋体" w:cs="宋体"/>
                <w:color w:val="auto"/>
                <w:szCs w:val="21"/>
              </w:rPr>
              <w:t>/</w:t>
            </w:r>
          </w:p>
        </w:tc>
        <w:tc>
          <w:tcPr>
            <w:tcW w:w="1098" w:type="dxa"/>
            <w:vAlign w:val="center"/>
          </w:tcPr>
          <w:p w14:paraId="01F7D42C">
            <w:pPr>
              <w:jc w:val="center"/>
              <w:rPr>
                <w:rFonts w:hint="eastAsia" w:ascii="宋体" w:hAnsi="宋体" w:cs="宋体"/>
                <w:color w:val="auto"/>
                <w:szCs w:val="21"/>
              </w:rPr>
            </w:pPr>
            <w:r>
              <w:rPr>
                <w:rFonts w:hint="eastAsia" w:ascii="宋体" w:hAnsi="宋体" w:cs="宋体"/>
                <w:color w:val="auto"/>
                <w:szCs w:val="21"/>
              </w:rPr>
              <w:t>达标</w:t>
            </w:r>
          </w:p>
        </w:tc>
      </w:tr>
      <w:tr w14:paraId="7A7B99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7A9073BE">
            <w:pPr>
              <w:jc w:val="center"/>
              <w:rPr>
                <w:rFonts w:hint="eastAsia" w:ascii="宋体" w:hAnsi="宋体" w:cs="宋体"/>
                <w:color w:val="auto"/>
                <w:kern w:val="0"/>
                <w:szCs w:val="21"/>
              </w:rPr>
            </w:pPr>
            <w:r>
              <w:rPr>
                <w:rFonts w:hint="eastAsia" w:ascii="宋体" w:hAnsi="宋体" w:cs="宋体"/>
                <w:color w:val="auto"/>
                <w:szCs w:val="21"/>
              </w:rPr>
              <w:t>9</w:t>
            </w:r>
          </w:p>
        </w:tc>
        <w:tc>
          <w:tcPr>
            <w:tcW w:w="1587" w:type="dxa"/>
            <w:vAlign w:val="center"/>
          </w:tcPr>
          <w:p w14:paraId="12B526C1">
            <w:pPr>
              <w:jc w:val="center"/>
              <w:rPr>
                <w:rFonts w:hint="eastAsia" w:ascii="宋体" w:hAnsi="宋体" w:cs="宋体"/>
                <w:color w:val="auto"/>
                <w:szCs w:val="21"/>
              </w:rPr>
            </w:pPr>
            <w:r>
              <w:rPr>
                <w:rFonts w:hint="eastAsia" w:ascii="宋体" w:hAnsi="宋体" w:cs="宋体"/>
                <w:color w:val="auto"/>
                <w:szCs w:val="21"/>
              </w:rPr>
              <w:t>六价铬</w:t>
            </w:r>
          </w:p>
        </w:tc>
        <w:tc>
          <w:tcPr>
            <w:tcW w:w="1286" w:type="dxa"/>
            <w:vAlign w:val="center"/>
          </w:tcPr>
          <w:p w14:paraId="4A9C6ECA">
            <w:pPr>
              <w:jc w:val="center"/>
              <w:rPr>
                <w:rFonts w:hint="eastAsia" w:ascii="宋体" w:hAnsi="宋体" w:cs="宋体"/>
                <w:color w:val="auto"/>
                <w:szCs w:val="21"/>
              </w:rPr>
            </w:pPr>
            <w:r>
              <w:rPr>
                <w:rFonts w:hint="eastAsia" w:ascii="宋体" w:hAnsi="宋体" w:cs="宋体"/>
                <w:color w:val="auto"/>
                <w:szCs w:val="21"/>
              </w:rPr>
              <w:t>5.7</w:t>
            </w:r>
          </w:p>
        </w:tc>
        <w:tc>
          <w:tcPr>
            <w:tcW w:w="862" w:type="dxa"/>
            <w:vAlign w:val="center"/>
          </w:tcPr>
          <w:p w14:paraId="6E530975">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029EB1B0">
            <w:pPr>
              <w:jc w:val="center"/>
              <w:rPr>
                <w:rFonts w:hint="eastAsia" w:ascii="宋体" w:hAnsi="宋体" w:cs="宋体"/>
                <w:color w:val="auto"/>
                <w:szCs w:val="21"/>
              </w:rPr>
            </w:pPr>
            <w:r>
              <w:rPr>
                <w:rFonts w:hint="eastAsia" w:ascii="宋体" w:hAnsi="宋体" w:cs="宋体"/>
                <w:color w:val="auto"/>
                <w:szCs w:val="21"/>
              </w:rPr>
              <w:t>ND</w:t>
            </w:r>
          </w:p>
        </w:tc>
        <w:tc>
          <w:tcPr>
            <w:tcW w:w="1146" w:type="dxa"/>
            <w:vAlign w:val="center"/>
          </w:tcPr>
          <w:p w14:paraId="1D135ADF">
            <w:pPr>
              <w:jc w:val="center"/>
              <w:rPr>
                <w:rFonts w:hint="eastAsia" w:ascii="宋体" w:hAnsi="宋体" w:cs="宋体"/>
                <w:color w:val="auto"/>
                <w:szCs w:val="21"/>
              </w:rPr>
            </w:pPr>
            <w:r>
              <w:rPr>
                <w:rFonts w:hint="eastAsia" w:ascii="宋体" w:hAnsi="宋体" w:cs="宋体"/>
                <w:color w:val="auto"/>
                <w:szCs w:val="21"/>
              </w:rPr>
              <w:t>/</w:t>
            </w:r>
          </w:p>
        </w:tc>
        <w:tc>
          <w:tcPr>
            <w:tcW w:w="1232" w:type="dxa"/>
            <w:vAlign w:val="center"/>
          </w:tcPr>
          <w:p w14:paraId="0A91DDC1">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18F4FD32">
            <w:pPr>
              <w:jc w:val="center"/>
              <w:rPr>
                <w:rFonts w:hint="eastAsia" w:ascii="宋体" w:hAnsi="宋体" w:cs="宋体"/>
                <w:color w:val="auto"/>
                <w:szCs w:val="21"/>
              </w:rPr>
            </w:pPr>
            <w:r>
              <w:rPr>
                <w:rFonts w:hint="eastAsia" w:ascii="宋体" w:hAnsi="宋体" w:cs="宋体"/>
                <w:color w:val="auto"/>
                <w:szCs w:val="21"/>
              </w:rPr>
              <w:t>ND</w:t>
            </w:r>
          </w:p>
        </w:tc>
        <w:tc>
          <w:tcPr>
            <w:tcW w:w="1248" w:type="dxa"/>
            <w:vAlign w:val="center"/>
          </w:tcPr>
          <w:p w14:paraId="09A236F7">
            <w:pPr>
              <w:jc w:val="center"/>
              <w:rPr>
                <w:rFonts w:hint="eastAsia" w:ascii="宋体" w:hAnsi="宋体" w:cs="宋体"/>
                <w:color w:val="auto"/>
                <w:szCs w:val="21"/>
              </w:rPr>
            </w:pPr>
            <w:r>
              <w:rPr>
                <w:rFonts w:hint="eastAsia" w:ascii="宋体" w:hAnsi="宋体" w:cs="宋体"/>
                <w:color w:val="auto"/>
                <w:szCs w:val="21"/>
              </w:rPr>
              <w:t>/</w:t>
            </w:r>
          </w:p>
        </w:tc>
        <w:tc>
          <w:tcPr>
            <w:tcW w:w="1041" w:type="dxa"/>
            <w:vAlign w:val="center"/>
          </w:tcPr>
          <w:p w14:paraId="2F23665E">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7C1AE64F">
            <w:pPr>
              <w:jc w:val="center"/>
              <w:rPr>
                <w:rFonts w:hint="eastAsia" w:ascii="宋体" w:hAnsi="宋体" w:cs="宋体"/>
                <w:color w:val="auto"/>
                <w:szCs w:val="21"/>
              </w:rPr>
            </w:pPr>
            <w:r>
              <w:rPr>
                <w:rFonts w:hint="eastAsia" w:ascii="宋体" w:hAnsi="宋体" w:cs="宋体"/>
                <w:color w:val="auto"/>
                <w:szCs w:val="21"/>
              </w:rPr>
              <w:t>ND</w:t>
            </w:r>
          </w:p>
        </w:tc>
        <w:tc>
          <w:tcPr>
            <w:tcW w:w="1158" w:type="dxa"/>
            <w:vAlign w:val="center"/>
          </w:tcPr>
          <w:p w14:paraId="2F024D73">
            <w:pPr>
              <w:jc w:val="center"/>
              <w:rPr>
                <w:rFonts w:hint="eastAsia" w:ascii="宋体" w:hAnsi="宋体" w:cs="宋体"/>
                <w:color w:val="auto"/>
                <w:szCs w:val="21"/>
              </w:rPr>
            </w:pPr>
            <w:r>
              <w:rPr>
                <w:rFonts w:hint="eastAsia" w:ascii="宋体" w:hAnsi="宋体" w:cs="宋体"/>
                <w:color w:val="auto"/>
                <w:szCs w:val="21"/>
              </w:rPr>
              <w:t>/</w:t>
            </w:r>
          </w:p>
        </w:tc>
        <w:tc>
          <w:tcPr>
            <w:tcW w:w="1098" w:type="dxa"/>
            <w:vAlign w:val="center"/>
          </w:tcPr>
          <w:p w14:paraId="06620C39">
            <w:pPr>
              <w:jc w:val="center"/>
              <w:rPr>
                <w:rFonts w:hint="eastAsia" w:ascii="宋体" w:hAnsi="宋体" w:cs="宋体"/>
                <w:color w:val="auto"/>
                <w:szCs w:val="21"/>
              </w:rPr>
            </w:pPr>
            <w:r>
              <w:rPr>
                <w:rFonts w:hint="eastAsia" w:ascii="宋体" w:hAnsi="宋体" w:cs="宋体"/>
                <w:color w:val="auto"/>
                <w:szCs w:val="21"/>
              </w:rPr>
              <w:t>达标</w:t>
            </w:r>
          </w:p>
        </w:tc>
      </w:tr>
      <w:tr w14:paraId="5E2A31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72B1706D">
            <w:pPr>
              <w:jc w:val="center"/>
              <w:rPr>
                <w:rFonts w:hint="eastAsia" w:ascii="宋体" w:hAnsi="宋体" w:cs="宋体"/>
                <w:color w:val="auto"/>
                <w:kern w:val="0"/>
                <w:szCs w:val="21"/>
              </w:rPr>
            </w:pPr>
            <w:r>
              <w:rPr>
                <w:rFonts w:hint="eastAsia" w:ascii="宋体" w:hAnsi="宋体" w:cs="宋体"/>
                <w:color w:val="auto"/>
                <w:szCs w:val="21"/>
              </w:rPr>
              <w:t>10</w:t>
            </w:r>
          </w:p>
        </w:tc>
        <w:tc>
          <w:tcPr>
            <w:tcW w:w="1587" w:type="dxa"/>
            <w:vAlign w:val="center"/>
          </w:tcPr>
          <w:p w14:paraId="1C32EE46">
            <w:pPr>
              <w:jc w:val="center"/>
              <w:rPr>
                <w:rFonts w:hint="eastAsia" w:ascii="宋体" w:hAnsi="宋体" w:cs="宋体"/>
                <w:color w:val="auto"/>
                <w:szCs w:val="21"/>
              </w:rPr>
            </w:pPr>
            <w:r>
              <w:rPr>
                <w:rFonts w:hint="eastAsia" w:ascii="宋体" w:hAnsi="宋体" w:cs="宋体"/>
                <w:color w:val="auto"/>
                <w:szCs w:val="21"/>
              </w:rPr>
              <w:t>石油烃</w:t>
            </w:r>
          </w:p>
        </w:tc>
        <w:tc>
          <w:tcPr>
            <w:tcW w:w="1286" w:type="dxa"/>
            <w:vAlign w:val="center"/>
          </w:tcPr>
          <w:p w14:paraId="68EBC3D3">
            <w:pPr>
              <w:jc w:val="center"/>
              <w:rPr>
                <w:rFonts w:hint="eastAsia" w:ascii="宋体" w:hAnsi="宋体" w:cs="宋体"/>
                <w:color w:val="auto"/>
                <w:szCs w:val="21"/>
              </w:rPr>
            </w:pPr>
            <w:r>
              <w:rPr>
                <w:rFonts w:hint="eastAsia" w:ascii="宋体" w:hAnsi="宋体" w:cs="宋体"/>
                <w:color w:val="auto"/>
                <w:szCs w:val="21"/>
              </w:rPr>
              <w:t>4500</w:t>
            </w:r>
          </w:p>
        </w:tc>
        <w:tc>
          <w:tcPr>
            <w:tcW w:w="862" w:type="dxa"/>
            <w:vAlign w:val="center"/>
          </w:tcPr>
          <w:p w14:paraId="37C47209">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06578AD4">
            <w:pPr>
              <w:jc w:val="center"/>
              <w:rPr>
                <w:rFonts w:hint="eastAsia" w:ascii="宋体" w:hAnsi="宋体" w:cs="宋体"/>
                <w:color w:val="auto"/>
                <w:szCs w:val="21"/>
              </w:rPr>
            </w:pPr>
            <w:r>
              <w:rPr>
                <w:rFonts w:hint="eastAsia" w:ascii="宋体" w:hAnsi="宋体" w:cs="宋体"/>
                <w:color w:val="auto"/>
                <w:szCs w:val="21"/>
              </w:rPr>
              <w:t>38.7</w:t>
            </w:r>
          </w:p>
        </w:tc>
        <w:tc>
          <w:tcPr>
            <w:tcW w:w="1146" w:type="dxa"/>
            <w:vAlign w:val="center"/>
          </w:tcPr>
          <w:p w14:paraId="6775AC66">
            <w:pPr>
              <w:jc w:val="center"/>
              <w:rPr>
                <w:rFonts w:hint="eastAsia" w:ascii="宋体" w:hAnsi="宋体" w:cs="宋体"/>
                <w:color w:val="auto"/>
                <w:szCs w:val="21"/>
              </w:rPr>
            </w:pPr>
            <w:r>
              <w:rPr>
                <w:rFonts w:hint="eastAsia" w:ascii="宋体" w:hAnsi="宋体" w:cs="宋体"/>
                <w:color w:val="auto"/>
                <w:szCs w:val="21"/>
              </w:rPr>
              <w:t>0.0086</w:t>
            </w:r>
          </w:p>
        </w:tc>
        <w:tc>
          <w:tcPr>
            <w:tcW w:w="1232" w:type="dxa"/>
            <w:vAlign w:val="center"/>
          </w:tcPr>
          <w:p w14:paraId="2863A68A">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11F8BBAD">
            <w:pPr>
              <w:jc w:val="center"/>
              <w:rPr>
                <w:rFonts w:hint="eastAsia" w:ascii="宋体" w:hAnsi="宋体" w:cs="宋体"/>
                <w:color w:val="auto"/>
                <w:szCs w:val="21"/>
              </w:rPr>
            </w:pPr>
            <w:r>
              <w:rPr>
                <w:rFonts w:hint="eastAsia" w:ascii="宋体" w:hAnsi="宋体" w:cs="宋体"/>
                <w:color w:val="auto"/>
                <w:szCs w:val="21"/>
              </w:rPr>
              <w:t>34.2</w:t>
            </w:r>
          </w:p>
        </w:tc>
        <w:tc>
          <w:tcPr>
            <w:tcW w:w="1248" w:type="dxa"/>
            <w:vAlign w:val="center"/>
          </w:tcPr>
          <w:p w14:paraId="0E449087">
            <w:pPr>
              <w:jc w:val="center"/>
              <w:rPr>
                <w:rFonts w:hint="eastAsia" w:ascii="宋体" w:hAnsi="宋体" w:cs="宋体"/>
                <w:color w:val="auto"/>
                <w:szCs w:val="21"/>
              </w:rPr>
            </w:pPr>
            <w:r>
              <w:rPr>
                <w:rFonts w:hint="eastAsia" w:ascii="宋体" w:hAnsi="宋体" w:cs="宋体"/>
                <w:color w:val="auto"/>
                <w:szCs w:val="21"/>
              </w:rPr>
              <w:t>0.0076</w:t>
            </w:r>
          </w:p>
        </w:tc>
        <w:tc>
          <w:tcPr>
            <w:tcW w:w="1041" w:type="dxa"/>
            <w:vAlign w:val="center"/>
          </w:tcPr>
          <w:p w14:paraId="776932C0">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19CCFA4C">
            <w:pPr>
              <w:jc w:val="center"/>
              <w:rPr>
                <w:rFonts w:hint="eastAsia" w:ascii="宋体" w:hAnsi="宋体" w:cs="宋体"/>
                <w:color w:val="auto"/>
                <w:szCs w:val="21"/>
              </w:rPr>
            </w:pPr>
            <w:r>
              <w:rPr>
                <w:rFonts w:hint="eastAsia" w:ascii="宋体" w:hAnsi="宋体" w:cs="宋体"/>
                <w:color w:val="auto"/>
                <w:szCs w:val="21"/>
              </w:rPr>
              <w:t>32.7</w:t>
            </w:r>
          </w:p>
        </w:tc>
        <w:tc>
          <w:tcPr>
            <w:tcW w:w="1158" w:type="dxa"/>
            <w:vAlign w:val="center"/>
          </w:tcPr>
          <w:p w14:paraId="67AAE38A">
            <w:pPr>
              <w:jc w:val="center"/>
              <w:rPr>
                <w:rFonts w:hint="eastAsia" w:ascii="宋体" w:hAnsi="宋体" w:cs="宋体"/>
                <w:color w:val="auto"/>
                <w:szCs w:val="21"/>
              </w:rPr>
            </w:pPr>
            <w:r>
              <w:rPr>
                <w:rFonts w:hint="eastAsia" w:ascii="宋体" w:hAnsi="宋体" w:cs="宋体"/>
                <w:color w:val="auto"/>
                <w:szCs w:val="21"/>
              </w:rPr>
              <w:t>0.0073</w:t>
            </w:r>
          </w:p>
        </w:tc>
        <w:tc>
          <w:tcPr>
            <w:tcW w:w="1098" w:type="dxa"/>
            <w:vAlign w:val="center"/>
          </w:tcPr>
          <w:p w14:paraId="21E80C3C">
            <w:pPr>
              <w:jc w:val="center"/>
              <w:rPr>
                <w:rFonts w:hint="eastAsia" w:ascii="宋体" w:hAnsi="宋体" w:cs="宋体"/>
                <w:color w:val="auto"/>
                <w:szCs w:val="21"/>
              </w:rPr>
            </w:pPr>
            <w:r>
              <w:rPr>
                <w:rFonts w:hint="eastAsia" w:ascii="宋体" w:hAnsi="宋体" w:cs="宋体"/>
                <w:color w:val="auto"/>
                <w:szCs w:val="21"/>
              </w:rPr>
              <w:t>达标</w:t>
            </w:r>
          </w:p>
        </w:tc>
      </w:tr>
      <w:tr w14:paraId="6A871C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3" w:type="dxa"/>
            <w:vAlign w:val="center"/>
          </w:tcPr>
          <w:p w14:paraId="13AFCA07">
            <w:pPr>
              <w:jc w:val="center"/>
              <w:rPr>
                <w:rFonts w:hint="eastAsia" w:ascii="宋体" w:hAnsi="宋体" w:cs="宋体"/>
                <w:color w:val="auto"/>
                <w:kern w:val="0"/>
                <w:szCs w:val="21"/>
              </w:rPr>
            </w:pPr>
            <w:r>
              <w:rPr>
                <w:rFonts w:hint="eastAsia" w:ascii="宋体" w:hAnsi="宋体" w:cs="宋体"/>
                <w:color w:val="auto"/>
                <w:szCs w:val="21"/>
              </w:rPr>
              <w:t>/</w:t>
            </w:r>
          </w:p>
        </w:tc>
        <w:tc>
          <w:tcPr>
            <w:tcW w:w="1587" w:type="dxa"/>
            <w:vAlign w:val="center"/>
          </w:tcPr>
          <w:p w14:paraId="59E6325A">
            <w:pPr>
              <w:jc w:val="center"/>
              <w:rPr>
                <w:rFonts w:hint="eastAsia" w:ascii="宋体" w:hAnsi="宋体" w:cs="宋体"/>
                <w:color w:val="auto"/>
                <w:kern w:val="0"/>
                <w:szCs w:val="21"/>
              </w:rPr>
            </w:pPr>
            <w:r>
              <w:rPr>
                <w:rFonts w:hint="eastAsia" w:ascii="宋体" w:hAnsi="宋体" w:cs="宋体"/>
                <w:color w:val="auto"/>
                <w:szCs w:val="21"/>
              </w:rPr>
              <w:t>/</w:t>
            </w:r>
          </w:p>
        </w:tc>
        <w:tc>
          <w:tcPr>
            <w:tcW w:w="1286" w:type="dxa"/>
            <w:vAlign w:val="center"/>
          </w:tcPr>
          <w:p w14:paraId="6F268F4B">
            <w:pPr>
              <w:jc w:val="center"/>
              <w:rPr>
                <w:rFonts w:hint="eastAsia" w:ascii="宋体" w:hAnsi="宋体" w:cs="宋体"/>
                <w:color w:val="auto"/>
                <w:kern w:val="0"/>
                <w:szCs w:val="21"/>
              </w:rPr>
            </w:pPr>
            <w:r>
              <w:rPr>
                <w:rFonts w:hint="eastAsia" w:ascii="宋体" w:hAnsi="宋体" w:cs="宋体"/>
                <w:color w:val="auto"/>
                <w:szCs w:val="21"/>
              </w:rPr>
              <w:t>/</w:t>
            </w:r>
          </w:p>
        </w:tc>
        <w:tc>
          <w:tcPr>
            <w:tcW w:w="862" w:type="dxa"/>
            <w:vAlign w:val="center"/>
          </w:tcPr>
          <w:p w14:paraId="35541FF7">
            <w:pPr>
              <w:jc w:val="center"/>
              <w:rPr>
                <w:rFonts w:hint="eastAsia" w:ascii="宋体" w:hAnsi="宋体" w:cs="宋体"/>
                <w:color w:val="auto"/>
                <w:kern w:val="0"/>
                <w:szCs w:val="21"/>
              </w:rPr>
            </w:pPr>
            <w:r>
              <w:rPr>
                <w:rFonts w:hint="eastAsia" w:ascii="宋体" w:hAnsi="宋体" w:cs="宋体"/>
                <w:color w:val="auto"/>
                <w:szCs w:val="21"/>
              </w:rPr>
              <w:t>/</w:t>
            </w:r>
          </w:p>
        </w:tc>
        <w:tc>
          <w:tcPr>
            <w:tcW w:w="3237" w:type="dxa"/>
            <w:gridSpan w:val="3"/>
            <w:vAlign w:val="center"/>
          </w:tcPr>
          <w:p w14:paraId="775B19F9">
            <w:pPr>
              <w:jc w:val="center"/>
              <w:rPr>
                <w:rFonts w:hint="eastAsia" w:ascii="宋体" w:hAnsi="宋体" w:cs="宋体"/>
                <w:color w:val="auto"/>
                <w:kern w:val="0"/>
                <w:szCs w:val="21"/>
              </w:rPr>
            </w:pPr>
            <w:r>
              <w:rPr>
                <w:rFonts w:hint="eastAsia" w:ascii="宋体" w:hAnsi="宋体" w:cs="宋体"/>
                <w:color w:val="auto"/>
                <w:szCs w:val="21"/>
              </w:rPr>
              <w:t>S4(0m～0.2m)</w:t>
            </w:r>
          </w:p>
        </w:tc>
        <w:tc>
          <w:tcPr>
            <w:tcW w:w="3350" w:type="dxa"/>
            <w:gridSpan w:val="3"/>
            <w:vAlign w:val="center"/>
          </w:tcPr>
          <w:p w14:paraId="7D005E17">
            <w:pPr>
              <w:jc w:val="center"/>
              <w:rPr>
                <w:rFonts w:hint="eastAsia" w:ascii="宋体" w:hAnsi="宋体" w:cs="宋体"/>
                <w:color w:val="auto"/>
                <w:kern w:val="0"/>
                <w:szCs w:val="21"/>
              </w:rPr>
            </w:pPr>
            <w:r>
              <w:rPr>
                <w:rFonts w:hint="eastAsia" w:ascii="宋体" w:hAnsi="宋体" w:cs="宋体"/>
                <w:color w:val="auto"/>
                <w:szCs w:val="21"/>
              </w:rPr>
              <w:t>S5(0m～0.2m)</w:t>
            </w:r>
          </w:p>
        </w:tc>
        <w:tc>
          <w:tcPr>
            <w:tcW w:w="3229" w:type="dxa"/>
            <w:gridSpan w:val="4"/>
            <w:vAlign w:val="center"/>
          </w:tcPr>
          <w:p w14:paraId="12268348">
            <w:pPr>
              <w:jc w:val="center"/>
              <w:rPr>
                <w:rFonts w:hint="eastAsia" w:ascii="宋体" w:hAnsi="宋体" w:cs="宋体"/>
                <w:color w:val="auto"/>
                <w:kern w:val="0"/>
                <w:szCs w:val="21"/>
              </w:rPr>
            </w:pPr>
            <w:r>
              <w:rPr>
                <w:rFonts w:hint="eastAsia" w:ascii="宋体" w:hAnsi="宋体" w:cs="宋体"/>
                <w:color w:val="auto"/>
                <w:szCs w:val="21"/>
              </w:rPr>
              <w:t>S6(0m～0.2m)</w:t>
            </w:r>
          </w:p>
        </w:tc>
      </w:tr>
      <w:tr w14:paraId="001C75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5C5A4F12">
            <w:pPr>
              <w:jc w:val="center"/>
              <w:rPr>
                <w:rFonts w:hint="eastAsia" w:ascii="宋体" w:hAnsi="宋体" w:cs="宋体"/>
                <w:color w:val="auto"/>
                <w:kern w:val="0"/>
                <w:szCs w:val="21"/>
              </w:rPr>
            </w:pPr>
            <w:r>
              <w:rPr>
                <w:rFonts w:hint="eastAsia" w:ascii="宋体" w:hAnsi="宋体" w:cs="宋体"/>
                <w:color w:val="auto"/>
                <w:szCs w:val="21"/>
              </w:rPr>
              <w:t>1</w:t>
            </w:r>
          </w:p>
        </w:tc>
        <w:tc>
          <w:tcPr>
            <w:tcW w:w="1587" w:type="dxa"/>
            <w:vAlign w:val="center"/>
          </w:tcPr>
          <w:p w14:paraId="0F985EB4">
            <w:pPr>
              <w:jc w:val="center"/>
              <w:rPr>
                <w:rFonts w:hint="eastAsia" w:ascii="宋体" w:hAnsi="宋体" w:cs="宋体"/>
                <w:color w:val="auto"/>
                <w:kern w:val="0"/>
                <w:szCs w:val="21"/>
              </w:rPr>
            </w:pPr>
            <w:r>
              <w:rPr>
                <w:rFonts w:hint="eastAsia" w:ascii="宋体" w:hAnsi="宋体" w:cs="宋体"/>
                <w:color w:val="auto"/>
                <w:szCs w:val="21"/>
              </w:rPr>
              <w:t>pH</w:t>
            </w:r>
          </w:p>
        </w:tc>
        <w:tc>
          <w:tcPr>
            <w:tcW w:w="1286" w:type="dxa"/>
            <w:vAlign w:val="center"/>
          </w:tcPr>
          <w:p w14:paraId="6375C7DA">
            <w:pPr>
              <w:jc w:val="center"/>
              <w:rPr>
                <w:rFonts w:hint="eastAsia" w:ascii="宋体" w:hAnsi="宋体" w:cs="宋体"/>
                <w:color w:val="auto"/>
                <w:kern w:val="0"/>
                <w:szCs w:val="21"/>
              </w:rPr>
            </w:pPr>
            <w:r>
              <w:rPr>
                <w:rFonts w:hint="eastAsia" w:ascii="宋体" w:hAnsi="宋体" w:cs="宋体"/>
                <w:color w:val="auto"/>
                <w:szCs w:val="21"/>
              </w:rPr>
              <w:t>/</w:t>
            </w:r>
          </w:p>
        </w:tc>
        <w:tc>
          <w:tcPr>
            <w:tcW w:w="862" w:type="dxa"/>
            <w:vAlign w:val="center"/>
          </w:tcPr>
          <w:p w14:paraId="3880D355">
            <w:pPr>
              <w:jc w:val="center"/>
              <w:rPr>
                <w:rFonts w:hint="eastAsia" w:ascii="宋体" w:hAnsi="宋体" w:cs="宋体"/>
                <w:color w:val="auto"/>
                <w:kern w:val="0"/>
                <w:szCs w:val="21"/>
              </w:rPr>
            </w:pPr>
            <w:r>
              <w:rPr>
                <w:rFonts w:hint="eastAsia" w:ascii="宋体" w:hAnsi="宋体" w:cs="宋体"/>
                <w:color w:val="auto"/>
                <w:szCs w:val="21"/>
              </w:rPr>
              <w:t>/</w:t>
            </w:r>
          </w:p>
        </w:tc>
        <w:tc>
          <w:tcPr>
            <w:tcW w:w="859" w:type="dxa"/>
            <w:vAlign w:val="center"/>
          </w:tcPr>
          <w:p w14:paraId="41383540">
            <w:pPr>
              <w:jc w:val="center"/>
              <w:rPr>
                <w:rFonts w:hint="eastAsia" w:ascii="宋体" w:hAnsi="宋体" w:cs="宋体"/>
                <w:color w:val="auto"/>
                <w:szCs w:val="21"/>
              </w:rPr>
            </w:pPr>
            <w:r>
              <w:rPr>
                <w:rFonts w:hint="eastAsia" w:ascii="宋体" w:hAnsi="宋体" w:cs="宋体"/>
                <w:color w:val="auto"/>
                <w:szCs w:val="21"/>
              </w:rPr>
              <w:t>7.98</w:t>
            </w:r>
          </w:p>
        </w:tc>
        <w:tc>
          <w:tcPr>
            <w:tcW w:w="1146" w:type="dxa"/>
            <w:vAlign w:val="center"/>
          </w:tcPr>
          <w:p w14:paraId="245FBC22">
            <w:pPr>
              <w:jc w:val="center"/>
              <w:rPr>
                <w:rFonts w:hint="eastAsia" w:ascii="宋体" w:hAnsi="宋体" w:cs="宋体"/>
                <w:color w:val="auto"/>
                <w:szCs w:val="21"/>
              </w:rPr>
            </w:pPr>
            <w:r>
              <w:rPr>
                <w:rFonts w:hint="eastAsia" w:ascii="宋体" w:hAnsi="宋体" w:cs="宋体"/>
                <w:color w:val="auto"/>
                <w:szCs w:val="21"/>
              </w:rPr>
              <w:t>/</w:t>
            </w:r>
          </w:p>
        </w:tc>
        <w:tc>
          <w:tcPr>
            <w:tcW w:w="1232" w:type="dxa"/>
            <w:vAlign w:val="center"/>
          </w:tcPr>
          <w:p w14:paraId="07C11CB4">
            <w:pPr>
              <w:jc w:val="center"/>
              <w:rPr>
                <w:rFonts w:hint="eastAsia" w:ascii="宋体" w:hAnsi="宋体" w:cs="宋体"/>
                <w:color w:val="auto"/>
                <w:szCs w:val="21"/>
              </w:rPr>
            </w:pPr>
            <w:r>
              <w:rPr>
                <w:rFonts w:hint="eastAsia" w:ascii="宋体" w:hAnsi="宋体" w:cs="宋体"/>
                <w:color w:val="auto"/>
                <w:szCs w:val="21"/>
              </w:rPr>
              <w:t>/</w:t>
            </w:r>
          </w:p>
        </w:tc>
        <w:tc>
          <w:tcPr>
            <w:tcW w:w="1061" w:type="dxa"/>
            <w:vAlign w:val="center"/>
          </w:tcPr>
          <w:p w14:paraId="1676C949">
            <w:pPr>
              <w:jc w:val="center"/>
              <w:rPr>
                <w:rFonts w:hint="eastAsia" w:ascii="宋体" w:hAnsi="宋体" w:cs="宋体"/>
                <w:color w:val="auto"/>
                <w:szCs w:val="21"/>
              </w:rPr>
            </w:pPr>
            <w:r>
              <w:rPr>
                <w:rFonts w:hint="eastAsia" w:ascii="宋体" w:hAnsi="宋体" w:cs="宋体"/>
                <w:color w:val="auto"/>
                <w:szCs w:val="21"/>
              </w:rPr>
              <w:t>8.03</w:t>
            </w:r>
          </w:p>
        </w:tc>
        <w:tc>
          <w:tcPr>
            <w:tcW w:w="1248" w:type="dxa"/>
            <w:vAlign w:val="center"/>
          </w:tcPr>
          <w:p w14:paraId="6614A938">
            <w:pPr>
              <w:jc w:val="center"/>
              <w:rPr>
                <w:rFonts w:hint="eastAsia" w:ascii="宋体" w:hAnsi="宋体" w:cs="宋体"/>
                <w:color w:val="auto"/>
                <w:szCs w:val="21"/>
              </w:rPr>
            </w:pPr>
            <w:r>
              <w:rPr>
                <w:rFonts w:hint="eastAsia" w:ascii="宋体" w:hAnsi="宋体" w:cs="宋体"/>
                <w:color w:val="auto"/>
                <w:szCs w:val="21"/>
              </w:rPr>
              <w:t>/</w:t>
            </w:r>
          </w:p>
        </w:tc>
        <w:tc>
          <w:tcPr>
            <w:tcW w:w="1041" w:type="dxa"/>
            <w:vAlign w:val="center"/>
          </w:tcPr>
          <w:p w14:paraId="41ACAFEC">
            <w:pPr>
              <w:jc w:val="center"/>
              <w:rPr>
                <w:rFonts w:hint="eastAsia" w:ascii="宋体" w:hAnsi="宋体" w:cs="宋体"/>
                <w:color w:val="auto"/>
                <w:szCs w:val="21"/>
              </w:rPr>
            </w:pPr>
            <w:r>
              <w:rPr>
                <w:rFonts w:hint="eastAsia" w:ascii="宋体" w:hAnsi="宋体" w:cs="宋体"/>
                <w:color w:val="auto"/>
                <w:szCs w:val="21"/>
              </w:rPr>
              <w:t>/</w:t>
            </w:r>
          </w:p>
        </w:tc>
        <w:tc>
          <w:tcPr>
            <w:tcW w:w="967" w:type="dxa"/>
            <w:vAlign w:val="center"/>
          </w:tcPr>
          <w:p w14:paraId="18E5BDC3">
            <w:pPr>
              <w:jc w:val="center"/>
              <w:rPr>
                <w:rFonts w:hint="eastAsia" w:ascii="宋体" w:hAnsi="宋体" w:cs="宋体"/>
                <w:color w:val="auto"/>
                <w:szCs w:val="21"/>
              </w:rPr>
            </w:pPr>
            <w:r>
              <w:rPr>
                <w:rFonts w:hint="eastAsia" w:ascii="宋体" w:hAnsi="宋体" w:cs="宋体"/>
                <w:color w:val="auto"/>
                <w:szCs w:val="21"/>
              </w:rPr>
              <w:t>7.92</w:t>
            </w:r>
          </w:p>
        </w:tc>
        <w:tc>
          <w:tcPr>
            <w:tcW w:w="1158" w:type="dxa"/>
            <w:vAlign w:val="center"/>
          </w:tcPr>
          <w:p w14:paraId="40ADB130">
            <w:pPr>
              <w:jc w:val="center"/>
              <w:rPr>
                <w:rFonts w:hint="eastAsia" w:ascii="宋体" w:hAnsi="宋体" w:cs="宋体"/>
                <w:color w:val="auto"/>
                <w:szCs w:val="21"/>
              </w:rPr>
            </w:pPr>
            <w:r>
              <w:rPr>
                <w:rFonts w:hint="eastAsia" w:ascii="宋体" w:hAnsi="宋体" w:cs="宋体"/>
                <w:color w:val="auto"/>
                <w:szCs w:val="21"/>
              </w:rPr>
              <w:t>/</w:t>
            </w:r>
          </w:p>
        </w:tc>
        <w:tc>
          <w:tcPr>
            <w:tcW w:w="1098" w:type="dxa"/>
            <w:vAlign w:val="center"/>
          </w:tcPr>
          <w:p w14:paraId="627365FD">
            <w:pPr>
              <w:jc w:val="center"/>
              <w:rPr>
                <w:rFonts w:hint="eastAsia" w:ascii="宋体" w:hAnsi="宋体" w:cs="宋体"/>
                <w:color w:val="auto"/>
                <w:szCs w:val="21"/>
              </w:rPr>
            </w:pPr>
            <w:r>
              <w:rPr>
                <w:rFonts w:hint="eastAsia" w:ascii="宋体" w:hAnsi="宋体" w:cs="宋体"/>
                <w:color w:val="auto"/>
                <w:szCs w:val="21"/>
              </w:rPr>
              <w:t>/</w:t>
            </w:r>
          </w:p>
        </w:tc>
      </w:tr>
      <w:tr w14:paraId="3A3ACB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5EDFF99C">
            <w:pPr>
              <w:jc w:val="center"/>
              <w:rPr>
                <w:rFonts w:hint="eastAsia" w:ascii="宋体" w:hAnsi="宋体" w:cs="宋体"/>
                <w:color w:val="auto"/>
                <w:kern w:val="0"/>
                <w:szCs w:val="21"/>
              </w:rPr>
            </w:pPr>
            <w:r>
              <w:rPr>
                <w:rFonts w:hint="eastAsia" w:ascii="宋体" w:hAnsi="宋体" w:cs="宋体"/>
                <w:color w:val="auto"/>
                <w:szCs w:val="21"/>
              </w:rPr>
              <w:t>2</w:t>
            </w:r>
          </w:p>
        </w:tc>
        <w:tc>
          <w:tcPr>
            <w:tcW w:w="1587" w:type="dxa"/>
            <w:vAlign w:val="center"/>
          </w:tcPr>
          <w:p w14:paraId="5177C218">
            <w:pPr>
              <w:jc w:val="center"/>
              <w:rPr>
                <w:rFonts w:hint="eastAsia" w:ascii="宋体" w:hAnsi="宋体" w:cs="宋体"/>
                <w:color w:val="auto"/>
                <w:kern w:val="0"/>
                <w:szCs w:val="21"/>
              </w:rPr>
            </w:pPr>
            <w:r>
              <w:rPr>
                <w:rFonts w:hint="eastAsia" w:ascii="宋体" w:hAnsi="宋体" w:cs="宋体"/>
                <w:color w:val="auto"/>
                <w:szCs w:val="21"/>
              </w:rPr>
              <w:t>土壤盐分含量</w:t>
            </w:r>
          </w:p>
        </w:tc>
        <w:tc>
          <w:tcPr>
            <w:tcW w:w="1286" w:type="dxa"/>
            <w:vAlign w:val="center"/>
          </w:tcPr>
          <w:p w14:paraId="7A5DF492">
            <w:pPr>
              <w:jc w:val="center"/>
              <w:rPr>
                <w:rFonts w:hint="eastAsia" w:ascii="宋体" w:hAnsi="宋体" w:cs="宋体"/>
                <w:color w:val="auto"/>
                <w:szCs w:val="21"/>
              </w:rPr>
            </w:pPr>
            <w:r>
              <w:rPr>
                <w:rFonts w:hint="eastAsia" w:ascii="宋体" w:hAnsi="宋体" w:cs="宋体"/>
                <w:color w:val="auto"/>
                <w:szCs w:val="21"/>
              </w:rPr>
              <w:t>/</w:t>
            </w:r>
          </w:p>
        </w:tc>
        <w:tc>
          <w:tcPr>
            <w:tcW w:w="862" w:type="dxa"/>
            <w:vAlign w:val="center"/>
          </w:tcPr>
          <w:p w14:paraId="017C8DCA">
            <w:pPr>
              <w:jc w:val="center"/>
              <w:rPr>
                <w:rFonts w:hint="eastAsia" w:ascii="宋体" w:hAnsi="宋体" w:cs="宋体"/>
                <w:color w:val="auto"/>
                <w:szCs w:val="21"/>
              </w:rPr>
            </w:pPr>
            <w:r>
              <w:rPr>
                <w:rFonts w:hint="eastAsia" w:ascii="宋体" w:hAnsi="宋体" w:cs="宋体"/>
                <w:color w:val="auto"/>
                <w:szCs w:val="21"/>
              </w:rPr>
              <w:t>g/kg</w:t>
            </w:r>
          </w:p>
        </w:tc>
        <w:tc>
          <w:tcPr>
            <w:tcW w:w="859" w:type="dxa"/>
            <w:vAlign w:val="center"/>
          </w:tcPr>
          <w:p w14:paraId="22581E87">
            <w:pPr>
              <w:jc w:val="center"/>
              <w:rPr>
                <w:rFonts w:hint="eastAsia" w:ascii="宋体" w:hAnsi="宋体" w:cs="宋体"/>
                <w:color w:val="auto"/>
                <w:szCs w:val="21"/>
              </w:rPr>
            </w:pPr>
            <w:r>
              <w:rPr>
                <w:rFonts w:hint="eastAsia" w:ascii="宋体" w:hAnsi="宋体" w:cs="宋体"/>
                <w:color w:val="auto"/>
                <w:szCs w:val="21"/>
              </w:rPr>
              <w:t>1.2</w:t>
            </w:r>
          </w:p>
        </w:tc>
        <w:tc>
          <w:tcPr>
            <w:tcW w:w="1146" w:type="dxa"/>
            <w:vAlign w:val="center"/>
          </w:tcPr>
          <w:p w14:paraId="2997F7F6">
            <w:pPr>
              <w:jc w:val="center"/>
              <w:rPr>
                <w:rFonts w:hint="eastAsia" w:ascii="宋体" w:hAnsi="宋体" w:cs="宋体"/>
                <w:color w:val="auto"/>
                <w:szCs w:val="21"/>
              </w:rPr>
            </w:pPr>
            <w:r>
              <w:rPr>
                <w:rFonts w:hint="eastAsia" w:ascii="宋体" w:hAnsi="宋体" w:cs="宋体"/>
                <w:color w:val="auto"/>
                <w:szCs w:val="21"/>
              </w:rPr>
              <w:t>/</w:t>
            </w:r>
          </w:p>
        </w:tc>
        <w:tc>
          <w:tcPr>
            <w:tcW w:w="1232" w:type="dxa"/>
            <w:vAlign w:val="center"/>
          </w:tcPr>
          <w:p w14:paraId="46107252">
            <w:pPr>
              <w:jc w:val="center"/>
              <w:rPr>
                <w:rFonts w:hint="eastAsia" w:ascii="宋体" w:hAnsi="宋体" w:cs="宋体"/>
                <w:color w:val="auto"/>
                <w:szCs w:val="21"/>
              </w:rPr>
            </w:pPr>
            <w:r>
              <w:rPr>
                <w:rFonts w:hint="eastAsia" w:ascii="宋体" w:hAnsi="宋体" w:cs="宋体"/>
                <w:color w:val="auto"/>
                <w:szCs w:val="21"/>
              </w:rPr>
              <w:t>/</w:t>
            </w:r>
          </w:p>
        </w:tc>
        <w:tc>
          <w:tcPr>
            <w:tcW w:w="1061" w:type="dxa"/>
            <w:vAlign w:val="center"/>
          </w:tcPr>
          <w:p w14:paraId="7FFE7CBA">
            <w:pPr>
              <w:jc w:val="center"/>
              <w:rPr>
                <w:rFonts w:hint="eastAsia" w:ascii="宋体" w:hAnsi="宋体" w:cs="宋体"/>
                <w:color w:val="auto"/>
                <w:szCs w:val="21"/>
              </w:rPr>
            </w:pPr>
            <w:r>
              <w:rPr>
                <w:rFonts w:hint="eastAsia" w:ascii="宋体" w:hAnsi="宋体" w:cs="宋体"/>
                <w:color w:val="auto"/>
                <w:szCs w:val="21"/>
              </w:rPr>
              <w:t>1.2</w:t>
            </w:r>
          </w:p>
        </w:tc>
        <w:tc>
          <w:tcPr>
            <w:tcW w:w="1248" w:type="dxa"/>
            <w:vAlign w:val="center"/>
          </w:tcPr>
          <w:p w14:paraId="6103F849">
            <w:pPr>
              <w:jc w:val="center"/>
              <w:rPr>
                <w:rFonts w:hint="eastAsia" w:ascii="宋体" w:hAnsi="宋体" w:cs="宋体"/>
                <w:color w:val="auto"/>
                <w:szCs w:val="21"/>
              </w:rPr>
            </w:pPr>
            <w:r>
              <w:rPr>
                <w:rFonts w:hint="eastAsia" w:ascii="宋体" w:hAnsi="宋体" w:cs="宋体"/>
                <w:color w:val="auto"/>
                <w:szCs w:val="21"/>
              </w:rPr>
              <w:t>/</w:t>
            </w:r>
          </w:p>
        </w:tc>
        <w:tc>
          <w:tcPr>
            <w:tcW w:w="1041" w:type="dxa"/>
            <w:vAlign w:val="center"/>
          </w:tcPr>
          <w:p w14:paraId="7058E727">
            <w:pPr>
              <w:jc w:val="center"/>
              <w:rPr>
                <w:rFonts w:hint="eastAsia" w:ascii="宋体" w:hAnsi="宋体" w:cs="宋体"/>
                <w:color w:val="auto"/>
                <w:szCs w:val="21"/>
              </w:rPr>
            </w:pPr>
            <w:r>
              <w:rPr>
                <w:rFonts w:hint="eastAsia" w:ascii="宋体" w:hAnsi="宋体" w:cs="宋体"/>
                <w:color w:val="auto"/>
                <w:szCs w:val="21"/>
              </w:rPr>
              <w:t>/</w:t>
            </w:r>
          </w:p>
        </w:tc>
        <w:tc>
          <w:tcPr>
            <w:tcW w:w="967" w:type="dxa"/>
            <w:vAlign w:val="center"/>
          </w:tcPr>
          <w:p w14:paraId="1DA8ACD2">
            <w:pPr>
              <w:jc w:val="center"/>
              <w:rPr>
                <w:rFonts w:hint="eastAsia" w:ascii="宋体" w:hAnsi="宋体" w:cs="宋体"/>
                <w:color w:val="auto"/>
                <w:szCs w:val="21"/>
              </w:rPr>
            </w:pPr>
            <w:r>
              <w:rPr>
                <w:rFonts w:hint="eastAsia" w:ascii="宋体" w:hAnsi="宋体" w:cs="宋体"/>
                <w:color w:val="auto"/>
                <w:szCs w:val="21"/>
              </w:rPr>
              <w:t>1.5</w:t>
            </w:r>
          </w:p>
        </w:tc>
        <w:tc>
          <w:tcPr>
            <w:tcW w:w="1158" w:type="dxa"/>
            <w:vAlign w:val="center"/>
          </w:tcPr>
          <w:p w14:paraId="6AFAAC42">
            <w:pPr>
              <w:jc w:val="center"/>
              <w:rPr>
                <w:rFonts w:hint="eastAsia" w:ascii="宋体" w:hAnsi="宋体" w:cs="宋体"/>
                <w:color w:val="auto"/>
                <w:szCs w:val="21"/>
              </w:rPr>
            </w:pPr>
            <w:r>
              <w:rPr>
                <w:rFonts w:hint="eastAsia" w:ascii="宋体" w:hAnsi="宋体" w:cs="宋体"/>
                <w:color w:val="auto"/>
                <w:szCs w:val="21"/>
              </w:rPr>
              <w:t>/</w:t>
            </w:r>
          </w:p>
        </w:tc>
        <w:tc>
          <w:tcPr>
            <w:tcW w:w="1098" w:type="dxa"/>
            <w:vAlign w:val="center"/>
          </w:tcPr>
          <w:p w14:paraId="2DAF541E">
            <w:pPr>
              <w:jc w:val="center"/>
              <w:rPr>
                <w:rFonts w:hint="eastAsia" w:ascii="宋体" w:hAnsi="宋体" w:cs="宋体"/>
                <w:color w:val="auto"/>
                <w:szCs w:val="21"/>
              </w:rPr>
            </w:pPr>
            <w:r>
              <w:rPr>
                <w:rFonts w:hint="eastAsia" w:ascii="宋体" w:hAnsi="宋体" w:cs="宋体"/>
                <w:color w:val="auto"/>
                <w:szCs w:val="21"/>
              </w:rPr>
              <w:t>/</w:t>
            </w:r>
          </w:p>
        </w:tc>
      </w:tr>
      <w:tr w14:paraId="014F3F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7C982E55">
            <w:pPr>
              <w:jc w:val="center"/>
              <w:rPr>
                <w:rFonts w:hint="eastAsia" w:ascii="宋体" w:hAnsi="宋体" w:cs="宋体"/>
                <w:color w:val="auto"/>
                <w:kern w:val="0"/>
                <w:szCs w:val="21"/>
              </w:rPr>
            </w:pPr>
            <w:r>
              <w:rPr>
                <w:rFonts w:hint="eastAsia" w:ascii="宋体" w:hAnsi="宋体" w:cs="宋体"/>
                <w:color w:val="auto"/>
                <w:szCs w:val="21"/>
              </w:rPr>
              <w:t>3</w:t>
            </w:r>
          </w:p>
        </w:tc>
        <w:tc>
          <w:tcPr>
            <w:tcW w:w="1587" w:type="dxa"/>
            <w:vAlign w:val="center"/>
          </w:tcPr>
          <w:p w14:paraId="75366FA2">
            <w:pPr>
              <w:jc w:val="center"/>
              <w:rPr>
                <w:rFonts w:hint="eastAsia" w:ascii="宋体" w:hAnsi="宋体" w:cs="宋体"/>
                <w:color w:val="auto"/>
                <w:kern w:val="0"/>
                <w:szCs w:val="21"/>
              </w:rPr>
            </w:pPr>
            <w:r>
              <w:rPr>
                <w:rFonts w:hint="eastAsia" w:ascii="宋体" w:hAnsi="宋体" w:cs="宋体"/>
                <w:color w:val="auto"/>
                <w:szCs w:val="21"/>
              </w:rPr>
              <w:t>汞</w:t>
            </w:r>
          </w:p>
        </w:tc>
        <w:tc>
          <w:tcPr>
            <w:tcW w:w="1286" w:type="dxa"/>
            <w:vAlign w:val="center"/>
          </w:tcPr>
          <w:p w14:paraId="44658453">
            <w:pPr>
              <w:jc w:val="center"/>
              <w:rPr>
                <w:rFonts w:hint="eastAsia" w:ascii="宋体" w:hAnsi="宋体" w:cs="宋体"/>
                <w:color w:val="auto"/>
                <w:szCs w:val="21"/>
              </w:rPr>
            </w:pPr>
            <w:r>
              <w:rPr>
                <w:rFonts w:hint="eastAsia" w:ascii="宋体" w:hAnsi="宋体" w:cs="宋体"/>
                <w:color w:val="auto"/>
                <w:szCs w:val="21"/>
              </w:rPr>
              <w:t>38</w:t>
            </w:r>
          </w:p>
        </w:tc>
        <w:tc>
          <w:tcPr>
            <w:tcW w:w="862" w:type="dxa"/>
            <w:vAlign w:val="center"/>
          </w:tcPr>
          <w:p w14:paraId="05924257">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5707C371">
            <w:pPr>
              <w:jc w:val="center"/>
              <w:rPr>
                <w:rFonts w:hint="eastAsia" w:ascii="宋体" w:hAnsi="宋体" w:cs="宋体"/>
                <w:color w:val="auto"/>
                <w:szCs w:val="21"/>
              </w:rPr>
            </w:pPr>
            <w:r>
              <w:rPr>
                <w:rFonts w:hint="eastAsia" w:ascii="宋体" w:hAnsi="宋体" w:cs="宋体"/>
                <w:color w:val="auto"/>
                <w:szCs w:val="21"/>
              </w:rPr>
              <w:t>0.119</w:t>
            </w:r>
          </w:p>
        </w:tc>
        <w:tc>
          <w:tcPr>
            <w:tcW w:w="1146" w:type="dxa"/>
            <w:vAlign w:val="center"/>
          </w:tcPr>
          <w:p w14:paraId="5FE1BCF6">
            <w:pPr>
              <w:jc w:val="center"/>
              <w:rPr>
                <w:rFonts w:hint="eastAsia" w:ascii="宋体" w:hAnsi="宋体" w:cs="宋体"/>
                <w:color w:val="auto"/>
                <w:szCs w:val="21"/>
              </w:rPr>
            </w:pPr>
            <w:r>
              <w:rPr>
                <w:rFonts w:hint="eastAsia" w:ascii="宋体" w:hAnsi="宋体" w:cs="宋体"/>
                <w:color w:val="auto"/>
                <w:szCs w:val="21"/>
              </w:rPr>
              <w:t xml:space="preserve">0.0031 </w:t>
            </w:r>
          </w:p>
        </w:tc>
        <w:tc>
          <w:tcPr>
            <w:tcW w:w="1232" w:type="dxa"/>
            <w:vAlign w:val="center"/>
          </w:tcPr>
          <w:p w14:paraId="721B0D52">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12DAE878">
            <w:pPr>
              <w:jc w:val="center"/>
              <w:rPr>
                <w:rFonts w:hint="eastAsia" w:ascii="宋体" w:hAnsi="宋体" w:cs="宋体"/>
                <w:color w:val="auto"/>
                <w:szCs w:val="21"/>
              </w:rPr>
            </w:pPr>
            <w:r>
              <w:rPr>
                <w:rFonts w:hint="eastAsia" w:ascii="宋体" w:hAnsi="宋体" w:cs="宋体"/>
                <w:color w:val="auto"/>
                <w:szCs w:val="21"/>
              </w:rPr>
              <w:t>0.247</w:t>
            </w:r>
          </w:p>
        </w:tc>
        <w:tc>
          <w:tcPr>
            <w:tcW w:w="1248" w:type="dxa"/>
            <w:vAlign w:val="center"/>
          </w:tcPr>
          <w:p w14:paraId="731509CC">
            <w:pPr>
              <w:jc w:val="center"/>
              <w:rPr>
                <w:rFonts w:hint="eastAsia" w:ascii="宋体" w:hAnsi="宋体" w:cs="宋体"/>
                <w:color w:val="auto"/>
                <w:szCs w:val="21"/>
              </w:rPr>
            </w:pPr>
            <w:r>
              <w:rPr>
                <w:rFonts w:hint="eastAsia" w:ascii="宋体" w:hAnsi="宋体" w:cs="宋体"/>
                <w:color w:val="auto"/>
                <w:szCs w:val="21"/>
              </w:rPr>
              <w:t xml:space="preserve">0.0065 </w:t>
            </w:r>
          </w:p>
        </w:tc>
        <w:tc>
          <w:tcPr>
            <w:tcW w:w="1041" w:type="dxa"/>
            <w:vAlign w:val="center"/>
          </w:tcPr>
          <w:p w14:paraId="0925DEE2">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0CE43CAD">
            <w:pPr>
              <w:jc w:val="center"/>
              <w:rPr>
                <w:rFonts w:hint="eastAsia" w:ascii="宋体" w:hAnsi="宋体" w:cs="宋体"/>
                <w:color w:val="auto"/>
                <w:szCs w:val="21"/>
              </w:rPr>
            </w:pPr>
            <w:r>
              <w:rPr>
                <w:rFonts w:hint="eastAsia" w:ascii="宋体" w:hAnsi="宋体" w:cs="宋体"/>
                <w:color w:val="auto"/>
                <w:szCs w:val="21"/>
              </w:rPr>
              <w:t>0.155</w:t>
            </w:r>
          </w:p>
        </w:tc>
        <w:tc>
          <w:tcPr>
            <w:tcW w:w="1158" w:type="dxa"/>
            <w:vAlign w:val="center"/>
          </w:tcPr>
          <w:p w14:paraId="2AF871A5">
            <w:pPr>
              <w:jc w:val="center"/>
              <w:rPr>
                <w:rFonts w:hint="eastAsia" w:ascii="宋体" w:hAnsi="宋体" w:cs="宋体"/>
                <w:color w:val="auto"/>
                <w:szCs w:val="21"/>
              </w:rPr>
            </w:pPr>
            <w:r>
              <w:rPr>
                <w:rFonts w:hint="eastAsia" w:ascii="宋体" w:hAnsi="宋体" w:cs="宋体"/>
                <w:color w:val="auto"/>
                <w:szCs w:val="21"/>
              </w:rPr>
              <w:t xml:space="preserve">0.0041 </w:t>
            </w:r>
          </w:p>
        </w:tc>
        <w:tc>
          <w:tcPr>
            <w:tcW w:w="1098" w:type="dxa"/>
            <w:vAlign w:val="center"/>
          </w:tcPr>
          <w:p w14:paraId="182C94A5">
            <w:pPr>
              <w:jc w:val="center"/>
              <w:rPr>
                <w:rFonts w:hint="eastAsia" w:ascii="宋体" w:hAnsi="宋体" w:cs="宋体"/>
                <w:color w:val="auto"/>
                <w:szCs w:val="21"/>
              </w:rPr>
            </w:pPr>
            <w:r>
              <w:rPr>
                <w:rFonts w:hint="eastAsia" w:ascii="宋体" w:hAnsi="宋体" w:cs="宋体"/>
                <w:color w:val="auto"/>
                <w:szCs w:val="21"/>
              </w:rPr>
              <w:t>达标</w:t>
            </w:r>
          </w:p>
        </w:tc>
      </w:tr>
      <w:tr w14:paraId="22E4AE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583B6F9E">
            <w:pPr>
              <w:jc w:val="center"/>
              <w:rPr>
                <w:rFonts w:hint="eastAsia" w:ascii="宋体" w:hAnsi="宋体" w:cs="宋体"/>
                <w:color w:val="auto"/>
                <w:kern w:val="0"/>
                <w:szCs w:val="21"/>
              </w:rPr>
            </w:pPr>
            <w:r>
              <w:rPr>
                <w:rFonts w:hint="eastAsia" w:ascii="宋体" w:hAnsi="宋体" w:cs="宋体"/>
                <w:color w:val="auto"/>
                <w:szCs w:val="21"/>
              </w:rPr>
              <w:t>4</w:t>
            </w:r>
          </w:p>
        </w:tc>
        <w:tc>
          <w:tcPr>
            <w:tcW w:w="1587" w:type="dxa"/>
            <w:vAlign w:val="center"/>
          </w:tcPr>
          <w:p w14:paraId="7B35DEA8">
            <w:pPr>
              <w:jc w:val="center"/>
              <w:rPr>
                <w:rFonts w:hint="eastAsia" w:ascii="宋体" w:hAnsi="宋体" w:cs="宋体"/>
                <w:color w:val="auto"/>
                <w:kern w:val="0"/>
                <w:szCs w:val="21"/>
              </w:rPr>
            </w:pPr>
            <w:r>
              <w:rPr>
                <w:rFonts w:hint="eastAsia" w:ascii="宋体" w:hAnsi="宋体" w:cs="宋体"/>
                <w:color w:val="auto"/>
                <w:szCs w:val="21"/>
              </w:rPr>
              <w:t>砷</w:t>
            </w:r>
          </w:p>
        </w:tc>
        <w:tc>
          <w:tcPr>
            <w:tcW w:w="1286" w:type="dxa"/>
            <w:vAlign w:val="center"/>
          </w:tcPr>
          <w:p w14:paraId="5CABCBAA">
            <w:pPr>
              <w:jc w:val="center"/>
              <w:rPr>
                <w:rFonts w:hint="eastAsia" w:ascii="宋体" w:hAnsi="宋体" w:cs="宋体"/>
                <w:color w:val="auto"/>
                <w:szCs w:val="21"/>
              </w:rPr>
            </w:pPr>
            <w:r>
              <w:rPr>
                <w:rFonts w:hint="eastAsia" w:ascii="宋体" w:hAnsi="宋体" w:cs="宋体"/>
                <w:color w:val="auto"/>
                <w:szCs w:val="21"/>
              </w:rPr>
              <w:t>60</w:t>
            </w:r>
          </w:p>
        </w:tc>
        <w:tc>
          <w:tcPr>
            <w:tcW w:w="862" w:type="dxa"/>
            <w:vAlign w:val="center"/>
          </w:tcPr>
          <w:p w14:paraId="45B123AE">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37B2ABC5">
            <w:pPr>
              <w:jc w:val="center"/>
              <w:rPr>
                <w:rFonts w:hint="eastAsia" w:ascii="宋体" w:hAnsi="宋体" w:cs="宋体"/>
                <w:color w:val="auto"/>
                <w:szCs w:val="21"/>
              </w:rPr>
            </w:pPr>
            <w:r>
              <w:rPr>
                <w:rFonts w:hint="eastAsia" w:ascii="宋体" w:hAnsi="宋体" w:cs="宋体"/>
                <w:color w:val="auto"/>
                <w:szCs w:val="21"/>
              </w:rPr>
              <w:t>9.2</w:t>
            </w:r>
          </w:p>
        </w:tc>
        <w:tc>
          <w:tcPr>
            <w:tcW w:w="1146" w:type="dxa"/>
            <w:vAlign w:val="center"/>
          </w:tcPr>
          <w:p w14:paraId="5C746B13">
            <w:pPr>
              <w:jc w:val="center"/>
              <w:rPr>
                <w:rFonts w:hint="eastAsia" w:ascii="宋体" w:hAnsi="宋体" w:cs="宋体"/>
                <w:color w:val="auto"/>
                <w:szCs w:val="21"/>
              </w:rPr>
            </w:pPr>
            <w:r>
              <w:rPr>
                <w:rFonts w:hint="eastAsia" w:ascii="宋体" w:hAnsi="宋体" w:cs="宋体"/>
                <w:color w:val="auto"/>
                <w:szCs w:val="21"/>
              </w:rPr>
              <w:t xml:space="preserve">0.1533 </w:t>
            </w:r>
          </w:p>
        </w:tc>
        <w:tc>
          <w:tcPr>
            <w:tcW w:w="1232" w:type="dxa"/>
            <w:vAlign w:val="center"/>
          </w:tcPr>
          <w:p w14:paraId="793C8ED1">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233FDCBE">
            <w:pPr>
              <w:jc w:val="center"/>
              <w:rPr>
                <w:rFonts w:hint="eastAsia" w:ascii="宋体" w:hAnsi="宋体" w:cs="宋体"/>
                <w:color w:val="auto"/>
                <w:szCs w:val="21"/>
              </w:rPr>
            </w:pPr>
            <w:r>
              <w:rPr>
                <w:rFonts w:hint="eastAsia" w:ascii="宋体" w:hAnsi="宋体" w:cs="宋体"/>
                <w:color w:val="auto"/>
                <w:szCs w:val="21"/>
              </w:rPr>
              <w:t>9.4</w:t>
            </w:r>
          </w:p>
        </w:tc>
        <w:tc>
          <w:tcPr>
            <w:tcW w:w="1248" w:type="dxa"/>
            <w:vAlign w:val="center"/>
          </w:tcPr>
          <w:p w14:paraId="64041F64">
            <w:pPr>
              <w:jc w:val="center"/>
              <w:rPr>
                <w:rFonts w:hint="eastAsia" w:ascii="宋体" w:hAnsi="宋体" w:cs="宋体"/>
                <w:color w:val="auto"/>
                <w:szCs w:val="21"/>
              </w:rPr>
            </w:pPr>
            <w:r>
              <w:rPr>
                <w:rFonts w:hint="eastAsia" w:ascii="宋体" w:hAnsi="宋体" w:cs="宋体"/>
                <w:color w:val="auto"/>
                <w:szCs w:val="21"/>
              </w:rPr>
              <w:t xml:space="preserve">0.1567 </w:t>
            </w:r>
          </w:p>
        </w:tc>
        <w:tc>
          <w:tcPr>
            <w:tcW w:w="1041" w:type="dxa"/>
            <w:vAlign w:val="center"/>
          </w:tcPr>
          <w:p w14:paraId="0D352C47">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4BF05750">
            <w:pPr>
              <w:jc w:val="center"/>
              <w:rPr>
                <w:rFonts w:hint="eastAsia" w:ascii="宋体" w:hAnsi="宋体" w:cs="宋体"/>
                <w:color w:val="auto"/>
                <w:szCs w:val="21"/>
              </w:rPr>
            </w:pPr>
            <w:r>
              <w:rPr>
                <w:rFonts w:hint="eastAsia" w:ascii="宋体" w:hAnsi="宋体" w:cs="宋体"/>
                <w:color w:val="auto"/>
                <w:szCs w:val="21"/>
              </w:rPr>
              <w:t>9.0</w:t>
            </w:r>
          </w:p>
        </w:tc>
        <w:tc>
          <w:tcPr>
            <w:tcW w:w="1158" w:type="dxa"/>
            <w:vAlign w:val="center"/>
          </w:tcPr>
          <w:p w14:paraId="5E5288C1">
            <w:pPr>
              <w:jc w:val="center"/>
              <w:rPr>
                <w:rFonts w:hint="eastAsia" w:ascii="宋体" w:hAnsi="宋体" w:cs="宋体"/>
                <w:color w:val="auto"/>
                <w:szCs w:val="21"/>
              </w:rPr>
            </w:pPr>
            <w:r>
              <w:rPr>
                <w:rFonts w:hint="eastAsia" w:ascii="宋体" w:hAnsi="宋体" w:cs="宋体"/>
                <w:color w:val="auto"/>
                <w:szCs w:val="21"/>
              </w:rPr>
              <w:t xml:space="preserve">0.1500 </w:t>
            </w:r>
          </w:p>
        </w:tc>
        <w:tc>
          <w:tcPr>
            <w:tcW w:w="1098" w:type="dxa"/>
            <w:vAlign w:val="center"/>
          </w:tcPr>
          <w:p w14:paraId="1F553526">
            <w:pPr>
              <w:jc w:val="center"/>
              <w:rPr>
                <w:rFonts w:hint="eastAsia" w:ascii="宋体" w:hAnsi="宋体" w:cs="宋体"/>
                <w:color w:val="auto"/>
                <w:szCs w:val="21"/>
              </w:rPr>
            </w:pPr>
            <w:r>
              <w:rPr>
                <w:rFonts w:hint="eastAsia" w:ascii="宋体" w:hAnsi="宋体" w:cs="宋体"/>
                <w:color w:val="auto"/>
                <w:szCs w:val="21"/>
              </w:rPr>
              <w:t>达标</w:t>
            </w:r>
          </w:p>
        </w:tc>
      </w:tr>
      <w:tr w14:paraId="109F57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3A167AF5">
            <w:pPr>
              <w:jc w:val="center"/>
              <w:rPr>
                <w:rFonts w:hint="eastAsia" w:ascii="宋体" w:hAnsi="宋体" w:cs="宋体"/>
                <w:color w:val="auto"/>
                <w:kern w:val="0"/>
                <w:szCs w:val="21"/>
              </w:rPr>
            </w:pPr>
            <w:r>
              <w:rPr>
                <w:rFonts w:hint="eastAsia" w:ascii="宋体" w:hAnsi="宋体" w:cs="宋体"/>
                <w:color w:val="auto"/>
                <w:szCs w:val="21"/>
              </w:rPr>
              <w:t>5</w:t>
            </w:r>
          </w:p>
        </w:tc>
        <w:tc>
          <w:tcPr>
            <w:tcW w:w="1587" w:type="dxa"/>
            <w:vAlign w:val="center"/>
          </w:tcPr>
          <w:p w14:paraId="0B77D4D6">
            <w:pPr>
              <w:jc w:val="center"/>
              <w:rPr>
                <w:rFonts w:hint="eastAsia" w:ascii="宋体" w:hAnsi="宋体" w:cs="宋体"/>
                <w:color w:val="auto"/>
                <w:kern w:val="0"/>
                <w:szCs w:val="21"/>
              </w:rPr>
            </w:pPr>
            <w:r>
              <w:rPr>
                <w:rFonts w:hint="eastAsia" w:ascii="宋体" w:hAnsi="宋体" w:cs="宋体"/>
                <w:color w:val="auto"/>
                <w:szCs w:val="21"/>
              </w:rPr>
              <w:t>铜</w:t>
            </w:r>
          </w:p>
        </w:tc>
        <w:tc>
          <w:tcPr>
            <w:tcW w:w="1286" w:type="dxa"/>
            <w:vAlign w:val="center"/>
          </w:tcPr>
          <w:p w14:paraId="0F2CC254">
            <w:pPr>
              <w:jc w:val="center"/>
              <w:rPr>
                <w:rFonts w:hint="eastAsia" w:ascii="宋体" w:hAnsi="宋体" w:cs="宋体"/>
                <w:color w:val="auto"/>
                <w:szCs w:val="21"/>
              </w:rPr>
            </w:pPr>
            <w:r>
              <w:rPr>
                <w:rFonts w:hint="eastAsia" w:ascii="宋体" w:hAnsi="宋体" w:cs="宋体"/>
                <w:color w:val="auto"/>
                <w:szCs w:val="21"/>
              </w:rPr>
              <w:t>18000</w:t>
            </w:r>
          </w:p>
        </w:tc>
        <w:tc>
          <w:tcPr>
            <w:tcW w:w="862" w:type="dxa"/>
            <w:vAlign w:val="center"/>
          </w:tcPr>
          <w:p w14:paraId="4327C6EA">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6806D3E6">
            <w:pPr>
              <w:jc w:val="center"/>
              <w:rPr>
                <w:rFonts w:hint="eastAsia" w:ascii="宋体" w:hAnsi="宋体" w:cs="宋体"/>
                <w:color w:val="auto"/>
                <w:szCs w:val="21"/>
              </w:rPr>
            </w:pPr>
            <w:r>
              <w:rPr>
                <w:rFonts w:hint="eastAsia" w:ascii="宋体" w:hAnsi="宋体" w:cs="宋体"/>
                <w:color w:val="auto"/>
                <w:szCs w:val="21"/>
              </w:rPr>
              <w:t>21.4</w:t>
            </w:r>
          </w:p>
        </w:tc>
        <w:tc>
          <w:tcPr>
            <w:tcW w:w="1146" w:type="dxa"/>
            <w:vAlign w:val="center"/>
          </w:tcPr>
          <w:p w14:paraId="68FC170A">
            <w:pPr>
              <w:jc w:val="center"/>
              <w:rPr>
                <w:rFonts w:hint="eastAsia" w:ascii="宋体" w:hAnsi="宋体" w:cs="宋体"/>
                <w:color w:val="auto"/>
                <w:szCs w:val="21"/>
              </w:rPr>
            </w:pPr>
            <w:r>
              <w:rPr>
                <w:rFonts w:hint="eastAsia" w:ascii="宋体" w:hAnsi="宋体" w:cs="宋体"/>
                <w:color w:val="auto"/>
                <w:szCs w:val="21"/>
              </w:rPr>
              <w:t xml:space="preserve">0.0012 </w:t>
            </w:r>
          </w:p>
        </w:tc>
        <w:tc>
          <w:tcPr>
            <w:tcW w:w="1232" w:type="dxa"/>
            <w:vAlign w:val="center"/>
          </w:tcPr>
          <w:p w14:paraId="2A0CB778">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44E75275">
            <w:pPr>
              <w:jc w:val="center"/>
              <w:rPr>
                <w:rFonts w:hint="eastAsia" w:ascii="宋体" w:hAnsi="宋体" w:cs="宋体"/>
                <w:color w:val="auto"/>
                <w:szCs w:val="21"/>
              </w:rPr>
            </w:pPr>
            <w:r>
              <w:rPr>
                <w:rFonts w:hint="eastAsia" w:ascii="宋体" w:hAnsi="宋体" w:cs="宋体"/>
                <w:color w:val="auto"/>
                <w:szCs w:val="21"/>
              </w:rPr>
              <w:t>18.5</w:t>
            </w:r>
          </w:p>
        </w:tc>
        <w:tc>
          <w:tcPr>
            <w:tcW w:w="1248" w:type="dxa"/>
            <w:vAlign w:val="center"/>
          </w:tcPr>
          <w:p w14:paraId="79532080">
            <w:pPr>
              <w:jc w:val="center"/>
              <w:rPr>
                <w:rFonts w:hint="eastAsia" w:ascii="宋体" w:hAnsi="宋体" w:cs="宋体"/>
                <w:color w:val="auto"/>
                <w:szCs w:val="21"/>
              </w:rPr>
            </w:pPr>
            <w:r>
              <w:rPr>
                <w:rFonts w:hint="eastAsia" w:ascii="宋体" w:hAnsi="宋体" w:cs="宋体"/>
                <w:color w:val="auto"/>
                <w:szCs w:val="21"/>
              </w:rPr>
              <w:t xml:space="preserve">0.0010 </w:t>
            </w:r>
          </w:p>
        </w:tc>
        <w:tc>
          <w:tcPr>
            <w:tcW w:w="1041" w:type="dxa"/>
            <w:vAlign w:val="center"/>
          </w:tcPr>
          <w:p w14:paraId="0512D214">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3E11FB3E">
            <w:pPr>
              <w:jc w:val="center"/>
              <w:rPr>
                <w:rFonts w:hint="eastAsia" w:ascii="宋体" w:hAnsi="宋体" w:cs="宋体"/>
                <w:color w:val="auto"/>
                <w:szCs w:val="21"/>
              </w:rPr>
            </w:pPr>
            <w:r>
              <w:rPr>
                <w:rFonts w:hint="eastAsia" w:ascii="宋体" w:hAnsi="宋体" w:cs="宋体"/>
                <w:color w:val="auto"/>
                <w:szCs w:val="21"/>
              </w:rPr>
              <w:t>20.2</w:t>
            </w:r>
          </w:p>
        </w:tc>
        <w:tc>
          <w:tcPr>
            <w:tcW w:w="1158" w:type="dxa"/>
            <w:vAlign w:val="center"/>
          </w:tcPr>
          <w:p w14:paraId="52E05948">
            <w:pPr>
              <w:jc w:val="center"/>
              <w:rPr>
                <w:rFonts w:hint="eastAsia" w:ascii="宋体" w:hAnsi="宋体" w:cs="宋体"/>
                <w:color w:val="auto"/>
                <w:szCs w:val="21"/>
              </w:rPr>
            </w:pPr>
            <w:r>
              <w:rPr>
                <w:rFonts w:hint="eastAsia" w:ascii="宋体" w:hAnsi="宋体" w:cs="宋体"/>
                <w:color w:val="auto"/>
                <w:szCs w:val="21"/>
              </w:rPr>
              <w:t xml:space="preserve">0.0011 </w:t>
            </w:r>
          </w:p>
        </w:tc>
        <w:tc>
          <w:tcPr>
            <w:tcW w:w="1098" w:type="dxa"/>
            <w:vAlign w:val="center"/>
          </w:tcPr>
          <w:p w14:paraId="03CDFE3F">
            <w:pPr>
              <w:jc w:val="center"/>
              <w:rPr>
                <w:rFonts w:hint="eastAsia" w:ascii="宋体" w:hAnsi="宋体" w:cs="宋体"/>
                <w:color w:val="auto"/>
                <w:szCs w:val="21"/>
              </w:rPr>
            </w:pPr>
            <w:r>
              <w:rPr>
                <w:rFonts w:hint="eastAsia" w:ascii="宋体" w:hAnsi="宋体" w:cs="宋体"/>
                <w:color w:val="auto"/>
                <w:szCs w:val="21"/>
              </w:rPr>
              <w:t>达标</w:t>
            </w:r>
          </w:p>
        </w:tc>
      </w:tr>
      <w:tr w14:paraId="4592E7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4BE3446F">
            <w:pPr>
              <w:jc w:val="center"/>
              <w:rPr>
                <w:rFonts w:hint="eastAsia" w:ascii="宋体" w:hAnsi="宋体" w:cs="宋体"/>
                <w:color w:val="auto"/>
                <w:kern w:val="0"/>
                <w:szCs w:val="21"/>
              </w:rPr>
            </w:pPr>
            <w:r>
              <w:rPr>
                <w:rFonts w:hint="eastAsia" w:ascii="宋体" w:hAnsi="宋体" w:cs="宋体"/>
                <w:color w:val="auto"/>
                <w:szCs w:val="21"/>
              </w:rPr>
              <w:t>6</w:t>
            </w:r>
          </w:p>
        </w:tc>
        <w:tc>
          <w:tcPr>
            <w:tcW w:w="1587" w:type="dxa"/>
            <w:vAlign w:val="center"/>
          </w:tcPr>
          <w:p w14:paraId="68C53EC6">
            <w:pPr>
              <w:jc w:val="center"/>
              <w:rPr>
                <w:rFonts w:hint="eastAsia" w:ascii="宋体" w:hAnsi="宋体" w:cs="宋体"/>
                <w:color w:val="auto"/>
                <w:kern w:val="0"/>
                <w:szCs w:val="21"/>
              </w:rPr>
            </w:pPr>
            <w:r>
              <w:rPr>
                <w:rFonts w:hint="eastAsia" w:ascii="宋体" w:hAnsi="宋体" w:cs="宋体"/>
                <w:color w:val="auto"/>
                <w:szCs w:val="21"/>
              </w:rPr>
              <w:t>铅</w:t>
            </w:r>
          </w:p>
        </w:tc>
        <w:tc>
          <w:tcPr>
            <w:tcW w:w="1286" w:type="dxa"/>
            <w:vAlign w:val="center"/>
          </w:tcPr>
          <w:p w14:paraId="720613B5">
            <w:pPr>
              <w:jc w:val="center"/>
              <w:rPr>
                <w:rFonts w:hint="eastAsia" w:ascii="宋体" w:hAnsi="宋体" w:cs="宋体"/>
                <w:color w:val="auto"/>
                <w:szCs w:val="21"/>
              </w:rPr>
            </w:pPr>
            <w:r>
              <w:rPr>
                <w:rFonts w:hint="eastAsia" w:ascii="宋体" w:hAnsi="宋体" w:cs="宋体"/>
                <w:color w:val="auto"/>
                <w:szCs w:val="21"/>
              </w:rPr>
              <w:t>800</w:t>
            </w:r>
          </w:p>
        </w:tc>
        <w:tc>
          <w:tcPr>
            <w:tcW w:w="862" w:type="dxa"/>
            <w:vAlign w:val="center"/>
          </w:tcPr>
          <w:p w14:paraId="6E2F0887">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1D6713F6">
            <w:pPr>
              <w:jc w:val="center"/>
              <w:rPr>
                <w:rFonts w:hint="eastAsia" w:ascii="宋体" w:hAnsi="宋体" w:cs="宋体"/>
                <w:color w:val="auto"/>
                <w:szCs w:val="21"/>
              </w:rPr>
            </w:pPr>
            <w:r>
              <w:rPr>
                <w:rFonts w:hint="eastAsia" w:ascii="宋体" w:hAnsi="宋体" w:cs="宋体"/>
                <w:color w:val="auto"/>
                <w:szCs w:val="21"/>
              </w:rPr>
              <w:t>11</w:t>
            </w:r>
          </w:p>
        </w:tc>
        <w:tc>
          <w:tcPr>
            <w:tcW w:w="1146" w:type="dxa"/>
            <w:vAlign w:val="center"/>
          </w:tcPr>
          <w:p w14:paraId="16759405">
            <w:pPr>
              <w:jc w:val="center"/>
              <w:rPr>
                <w:rFonts w:hint="eastAsia" w:ascii="宋体" w:hAnsi="宋体" w:cs="宋体"/>
                <w:color w:val="auto"/>
                <w:szCs w:val="21"/>
              </w:rPr>
            </w:pPr>
            <w:r>
              <w:rPr>
                <w:rFonts w:hint="eastAsia" w:ascii="宋体" w:hAnsi="宋体" w:cs="宋体"/>
                <w:color w:val="auto"/>
                <w:szCs w:val="21"/>
              </w:rPr>
              <w:t xml:space="preserve">0.0138 </w:t>
            </w:r>
          </w:p>
        </w:tc>
        <w:tc>
          <w:tcPr>
            <w:tcW w:w="1232" w:type="dxa"/>
            <w:vAlign w:val="center"/>
          </w:tcPr>
          <w:p w14:paraId="37BC3A84">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4B1DA45B">
            <w:pPr>
              <w:jc w:val="center"/>
              <w:rPr>
                <w:rFonts w:hint="eastAsia" w:ascii="宋体" w:hAnsi="宋体" w:cs="宋体"/>
                <w:color w:val="auto"/>
                <w:szCs w:val="21"/>
              </w:rPr>
            </w:pPr>
            <w:r>
              <w:rPr>
                <w:rFonts w:hint="eastAsia" w:ascii="宋体" w:hAnsi="宋体" w:cs="宋体"/>
                <w:color w:val="auto"/>
                <w:szCs w:val="21"/>
              </w:rPr>
              <w:t>10</w:t>
            </w:r>
          </w:p>
        </w:tc>
        <w:tc>
          <w:tcPr>
            <w:tcW w:w="1248" w:type="dxa"/>
            <w:vAlign w:val="center"/>
          </w:tcPr>
          <w:p w14:paraId="4B371F0F">
            <w:pPr>
              <w:jc w:val="center"/>
              <w:rPr>
                <w:rFonts w:hint="eastAsia" w:ascii="宋体" w:hAnsi="宋体" w:cs="宋体"/>
                <w:color w:val="auto"/>
                <w:szCs w:val="21"/>
              </w:rPr>
            </w:pPr>
            <w:r>
              <w:rPr>
                <w:rFonts w:hint="eastAsia" w:ascii="宋体" w:hAnsi="宋体" w:cs="宋体"/>
                <w:color w:val="auto"/>
                <w:szCs w:val="21"/>
              </w:rPr>
              <w:t xml:space="preserve">0.0125 </w:t>
            </w:r>
          </w:p>
        </w:tc>
        <w:tc>
          <w:tcPr>
            <w:tcW w:w="1041" w:type="dxa"/>
            <w:vAlign w:val="center"/>
          </w:tcPr>
          <w:p w14:paraId="1CAF60C9">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0F20CCCC">
            <w:pPr>
              <w:jc w:val="center"/>
              <w:rPr>
                <w:rFonts w:hint="eastAsia" w:ascii="宋体" w:hAnsi="宋体" w:cs="宋体"/>
                <w:color w:val="auto"/>
                <w:szCs w:val="21"/>
              </w:rPr>
            </w:pPr>
            <w:r>
              <w:rPr>
                <w:rFonts w:hint="eastAsia" w:ascii="宋体" w:hAnsi="宋体" w:cs="宋体"/>
                <w:color w:val="auto"/>
                <w:szCs w:val="21"/>
              </w:rPr>
              <w:t>11</w:t>
            </w:r>
          </w:p>
        </w:tc>
        <w:tc>
          <w:tcPr>
            <w:tcW w:w="1158" w:type="dxa"/>
            <w:vAlign w:val="center"/>
          </w:tcPr>
          <w:p w14:paraId="785D7669">
            <w:pPr>
              <w:jc w:val="center"/>
              <w:rPr>
                <w:rFonts w:hint="eastAsia" w:ascii="宋体" w:hAnsi="宋体" w:cs="宋体"/>
                <w:color w:val="auto"/>
                <w:szCs w:val="21"/>
              </w:rPr>
            </w:pPr>
            <w:r>
              <w:rPr>
                <w:rFonts w:hint="eastAsia" w:ascii="宋体" w:hAnsi="宋体" w:cs="宋体"/>
                <w:color w:val="auto"/>
                <w:szCs w:val="21"/>
              </w:rPr>
              <w:t xml:space="preserve">0.0138 </w:t>
            </w:r>
          </w:p>
        </w:tc>
        <w:tc>
          <w:tcPr>
            <w:tcW w:w="1098" w:type="dxa"/>
            <w:vAlign w:val="center"/>
          </w:tcPr>
          <w:p w14:paraId="3494A536">
            <w:pPr>
              <w:jc w:val="center"/>
              <w:rPr>
                <w:rFonts w:hint="eastAsia" w:ascii="宋体" w:hAnsi="宋体" w:cs="宋体"/>
                <w:color w:val="auto"/>
                <w:szCs w:val="21"/>
              </w:rPr>
            </w:pPr>
            <w:r>
              <w:rPr>
                <w:rFonts w:hint="eastAsia" w:ascii="宋体" w:hAnsi="宋体" w:cs="宋体"/>
                <w:color w:val="auto"/>
                <w:szCs w:val="21"/>
              </w:rPr>
              <w:t>达标</w:t>
            </w:r>
          </w:p>
        </w:tc>
      </w:tr>
      <w:tr w14:paraId="5E6BAF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2FBE6BE6">
            <w:pPr>
              <w:jc w:val="center"/>
              <w:rPr>
                <w:rFonts w:hint="eastAsia" w:ascii="宋体" w:hAnsi="宋体" w:cs="宋体"/>
                <w:color w:val="auto"/>
                <w:kern w:val="0"/>
                <w:szCs w:val="21"/>
              </w:rPr>
            </w:pPr>
            <w:r>
              <w:rPr>
                <w:rFonts w:hint="eastAsia" w:ascii="宋体" w:hAnsi="宋体" w:cs="宋体"/>
                <w:color w:val="auto"/>
                <w:szCs w:val="21"/>
              </w:rPr>
              <w:t>7</w:t>
            </w:r>
          </w:p>
        </w:tc>
        <w:tc>
          <w:tcPr>
            <w:tcW w:w="1587" w:type="dxa"/>
            <w:vAlign w:val="center"/>
          </w:tcPr>
          <w:p w14:paraId="373E34BE">
            <w:pPr>
              <w:jc w:val="center"/>
              <w:rPr>
                <w:rFonts w:hint="eastAsia" w:ascii="宋体" w:hAnsi="宋体" w:cs="宋体"/>
                <w:color w:val="auto"/>
                <w:kern w:val="0"/>
                <w:szCs w:val="21"/>
              </w:rPr>
            </w:pPr>
            <w:r>
              <w:rPr>
                <w:rFonts w:hint="eastAsia" w:ascii="宋体" w:hAnsi="宋体" w:cs="宋体"/>
                <w:color w:val="auto"/>
                <w:szCs w:val="21"/>
              </w:rPr>
              <w:t>镍</w:t>
            </w:r>
          </w:p>
        </w:tc>
        <w:tc>
          <w:tcPr>
            <w:tcW w:w="1286" w:type="dxa"/>
            <w:vAlign w:val="center"/>
          </w:tcPr>
          <w:p w14:paraId="687A1CDC">
            <w:pPr>
              <w:jc w:val="center"/>
              <w:rPr>
                <w:rFonts w:hint="eastAsia" w:ascii="宋体" w:hAnsi="宋体" w:cs="宋体"/>
                <w:color w:val="auto"/>
                <w:szCs w:val="21"/>
              </w:rPr>
            </w:pPr>
            <w:r>
              <w:rPr>
                <w:rFonts w:hint="eastAsia" w:ascii="宋体" w:hAnsi="宋体" w:cs="宋体"/>
                <w:color w:val="auto"/>
                <w:szCs w:val="21"/>
              </w:rPr>
              <w:t>900</w:t>
            </w:r>
          </w:p>
        </w:tc>
        <w:tc>
          <w:tcPr>
            <w:tcW w:w="862" w:type="dxa"/>
            <w:vAlign w:val="center"/>
          </w:tcPr>
          <w:p w14:paraId="2FB21AD6">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5EBC4155">
            <w:pPr>
              <w:jc w:val="center"/>
              <w:rPr>
                <w:rFonts w:hint="eastAsia" w:ascii="宋体" w:hAnsi="宋体" w:cs="宋体"/>
                <w:color w:val="auto"/>
                <w:szCs w:val="21"/>
              </w:rPr>
            </w:pPr>
            <w:r>
              <w:rPr>
                <w:rFonts w:hint="eastAsia" w:ascii="宋体" w:hAnsi="宋体" w:cs="宋体"/>
                <w:color w:val="auto"/>
                <w:szCs w:val="21"/>
              </w:rPr>
              <w:t>20</w:t>
            </w:r>
          </w:p>
        </w:tc>
        <w:tc>
          <w:tcPr>
            <w:tcW w:w="1146" w:type="dxa"/>
            <w:vAlign w:val="center"/>
          </w:tcPr>
          <w:p w14:paraId="77233F8E">
            <w:pPr>
              <w:jc w:val="center"/>
              <w:rPr>
                <w:rFonts w:hint="eastAsia" w:ascii="宋体" w:hAnsi="宋体" w:cs="宋体"/>
                <w:color w:val="auto"/>
                <w:szCs w:val="21"/>
              </w:rPr>
            </w:pPr>
            <w:r>
              <w:rPr>
                <w:rFonts w:hint="eastAsia" w:ascii="宋体" w:hAnsi="宋体" w:cs="宋体"/>
                <w:color w:val="auto"/>
                <w:szCs w:val="21"/>
              </w:rPr>
              <w:t xml:space="preserve">0.0222 </w:t>
            </w:r>
          </w:p>
        </w:tc>
        <w:tc>
          <w:tcPr>
            <w:tcW w:w="1232" w:type="dxa"/>
            <w:vAlign w:val="center"/>
          </w:tcPr>
          <w:p w14:paraId="1E4A1716">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1B645B12">
            <w:pPr>
              <w:jc w:val="center"/>
              <w:rPr>
                <w:rFonts w:hint="eastAsia" w:ascii="宋体" w:hAnsi="宋体" w:cs="宋体"/>
                <w:color w:val="auto"/>
                <w:szCs w:val="21"/>
              </w:rPr>
            </w:pPr>
            <w:r>
              <w:rPr>
                <w:rFonts w:hint="eastAsia" w:ascii="宋体" w:hAnsi="宋体" w:cs="宋体"/>
                <w:color w:val="auto"/>
                <w:szCs w:val="21"/>
              </w:rPr>
              <w:t>15</w:t>
            </w:r>
          </w:p>
        </w:tc>
        <w:tc>
          <w:tcPr>
            <w:tcW w:w="1248" w:type="dxa"/>
            <w:vAlign w:val="center"/>
          </w:tcPr>
          <w:p w14:paraId="74067E3A">
            <w:pPr>
              <w:jc w:val="center"/>
              <w:rPr>
                <w:rFonts w:hint="eastAsia" w:ascii="宋体" w:hAnsi="宋体" w:cs="宋体"/>
                <w:color w:val="auto"/>
                <w:szCs w:val="21"/>
              </w:rPr>
            </w:pPr>
            <w:r>
              <w:rPr>
                <w:rFonts w:hint="eastAsia" w:ascii="宋体" w:hAnsi="宋体" w:cs="宋体"/>
                <w:color w:val="auto"/>
                <w:szCs w:val="21"/>
              </w:rPr>
              <w:t xml:space="preserve">0.0167 </w:t>
            </w:r>
          </w:p>
        </w:tc>
        <w:tc>
          <w:tcPr>
            <w:tcW w:w="1041" w:type="dxa"/>
            <w:vAlign w:val="center"/>
          </w:tcPr>
          <w:p w14:paraId="38257C38">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111B41A5">
            <w:pPr>
              <w:jc w:val="center"/>
              <w:rPr>
                <w:rFonts w:hint="eastAsia" w:ascii="宋体" w:hAnsi="宋体" w:cs="宋体"/>
                <w:color w:val="auto"/>
                <w:szCs w:val="21"/>
              </w:rPr>
            </w:pPr>
            <w:r>
              <w:rPr>
                <w:rFonts w:hint="eastAsia" w:ascii="宋体" w:hAnsi="宋体" w:cs="宋体"/>
                <w:color w:val="auto"/>
                <w:szCs w:val="21"/>
              </w:rPr>
              <w:t>16</w:t>
            </w:r>
          </w:p>
        </w:tc>
        <w:tc>
          <w:tcPr>
            <w:tcW w:w="1158" w:type="dxa"/>
            <w:vAlign w:val="center"/>
          </w:tcPr>
          <w:p w14:paraId="5DB20D7D">
            <w:pPr>
              <w:jc w:val="center"/>
              <w:rPr>
                <w:rFonts w:hint="eastAsia" w:ascii="宋体" w:hAnsi="宋体" w:cs="宋体"/>
                <w:color w:val="auto"/>
                <w:szCs w:val="21"/>
              </w:rPr>
            </w:pPr>
            <w:r>
              <w:rPr>
                <w:rFonts w:hint="eastAsia" w:ascii="宋体" w:hAnsi="宋体" w:cs="宋体"/>
                <w:color w:val="auto"/>
                <w:szCs w:val="21"/>
              </w:rPr>
              <w:t xml:space="preserve">0.0178 </w:t>
            </w:r>
          </w:p>
        </w:tc>
        <w:tc>
          <w:tcPr>
            <w:tcW w:w="1098" w:type="dxa"/>
            <w:vAlign w:val="center"/>
          </w:tcPr>
          <w:p w14:paraId="12BC573E">
            <w:pPr>
              <w:jc w:val="center"/>
              <w:rPr>
                <w:rFonts w:hint="eastAsia" w:ascii="宋体" w:hAnsi="宋体" w:cs="宋体"/>
                <w:color w:val="auto"/>
                <w:szCs w:val="21"/>
              </w:rPr>
            </w:pPr>
            <w:r>
              <w:rPr>
                <w:rFonts w:hint="eastAsia" w:ascii="宋体" w:hAnsi="宋体" w:cs="宋体"/>
                <w:color w:val="auto"/>
                <w:szCs w:val="21"/>
              </w:rPr>
              <w:t>达标</w:t>
            </w:r>
          </w:p>
        </w:tc>
      </w:tr>
      <w:tr w14:paraId="7B0715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6434E000">
            <w:pPr>
              <w:jc w:val="center"/>
              <w:rPr>
                <w:rFonts w:hint="eastAsia" w:ascii="宋体" w:hAnsi="宋体" w:cs="宋体"/>
                <w:color w:val="auto"/>
                <w:kern w:val="0"/>
                <w:szCs w:val="21"/>
              </w:rPr>
            </w:pPr>
            <w:r>
              <w:rPr>
                <w:rFonts w:hint="eastAsia" w:ascii="宋体" w:hAnsi="宋体" w:cs="宋体"/>
                <w:color w:val="auto"/>
                <w:szCs w:val="21"/>
              </w:rPr>
              <w:t>8</w:t>
            </w:r>
          </w:p>
        </w:tc>
        <w:tc>
          <w:tcPr>
            <w:tcW w:w="1587" w:type="dxa"/>
            <w:vAlign w:val="center"/>
          </w:tcPr>
          <w:p w14:paraId="5B825B2E">
            <w:pPr>
              <w:jc w:val="center"/>
              <w:rPr>
                <w:rFonts w:hint="eastAsia" w:ascii="宋体" w:hAnsi="宋体" w:cs="宋体"/>
                <w:color w:val="auto"/>
                <w:kern w:val="0"/>
                <w:szCs w:val="21"/>
              </w:rPr>
            </w:pPr>
            <w:r>
              <w:rPr>
                <w:rFonts w:hint="eastAsia" w:ascii="宋体" w:hAnsi="宋体" w:cs="宋体"/>
                <w:color w:val="auto"/>
                <w:szCs w:val="21"/>
              </w:rPr>
              <w:t>镉</w:t>
            </w:r>
          </w:p>
        </w:tc>
        <w:tc>
          <w:tcPr>
            <w:tcW w:w="1286" w:type="dxa"/>
            <w:vAlign w:val="center"/>
          </w:tcPr>
          <w:p w14:paraId="32F0E53A">
            <w:pPr>
              <w:jc w:val="center"/>
              <w:rPr>
                <w:rFonts w:hint="eastAsia" w:ascii="宋体" w:hAnsi="宋体" w:cs="宋体"/>
                <w:color w:val="auto"/>
                <w:szCs w:val="21"/>
              </w:rPr>
            </w:pPr>
            <w:r>
              <w:rPr>
                <w:rFonts w:hint="eastAsia" w:ascii="宋体" w:hAnsi="宋体" w:cs="宋体"/>
                <w:color w:val="auto"/>
                <w:szCs w:val="21"/>
              </w:rPr>
              <w:t>65</w:t>
            </w:r>
          </w:p>
        </w:tc>
        <w:tc>
          <w:tcPr>
            <w:tcW w:w="862" w:type="dxa"/>
            <w:vAlign w:val="center"/>
          </w:tcPr>
          <w:p w14:paraId="5E96C307">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58C4BF07">
            <w:pPr>
              <w:jc w:val="center"/>
              <w:rPr>
                <w:rFonts w:hint="eastAsia" w:ascii="宋体" w:hAnsi="宋体" w:cs="宋体"/>
                <w:color w:val="auto"/>
                <w:szCs w:val="21"/>
              </w:rPr>
            </w:pPr>
            <w:r>
              <w:rPr>
                <w:rFonts w:hint="eastAsia" w:ascii="宋体" w:hAnsi="宋体" w:cs="宋体"/>
                <w:color w:val="auto"/>
                <w:szCs w:val="21"/>
              </w:rPr>
              <w:t>ND</w:t>
            </w:r>
          </w:p>
        </w:tc>
        <w:tc>
          <w:tcPr>
            <w:tcW w:w="1146" w:type="dxa"/>
            <w:vAlign w:val="center"/>
          </w:tcPr>
          <w:p w14:paraId="0EE1676E">
            <w:pPr>
              <w:jc w:val="center"/>
              <w:rPr>
                <w:rFonts w:hint="eastAsia" w:ascii="宋体" w:hAnsi="宋体" w:cs="宋体"/>
                <w:color w:val="auto"/>
                <w:szCs w:val="21"/>
              </w:rPr>
            </w:pPr>
            <w:r>
              <w:rPr>
                <w:rFonts w:hint="eastAsia" w:ascii="宋体" w:hAnsi="宋体" w:cs="宋体"/>
                <w:color w:val="auto"/>
                <w:szCs w:val="21"/>
              </w:rPr>
              <w:t>/</w:t>
            </w:r>
          </w:p>
        </w:tc>
        <w:tc>
          <w:tcPr>
            <w:tcW w:w="1232" w:type="dxa"/>
            <w:vAlign w:val="center"/>
          </w:tcPr>
          <w:p w14:paraId="7849B269">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3E4E62FA">
            <w:pPr>
              <w:jc w:val="center"/>
              <w:rPr>
                <w:rFonts w:hint="eastAsia" w:ascii="宋体" w:hAnsi="宋体" w:cs="宋体"/>
                <w:color w:val="auto"/>
                <w:szCs w:val="21"/>
              </w:rPr>
            </w:pPr>
            <w:r>
              <w:rPr>
                <w:rFonts w:hint="eastAsia" w:ascii="宋体" w:hAnsi="宋体" w:cs="宋体"/>
                <w:color w:val="auto"/>
                <w:szCs w:val="21"/>
              </w:rPr>
              <w:t>ND</w:t>
            </w:r>
          </w:p>
        </w:tc>
        <w:tc>
          <w:tcPr>
            <w:tcW w:w="1248" w:type="dxa"/>
            <w:vAlign w:val="center"/>
          </w:tcPr>
          <w:p w14:paraId="6037DBF9">
            <w:pPr>
              <w:jc w:val="center"/>
              <w:rPr>
                <w:rFonts w:hint="eastAsia" w:ascii="宋体" w:hAnsi="宋体" w:cs="宋体"/>
                <w:color w:val="auto"/>
                <w:szCs w:val="21"/>
              </w:rPr>
            </w:pPr>
            <w:r>
              <w:rPr>
                <w:rFonts w:hint="eastAsia" w:ascii="宋体" w:hAnsi="宋体" w:cs="宋体"/>
                <w:color w:val="auto"/>
                <w:szCs w:val="21"/>
              </w:rPr>
              <w:t>/</w:t>
            </w:r>
          </w:p>
        </w:tc>
        <w:tc>
          <w:tcPr>
            <w:tcW w:w="1041" w:type="dxa"/>
            <w:vAlign w:val="center"/>
          </w:tcPr>
          <w:p w14:paraId="59FEC06A">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1D287DFF">
            <w:pPr>
              <w:jc w:val="center"/>
              <w:rPr>
                <w:rFonts w:hint="eastAsia" w:ascii="宋体" w:hAnsi="宋体" w:cs="宋体"/>
                <w:color w:val="auto"/>
                <w:szCs w:val="21"/>
              </w:rPr>
            </w:pPr>
            <w:r>
              <w:rPr>
                <w:rFonts w:hint="eastAsia" w:ascii="宋体" w:hAnsi="宋体" w:cs="宋体"/>
                <w:color w:val="auto"/>
                <w:szCs w:val="21"/>
              </w:rPr>
              <w:t>ND</w:t>
            </w:r>
          </w:p>
        </w:tc>
        <w:tc>
          <w:tcPr>
            <w:tcW w:w="1158" w:type="dxa"/>
            <w:vAlign w:val="center"/>
          </w:tcPr>
          <w:p w14:paraId="35767129">
            <w:pPr>
              <w:jc w:val="center"/>
              <w:rPr>
                <w:rFonts w:hint="eastAsia" w:ascii="宋体" w:hAnsi="宋体" w:cs="宋体"/>
                <w:color w:val="auto"/>
                <w:szCs w:val="21"/>
              </w:rPr>
            </w:pPr>
            <w:r>
              <w:rPr>
                <w:rFonts w:hint="eastAsia" w:ascii="宋体" w:hAnsi="宋体" w:cs="宋体"/>
                <w:color w:val="auto"/>
                <w:szCs w:val="21"/>
              </w:rPr>
              <w:t>/</w:t>
            </w:r>
          </w:p>
        </w:tc>
        <w:tc>
          <w:tcPr>
            <w:tcW w:w="1098" w:type="dxa"/>
            <w:vAlign w:val="center"/>
          </w:tcPr>
          <w:p w14:paraId="1BDFFD5A">
            <w:pPr>
              <w:jc w:val="center"/>
              <w:rPr>
                <w:rFonts w:hint="eastAsia" w:ascii="宋体" w:hAnsi="宋体" w:cs="宋体"/>
                <w:color w:val="auto"/>
                <w:szCs w:val="21"/>
              </w:rPr>
            </w:pPr>
            <w:r>
              <w:rPr>
                <w:rFonts w:hint="eastAsia" w:ascii="宋体" w:hAnsi="宋体" w:cs="宋体"/>
                <w:color w:val="auto"/>
                <w:szCs w:val="21"/>
              </w:rPr>
              <w:t>达标</w:t>
            </w:r>
          </w:p>
        </w:tc>
      </w:tr>
      <w:tr w14:paraId="55B88E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59DC247A">
            <w:pPr>
              <w:jc w:val="center"/>
              <w:rPr>
                <w:rFonts w:hint="eastAsia" w:ascii="宋体" w:hAnsi="宋体" w:cs="宋体"/>
                <w:color w:val="auto"/>
                <w:kern w:val="0"/>
                <w:szCs w:val="21"/>
              </w:rPr>
            </w:pPr>
            <w:r>
              <w:rPr>
                <w:rFonts w:hint="eastAsia" w:ascii="宋体" w:hAnsi="宋体" w:cs="宋体"/>
                <w:color w:val="auto"/>
                <w:szCs w:val="21"/>
              </w:rPr>
              <w:t>9</w:t>
            </w:r>
          </w:p>
        </w:tc>
        <w:tc>
          <w:tcPr>
            <w:tcW w:w="1587" w:type="dxa"/>
            <w:vAlign w:val="center"/>
          </w:tcPr>
          <w:p w14:paraId="6D702F6A">
            <w:pPr>
              <w:jc w:val="center"/>
              <w:rPr>
                <w:rFonts w:hint="eastAsia" w:ascii="宋体" w:hAnsi="宋体" w:cs="宋体"/>
                <w:color w:val="auto"/>
                <w:kern w:val="0"/>
                <w:szCs w:val="21"/>
              </w:rPr>
            </w:pPr>
            <w:r>
              <w:rPr>
                <w:rFonts w:hint="eastAsia" w:ascii="宋体" w:hAnsi="宋体" w:cs="宋体"/>
                <w:color w:val="auto"/>
                <w:szCs w:val="21"/>
              </w:rPr>
              <w:t>六价铬</w:t>
            </w:r>
          </w:p>
        </w:tc>
        <w:tc>
          <w:tcPr>
            <w:tcW w:w="1286" w:type="dxa"/>
            <w:vAlign w:val="center"/>
          </w:tcPr>
          <w:p w14:paraId="03D7E036">
            <w:pPr>
              <w:jc w:val="center"/>
              <w:rPr>
                <w:rFonts w:hint="eastAsia" w:ascii="宋体" w:hAnsi="宋体" w:cs="宋体"/>
                <w:color w:val="auto"/>
                <w:szCs w:val="21"/>
              </w:rPr>
            </w:pPr>
            <w:r>
              <w:rPr>
                <w:rFonts w:hint="eastAsia" w:ascii="宋体" w:hAnsi="宋体" w:cs="宋体"/>
                <w:color w:val="auto"/>
                <w:szCs w:val="21"/>
              </w:rPr>
              <w:t>5.7</w:t>
            </w:r>
          </w:p>
        </w:tc>
        <w:tc>
          <w:tcPr>
            <w:tcW w:w="862" w:type="dxa"/>
            <w:vAlign w:val="center"/>
          </w:tcPr>
          <w:p w14:paraId="0BC11DE9">
            <w:pPr>
              <w:jc w:val="center"/>
              <w:rPr>
                <w:rFonts w:hint="eastAsia" w:ascii="宋体" w:hAnsi="宋体" w:cs="宋体"/>
                <w:color w:val="auto"/>
                <w:szCs w:val="21"/>
              </w:rPr>
            </w:pPr>
            <w:r>
              <w:rPr>
                <w:rFonts w:hint="eastAsia" w:ascii="宋体" w:hAnsi="宋体" w:cs="宋体"/>
                <w:color w:val="auto"/>
                <w:szCs w:val="21"/>
              </w:rPr>
              <w:t>mg/kg</w:t>
            </w:r>
          </w:p>
        </w:tc>
        <w:tc>
          <w:tcPr>
            <w:tcW w:w="859" w:type="dxa"/>
            <w:vAlign w:val="center"/>
          </w:tcPr>
          <w:p w14:paraId="0AA52028">
            <w:pPr>
              <w:jc w:val="center"/>
              <w:rPr>
                <w:rFonts w:hint="eastAsia" w:ascii="宋体" w:hAnsi="宋体" w:cs="宋体"/>
                <w:color w:val="auto"/>
                <w:szCs w:val="21"/>
              </w:rPr>
            </w:pPr>
            <w:r>
              <w:rPr>
                <w:rFonts w:hint="eastAsia" w:ascii="宋体" w:hAnsi="宋体" w:cs="宋体"/>
                <w:color w:val="auto"/>
                <w:szCs w:val="21"/>
              </w:rPr>
              <w:t>ND</w:t>
            </w:r>
          </w:p>
        </w:tc>
        <w:tc>
          <w:tcPr>
            <w:tcW w:w="1146" w:type="dxa"/>
            <w:vAlign w:val="center"/>
          </w:tcPr>
          <w:p w14:paraId="7BCF4DF5">
            <w:pPr>
              <w:jc w:val="center"/>
              <w:rPr>
                <w:rFonts w:hint="eastAsia" w:ascii="宋体" w:hAnsi="宋体" w:cs="宋体"/>
                <w:color w:val="auto"/>
                <w:szCs w:val="21"/>
              </w:rPr>
            </w:pPr>
            <w:r>
              <w:rPr>
                <w:rFonts w:hint="eastAsia" w:ascii="宋体" w:hAnsi="宋体" w:cs="宋体"/>
                <w:color w:val="auto"/>
                <w:szCs w:val="21"/>
              </w:rPr>
              <w:t>/</w:t>
            </w:r>
          </w:p>
        </w:tc>
        <w:tc>
          <w:tcPr>
            <w:tcW w:w="1232" w:type="dxa"/>
            <w:vAlign w:val="center"/>
          </w:tcPr>
          <w:p w14:paraId="5AEEAF61">
            <w:pPr>
              <w:jc w:val="center"/>
              <w:rPr>
                <w:rFonts w:hint="eastAsia" w:ascii="宋体" w:hAnsi="宋体" w:cs="宋体"/>
                <w:color w:val="auto"/>
                <w:szCs w:val="21"/>
              </w:rPr>
            </w:pPr>
            <w:r>
              <w:rPr>
                <w:rFonts w:hint="eastAsia" w:ascii="宋体" w:hAnsi="宋体" w:cs="宋体"/>
                <w:color w:val="auto"/>
                <w:szCs w:val="21"/>
              </w:rPr>
              <w:t>达标</w:t>
            </w:r>
          </w:p>
        </w:tc>
        <w:tc>
          <w:tcPr>
            <w:tcW w:w="1061" w:type="dxa"/>
            <w:vAlign w:val="center"/>
          </w:tcPr>
          <w:p w14:paraId="11CB145A">
            <w:pPr>
              <w:jc w:val="center"/>
              <w:rPr>
                <w:rFonts w:hint="eastAsia" w:ascii="宋体" w:hAnsi="宋体" w:cs="宋体"/>
                <w:color w:val="auto"/>
                <w:szCs w:val="21"/>
              </w:rPr>
            </w:pPr>
            <w:r>
              <w:rPr>
                <w:rFonts w:hint="eastAsia" w:ascii="宋体" w:hAnsi="宋体" w:cs="宋体"/>
                <w:color w:val="auto"/>
                <w:szCs w:val="21"/>
              </w:rPr>
              <w:t>ND</w:t>
            </w:r>
          </w:p>
        </w:tc>
        <w:tc>
          <w:tcPr>
            <w:tcW w:w="1248" w:type="dxa"/>
            <w:vAlign w:val="center"/>
          </w:tcPr>
          <w:p w14:paraId="36D87AB1">
            <w:pPr>
              <w:jc w:val="center"/>
              <w:rPr>
                <w:rFonts w:hint="eastAsia" w:ascii="宋体" w:hAnsi="宋体" w:cs="宋体"/>
                <w:color w:val="auto"/>
                <w:szCs w:val="21"/>
              </w:rPr>
            </w:pPr>
            <w:r>
              <w:rPr>
                <w:rFonts w:hint="eastAsia" w:ascii="宋体" w:hAnsi="宋体" w:cs="宋体"/>
                <w:color w:val="auto"/>
                <w:szCs w:val="21"/>
              </w:rPr>
              <w:t>/</w:t>
            </w:r>
          </w:p>
        </w:tc>
        <w:tc>
          <w:tcPr>
            <w:tcW w:w="1041" w:type="dxa"/>
            <w:vAlign w:val="center"/>
          </w:tcPr>
          <w:p w14:paraId="29E7A268">
            <w:pPr>
              <w:jc w:val="center"/>
              <w:rPr>
                <w:rFonts w:hint="eastAsia" w:ascii="宋体" w:hAnsi="宋体" w:cs="宋体"/>
                <w:color w:val="auto"/>
                <w:szCs w:val="21"/>
              </w:rPr>
            </w:pPr>
            <w:r>
              <w:rPr>
                <w:rFonts w:hint="eastAsia" w:ascii="宋体" w:hAnsi="宋体" w:cs="宋体"/>
                <w:color w:val="auto"/>
                <w:szCs w:val="21"/>
              </w:rPr>
              <w:t>达标</w:t>
            </w:r>
          </w:p>
        </w:tc>
        <w:tc>
          <w:tcPr>
            <w:tcW w:w="967" w:type="dxa"/>
            <w:vAlign w:val="center"/>
          </w:tcPr>
          <w:p w14:paraId="364E3BE9">
            <w:pPr>
              <w:jc w:val="center"/>
              <w:rPr>
                <w:rFonts w:hint="eastAsia" w:ascii="宋体" w:hAnsi="宋体" w:cs="宋体"/>
                <w:color w:val="auto"/>
                <w:szCs w:val="21"/>
              </w:rPr>
            </w:pPr>
            <w:r>
              <w:rPr>
                <w:rFonts w:hint="eastAsia" w:ascii="宋体" w:hAnsi="宋体" w:cs="宋体"/>
                <w:color w:val="auto"/>
                <w:szCs w:val="21"/>
              </w:rPr>
              <w:t>ND</w:t>
            </w:r>
          </w:p>
        </w:tc>
        <w:tc>
          <w:tcPr>
            <w:tcW w:w="1158" w:type="dxa"/>
            <w:vAlign w:val="center"/>
          </w:tcPr>
          <w:p w14:paraId="725D2219">
            <w:pPr>
              <w:jc w:val="center"/>
              <w:rPr>
                <w:rFonts w:hint="eastAsia" w:ascii="宋体" w:hAnsi="宋体" w:cs="宋体"/>
                <w:color w:val="auto"/>
                <w:szCs w:val="21"/>
              </w:rPr>
            </w:pPr>
            <w:r>
              <w:rPr>
                <w:rFonts w:hint="eastAsia" w:ascii="宋体" w:hAnsi="宋体" w:cs="宋体"/>
                <w:color w:val="auto"/>
                <w:szCs w:val="21"/>
              </w:rPr>
              <w:t>/</w:t>
            </w:r>
          </w:p>
        </w:tc>
        <w:tc>
          <w:tcPr>
            <w:tcW w:w="1098" w:type="dxa"/>
            <w:vAlign w:val="center"/>
          </w:tcPr>
          <w:p w14:paraId="79F20BB8">
            <w:pPr>
              <w:jc w:val="center"/>
              <w:rPr>
                <w:rFonts w:hint="eastAsia" w:ascii="宋体" w:hAnsi="宋体" w:cs="宋体"/>
                <w:color w:val="auto"/>
                <w:szCs w:val="21"/>
              </w:rPr>
            </w:pPr>
            <w:r>
              <w:rPr>
                <w:rFonts w:hint="eastAsia" w:ascii="宋体" w:hAnsi="宋体" w:cs="宋体"/>
                <w:color w:val="auto"/>
                <w:szCs w:val="21"/>
              </w:rPr>
              <w:t>达标</w:t>
            </w:r>
          </w:p>
        </w:tc>
      </w:tr>
      <w:tr w14:paraId="7643A6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24492DCC">
            <w:pPr>
              <w:jc w:val="center"/>
              <w:rPr>
                <w:rFonts w:hint="eastAsia" w:ascii="宋体" w:hAnsi="宋体" w:cs="宋体"/>
                <w:color w:val="auto"/>
                <w:kern w:val="0"/>
                <w:szCs w:val="21"/>
              </w:rPr>
            </w:pPr>
            <w:r>
              <w:rPr>
                <w:rFonts w:hint="eastAsia" w:ascii="宋体" w:hAnsi="宋体" w:cs="宋体"/>
                <w:color w:val="auto"/>
                <w:kern w:val="0"/>
                <w:szCs w:val="21"/>
              </w:rPr>
              <w:t>10</w:t>
            </w:r>
          </w:p>
        </w:tc>
        <w:tc>
          <w:tcPr>
            <w:tcW w:w="1587" w:type="dxa"/>
            <w:vAlign w:val="center"/>
          </w:tcPr>
          <w:p w14:paraId="266EC0FB">
            <w:pPr>
              <w:jc w:val="center"/>
              <w:rPr>
                <w:rFonts w:hint="eastAsia" w:ascii="宋体" w:hAnsi="宋体" w:cs="宋体"/>
                <w:color w:val="auto"/>
                <w:kern w:val="0"/>
                <w:szCs w:val="21"/>
              </w:rPr>
            </w:pPr>
            <w:r>
              <w:rPr>
                <w:rFonts w:hint="eastAsia" w:ascii="宋体" w:hAnsi="宋体" w:cs="宋体"/>
                <w:color w:val="auto"/>
                <w:kern w:val="0"/>
                <w:szCs w:val="21"/>
              </w:rPr>
              <w:t>石油烃</w:t>
            </w:r>
          </w:p>
        </w:tc>
        <w:tc>
          <w:tcPr>
            <w:tcW w:w="1286" w:type="dxa"/>
            <w:vAlign w:val="center"/>
          </w:tcPr>
          <w:p w14:paraId="01EE16CF">
            <w:pPr>
              <w:jc w:val="center"/>
              <w:rPr>
                <w:rFonts w:hint="eastAsia" w:ascii="宋体" w:hAnsi="宋体" w:cs="宋体"/>
                <w:color w:val="auto"/>
                <w:kern w:val="0"/>
                <w:szCs w:val="21"/>
              </w:rPr>
            </w:pPr>
            <w:r>
              <w:rPr>
                <w:rFonts w:hint="eastAsia" w:ascii="宋体" w:hAnsi="宋体" w:cs="宋体"/>
                <w:color w:val="auto"/>
                <w:kern w:val="0"/>
                <w:szCs w:val="21"/>
              </w:rPr>
              <w:t>4500</w:t>
            </w:r>
          </w:p>
        </w:tc>
        <w:tc>
          <w:tcPr>
            <w:tcW w:w="862" w:type="dxa"/>
            <w:vAlign w:val="center"/>
          </w:tcPr>
          <w:p w14:paraId="25EDAA77">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29B1519B">
            <w:pPr>
              <w:jc w:val="center"/>
              <w:rPr>
                <w:rFonts w:hint="eastAsia" w:ascii="宋体" w:hAnsi="宋体" w:cs="宋体"/>
                <w:color w:val="auto"/>
                <w:kern w:val="0"/>
                <w:szCs w:val="21"/>
              </w:rPr>
            </w:pPr>
            <w:r>
              <w:rPr>
                <w:rFonts w:hint="eastAsia" w:ascii="宋体" w:hAnsi="宋体" w:cs="宋体"/>
                <w:color w:val="auto"/>
                <w:kern w:val="0"/>
                <w:szCs w:val="21"/>
              </w:rPr>
              <w:t>33.0</w:t>
            </w:r>
          </w:p>
        </w:tc>
        <w:tc>
          <w:tcPr>
            <w:tcW w:w="1146" w:type="dxa"/>
            <w:vAlign w:val="center"/>
          </w:tcPr>
          <w:p w14:paraId="12945E89">
            <w:pPr>
              <w:jc w:val="center"/>
              <w:rPr>
                <w:rFonts w:hint="eastAsia" w:ascii="宋体" w:hAnsi="宋体" w:cs="宋体"/>
                <w:color w:val="auto"/>
                <w:kern w:val="0"/>
                <w:szCs w:val="21"/>
              </w:rPr>
            </w:pPr>
            <w:r>
              <w:rPr>
                <w:rFonts w:hint="eastAsia" w:ascii="宋体" w:hAnsi="宋体" w:cs="宋体"/>
                <w:color w:val="auto"/>
                <w:kern w:val="0"/>
                <w:szCs w:val="21"/>
              </w:rPr>
              <w:t>0.0073</w:t>
            </w:r>
          </w:p>
        </w:tc>
        <w:tc>
          <w:tcPr>
            <w:tcW w:w="1232" w:type="dxa"/>
            <w:vAlign w:val="center"/>
          </w:tcPr>
          <w:p w14:paraId="60FB5C39">
            <w:pPr>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1061" w:type="dxa"/>
            <w:vAlign w:val="center"/>
          </w:tcPr>
          <w:p w14:paraId="260DE83A">
            <w:pPr>
              <w:jc w:val="center"/>
              <w:rPr>
                <w:rFonts w:hint="eastAsia" w:ascii="宋体" w:hAnsi="宋体" w:cs="宋体"/>
                <w:color w:val="auto"/>
                <w:kern w:val="0"/>
                <w:szCs w:val="21"/>
              </w:rPr>
            </w:pPr>
            <w:r>
              <w:rPr>
                <w:rFonts w:hint="eastAsia" w:ascii="宋体" w:hAnsi="宋体" w:cs="宋体"/>
                <w:color w:val="auto"/>
                <w:kern w:val="0"/>
                <w:szCs w:val="21"/>
              </w:rPr>
              <w:t>32.2</w:t>
            </w:r>
          </w:p>
        </w:tc>
        <w:tc>
          <w:tcPr>
            <w:tcW w:w="1248" w:type="dxa"/>
            <w:vAlign w:val="center"/>
          </w:tcPr>
          <w:p w14:paraId="7E92B3A9">
            <w:pPr>
              <w:jc w:val="center"/>
              <w:rPr>
                <w:rFonts w:hint="eastAsia" w:ascii="宋体" w:hAnsi="宋体" w:cs="宋体"/>
                <w:color w:val="auto"/>
                <w:kern w:val="0"/>
                <w:szCs w:val="21"/>
              </w:rPr>
            </w:pPr>
            <w:r>
              <w:rPr>
                <w:rFonts w:hint="eastAsia" w:ascii="宋体" w:hAnsi="宋体" w:cs="宋体"/>
                <w:color w:val="auto"/>
                <w:kern w:val="0"/>
                <w:szCs w:val="21"/>
              </w:rPr>
              <w:t>0.0072</w:t>
            </w:r>
          </w:p>
        </w:tc>
        <w:tc>
          <w:tcPr>
            <w:tcW w:w="1041" w:type="dxa"/>
            <w:vAlign w:val="center"/>
          </w:tcPr>
          <w:p w14:paraId="5D035C3E">
            <w:pPr>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967" w:type="dxa"/>
            <w:vAlign w:val="center"/>
          </w:tcPr>
          <w:p w14:paraId="64F6AE7B">
            <w:pPr>
              <w:jc w:val="center"/>
              <w:rPr>
                <w:rFonts w:hint="eastAsia" w:ascii="宋体" w:hAnsi="宋体" w:cs="宋体"/>
                <w:color w:val="auto"/>
                <w:kern w:val="0"/>
                <w:szCs w:val="21"/>
              </w:rPr>
            </w:pPr>
            <w:r>
              <w:rPr>
                <w:rFonts w:hint="eastAsia" w:ascii="宋体" w:hAnsi="宋体" w:cs="宋体"/>
                <w:color w:val="auto"/>
                <w:kern w:val="0"/>
                <w:szCs w:val="21"/>
              </w:rPr>
              <w:t>36.0</w:t>
            </w:r>
          </w:p>
        </w:tc>
        <w:tc>
          <w:tcPr>
            <w:tcW w:w="1158" w:type="dxa"/>
            <w:vAlign w:val="center"/>
          </w:tcPr>
          <w:p w14:paraId="66909D77">
            <w:pPr>
              <w:jc w:val="center"/>
              <w:rPr>
                <w:rFonts w:hint="eastAsia" w:ascii="宋体" w:hAnsi="宋体" w:cs="宋体"/>
                <w:color w:val="auto"/>
                <w:kern w:val="0"/>
                <w:szCs w:val="21"/>
              </w:rPr>
            </w:pPr>
            <w:r>
              <w:rPr>
                <w:rFonts w:hint="eastAsia" w:ascii="宋体" w:hAnsi="宋体" w:cs="宋体"/>
                <w:color w:val="auto"/>
                <w:kern w:val="0"/>
                <w:szCs w:val="21"/>
              </w:rPr>
              <w:t>0.0080</w:t>
            </w:r>
          </w:p>
        </w:tc>
        <w:tc>
          <w:tcPr>
            <w:tcW w:w="1098" w:type="dxa"/>
            <w:vAlign w:val="center"/>
          </w:tcPr>
          <w:p w14:paraId="54F5D6F0">
            <w:pPr>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387BB9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3" w:type="dxa"/>
            <w:vAlign w:val="center"/>
          </w:tcPr>
          <w:p w14:paraId="1C67C7F6">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587" w:type="dxa"/>
            <w:vAlign w:val="center"/>
          </w:tcPr>
          <w:p w14:paraId="546EF791">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286" w:type="dxa"/>
            <w:vAlign w:val="center"/>
          </w:tcPr>
          <w:p w14:paraId="401C4F4A">
            <w:pPr>
              <w:jc w:val="center"/>
              <w:rPr>
                <w:rFonts w:hint="eastAsia" w:ascii="宋体" w:hAnsi="宋体" w:cs="宋体"/>
                <w:color w:val="auto"/>
                <w:kern w:val="0"/>
                <w:szCs w:val="21"/>
              </w:rPr>
            </w:pPr>
            <w:r>
              <w:rPr>
                <w:rFonts w:hint="eastAsia" w:ascii="宋体" w:hAnsi="宋体" w:cs="宋体"/>
                <w:color w:val="auto"/>
                <w:kern w:val="0"/>
                <w:szCs w:val="21"/>
              </w:rPr>
              <w:t>/</w:t>
            </w:r>
          </w:p>
        </w:tc>
        <w:tc>
          <w:tcPr>
            <w:tcW w:w="862" w:type="dxa"/>
            <w:vAlign w:val="center"/>
          </w:tcPr>
          <w:p w14:paraId="191AAD04">
            <w:pPr>
              <w:jc w:val="center"/>
              <w:rPr>
                <w:rFonts w:hint="eastAsia" w:ascii="宋体" w:hAnsi="宋体" w:cs="宋体"/>
                <w:color w:val="auto"/>
                <w:kern w:val="0"/>
                <w:szCs w:val="21"/>
              </w:rPr>
            </w:pPr>
            <w:r>
              <w:rPr>
                <w:rFonts w:hint="eastAsia" w:ascii="宋体" w:hAnsi="宋体" w:cs="宋体"/>
                <w:color w:val="auto"/>
                <w:kern w:val="0"/>
                <w:szCs w:val="21"/>
              </w:rPr>
              <w:t>/</w:t>
            </w:r>
          </w:p>
        </w:tc>
        <w:tc>
          <w:tcPr>
            <w:tcW w:w="3237" w:type="dxa"/>
            <w:gridSpan w:val="3"/>
            <w:vAlign w:val="center"/>
          </w:tcPr>
          <w:p w14:paraId="2F6C31D8">
            <w:pPr>
              <w:jc w:val="center"/>
              <w:rPr>
                <w:rFonts w:hint="eastAsia" w:ascii="宋体" w:hAnsi="宋体" w:cs="宋体"/>
                <w:color w:val="auto"/>
                <w:kern w:val="0"/>
                <w:szCs w:val="21"/>
              </w:rPr>
            </w:pPr>
            <w:r>
              <w:rPr>
                <w:rFonts w:hint="eastAsia" w:ascii="宋体" w:hAnsi="宋体" w:cs="宋体"/>
                <w:color w:val="auto"/>
                <w:kern w:val="0"/>
                <w:szCs w:val="21"/>
              </w:rPr>
              <w:t>S7(0m～0.2m)</w:t>
            </w:r>
          </w:p>
        </w:tc>
        <w:tc>
          <w:tcPr>
            <w:tcW w:w="3350" w:type="dxa"/>
            <w:gridSpan w:val="3"/>
            <w:vAlign w:val="center"/>
          </w:tcPr>
          <w:p w14:paraId="64C0F891">
            <w:pPr>
              <w:jc w:val="center"/>
              <w:rPr>
                <w:rFonts w:hint="eastAsia" w:ascii="宋体" w:hAnsi="宋体" w:cs="宋体"/>
                <w:color w:val="auto"/>
                <w:kern w:val="0"/>
                <w:szCs w:val="21"/>
              </w:rPr>
            </w:pPr>
            <w:r>
              <w:rPr>
                <w:rFonts w:hint="eastAsia" w:ascii="宋体" w:hAnsi="宋体" w:cs="宋体"/>
                <w:color w:val="auto"/>
                <w:kern w:val="0"/>
                <w:szCs w:val="21"/>
              </w:rPr>
              <w:t>S8(0m～0.2m)</w:t>
            </w:r>
          </w:p>
        </w:tc>
        <w:tc>
          <w:tcPr>
            <w:tcW w:w="3229" w:type="dxa"/>
            <w:gridSpan w:val="4"/>
            <w:vAlign w:val="center"/>
          </w:tcPr>
          <w:p w14:paraId="5A0CCF5B">
            <w:pPr>
              <w:jc w:val="center"/>
              <w:rPr>
                <w:rFonts w:hint="eastAsia" w:ascii="宋体" w:hAnsi="宋体" w:cs="宋体"/>
                <w:color w:val="auto"/>
                <w:kern w:val="0"/>
                <w:szCs w:val="21"/>
              </w:rPr>
            </w:pPr>
            <w:r>
              <w:rPr>
                <w:rFonts w:hint="eastAsia" w:ascii="宋体" w:hAnsi="宋体" w:cs="宋体"/>
                <w:color w:val="auto"/>
                <w:kern w:val="0"/>
                <w:szCs w:val="21"/>
              </w:rPr>
              <w:t>S9(0m～0.2m)</w:t>
            </w:r>
          </w:p>
        </w:tc>
      </w:tr>
      <w:tr w14:paraId="7D457C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7D87CBAB">
            <w:pPr>
              <w:jc w:val="center"/>
              <w:rPr>
                <w:rFonts w:hint="eastAsia" w:ascii="宋体" w:hAnsi="宋体" w:cs="宋体"/>
                <w:color w:val="auto"/>
                <w:kern w:val="0"/>
                <w:szCs w:val="21"/>
              </w:rPr>
            </w:pPr>
            <w:r>
              <w:rPr>
                <w:rFonts w:hint="eastAsia" w:ascii="宋体" w:hAnsi="宋体" w:cs="宋体"/>
                <w:color w:val="auto"/>
                <w:kern w:val="0"/>
                <w:szCs w:val="21"/>
              </w:rPr>
              <w:t>1</w:t>
            </w:r>
          </w:p>
        </w:tc>
        <w:tc>
          <w:tcPr>
            <w:tcW w:w="1587" w:type="dxa"/>
            <w:vAlign w:val="center"/>
          </w:tcPr>
          <w:p w14:paraId="5D9D6877">
            <w:pPr>
              <w:jc w:val="center"/>
              <w:rPr>
                <w:rFonts w:hint="eastAsia" w:ascii="宋体" w:hAnsi="宋体" w:cs="宋体"/>
                <w:color w:val="auto"/>
                <w:kern w:val="0"/>
                <w:szCs w:val="21"/>
              </w:rPr>
            </w:pPr>
            <w:r>
              <w:rPr>
                <w:rFonts w:hint="eastAsia" w:ascii="宋体" w:hAnsi="宋体" w:cs="宋体"/>
                <w:color w:val="auto"/>
                <w:kern w:val="0"/>
                <w:szCs w:val="21"/>
              </w:rPr>
              <w:t>pH</w:t>
            </w:r>
          </w:p>
        </w:tc>
        <w:tc>
          <w:tcPr>
            <w:tcW w:w="1286" w:type="dxa"/>
            <w:vAlign w:val="center"/>
          </w:tcPr>
          <w:p w14:paraId="7ABD751E">
            <w:pPr>
              <w:jc w:val="center"/>
              <w:rPr>
                <w:rFonts w:hint="eastAsia" w:ascii="宋体" w:hAnsi="宋体" w:cs="宋体"/>
                <w:color w:val="auto"/>
                <w:kern w:val="0"/>
                <w:szCs w:val="21"/>
              </w:rPr>
            </w:pPr>
            <w:r>
              <w:rPr>
                <w:rFonts w:hint="eastAsia" w:ascii="宋体" w:hAnsi="宋体" w:cs="宋体"/>
                <w:color w:val="auto"/>
                <w:kern w:val="0"/>
                <w:szCs w:val="21"/>
              </w:rPr>
              <w:t>/</w:t>
            </w:r>
          </w:p>
        </w:tc>
        <w:tc>
          <w:tcPr>
            <w:tcW w:w="862" w:type="dxa"/>
            <w:vAlign w:val="center"/>
          </w:tcPr>
          <w:p w14:paraId="51430293">
            <w:pPr>
              <w:jc w:val="center"/>
              <w:rPr>
                <w:rFonts w:hint="eastAsia" w:ascii="宋体" w:hAnsi="宋体" w:cs="宋体"/>
                <w:color w:val="auto"/>
                <w:kern w:val="0"/>
                <w:szCs w:val="21"/>
              </w:rPr>
            </w:pPr>
            <w:r>
              <w:rPr>
                <w:rFonts w:hint="eastAsia" w:ascii="宋体" w:hAnsi="宋体" w:cs="宋体"/>
                <w:color w:val="auto"/>
                <w:kern w:val="0"/>
                <w:szCs w:val="21"/>
              </w:rPr>
              <w:t>/</w:t>
            </w:r>
          </w:p>
        </w:tc>
        <w:tc>
          <w:tcPr>
            <w:tcW w:w="859" w:type="dxa"/>
            <w:vAlign w:val="center"/>
          </w:tcPr>
          <w:p w14:paraId="12C692DA">
            <w:pPr>
              <w:jc w:val="center"/>
              <w:rPr>
                <w:rFonts w:hint="eastAsia" w:ascii="宋体" w:hAnsi="宋体" w:cs="宋体"/>
                <w:color w:val="auto"/>
                <w:kern w:val="0"/>
                <w:szCs w:val="21"/>
              </w:rPr>
            </w:pPr>
            <w:r>
              <w:rPr>
                <w:rFonts w:hint="eastAsia" w:ascii="宋体" w:hAnsi="宋体" w:cs="宋体"/>
                <w:color w:val="auto"/>
                <w:kern w:val="0"/>
                <w:szCs w:val="21"/>
              </w:rPr>
              <w:t>7.92</w:t>
            </w:r>
          </w:p>
        </w:tc>
        <w:tc>
          <w:tcPr>
            <w:tcW w:w="1146" w:type="dxa"/>
            <w:vAlign w:val="center"/>
          </w:tcPr>
          <w:p w14:paraId="66FC79AD">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232" w:type="dxa"/>
            <w:vAlign w:val="center"/>
          </w:tcPr>
          <w:p w14:paraId="7ED4E2CC">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061" w:type="dxa"/>
            <w:vAlign w:val="center"/>
          </w:tcPr>
          <w:p w14:paraId="480D9D1A">
            <w:pPr>
              <w:jc w:val="center"/>
              <w:rPr>
                <w:rFonts w:hint="eastAsia" w:ascii="宋体" w:hAnsi="宋体" w:cs="宋体"/>
                <w:color w:val="auto"/>
                <w:kern w:val="0"/>
                <w:szCs w:val="21"/>
              </w:rPr>
            </w:pPr>
            <w:r>
              <w:rPr>
                <w:rFonts w:hint="eastAsia" w:ascii="宋体" w:hAnsi="宋体" w:cs="宋体"/>
                <w:color w:val="auto"/>
                <w:kern w:val="0"/>
                <w:szCs w:val="21"/>
              </w:rPr>
              <w:t>7.95</w:t>
            </w:r>
          </w:p>
        </w:tc>
        <w:tc>
          <w:tcPr>
            <w:tcW w:w="1248" w:type="dxa"/>
            <w:vAlign w:val="center"/>
          </w:tcPr>
          <w:p w14:paraId="4D50C4FD">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041" w:type="dxa"/>
            <w:vAlign w:val="center"/>
          </w:tcPr>
          <w:p w14:paraId="2EA1EFE2">
            <w:pPr>
              <w:jc w:val="center"/>
              <w:rPr>
                <w:rFonts w:hint="eastAsia" w:ascii="宋体" w:hAnsi="宋体" w:cs="宋体"/>
                <w:color w:val="auto"/>
                <w:kern w:val="0"/>
                <w:szCs w:val="21"/>
              </w:rPr>
            </w:pPr>
            <w:r>
              <w:rPr>
                <w:rFonts w:hint="eastAsia" w:ascii="宋体" w:hAnsi="宋体" w:cs="宋体"/>
                <w:color w:val="auto"/>
                <w:kern w:val="0"/>
                <w:szCs w:val="21"/>
              </w:rPr>
              <w:t>/</w:t>
            </w:r>
          </w:p>
        </w:tc>
        <w:tc>
          <w:tcPr>
            <w:tcW w:w="967" w:type="dxa"/>
            <w:vAlign w:val="center"/>
          </w:tcPr>
          <w:p w14:paraId="157C8001">
            <w:pPr>
              <w:jc w:val="center"/>
              <w:rPr>
                <w:rFonts w:hint="eastAsia" w:ascii="宋体" w:hAnsi="宋体" w:cs="宋体"/>
                <w:color w:val="auto"/>
                <w:kern w:val="0"/>
                <w:szCs w:val="21"/>
              </w:rPr>
            </w:pPr>
            <w:r>
              <w:rPr>
                <w:rFonts w:hint="eastAsia" w:ascii="宋体" w:hAnsi="宋体" w:cs="宋体"/>
                <w:color w:val="auto"/>
                <w:kern w:val="0"/>
                <w:szCs w:val="21"/>
              </w:rPr>
              <w:t>8.00</w:t>
            </w:r>
          </w:p>
        </w:tc>
        <w:tc>
          <w:tcPr>
            <w:tcW w:w="1158" w:type="dxa"/>
            <w:vAlign w:val="center"/>
          </w:tcPr>
          <w:p w14:paraId="6447641A">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098" w:type="dxa"/>
            <w:vAlign w:val="center"/>
          </w:tcPr>
          <w:p w14:paraId="21D82D10">
            <w:pPr>
              <w:jc w:val="center"/>
              <w:rPr>
                <w:rFonts w:hint="eastAsia" w:ascii="宋体" w:hAnsi="宋体" w:cs="宋体"/>
                <w:color w:val="auto"/>
                <w:kern w:val="0"/>
                <w:szCs w:val="21"/>
              </w:rPr>
            </w:pPr>
            <w:r>
              <w:rPr>
                <w:rFonts w:hint="eastAsia" w:ascii="宋体" w:hAnsi="宋体" w:cs="宋体"/>
                <w:color w:val="auto"/>
                <w:kern w:val="0"/>
                <w:szCs w:val="21"/>
              </w:rPr>
              <w:t>/</w:t>
            </w:r>
          </w:p>
        </w:tc>
      </w:tr>
      <w:tr w14:paraId="47E1E9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6DCDE093">
            <w:pPr>
              <w:jc w:val="center"/>
              <w:rPr>
                <w:rFonts w:hint="eastAsia" w:ascii="宋体" w:hAnsi="宋体" w:cs="宋体"/>
                <w:color w:val="auto"/>
                <w:kern w:val="0"/>
                <w:szCs w:val="21"/>
              </w:rPr>
            </w:pPr>
            <w:r>
              <w:rPr>
                <w:rFonts w:hint="eastAsia" w:ascii="宋体" w:hAnsi="宋体" w:cs="宋体"/>
                <w:color w:val="auto"/>
                <w:kern w:val="0"/>
                <w:szCs w:val="21"/>
              </w:rPr>
              <w:t>2</w:t>
            </w:r>
          </w:p>
        </w:tc>
        <w:tc>
          <w:tcPr>
            <w:tcW w:w="1587" w:type="dxa"/>
            <w:vAlign w:val="center"/>
          </w:tcPr>
          <w:p w14:paraId="0E2D69DB">
            <w:pPr>
              <w:jc w:val="center"/>
              <w:rPr>
                <w:rFonts w:hint="eastAsia" w:ascii="宋体" w:hAnsi="宋体" w:cs="宋体"/>
                <w:color w:val="auto"/>
                <w:kern w:val="0"/>
                <w:szCs w:val="21"/>
              </w:rPr>
            </w:pPr>
            <w:r>
              <w:rPr>
                <w:rFonts w:hint="eastAsia" w:ascii="宋体" w:hAnsi="宋体" w:cs="宋体"/>
                <w:color w:val="auto"/>
                <w:kern w:val="0"/>
                <w:szCs w:val="21"/>
              </w:rPr>
              <w:t>土壤盐分含量</w:t>
            </w:r>
          </w:p>
        </w:tc>
        <w:tc>
          <w:tcPr>
            <w:tcW w:w="1286" w:type="dxa"/>
            <w:vAlign w:val="center"/>
          </w:tcPr>
          <w:p w14:paraId="7F42B32C">
            <w:pPr>
              <w:jc w:val="center"/>
              <w:rPr>
                <w:rFonts w:hint="eastAsia" w:ascii="宋体" w:hAnsi="宋体" w:cs="宋体"/>
                <w:color w:val="auto"/>
                <w:kern w:val="0"/>
                <w:szCs w:val="21"/>
              </w:rPr>
            </w:pPr>
            <w:r>
              <w:rPr>
                <w:rFonts w:hint="eastAsia" w:ascii="宋体" w:hAnsi="宋体" w:cs="宋体"/>
                <w:color w:val="auto"/>
                <w:kern w:val="0"/>
                <w:szCs w:val="21"/>
              </w:rPr>
              <w:t>/</w:t>
            </w:r>
          </w:p>
        </w:tc>
        <w:tc>
          <w:tcPr>
            <w:tcW w:w="862" w:type="dxa"/>
            <w:vAlign w:val="center"/>
          </w:tcPr>
          <w:p w14:paraId="3CE09D2A">
            <w:pPr>
              <w:jc w:val="center"/>
              <w:rPr>
                <w:rFonts w:hint="eastAsia" w:ascii="宋体" w:hAnsi="宋体" w:cs="宋体"/>
                <w:color w:val="auto"/>
                <w:kern w:val="0"/>
                <w:szCs w:val="21"/>
              </w:rPr>
            </w:pPr>
            <w:r>
              <w:rPr>
                <w:rFonts w:hint="eastAsia" w:ascii="宋体" w:hAnsi="宋体" w:cs="宋体"/>
                <w:color w:val="auto"/>
                <w:kern w:val="0"/>
                <w:szCs w:val="21"/>
              </w:rPr>
              <w:t>g/kg</w:t>
            </w:r>
          </w:p>
        </w:tc>
        <w:tc>
          <w:tcPr>
            <w:tcW w:w="859" w:type="dxa"/>
            <w:vAlign w:val="center"/>
          </w:tcPr>
          <w:p w14:paraId="0FFA299B">
            <w:pPr>
              <w:jc w:val="center"/>
              <w:rPr>
                <w:rFonts w:hint="eastAsia" w:ascii="宋体" w:hAnsi="宋体" w:cs="宋体"/>
                <w:color w:val="auto"/>
                <w:kern w:val="0"/>
                <w:szCs w:val="21"/>
              </w:rPr>
            </w:pPr>
            <w:r>
              <w:rPr>
                <w:rFonts w:hint="eastAsia" w:ascii="宋体" w:hAnsi="宋体" w:cs="宋体"/>
                <w:color w:val="auto"/>
                <w:kern w:val="0"/>
                <w:szCs w:val="21"/>
              </w:rPr>
              <w:t>1.1</w:t>
            </w:r>
          </w:p>
        </w:tc>
        <w:tc>
          <w:tcPr>
            <w:tcW w:w="1146" w:type="dxa"/>
            <w:vAlign w:val="center"/>
          </w:tcPr>
          <w:p w14:paraId="0B1ACE84">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232" w:type="dxa"/>
            <w:vAlign w:val="center"/>
          </w:tcPr>
          <w:p w14:paraId="1E716211">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061" w:type="dxa"/>
            <w:vAlign w:val="center"/>
          </w:tcPr>
          <w:p w14:paraId="7ECBDDEB">
            <w:pPr>
              <w:jc w:val="center"/>
              <w:rPr>
                <w:rFonts w:hint="eastAsia" w:ascii="宋体" w:hAnsi="宋体" w:cs="宋体"/>
                <w:color w:val="auto"/>
                <w:kern w:val="0"/>
                <w:szCs w:val="21"/>
              </w:rPr>
            </w:pPr>
            <w:r>
              <w:rPr>
                <w:rFonts w:hint="eastAsia" w:ascii="宋体" w:hAnsi="宋体" w:cs="宋体"/>
                <w:color w:val="auto"/>
                <w:kern w:val="0"/>
                <w:szCs w:val="21"/>
              </w:rPr>
              <w:t>1.4</w:t>
            </w:r>
          </w:p>
        </w:tc>
        <w:tc>
          <w:tcPr>
            <w:tcW w:w="1248" w:type="dxa"/>
            <w:vAlign w:val="center"/>
          </w:tcPr>
          <w:p w14:paraId="6E0D85F7">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041" w:type="dxa"/>
            <w:vAlign w:val="center"/>
          </w:tcPr>
          <w:p w14:paraId="17D94FD7">
            <w:pPr>
              <w:jc w:val="center"/>
              <w:rPr>
                <w:rFonts w:hint="eastAsia" w:ascii="宋体" w:hAnsi="宋体" w:cs="宋体"/>
                <w:color w:val="auto"/>
                <w:kern w:val="0"/>
                <w:szCs w:val="21"/>
              </w:rPr>
            </w:pPr>
            <w:r>
              <w:rPr>
                <w:rFonts w:hint="eastAsia" w:ascii="宋体" w:hAnsi="宋体" w:cs="宋体"/>
                <w:color w:val="auto"/>
                <w:kern w:val="0"/>
                <w:szCs w:val="21"/>
              </w:rPr>
              <w:t>/</w:t>
            </w:r>
          </w:p>
        </w:tc>
        <w:tc>
          <w:tcPr>
            <w:tcW w:w="967" w:type="dxa"/>
            <w:vAlign w:val="center"/>
          </w:tcPr>
          <w:p w14:paraId="06D8AF5E">
            <w:pPr>
              <w:jc w:val="center"/>
              <w:rPr>
                <w:rFonts w:hint="eastAsia" w:ascii="宋体" w:hAnsi="宋体" w:cs="宋体"/>
                <w:color w:val="auto"/>
                <w:kern w:val="0"/>
                <w:szCs w:val="21"/>
              </w:rPr>
            </w:pPr>
            <w:r>
              <w:rPr>
                <w:rFonts w:hint="eastAsia" w:ascii="宋体" w:hAnsi="宋体" w:cs="宋体"/>
                <w:color w:val="auto"/>
                <w:kern w:val="0"/>
                <w:szCs w:val="21"/>
              </w:rPr>
              <w:t>1.4</w:t>
            </w:r>
          </w:p>
        </w:tc>
        <w:tc>
          <w:tcPr>
            <w:tcW w:w="1158" w:type="dxa"/>
            <w:vAlign w:val="center"/>
          </w:tcPr>
          <w:p w14:paraId="41CC6ED5">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098" w:type="dxa"/>
            <w:vAlign w:val="center"/>
          </w:tcPr>
          <w:p w14:paraId="5AC4B85F">
            <w:pPr>
              <w:jc w:val="center"/>
              <w:rPr>
                <w:rFonts w:hint="eastAsia" w:ascii="宋体" w:hAnsi="宋体" w:cs="宋体"/>
                <w:color w:val="auto"/>
                <w:kern w:val="0"/>
                <w:szCs w:val="21"/>
              </w:rPr>
            </w:pPr>
            <w:r>
              <w:rPr>
                <w:rFonts w:hint="eastAsia" w:ascii="宋体" w:hAnsi="宋体" w:cs="宋体"/>
                <w:color w:val="auto"/>
                <w:kern w:val="0"/>
                <w:szCs w:val="21"/>
              </w:rPr>
              <w:t>/</w:t>
            </w:r>
          </w:p>
        </w:tc>
      </w:tr>
      <w:tr w14:paraId="3AEEF8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40D82BFF">
            <w:pPr>
              <w:jc w:val="center"/>
              <w:rPr>
                <w:rFonts w:hint="eastAsia" w:ascii="宋体" w:hAnsi="宋体" w:cs="宋体"/>
                <w:color w:val="auto"/>
                <w:kern w:val="0"/>
                <w:szCs w:val="21"/>
              </w:rPr>
            </w:pPr>
            <w:r>
              <w:rPr>
                <w:rFonts w:hint="eastAsia" w:ascii="宋体" w:hAnsi="宋体" w:cs="宋体"/>
                <w:color w:val="auto"/>
                <w:kern w:val="0"/>
                <w:szCs w:val="21"/>
              </w:rPr>
              <w:t>3</w:t>
            </w:r>
          </w:p>
        </w:tc>
        <w:tc>
          <w:tcPr>
            <w:tcW w:w="1587" w:type="dxa"/>
            <w:vAlign w:val="center"/>
          </w:tcPr>
          <w:p w14:paraId="401CBBFD">
            <w:pPr>
              <w:jc w:val="center"/>
              <w:rPr>
                <w:rFonts w:hint="eastAsia" w:ascii="宋体" w:hAnsi="宋体" w:cs="宋体"/>
                <w:color w:val="auto"/>
                <w:kern w:val="0"/>
                <w:szCs w:val="21"/>
              </w:rPr>
            </w:pPr>
            <w:r>
              <w:rPr>
                <w:rFonts w:hint="eastAsia" w:ascii="宋体" w:hAnsi="宋体" w:cs="宋体"/>
                <w:color w:val="auto"/>
                <w:kern w:val="0"/>
                <w:szCs w:val="21"/>
              </w:rPr>
              <w:t>汞</w:t>
            </w:r>
          </w:p>
        </w:tc>
        <w:tc>
          <w:tcPr>
            <w:tcW w:w="1286" w:type="dxa"/>
            <w:vAlign w:val="center"/>
          </w:tcPr>
          <w:p w14:paraId="2964B765">
            <w:pPr>
              <w:jc w:val="center"/>
              <w:rPr>
                <w:rFonts w:hint="eastAsia" w:ascii="宋体" w:hAnsi="宋体" w:cs="宋体"/>
                <w:color w:val="auto"/>
                <w:kern w:val="0"/>
                <w:szCs w:val="21"/>
              </w:rPr>
            </w:pPr>
            <w:r>
              <w:rPr>
                <w:rFonts w:hint="eastAsia" w:ascii="宋体" w:hAnsi="宋体" w:cs="宋体"/>
                <w:color w:val="auto"/>
                <w:kern w:val="0"/>
                <w:szCs w:val="21"/>
              </w:rPr>
              <w:t>38</w:t>
            </w:r>
          </w:p>
        </w:tc>
        <w:tc>
          <w:tcPr>
            <w:tcW w:w="862" w:type="dxa"/>
            <w:vAlign w:val="center"/>
          </w:tcPr>
          <w:p w14:paraId="17DC7968">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002A4AD9">
            <w:pPr>
              <w:jc w:val="center"/>
              <w:rPr>
                <w:rFonts w:hint="eastAsia" w:ascii="宋体" w:hAnsi="宋体" w:cs="宋体"/>
                <w:color w:val="auto"/>
                <w:kern w:val="0"/>
                <w:szCs w:val="21"/>
              </w:rPr>
            </w:pPr>
            <w:r>
              <w:rPr>
                <w:rFonts w:hint="eastAsia" w:ascii="宋体" w:hAnsi="宋体" w:cs="宋体"/>
                <w:color w:val="auto"/>
                <w:kern w:val="0"/>
                <w:szCs w:val="21"/>
              </w:rPr>
              <w:t>0.0995</w:t>
            </w:r>
          </w:p>
        </w:tc>
        <w:tc>
          <w:tcPr>
            <w:tcW w:w="1146" w:type="dxa"/>
            <w:vAlign w:val="center"/>
          </w:tcPr>
          <w:p w14:paraId="718625EB">
            <w:pPr>
              <w:jc w:val="center"/>
              <w:rPr>
                <w:rFonts w:hint="eastAsia" w:ascii="宋体" w:hAnsi="宋体" w:cs="宋体"/>
                <w:color w:val="auto"/>
                <w:kern w:val="0"/>
                <w:szCs w:val="21"/>
              </w:rPr>
            </w:pPr>
            <w:r>
              <w:rPr>
                <w:rFonts w:hint="eastAsia" w:ascii="宋体" w:hAnsi="宋体" w:cs="宋体"/>
                <w:color w:val="auto"/>
                <w:kern w:val="0"/>
                <w:szCs w:val="21"/>
              </w:rPr>
              <w:t xml:space="preserve">0.0026 </w:t>
            </w:r>
          </w:p>
        </w:tc>
        <w:tc>
          <w:tcPr>
            <w:tcW w:w="1232" w:type="dxa"/>
            <w:vAlign w:val="center"/>
          </w:tcPr>
          <w:p w14:paraId="4269A654">
            <w:pPr>
              <w:jc w:val="center"/>
              <w:rPr>
                <w:rFonts w:hint="eastAsia" w:ascii="宋体" w:hAnsi="宋体" w:cs="宋体"/>
                <w:color w:val="auto"/>
                <w:kern w:val="0"/>
                <w:szCs w:val="21"/>
              </w:rPr>
            </w:pPr>
            <w:r>
              <w:rPr>
                <w:rFonts w:hint="eastAsia" w:ascii="宋体" w:hAnsi="宋体" w:cs="宋体"/>
                <w:color w:val="auto"/>
                <w:szCs w:val="21"/>
              </w:rPr>
              <w:t>达标</w:t>
            </w:r>
          </w:p>
        </w:tc>
        <w:tc>
          <w:tcPr>
            <w:tcW w:w="1061" w:type="dxa"/>
            <w:vAlign w:val="center"/>
          </w:tcPr>
          <w:p w14:paraId="6A1EB36A">
            <w:pPr>
              <w:jc w:val="center"/>
              <w:rPr>
                <w:rFonts w:hint="eastAsia" w:ascii="宋体" w:hAnsi="宋体" w:cs="宋体"/>
                <w:color w:val="auto"/>
                <w:kern w:val="0"/>
                <w:szCs w:val="21"/>
              </w:rPr>
            </w:pPr>
            <w:r>
              <w:rPr>
                <w:rFonts w:hint="eastAsia" w:ascii="宋体" w:hAnsi="宋体" w:cs="宋体"/>
                <w:color w:val="auto"/>
                <w:kern w:val="0"/>
                <w:szCs w:val="21"/>
              </w:rPr>
              <w:t>0.238</w:t>
            </w:r>
          </w:p>
        </w:tc>
        <w:tc>
          <w:tcPr>
            <w:tcW w:w="1248" w:type="dxa"/>
            <w:vAlign w:val="center"/>
          </w:tcPr>
          <w:p w14:paraId="36D5CD9D">
            <w:pPr>
              <w:jc w:val="center"/>
              <w:rPr>
                <w:rFonts w:hint="eastAsia" w:ascii="宋体" w:hAnsi="宋体" w:cs="宋体"/>
                <w:color w:val="auto"/>
                <w:kern w:val="0"/>
                <w:szCs w:val="21"/>
              </w:rPr>
            </w:pPr>
            <w:r>
              <w:rPr>
                <w:rFonts w:hint="eastAsia" w:ascii="宋体" w:hAnsi="宋体" w:cs="宋体"/>
                <w:color w:val="auto"/>
                <w:kern w:val="0"/>
                <w:szCs w:val="21"/>
              </w:rPr>
              <w:t xml:space="preserve">0.0063 </w:t>
            </w:r>
          </w:p>
        </w:tc>
        <w:tc>
          <w:tcPr>
            <w:tcW w:w="1041" w:type="dxa"/>
            <w:vAlign w:val="center"/>
          </w:tcPr>
          <w:p w14:paraId="433DCD49">
            <w:pPr>
              <w:jc w:val="center"/>
              <w:rPr>
                <w:rFonts w:hint="eastAsia" w:ascii="宋体" w:hAnsi="宋体" w:cs="宋体"/>
                <w:color w:val="auto"/>
                <w:kern w:val="0"/>
                <w:szCs w:val="21"/>
              </w:rPr>
            </w:pPr>
            <w:r>
              <w:rPr>
                <w:rFonts w:hint="eastAsia" w:ascii="宋体" w:hAnsi="宋体" w:cs="宋体"/>
                <w:color w:val="auto"/>
                <w:szCs w:val="21"/>
              </w:rPr>
              <w:t>达标</w:t>
            </w:r>
          </w:p>
        </w:tc>
        <w:tc>
          <w:tcPr>
            <w:tcW w:w="967" w:type="dxa"/>
            <w:vAlign w:val="center"/>
          </w:tcPr>
          <w:p w14:paraId="34F94DC6">
            <w:pPr>
              <w:jc w:val="center"/>
              <w:rPr>
                <w:rFonts w:hint="eastAsia" w:ascii="宋体" w:hAnsi="宋体" w:cs="宋体"/>
                <w:color w:val="auto"/>
                <w:kern w:val="0"/>
                <w:szCs w:val="21"/>
              </w:rPr>
            </w:pPr>
            <w:r>
              <w:rPr>
                <w:rFonts w:hint="eastAsia" w:ascii="宋体" w:hAnsi="宋体" w:cs="宋体"/>
                <w:color w:val="auto"/>
                <w:kern w:val="0"/>
                <w:szCs w:val="21"/>
              </w:rPr>
              <w:t>0.255</w:t>
            </w:r>
          </w:p>
        </w:tc>
        <w:tc>
          <w:tcPr>
            <w:tcW w:w="1158" w:type="dxa"/>
            <w:vAlign w:val="center"/>
          </w:tcPr>
          <w:p w14:paraId="5B29801E">
            <w:pPr>
              <w:jc w:val="center"/>
              <w:rPr>
                <w:rFonts w:hint="eastAsia" w:ascii="宋体" w:hAnsi="宋体" w:cs="宋体"/>
                <w:color w:val="auto"/>
                <w:kern w:val="0"/>
                <w:szCs w:val="21"/>
              </w:rPr>
            </w:pPr>
            <w:r>
              <w:rPr>
                <w:rFonts w:hint="eastAsia" w:ascii="宋体" w:hAnsi="宋体" w:cs="宋体"/>
                <w:color w:val="auto"/>
                <w:kern w:val="0"/>
                <w:szCs w:val="21"/>
              </w:rPr>
              <w:t xml:space="preserve">0.0067 </w:t>
            </w:r>
          </w:p>
        </w:tc>
        <w:tc>
          <w:tcPr>
            <w:tcW w:w="1098" w:type="dxa"/>
            <w:vAlign w:val="center"/>
          </w:tcPr>
          <w:p w14:paraId="6224DAE9">
            <w:pPr>
              <w:jc w:val="center"/>
              <w:rPr>
                <w:rFonts w:hint="eastAsia" w:ascii="宋体" w:hAnsi="宋体" w:cs="宋体"/>
                <w:color w:val="auto"/>
                <w:kern w:val="0"/>
                <w:szCs w:val="21"/>
              </w:rPr>
            </w:pPr>
            <w:r>
              <w:rPr>
                <w:rFonts w:hint="eastAsia" w:ascii="宋体" w:hAnsi="宋体" w:cs="宋体"/>
                <w:color w:val="auto"/>
                <w:szCs w:val="21"/>
              </w:rPr>
              <w:t>达标</w:t>
            </w:r>
          </w:p>
        </w:tc>
      </w:tr>
      <w:tr w14:paraId="3515C6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7CC34118">
            <w:pPr>
              <w:jc w:val="center"/>
              <w:rPr>
                <w:rFonts w:hint="eastAsia" w:ascii="宋体" w:hAnsi="宋体" w:cs="宋体"/>
                <w:color w:val="auto"/>
                <w:kern w:val="0"/>
                <w:szCs w:val="21"/>
              </w:rPr>
            </w:pPr>
            <w:r>
              <w:rPr>
                <w:rFonts w:hint="eastAsia" w:ascii="宋体" w:hAnsi="宋体" w:cs="宋体"/>
                <w:color w:val="auto"/>
                <w:kern w:val="0"/>
                <w:szCs w:val="21"/>
              </w:rPr>
              <w:t>4</w:t>
            </w:r>
          </w:p>
        </w:tc>
        <w:tc>
          <w:tcPr>
            <w:tcW w:w="1587" w:type="dxa"/>
            <w:vAlign w:val="center"/>
          </w:tcPr>
          <w:p w14:paraId="69A5352B">
            <w:pPr>
              <w:jc w:val="center"/>
              <w:rPr>
                <w:rFonts w:hint="eastAsia" w:ascii="宋体" w:hAnsi="宋体" w:cs="宋体"/>
                <w:color w:val="auto"/>
                <w:kern w:val="0"/>
                <w:szCs w:val="21"/>
              </w:rPr>
            </w:pPr>
            <w:r>
              <w:rPr>
                <w:rFonts w:hint="eastAsia" w:ascii="宋体" w:hAnsi="宋体" w:cs="宋体"/>
                <w:color w:val="auto"/>
                <w:kern w:val="0"/>
                <w:szCs w:val="21"/>
              </w:rPr>
              <w:t>砷</w:t>
            </w:r>
          </w:p>
        </w:tc>
        <w:tc>
          <w:tcPr>
            <w:tcW w:w="1286" w:type="dxa"/>
            <w:vAlign w:val="center"/>
          </w:tcPr>
          <w:p w14:paraId="01F5B1C7">
            <w:pPr>
              <w:jc w:val="center"/>
              <w:rPr>
                <w:rFonts w:hint="eastAsia" w:ascii="宋体" w:hAnsi="宋体" w:cs="宋体"/>
                <w:color w:val="auto"/>
                <w:kern w:val="0"/>
                <w:szCs w:val="21"/>
              </w:rPr>
            </w:pPr>
            <w:r>
              <w:rPr>
                <w:rFonts w:hint="eastAsia" w:ascii="宋体" w:hAnsi="宋体" w:cs="宋体"/>
                <w:color w:val="auto"/>
                <w:kern w:val="0"/>
                <w:szCs w:val="21"/>
              </w:rPr>
              <w:t>60</w:t>
            </w:r>
          </w:p>
        </w:tc>
        <w:tc>
          <w:tcPr>
            <w:tcW w:w="862" w:type="dxa"/>
            <w:vAlign w:val="center"/>
          </w:tcPr>
          <w:p w14:paraId="49B1DC22">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4756F113">
            <w:pPr>
              <w:jc w:val="center"/>
              <w:rPr>
                <w:rFonts w:hint="eastAsia" w:ascii="宋体" w:hAnsi="宋体" w:cs="宋体"/>
                <w:color w:val="auto"/>
                <w:kern w:val="0"/>
                <w:szCs w:val="21"/>
              </w:rPr>
            </w:pPr>
            <w:r>
              <w:rPr>
                <w:rFonts w:hint="eastAsia" w:ascii="宋体" w:hAnsi="宋体" w:cs="宋体"/>
                <w:color w:val="auto"/>
                <w:kern w:val="0"/>
                <w:szCs w:val="21"/>
              </w:rPr>
              <w:t>10.2</w:t>
            </w:r>
          </w:p>
        </w:tc>
        <w:tc>
          <w:tcPr>
            <w:tcW w:w="1146" w:type="dxa"/>
            <w:vAlign w:val="center"/>
          </w:tcPr>
          <w:p w14:paraId="6D6B45E2">
            <w:pPr>
              <w:jc w:val="center"/>
              <w:rPr>
                <w:rFonts w:hint="eastAsia" w:ascii="宋体" w:hAnsi="宋体" w:cs="宋体"/>
                <w:color w:val="auto"/>
                <w:kern w:val="0"/>
                <w:szCs w:val="21"/>
              </w:rPr>
            </w:pPr>
            <w:r>
              <w:rPr>
                <w:rFonts w:hint="eastAsia" w:ascii="宋体" w:hAnsi="宋体" w:cs="宋体"/>
                <w:color w:val="auto"/>
                <w:kern w:val="0"/>
                <w:szCs w:val="21"/>
              </w:rPr>
              <w:t xml:space="preserve">0.1700 </w:t>
            </w:r>
          </w:p>
        </w:tc>
        <w:tc>
          <w:tcPr>
            <w:tcW w:w="1232" w:type="dxa"/>
            <w:vAlign w:val="center"/>
          </w:tcPr>
          <w:p w14:paraId="4764E317">
            <w:pPr>
              <w:jc w:val="center"/>
              <w:rPr>
                <w:rFonts w:hint="eastAsia" w:ascii="宋体" w:hAnsi="宋体" w:cs="宋体"/>
                <w:color w:val="auto"/>
                <w:kern w:val="0"/>
                <w:szCs w:val="21"/>
              </w:rPr>
            </w:pPr>
            <w:r>
              <w:rPr>
                <w:rFonts w:hint="eastAsia" w:ascii="宋体" w:hAnsi="宋体" w:cs="宋体"/>
                <w:color w:val="auto"/>
                <w:szCs w:val="21"/>
              </w:rPr>
              <w:t>达标</w:t>
            </w:r>
          </w:p>
        </w:tc>
        <w:tc>
          <w:tcPr>
            <w:tcW w:w="1061" w:type="dxa"/>
            <w:vAlign w:val="center"/>
          </w:tcPr>
          <w:p w14:paraId="0468CA18">
            <w:pPr>
              <w:jc w:val="center"/>
              <w:rPr>
                <w:rFonts w:hint="eastAsia" w:ascii="宋体" w:hAnsi="宋体" w:cs="宋体"/>
                <w:color w:val="auto"/>
                <w:kern w:val="0"/>
                <w:szCs w:val="21"/>
              </w:rPr>
            </w:pPr>
            <w:r>
              <w:rPr>
                <w:rFonts w:hint="eastAsia" w:ascii="宋体" w:hAnsi="宋体" w:cs="宋体"/>
                <w:color w:val="auto"/>
                <w:kern w:val="0"/>
                <w:szCs w:val="21"/>
              </w:rPr>
              <w:t>5.5</w:t>
            </w:r>
          </w:p>
        </w:tc>
        <w:tc>
          <w:tcPr>
            <w:tcW w:w="1248" w:type="dxa"/>
            <w:vAlign w:val="center"/>
          </w:tcPr>
          <w:p w14:paraId="431D9AF0">
            <w:pPr>
              <w:jc w:val="center"/>
              <w:rPr>
                <w:rFonts w:hint="eastAsia" w:ascii="宋体" w:hAnsi="宋体" w:cs="宋体"/>
                <w:color w:val="auto"/>
                <w:kern w:val="0"/>
                <w:szCs w:val="21"/>
              </w:rPr>
            </w:pPr>
            <w:r>
              <w:rPr>
                <w:rFonts w:hint="eastAsia" w:ascii="宋体" w:hAnsi="宋体" w:cs="宋体"/>
                <w:color w:val="auto"/>
                <w:kern w:val="0"/>
                <w:szCs w:val="21"/>
              </w:rPr>
              <w:t xml:space="preserve">0.0917 </w:t>
            </w:r>
          </w:p>
        </w:tc>
        <w:tc>
          <w:tcPr>
            <w:tcW w:w="1041" w:type="dxa"/>
            <w:vAlign w:val="center"/>
          </w:tcPr>
          <w:p w14:paraId="61CDC712">
            <w:pPr>
              <w:jc w:val="center"/>
              <w:rPr>
                <w:rFonts w:hint="eastAsia" w:ascii="宋体" w:hAnsi="宋体" w:cs="宋体"/>
                <w:color w:val="auto"/>
                <w:kern w:val="0"/>
                <w:szCs w:val="21"/>
              </w:rPr>
            </w:pPr>
            <w:r>
              <w:rPr>
                <w:rFonts w:hint="eastAsia" w:ascii="宋体" w:hAnsi="宋体" w:cs="宋体"/>
                <w:color w:val="auto"/>
                <w:szCs w:val="21"/>
              </w:rPr>
              <w:t>达标</w:t>
            </w:r>
          </w:p>
        </w:tc>
        <w:tc>
          <w:tcPr>
            <w:tcW w:w="967" w:type="dxa"/>
            <w:vAlign w:val="center"/>
          </w:tcPr>
          <w:p w14:paraId="2E5AEE3C">
            <w:pPr>
              <w:jc w:val="center"/>
              <w:rPr>
                <w:rFonts w:hint="eastAsia" w:ascii="宋体" w:hAnsi="宋体" w:cs="宋体"/>
                <w:color w:val="auto"/>
                <w:kern w:val="0"/>
                <w:szCs w:val="21"/>
              </w:rPr>
            </w:pPr>
            <w:r>
              <w:rPr>
                <w:rFonts w:hint="eastAsia" w:ascii="宋体" w:hAnsi="宋体" w:cs="宋体"/>
                <w:color w:val="auto"/>
                <w:kern w:val="0"/>
                <w:szCs w:val="21"/>
              </w:rPr>
              <w:t>7.6</w:t>
            </w:r>
          </w:p>
        </w:tc>
        <w:tc>
          <w:tcPr>
            <w:tcW w:w="1158" w:type="dxa"/>
            <w:vAlign w:val="center"/>
          </w:tcPr>
          <w:p w14:paraId="71722E77">
            <w:pPr>
              <w:jc w:val="center"/>
              <w:rPr>
                <w:rFonts w:hint="eastAsia" w:ascii="宋体" w:hAnsi="宋体" w:cs="宋体"/>
                <w:color w:val="auto"/>
                <w:kern w:val="0"/>
                <w:szCs w:val="21"/>
              </w:rPr>
            </w:pPr>
            <w:r>
              <w:rPr>
                <w:rFonts w:hint="eastAsia" w:ascii="宋体" w:hAnsi="宋体" w:cs="宋体"/>
                <w:color w:val="auto"/>
                <w:kern w:val="0"/>
                <w:szCs w:val="21"/>
              </w:rPr>
              <w:t xml:space="preserve">0.1267 </w:t>
            </w:r>
          </w:p>
        </w:tc>
        <w:tc>
          <w:tcPr>
            <w:tcW w:w="1098" w:type="dxa"/>
            <w:vAlign w:val="center"/>
          </w:tcPr>
          <w:p w14:paraId="446D6DB0">
            <w:pPr>
              <w:jc w:val="center"/>
              <w:rPr>
                <w:rFonts w:hint="eastAsia" w:ascii="宋体" w:hAnsi="宋体" w:cs="宋体"/>
                <w:color w:val="auto"/>
                <w:kern w:val="0"/>
                <w:szCs w:val="21"/>
              </w:rPr>
            </w:pPr>
            <w:r>
              <w:rPr>
                <w:rFonts w:hint="eastAsia" w:ascii="宋体" w:hAnsi="宋体" w:cs="宋体"/>
                <w:color w:val="auto"/>
                <w:szCs w:val="21"/>
              </w:rPr>
              <w:t>达标</w:t>
            </w:r>
          </w:p>
        </w:tc>
      </w:tr>
      <w:tr w14:paraId="2D38D9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1F6C832D">
            <w:pPr>
              <w:jc w:val="center"/>
              <w:rPr>
                <w:rFonts w:hint="eastAsia" w:ascii="宋体" w:hAnsi="宋体" w:cs="宋体"/>
                <w:color w:val="auto"/>
                <w:kern w:val="0"/>
                <w:szCs w:val="21"/>
              </w:rPr>
            </w:pPr>
            <w:r>
              <w:rPr>
                <w:rFonts w:hint="eastAsia" w:ascii="宋体" w:hAnsi="宋体" w:cs="宋体"/>
                <w:color w:val="auto"/>
                <w:kern w:val="0"/>
                <w:szCs w:val="21"/>
              </w:rPr>
              <w:t>5</w:t>
            </w:r>
          </w:p>
        </w:tc>
        <w:tc>
          <w:tcPr>
            <w:tcW w:w="1587" w:type="dxa"/>
            <w:vAlign w:val="center"/>
          </w:tcPr>
          <w:p w14:paraId="20F1200E">
            <w:pPr>
              <w:jc w:val="center"/>
              <w:rPr>
                <w:rFonts w:hint="eastAsia" w:ascii="宋体" w:hAnsi="宋体" w:cs="宋体"/>
                <w:color w:val="auto"/>
                <w:kern w:val="0"/>
                <w:szCs w:val="21"/>
              </w:rPr>
            </w:pPr>
            <w:r>
              <w:rPr>
                <w:rFonts w:hint="eastAsia" w:ascii="宋体" w:hAnsi="宋体" w:cs="宋体"/>
                <w:color w:val="auto"/>
                <w:kern w:val="0"/>
                <w:szCs w:val="21"/>
              </w:rPr>
              <w:t>铜</w:t>
            </w:r>
          </w:p>
        </w:tc>
        <w:tc>
          <w:tcPr>
            <w:tcW w:w="1286" w:type="dxa"/>
            <w:vAlign w:val="center"/>
          </w:tcPr>
          <w:p w14:paraId="5D67703B">
            <w:pPr>
              <w:jc w:val="center"/>
              <w:rPr>
                <w:rFonts w:hint="eastAsia" w:ascii="宋体" w:hAnsi="宋体" w:cs="宋体"/>
                <w:color w:val="auto"/>
                <w:kern w:val="0"/>
                <w:szCs w:val="21"/>
              </w:rPr>
            </w:pPr>
            <w:r>
              <w:rPr>
                <w:rFonts w:hint="eastAsia" w:ascii="宋体" w:hAnsi="宋体" w:cs="宋体"/>
                <w:color w:val="auto"/>
                <w:kern w:val="0"/>
                <w:szCs w:val="21"/>
              </w:rPr>
              <w:t>18000</w:t>
            </w:r>
          </w:p>
        </w:tc>
        <w:tc>
          <w:tcPr>
            <w:tcW w:w="862" w:type="dxa"/>
            <w:vAlign w:val="center"/>
          </w:tcPr>
          <w:p w14:paraId="64497BA5">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72195E93">
            <w:pPr>
              <w:jc w:val="center"/>
              <w:rPr>
                <w:rFonts w:hint="eastAsia" w:ascii="宋体" w:hAnsi="宋体" w:cs="宋体"/>
                <w:color w:val="auto"/>
                <w:kern w:val="0"/>
                <w:szCs w:val="21"/>
              </w:rPr>
            </w:pPr>
            <w:r>
              <w:rPr>
                <w:rFonts w:hint="eastAsia" w:ascii="宋体" w:hAnsi="宋体" w:cs="宋体"/>
                <w:color w:val="auto"/>
                <w:kern w:val="0"/>
                <w:szCs w:val="21"/>
              </w:rPr>
              <w:t>21.5</w:t>
            </w:r>
          </w:p>
        </w:tc>
        <w:tc>
          <w:tcPr>
            <w:tcW w:w="1146" w:type="dxa"/>
            <w:vAlign w:val="center"/>
          </w:tcPr>
          <w:p w14:paraId="524E3459">
            <w:pPr>
              <w:jc w:val="center"/>
              <w:rPr>
                <w:rFonts w:hint="eastAsia" w:ascii="宋体" w:hAnsi="宋体" w:cs="宋体"/>
                <w:color w:val="auto"/>
                <w:kern w:val="0"/>
                <w:szCs w:val="21"/>
              </w:rPr>
            </w:pPr>
            <w:r>
              <w:rPr>
                <w:rFonts w:hint="eastAsia" w:ascii="宋体" w:hAnsi="宋体" w:cs="宋体"/>
                <w:color w:val="auto"/>
                <w:kern w:val="0"/>
                <w:szCs w:val="21"/>
              </w:rPr>
              <w:t xml:space="preserve">0.0012 </w:t>
            </w:r>
          </w:p>
        </w:tc>
        <w:tc>
          <w:tcPr>
            <w:tcW w:w="1232" w:type="dxa"/>
            <w:vAlign w:val="center"/>
          </w:tcPr>
          <w:p w14:paraId="1D3B196B">
            <w:pPr>
              <w:jc w:val="center"/>
              <w:rPr>
                <w:rFonts w:hint="eastAsia" w:ascii="宋体" w:hAnsi="宋体" w:cs="宋体"/>
                <w:color w:val="auto"/>
                <w:kern w:val="0"/>
                <w:szCs w:val="21"/>
              </w:rPr>
            </w:pPr>
            <w:r>
              <w:rPr>
                <w:rFonts w:hint="eastAsia" w:ascii="宋体" w:hAnsi="宋体" w:cs="宋体"/>
                <w:color w:val="auto"/>
                <w:szCs w:val="21"/>
              </w:rPr>
              <w:t>达标</w:t>
            </w:r>
          </w:p>
        </w:tc>
        <w:tc>
          <w:tcPr>
            <w:tcW w:w="1061" w:type="dxa"/>
            <w:vAlign w:val="center"/>
          </w:tcPr>
          <w:p w14:paraId="7F4AE49A">
            <w:pPr>
              <w:jc w:val="center"/>
              <w:rPr>
                <w:rFonts w:hint="eastAsia" w:ascii="宋体" w:hAnsi="宋体" w:cs="宋体"/>
                <w:color w:val="auto"/>
                <w:kern w:val="0"/>
                <w:szCs w:val="21"/>
              </w:rPr>
            </w:pPr>
            <w:r>
              <w:rPr>
                <w:rFonts w:hint="eastAsia" w:ascii="宋体" w:hAnsi="宋体" w:cs="宋体"/>
                <w:color w:val="auto"/>
                <w:kern w:val="0"/>
                <w:szCs w:val="21"/>
              </w:rPr>
              <w:t>13.1</w:t>
            </w:r>
          </w:p>
        </w:tc>
        <w:tc>
          <w:tcPr>
            <w:tcW w:w="1248" w:type="dxa"/>
            <w:vAlign w:val="center"/>
          </w:tcPr>
          <w:p w14:paraId="7730D3C4">
            <w:pPr>
              <w:jc w:val="center"/>
              <w:rPr>
                <w:rFonts w:hint="eastAsia" w:ascii="宋体" w:hAnsi="宋体" w:cs="宋体"/>
                <w:color w:val="auto"/>
                <w:kern w:val="0"/>
                <w:szCs w:val="21"/>
              </w:rPr>
            </w:pPr>
            <w:r>
              <w:rPr>
                <w:rFonts w:hint="eastAsia" w:ascii="宋体" w:hAnsi="宋体" w:cs="宋体"/>
                <w:color w:val="auto"/>
                <w:kern w:val="0"/>
                <w:szCs w:val="21"/>
              </w:rPr>
              <w:t xml:space="preserve">0.0007 </w:t>
            </w:r>
          </w:p>
        </w:tc>
        <w:tc>
          <w:tcPr>
            <w:tcW w:w="1041" w:type="dxa"/>
            <w:vAlign w:val="center"/>
          </w:tcPr>
          <w:p w14:paraId="2738EEBB">
            <w:pPr>
              <w:jc w:val="center"/>
              <w:rPr>
                <w:rFonts w:hint="eastAsia" w:ascii="宋体" w:hAnsi="宋体" w:cs="宋体"/>
                <w:color w:val="auto"/>
                <w:kern w:val="0"/>
                <w:szCs w:val="21"/>
              </w:rPr>
            </w:pPr>
            <w:r>
              <w:rPr>
                <w:rFonts w:hint="eastAsia" w:ascii="宋体" w:hAnsi="宋体" w:cs="宋体"/>
                <w:color w:val="auto"/>
                <w:szCs w:val="21"/>
              </w:rPr>
              <w:t>达标</w:t>
            </w:r>
          </w:p>
        </w:tc>
        <w:tc>
          <w:tcPr>
            <w:tcW w:w="967" w:type="dxa"/>
            <w:vAlign w:val="center"/>
          </w:tcPr>
          <w:p w14:paraId="4E2B3E65">
            <w:pPr>
              <w:jc w:val="center"/>
              <w:rPr>
                <w:rFonts w:hint="eastAsia" w:ascii="宋体" w:hAnsi="宋体" w:cs="宋体"/>
                <w:color w:val="auto"/>
                <w:kern w:val="0"/>
                <w:szCs w:val="21"/>
              </w:rPr>
            </w:pPr>
            <w:r>
              <w:rPr>
                <w:rFonts w:hint="eastAsia" w:ascii="宋体" w:hAnsi="宋体" w:cs="宋体"/>
                <w:color w:val="auto"/>
                <w:kern w:val="0"/>
                <w:szCs w:val="21"/>
              </w:rPr>
              <w:t>15.1</w:t>
            </w:r>
          </w:p>
        </w:tc>
        <w:tc>
          <w:tcPr>
            <w:tcW w:w="1158" w:type="dxa"/>
            <w:vAlign w:val="center"/>
          </w:tcPr>
          <w:p w14:paraId="6C0586F3">
            <w:pPr>
              <w:jc w:val="center"/>
              <w:rPr>
                <w:rFonts w:hint="eastAsia" w:ascii="宋体" w:hAnsi="宋体" w:cs="宋体"/>
                <w:color w:val="auto"/>
                <w:kern w:val="0"/>
                <w:szCs w:val="21"/>
              </w:rPr>
            </w:pPr>
            <w:r>
              <w:rPr>
                <w:rFonts w:hint="eastAsia" w:ascii="宋体" w:hAnsi="宋体" w:cs="宋体"/>
                <w:color w:val="auto"/>
                <w:kern w:val="0"/>
                <w:szCs w:val="21"/>
              </w:rPr>
              <w:t xml:space="preserve">0.0008 </w:t>
            </w:r>
          </w:p>
        </w:tc>
        <w:tc>
          <w:tcPr>
            <w:tcW w:w="1098" w:type="dxa"/>
            <w:vAlign w:val="center"/>
          </w:tcPr>
          <w:p w14:paraId="2B170573">
            <w:pPr>
              <w:jc w:val="center"/>
              <w:rPr>
                <w:rFonts w:hint="eastAsia" w:ascii="宋体" w:hAnsi="宋体" w:cs="宋体"/>
                <w:color w:val="auto"/>
                <w:kern w:val="0"/>
                <w:szCs w:val="21"/>
              </w:rPr>
            </w:pPr>
            <w:r>
              <w:rPr>
                <w:rFonts w:hint="eastAsia" w:ascii="宋体" w:hAnsi="宋体" w:cs="宋体"/>
                <w:color w:val="auto"/>
                <w:szCs w:val="21"/>
              </w:rPr>
              <w:t>达标</w:t>
            </w:r>
          </w:p>
        </w:tc>
      </w:tr>
      <w:tr w14:paraId="136F12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78F46416">
            <w:pPr>
              <w:jc w:val="center"/>
              <w:rPr>
                <w:rFonts w:hint="eastAsia" w:ascii="宋体" w:hAnsi="宋体" w:cs="宋体"/>
                <w:color w:val="auto"/>
                <w:kern w:val="0"/>
                <w:szCs w:val="21"/>
              </w:rPr>
            </w:pPr>
            <w:r>
              <w:rPr>
                <w:rFonts w:hint="eastAsia" w:ascii="宋体" w:hAnsi="宋体" w:cs="宋体"/>
                <w:color w:val="auto"/>
                <w:kern w:val="0"/>
                <w:szCs w:val="21"/>
              </w:rPr>
              <w:t>6</w:t>
            </w:r>
          </w:p>
        </w:tc>
        <w:tc>
          <w:tcPr>
            <w:tcW w:w="1587" w:type="dxa"/>
            <w:vAlign w:val="center"/>
          </w:tcPr>
          <w:p w14:paraId="52B0A464">
            <w:pPr>
              <w:jc w:val="center"/>
              <w:rPr>
                <w:rFonts w:hint="eastAsia" w:ascii="宋体" w:hAnsi="宋体" w:cs="宋体"/>
                <w:color w:val="auto"/>
                <w:kern w:val="0"/>
                <w:szCs w:val="21"/>
              </w:rPr>
            </w:pPr>
            <w:r>
              <w:rPr>
                <w:rFonts w:hint="eastAsia" w:ascii="宋体" w:hAnsi="宋体" w:cs="宋体"/>
                <w:color w:val="auto"/>
                <w:kern w:val="0"/>
                <w:szCs w:val="21"/>
              </w:rPr>
              <w:t>铅</w:t>
            </w:r>
          </w:p>
        </w:tc>
        <w:tc>
          <w:tcPr>
            <w:tcW w:w="1286" w:type="dxa"/>
            <w:vAlign w:val="center"/>
          </w:tcPr>
          <w:p w14:paraId="5D9F68AB">
            <w:pPr>
              <w:jc w:val="center"/>
              <w:rPr>
                <w:rFonts w:hint="eastAsia" w:ascii="宋体" w:hAnsi="宋体" w:cs="宋体"/>
                <w:color w:val="auto"/>
                <w:kern w:val="0"/>
                <w:szCs w:val="21"/>
              </w:rPr>
            </w:pPr>
            <w:r>
              <w:rPr>
                <w:rFonts w:hint="eastAsia" w:ascii="宋体" w:hAnsi="宋体" w:cs="宋体"/>
                <w:color w:val="auto"/>
                <w:kern w:val="0"/>
                <w:szCs w:val="21"/>
              </w:rPr>
              <w:t>800</w:t>
            </w:r>
          </w:p>
        </w:tc>
        <w:tc>
          <w:tcPr>
            <w:tcW w:w="862" w:type="dxa"/>
            <w:vAlign w:val="center"/>
          </w:tcPr>
          <w:p w14:paraId="477F47E1">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78F561D2">
            <w:pPr>
              <w:jc w:val="center"/>
              <w:rPr>
                <w:rFonts w:hint="eastAsia" w:ascii="宋体" w:hAnsi="宋体" w:cs="宋体"/>
                <w:color w:val="auto"/>
                <w:kern w:val="0"/>
                <w:szCs w:val="21"/>
              </w:rPr>
            </w:pPr>
            <w:r>
              <w:rPr>
                <w:rFonts w:hint="eastAsia" w:ascii="宋体" w:hAnsi="宋体" w:cs="宋体"/>
                <w:color w:val="auto"/>
                <w:kern w:val="0"/>
                <w:szCs w:val="21"/>
              </w:rPr>
              <w:t>14</w:t>
            </w:r>
          </w:p>
        </w:tc>
        <w:tc>
          <w:tcPr>
            <w:tcW w:w="1146" w:type="dxa"/>
            <w:vAlign w:val="center"/>
          </w:tcPr>
          <w:p w14:paraId="78B6A262">
            <w:pPr>
              <w:jc w:val="center"/>
              <w:rPr>
                <w:rFonts w:hint="eastAsia" w:ascii="宋体" w:hAnsi="宋体" w:cs="宋体"/>
                <w:color w:val="auto"/>
                <w:kern w:val="0"/>
                <w:szCs w:val="21"/>
              </w:rPr>
            </w:pPr>
            <w:r>
              <w:rPr>
                <w:rFonts w:hint="eastAsia" w:ascii="宋体" w:hAnsi="宋体" w:cs="宋体"/>
                <w:color w:val="auto"/>
                <w:kern w:val="0"/>
                <w:szCs w:val="21"/>
              </w:rPr>
              <w:t xml:space="preserve">0.0175 </w:t>
            </w:r>
          </w:p>
        </w:tc>
        <w:tc>
          <w:tcPr>
            <w:tcW w:w="1232" w:type="dxa"/>
            <w:vAlign w:val="center"/>
          </w:tcPr>
          <w:p w14:paraId="1180756D">
            <w:pPr>
              <w:jc w:val="center"/>
              <w:rPr>
                <w:rFonts w:hint="eastAsia" w:ascii="宋体" w:hAnsi="宋体" w:cs="宋体"/>
                <w:color w:val="auto"/>
                <w:kern w:val="0"/>
                <w:szCs w:val="21"/>
              </w:rPr>
            </w:pPr>
            <w:r>
              <w:rPr>
                <w:rFonts w:hint="eastAsia" w:ascii="宋体" w:hAnsi="宋体" w:cs="宋体"/>
                <w:color w:val="auto"/>
                <w:szCs w:val="21"/>
              </w:rPr>
              <w:t>达标</w:t>
            </w:r>
          </w:p>
        </w:tc>
        <w:tc>
          <w:tcPr>
            <w:tcW w:w="1061" w:type="dxa"/>
            <w:vAlign w:val="center"/>
          </w:tcPr>
          <w:p w14:paraId="082598C3">
            <w:pPr>
              <w:jc w:val="center"/>
              <w:rPr>
                <w:rFonts w:hint="eastAsia" w:ascii="宋体" w:hAnsi="宋体" w:cs="宋体"/>
                <w:color w:val="auto"/>
                <w:kern w:val="0"/>
                <w:szCs w:val="21"/>
              </w:rPr>
            </w:pPr>
            <w:r>
              <w:rPr>
                <w:rFonts w:hint="eastAsia" w:ascii="宋体" w:hAnsi="宋体" w:cs="宋体"/>
                <w:color w:val="auto"/>
                <w:kern w:val="0"/>
                <w:szCs w:val="21"/>
              </w:rPr>
              <w:t>7</w:t>
            </w:r>
          </w:p>
        </w:tc>
        <w:tc>
          <w:tcPr>
            <w:tcW w:w="1248" w:type="dxa"/>
            <w:vAlign w:val="center"/>
          </w:tcPr>
          <w:p w14:paraId="2562333A">
            <w:pPr>
              <w:jc w:val="center"/>
              <w:rPr>
                <w:rFonts w:hint="eastAsia" w:ascii="宋体" w:hAnsi="宋体" w:cs="宋体"/>
                <w:color w:val="auto"/>
                <w:kern w:val="0"/>
                <w:szCs w:val="21"/>
              </w:rPr>
            </w:pPr>
            <w:r>
              <w:rPr>
                <w:rFonts w:hint="eastAsia" w:ascii="宋体" w:hAnsi="宋体" w:cs="宋体"/>
                <w:color w:val="auto"/>
                <w:kern w:val="0"/>
                <w:szCs w:val="21"/>
              </w:rPr>
              <w:t xml:space="preserve">0.0088 </w:t>
            </w:r>
          </w:p>
        </w:tc>
        <w:tc>
          <w:tcPr>
            <w:tcW w:w="1041" w:type="dxa"/>
            <w:vAlign w:val="center"/>
          </w:tcPr>
          <w:p w14:paraId="43540F5D">
            <w:pPr>
              <w:jc w:val="center"/>
              <w:rPr>
                <w:rFonts w:hint="eastAsia" w:ascii="宋体" w:hAnsi="宋体" w:cs="宋体"/>
                <w:color w:val="auto"/>
                <w:kern w:val="0"/>
                <w:szCs w:val="21"/>
              </w:rPr>
            </w:pPr>
            <w:r>
              <w:rPr>
                <w:rFonts w:hint="eastAsia" w:ascii="宋体" w:hAnsi="宋体" w:cs="宋体"/>
                <w:color w:val="auto"/>
                <w:szCs w:val="21"/>
              </w:rPr>
              <w:t>达标</w:t>
            </w:r>
          </w:p>
        </w:tc>
        <w:tc>
          <w:tcPr>
            <w:tcW w:w="967" w:type="dxa"/>
            <w:vAlign w:val="center"/>
          </w:tcPr>
          <w:p w14:paraId="0ADE2DB8">
            <w:pPr>
              <w:jc w:val="center"/>
              <w:rPr>
                <w:rFonts w:hint="eastAsia" w:ascii="宋体" w:hAnsi="宋体" w:cs="宋体"/>
                <w:color w:val="auto"/>
                <w:kern w:val="0"/>
                <w:szCs w:val="21"/>
              </w:rPr>
            </w:pPr>
            <w:r>
              <w:rPr>
                <w:rFonts w:hint="eastAsia" w:ascii="宋体" w:hAnsi="宋体" w:cs="宋体"/>
                <w:color w:val="auto"/>
                <w:kern w:val="0"/>
                <w:szCs w:val="21"/>
              </w:rPr>
              <w:t>7</w:t>
            </w:r>
          </w:p>
        </w:tc>
        <w:tc>
          <w:tcPr>
            <w:tcW w:w="1158" w:type="dxa"/>
            <w:vAlign w:val="center"/>
          </w:tcPr>
          <w:p w14:paraId="088C9189">
            <w:pPr>
              <w:jc w:val="center"/>
              <w:rPr>
                <w:rFonts w:hint="eastAsia" w:ascii="宋体" w:hAnsi="宋体" w:cs="宋体"/>
                <w:color w:val="auto"/>
                <w:kern w:val="0"/>
                <w:szCs w:val="21"/>
              </w:rPr>
            </w:pPr>
            <w:r>
              <w:rPr>
                <w:rFonts w:hint="eastAsia" w:ascii="宋体" w:hAnsi="宋体" w:cs="宋体"/>
                <w:color w:val="auto"/>
                <w:kern w:val="0"/>
                <w:szCs w:val="21"/>
              </w:rPr>
              <w:t xml:space="preserve">0.0088 </w:t>
            </w:r>
          </w:p>
        </w:tc>
        <w:tc>
          <w:tcPr>
            <w:tcW w:w="1098" w:type="dxa"/>
            <w:vAlign w:val="center"/>
          </w:tcPr>
          <w:p w14:paraId="13B7F643">
            <w:pPr>
              <w:jc w:val="center"/>
              <w:rPr>
                <w:rFonts w:hint="eastAsia" w:ascii="宋体" w:hAnsi="宋体" w:cs="宋体"/>
                <w:color w:val="auto"/>
                <w:kern w:val="0"/>
                <w:szCs w:val="21"/>
              </w:rPr>
            </w:pPr>
            <w:r>
              <w:rPr>
                <w:rFonts w:hint="eastAsia" w:ascii="宋体" w:hAnsi="宋体" w:cs="宋体"/>
                <w:color w:val="auto"/>
                <w:szCs w:val="21"/>
              </w:rPr>
              <w:t>达标</w:t>
            </w:r>
          </w:p>
        </w:tc>
      </w:tr>
      <w:tr w14:paraId="3295F7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2720C2E5">
            <w:pPr>
              <w:jc w:val="center"/>
              <w:rPr>
                <w:rFonts w:hint="eastAsia" w:ascii="宋体" w:hAnsi="宋体" w:cs="宋体"/>
                <w:color w:val="auto"/>
                <w:kern w:val="0"/>
                <w:szCs w:val="21"/>
              </w:rPr>
            </w:pPr>
            <w:r>
              <w:rPr>
                <w:rFonts w:hint="eastAsia" w:ascii="宋体" w:hAnsi="宋体" w:cs="宋体"/>
                <w:color w:val="auto"/>
                <w:kern w:val="0"/>
                <w:szCs w:val="21"/>
              </w:rPr>
              <w:t>7</w:t>
            </w:r>
          </w:p>
        </w:tc>
        <w:tc>
          <w:tcPr>
            <w:tcW w:w="1587" w:type="dxa"/>
            <w:vAlign w:val="center"/>
          </w:tcPr>
          <w:p w14:paraId="2EE192C0">
            <w:pPr>
              <w:jc w:val="center"/>
              <w:rPr>
                <w:rFonts w:hint="eastAsia" w:ascii="宋体" w:hAnsi="宋体" w:cs="宋体"/>
                <w:color w:val="auto"/>
                <w:kern w:val="0"/>
                <w:szCs w:val="21"/>
              </w:rPr>
            </w:pPr>
            <w:r>
              <w:rPr>
                <w:rFonts w:hint="eastAsia" w:ascii="宋体" w:hAnsi="宋体" w:cs="宋体"/>
                <w:color w:val="auto"/>
                <w:kern w:val="0"/>
                <w:szCs w:val="21"/>
              </w:rPr>
              <w:t>镍</w:t>
            </w:r>
          </w:p>
        </w:tc>
        <w:tc>
          <w:tcPr>
            <w:tcW w:w="1286" w:type="dxa"/>
            <w:vAlign w:val="center"/>
          </w:tcPr>
          <w:p w14:paraId="1EC79523">
            <w:pPr>
              <w:jc w:val="center"/>
              <w:rPr>
                <w:rFonts w:hint="eastAsia" w:ascii="宋体" w:hAnsi="宋体" w:cs="宋体"/>
                <w:color w:val="auto"/>
                <w:kern w:val="0"/>
                <w:szCs w:val="21"/>
              </w:rPr>
            </w:pPr>
            <w:r>
              <w:rPr>
                <w:rFonts w:hint="eastAsia" w:ascii="宋体" w:hAnsi="宋体" w:cs="宋体"/>
                <w:color w:val="auto"/>
                <w:kern w:val="0"/>
                <w:szCs w:val="21"/>
              </w:rPr>
              <w:t>900</w:t>
            </w:r>
          </w:p>
        </w:tc>
        <w:tc>
          <w:tcPr>
            <w:tcW w:w="862" w:type="dxa"/>
            <w:vAlign w:val="center"/>
          </w:tcPr>
          <w:p w14:paraId="69B11AD5">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4A5F4348">
            <w:pPr>
              <w:jc w:val="center"/>
              <w:rPr>
                <w:rFonts w:hint="eastAsia" w:ascii="宋体" w:hAnsi="宋体" w:cs="宋体"/>
                <w:color w:val="auto"/>
                <w:kern w:val="0"/>
                <w:szCs w:val="21"/>
              </w:rPr>
            </w:pPr>
            <w:r>
              <w:rPr>
                <w:rFonts w:hint="eastAsia" w:ascii="宋体" w:hAnsi="宋体" w:cs="宋体"/>
                <w:color w:val="auto"/>
                <w:kern w:val="0"/>
                <w:szCs w:val="21"/>
              </w:rPr>
              <w:t>23</w:t>
            </w:r>
          </w:p>
        </w:tc>
        <w:tc>
          <w:tcPr>
            <w:tcW w:w="1146" w:type="dxa"/>
            <w:vAlign w:val="center"/>
          </w:tcPr>
          <w:p w14:paraId="43A4FC32">
            <w:pPr>
              <w:jc w:val="center"/>
              <w:rPr>
                <w:rFonts w:hint="eastAsia" w:ascii="宋体" w:hAnsi="宋体" w:cs="宋体"/>
                <w:color w:val="auto"/>
                <w:kern w:val="0"/>
                <w:szCs w:val="21"/>
              </w:rPr>
            </w:pPr>
            <w:r>
              <w:rPr>
                <w:rFonts w:hint="eastAsia" w:ascii="宋体" w:hAnsi="宋体" w:cs="宋体"/>
                <w:color w:val="auto"/>
                <w:kern w:val="0"/>
                <w:szCs w:val="21"/>
              </w:rPr>
              <w:t xml:space="preserve">0.0256 </w:t>
            </w:r>
          </w:p>
        </w:tc>
        <w:tc>
          <w:tcPr>
            <w:tcW w:w="1232" w:type="dxa"/>
            <w:vAlign w:val="center"/>
          </w:tcPr>
          <w:p w14:paraId="2B6BD83E">
            <w:pPr>
              <w:jc w:val="center"/>
              <w:rPr>
                <w:rFonts w:hint="eastAsia" w:ascii="宋体" w:hAnsi="宋体" w:cs="宋体"/>
                <w:color w:val="auto"/>
                <w:kern w:val="0"/>
                <w:szCs w:val="21"/>
              </w:rPr>
            </w:pPr>
            <w:r>
              <w:rPr>
                <w:rFonts w:hint="eastAsia" w:ascii="宋体" w:hAnsi="宋体" w:cs="宋体"/>
                <w:color w:val="auto"/>
                <w:szCs w:val="21"/>
              </w:rPr>
              <w:t>达标</w:t>
            </w:r>
          </w:p>
        </w:tc>
        <w:tc>
          <w:tcPr>
            <w:tcW w:w="1061" w:type="dxa"/>
            <w:vAlign w:val="center"/>
          </w:tcPr>
          <w:p w14:paraId="63538056">
            <w:pPr>
              <w:jc w:val="center"/>
              <w:rPr>
                <w:rFonts w:hint="eastAsia" w:ascii="宋体" w:hAnsi="宋体" w:cs="宋体"/>
                <w:color w:val="auto"/>
                <w:kern w:val="0"/>
                <w:szCs w:val="21"/>
              </w:rPr>
            </w:pPr>
            <w:r>
              <w:rPr>
                <w:rFonts w:hint="eastAsia" w:ascii="宋体" w:hAnsi="宋体" w:cs="宋体"/>
                <w:color w:val="auto"/>
                <w:kern w:val="0"/>
                <w:szCs w:val="21"/>
              </w:rPr>
              <w:t>15</w:t>
            </w:r>
          </w:p>
        </w:tc>
        <w:tc>
          <w:tcPr>
            <w:tcW w:w="1248" w:type="dxa"/>
            <w:vAlign w:val="center"/>
          </w:tcPr>
          <w:p w14:paraId="156F5DD4">
            <w:pPr>
              <w:jc w:val="center"/>
              <w:rPr>
                <w:rFonts w:hint="eastAsia" w:ascii="宋体" w:hAnsi="宋体" w:cs="宋体"/>
                <w:color w:val="auto"/>
                <w:kern w:val="0"/>
                <w:szCs w:val="21"/>
              </w:rPr>
            </w:pPr>
            <w:r>
              <w:rPr>
                <w:rFonts w:hint="eastAsia" w:ascii="宋体" w:hAnsi="宋体" w:cs="宋体"/>
                <w:color w:val="auto"/>
                <w:kern w:val="0"/>
                <w:szCs w:val="21"/>
              </w:rPr>
              <w:t xml:space="preserve">0.0167 </w:t>
            </w:r>
          </w:p>
        </w:tc>
        <w:tc>
          <w:tcPr>
            <w:tcW w:w="1041" w:type="dxa"/>
            <w:vAlign w:val="center"/>
          </w:tcPr>
          <w:p w14:paraId="6C6F47C8">
            <w:pPr>
              <w:jc w:val="center"/>
              <w:rPr>
                <w:rFonts w:hint="eastAsia" w:ascii="宋体" w:hAnsi="宋体" w:cs="宋体"/>
                <w:color w:val="auto"/>
                <w:kern w:val="0"/>
                <w:szCs w:val="21"/>
              </w:rPr>
            </w:pPr>
            <w:r>
              <w:rPr>
                <w:rFonts w:hint="eastAsia" w:ascii="宋体" w:hAnsi="宋体" w:cs="宋体"/>
                <w:color w:val="auto"/>
                <w:szCs w:val="21"/>
              </w:rPr>
              <w:t>达标</w:t>
            </w:r>
          </w:p>
        </w:tc>
        <w:tc>
          <w:tcPr>
            <w:tcW w:w="967" w:type="dxa"/>
            <w:vAlign w:val="center"/>
          </w:tcPr>
          <w:p w14:paraId="0421C596">
            <w:pPr>
              <w:jc w:val="center"/>
              <w:rPr>
                <w:rFonts w:hint="eastAsia" w:ascii="宋体" w:hAnsi="宋体" w:cs="宋体"/>
                <w:color w:val="auto"/>
                <w:kern w:val="0"/>
                <w:szCs w:val="21"/>
              </w:rPr>
            </w:pPr>
            <w:r>
              <w:rPr>
                <w:rFonts w:hint="eastAsia" w:ascii="宋体" w:hAnsi="宋体" w:cs="宋体"/>
                <w:color w:val="auto"/>
                <w:kern w:val="0"/>
                <w:szCs w:val="21"/>
              </w:rPr>
              <w:t>16</w:t>
            </w:r>
          </w:p>
        </w:tc>
        <w:tc>
          <w:tcPr>
            <w:tcW w:w="1158" w:type="dxa"/>
            <w:vAlign w:val="center"/>
          </w:tcPr>
          <w:p w14:paraId="1EA5BDC5">
            <w:pPr>
              <w:jc w:val="center"/>
              <w:rPr>
                <w:rFonts w:hint="eastAsia" w:ascii="宋体" w:hAnsi="宋体" w:cs="宋体"/>
                <w:color w:val="auto"/>
                <w:kern w:val="0"/>
                <w:szCs w:val="21"/>
              </w:rPr>
            </w:pPr>
            <w:r>
              <w:rPr>
                <w:rFonts w:hint="eastAsia" w:ascii="宋体" w:hAnsi="宋体" w:cs="宋体"/>
                <w:color w:val="auto"/>
                <w:kern w:val="0"/>
                <w:szCs w:val="21"/>
              </w:rPr>
              <w:t xml:space="preserve">0.0178 </w:t>
            </w:r>
          </w:p>
        </w:tc>
        <w:tc>
          <w:tcPr>
            <w:tcW w:w="1098" w:type="dxa"/>
            <w:vAlign w:val="center"/>
          </w:tcPr>
          <w:p w14:paraId="576E03D5">
            <w:pPr>
              <w:jc w:val="center"/>
              <w:rPr>
                <w:rFonts w:hint="eastAsia" w:ascii="宋体" w:hAnsi="宋体" w:cs="宋体"/>
                <w:color w:val="auto"/>
                <w:kern w:val="0"/>
                <w:szCs w:val="21"/>
              </w:rPr>
            </w:pPr>
            <w:r>
              <w:rPr>
                <w:rFonts w:hint="eastAsia" w:ascii="宋体" w:hAnsi="宋体" w:cs="宋体"/>
                <w:color w:val="auto"/>
                <w:szCs w:val="21"/>
              </w:rPr>
              <w:t>达标</w:t>
            </w:r>
          </w:p>
        </w:tc>
      </w:tr>
      <w:tr w14:paraId="5039CC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3E3EB333">
            <w:pPr>
              <w:jc w:val="center"/>
              <w:rPr>
                <w:rFonts w:hint="eastAsia" w:ascii="宋体" w:hAnsi="宋体" w:cs="宋体"/>
                <w:color w:val="auto"/>
                <w:kern w:val="0"/>
                <w:szCs w:val="21"/>
              </w:rPr>
            </w:pPr>
            <w:r>
              <w:rPr>
                <w:rFonts w:hint="eastAsia" w:ascii="宋体" w:hAnsi="宋体" w:cs="宋体"/>
                <w:color w:val="auto"/>
                <w:kern w:val="0"/>
                <w:szCs w:val="21"/>
              </w:rPr>
              <w:t>8</w:t>
            </w:r>
          </w:p>
        </w:tc>
        <w:tc>
          <w:tcPr>
            <w:tcW w:w="1587" w:type="dxa"/>
            <w:vAlign w:val="center"/>
          </w:tcPr>
          <w:p w14:paraId="066D8944">
            <w:pPr>
              <w:jc w:val="center"/>
              <w:rPr>
                <w:rFonts w:hint="eastAsia" w:ascii="宋体" w:hAnsi="宋体" w:cs="宋体"/>
                <w:color w:val="auto"/>
                <w:kern w:val="0"/>
                <w:szCs w:val="21"/>
              </w:rPr>
            </w:pPr>
            <w:r>
              <w:rPr>
                <w:rFonts w:hint="eastAsia" w:ascii="宋体" w:hAnsi="宋体" w:cs="宋体"/>
                <w:color w:val="auto"/>
                <w:kern w:val="0"/>
                <w:szCs w:val="21"/>
              </w:rPr>
              <w:t>镉</w:t>
            </w:r>
          </w:p>
        </w:tc>
        <w:tc>
          <w:tcPr>
            <w:tcW w:w="1286" w:type="dxa"/>
            <w:vAlign w:val="center"/>
          </w:tcPr>
          <w:p w14:paraId="3337B219">
            <w:pPr>
              <w:jc w:val="center"/>
              <w:rPr>
                <w:rFonts w:hint="eastAsia" w:ascii="宋体" w:hAnsi="宋体" w:cs="宋体"/>
                <w:color w:val="auto"/>
                <w:kern w:val="0"/>
                <w:szCs w:val="21"/>
              </w:rPr>
            </w:pPr>
            <w:r>
              <w:rPr>
                <w:rFonts w:hint="eastAsia" w:ascii="宋体" w:hAnsi="宋体" w:cs="宋体"/>
                <w:color w:val="auto"/>
                <w:kern w:val="0"/>
                <w:szCs w:val="21"/>
              </w:rPr>
              <w:t>65</w:t>
            </w:r>
          </w:p>
        </w:tc>
        <w:tc>
          <w:tcPr>
            <w:tcW w:w="862" w:type="dxa"/>
            <w:vAlign w:val="center"/>
          </w:tcPr>
          <w:p w14:paraId="7AB82BFD">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067C90FC">
            <w:pPr>
              <w:jc w:val="center"/>
              <w:rPr>
                <w:rFonts w:hint="eastAsia" w:ascii="宋体" w:hAnsi="宋体" w:cs="宋体"/>
                <w:color w:val="auto"/>
                <w:kern w:val="0"/>
                <w:szCs w:val="21"/>
              </w:rPr>
            </w:pPr>
            <w:r>
              <w:rPr>
                <w:rFonts w:hint="eastAsia" w:ascii="宋体" w:hAnsi="宋体" w:cs="宋体"/>
                <w:color w:val="auto"/>
                <w:kern w:val="0"/>
                <w:szCs w:val="21"/>
              </w:rPr>
              <w:t>0.12</w:t>
            </w:r>
          </w:p>
        </w:tc>
        <w:tc>
          <w:tcPr>
            <w:tcW w:w="1146" w:type="dxa"/>
            <w:vAlign w:val="center"/>
          </w:tcPr>
          <w:p w14:paraId="73D2C1A0">
            <w:pPr>
              <w:jc w:val="center"/>
              <w:rPr>
                <w:rFonts w:hint="eastAsia" w:ascii="宋体" w:hAnsi="宋体" w:cs="宋体"/>
                <w:color w:val="auto"/>
                <w:kern w:val="0"/>
                <w:szCs w:val="21"/>
              </w:rPr>
            </w:pPr>
            <w:r>
              <w:rPr>
                <w:rFonts w:hint="eastAsia" w:ascii="宋体" w:hAnsi="宋体" w:cs="宋体"/>
                <w:color w:val="auto"/>
                <w:kern w:val="0"/>
                <w:szCs w:val="21"/>
              </w:rPr>
              <w:t xml:space="preserve">0.0018 </w:t>
            </w:r>
          </w:p>
        </w:tc>
        <w:tc>
          <w:tcPr>
            <w:tcW w:w="1232" w:type="dxa"/>
            <w:vAlign w:val="center"/>
          </w:tcPr>
          <w:p w14:paraId="775B0C29">
            <w:pPr>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1061" w:type="dxa"/>
            <w:vAlign w:val="center"/>
          </w:tcPr>
          <w:p w14:paraId="7AEE769B">
            <w:pPr>
              <w:jc w:val="center"/>
              <w:rPr>
                <w:rFonts w:hint="eastAsia" w:ascii="宋体" w:hAnsi="宋体" w:cs="宋体"/>
                <w:color w:val="auto"/>
                <w:kern w:val="0"/>
                <w:szCs w:val="21"/>
              </w:rPr>
            </w:pPr>
            <w:r>
              <w:rPr>
                <w:rFonts w:hint="eastAsia" w:ascii="宋体" w:hAnsi="宋体" w:cs="宋体"/>
                <w:color w:val="auto"/>
                <w:kern w:val="0"/>
                <w:szCs w:val="21"/>
              </w:rPr>
              <w:t>ND</w:t>
            </w:r>
          </w:p>
        </w:tc>
        <w:tc>
          <w:tcPr>
            <w:tcW w:w="1248" w:type="dxa"/>
            <w:vAlign w:val="center"/>
          </w:tcPr>
          <w:p w14:paraId="2948FFF0">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041" w:type="dxa"/>
            <w:vAlign w:val="center"/>
          </w:tcPr>
          <w:p w14:paraId="708F55C1">
            <w:pPr>
              <w:jc w:val="center"/>
              <w:rPr>
                <w:rFonts w:hint="eastAsia" w:ascii="宋体" w:hAnsi="宋体" w:cs="宋体"/>
                <w:color w:val="auto"/>
                <w:kern w:val="0"/>
                <w:szCs w:val="21"/>
              </w:rPr>
            </w:pPr>
            <w:r>
              <w:rPr>
                <w:rFonts w:hint="eastAsia" w:ascii="宋体" w:hAnsi="宋体" w:cs="宋体"/>
                <w:color w:val="auto"/>
                <w:szCs w:val="21"/>
              </w:rPr>
              <w:t>达标</w:t>
            </w:r>
          </w:p>
        </w:tc>
        <w:tc>
          <w:tcPr>
            <w:tcW w:w="967" w:type="dxa"/>
            <w:vAlign w:val="center"/>
          </w:tcPr>
          <w:p w14:paraId="45D9B676">
            <w:pPr>
              <w:jc w:val="center"/>
              <w:rPr>
                <w:rFonts w:hint="eastAsia" w:ascii="宋体" w:hAnsi="宋体" w:cs="宋体"/>
                <w:color w:val="auto"/>
                <w:kern w:val="0"/>
                <w:szCs w:val="21"/>
              </w:rPr>
            </w:pPr>
            <w:r>
              <w:rPr>
                <w:rFonts w:hint="eastAsia" w:ascii="宋体" w:hAnsi="宋体" w:cs="宋体"/>
                <w:color w:val="auto"/>
                <w:kern w:val="0"/>
                <w:szCs w:val="21"/>
              </w:rPr>
              <w:t>ND</w:t>
            </w:r>
          </w:p>
        </w:tc>
        <w:tc>
          <w:tcPr>
            <w:tcW w:w="1158" w:type="dxa"/>
            <w:vAlign w:val="center"/>
          </w:tcPr>
          <w:p w14:paraId="4C39B5B1">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098" w:type="dxa"/>
            <w:vAlign w:val="center"/>
          </w:tcPr>
          <w:p w14:paraId="5CFC258F">
            <w:pPr>
              <w:jc w:val="center"/>
              <w:rPr>
                <w:rFonts w:hint="eastAsia" w:ascii="宋体" w:hAnsi="宋体" w:cs="宋体"/>
                <w:color w:val="auto"/>
                <w:kern w:val="0"/>
                <w:szCs w:val="21"/>
              </w:rPr>
            </w:pPr>
            <w:r>
              <w:rPr>
                <w:rFonts w:hint="eastAsia" w:ascii="宋体" w:hAnsi="宋体" w:cs="宋体"/>
                <w:color w:val="auto"/>
                <w:szCs w:val="21"/>
              </w:rPr>
              <w:t>达标</w:t>
            </w:r>
          </w:p>
        </w:tc>
      </w:tr>
      <w:tr w14:paraId="4961A9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54588DB0">
            <w:pPr>
              <w:jc w:val="center"/>
              <w:rPr>
                <w:rFonts w:hint="eastAsia" w:ascii="宋体" w:hAnsi="宋体" w:cs="宋体"/>
                <w:color w:val="auto"/>
                <w:kern w:val="0"/>
                <w:szCs w:val="21"/>
              </w:rPr>
            </w:pPr>
            <w:r>
              <w:rPr>
                <w:rFonts w:hint="eastAsia" w:ascii="宋体" w:hAnsi="宋体" w:cs="宋体"/>
                <w:color w:val="auto"/>
                <w:kern w:val="0"/>
                <w:szCs w:val="21"/>
              </w:rPr>
              <w:t>9</w:t>
            </w:r>
          </w:p>
        </w:tc>
        <w:tc>
          <w:tcPr>
            <w:tcW w:w="1587" w:type="dxa"/>
            <w:vAlign w:val="center"/>
          </w:tcPr>
          <w:p w14:paraId="64407D44">
            <w:pPr>
              <w:jc w:val="center"/>
              <w:rPr>
                <w:rFonts w:hint="eastAsia" w:ascii="宋体" w:hAnsi="宋体" w:cs="宋体"/>
                <w:color w:val="auto"/>
                <w:kern w:val="0"/>
                <w:szCs w:val="21"/>
              </w:rPr>
            </w:pPr>
            <w:r>
              <w:rPr>
                <w:rFonts w:hint="eastAsia" w:ascii="宋体" w:hAnsi="宋体" w:cs="宋体"/>
                <w:color w:val="auto"/>
                <w:kern w:val="0"/>
                <w:szCs w:val="21"/>
              </w:rPr>
              <w:t>六价铬</w:t>
            </w:r>
          </w:p>
        </w:tc>
        <w:tc>
          <w:tcPr>
            <w:tcW w:w="1286" w:type="dxa"/>
            <w:vAlign w:val="center"/>
          </w:tcPr>
          <w:p w14:paraId="19127BDD">
            <w:pPr>
              <w:jc w:val="center"/>
              <w:rPr>
                <w:rFonts w:hint="eastAsia" w:ascii="宋体" w:hAnsi="宋体" w:cs="宋体"/>
                <w:color w:val="auto"/>
                <w:kern w:val="0"/>
                <w:szCs w:val="21"/>
              </w:rPr>
            </w:pPr>
            <w:r>
              <w:rPr>
                <w:rFonts w:hint="eastAsia" w:ascii="宋体" w:hAnsi="宋体" w:cs="宋体"/>
                <w:color w:val="auto"/>
                <w:kern w:val="0"/>
                <w:szCs w:val="21"/>
              </w:rPr>
              <w:t>5.7</w:t>
            </w:r>
          </w:p>
        </w:tc>
        <w:tc>
          <w:tcPr>
            <w:tcW w:w="862" w:type="dxa"/>
            <w:vAlign w:val="center"/>
          </w:tcPr>
          <w:p w14:paraId="75267ECF">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60DBCDDF">
            <w:pPr>
              <w:jc w:val="center"/>
              <w:rPr>
                <w:rFonts w:hint="eastAsia" w:ascii="宋体" w:hAnsi="宋体" w:cs="宋体"/>
                <w:color w:val="auto"/>
                <w:kern w:val="0"/>
                <w:szCs w:val="21"/>
              </w:rPr>
            </w:pPr>
            <w:r>
              <w:rPr>
                <w:rFonts w:hint="eastAsia" w:ascii="宋体" w:hAnsi="宋体" w:cs="宋体"/>
                <w:color w:val="auto"/>
                <w:kern w:val="0"/>
                <w:szCs w:val="21"/>
              </w:rPr>
              <w:t>ND</w:t>
            </w:r>
          </w:p>
        </w:tc>
        <w:tc>
          <w:tcPr>
            <w:tcW w:w="1146" w:type="dxa"/>
            <w:vAlign w:val="center"/>
          </w:tcPr>
          <w:p w14:paraId="6B75DBD2">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232" w:type="dxa"/>
            <w:vAlign w:val="center"/>
          </w:tcPr>
          <w:p w14:paraId="237EF224">
            <w:pPr>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1061" w:type="dxa"/>
            <w:vAlign w:val="center"/>
          </w:tcPr>
          <w:p w14:paraId="581C0374">
            <w:pPr>
              <w:jc w:val="center"/>
              <w:rPr>
                <w:rFonts w:hint="eastAsia" w:ascii="宋体" w:hAnsi="宋体" w:cs="宋体"/>
                <w:color w:val="auto"/>
                <w:kern w:val="0"/>
                <w:szCs w:val="21"/>
              </w:rPr>
            </w:pPr>
            <w:r>
              <w:rPr>
                <w:rFonts w:hint="eastAsia" w:ascii="宋体" w:hAnsi="宋体" w:cs="宋体"/>
                <w:color w:val="auto"/>
                <w:kern w:val="0"/>
                <w:szCs w:val="21"/>
              </w:rPr>
              <w:t>ND</w:t>
            </w:r>
          </w:p>
        </w:tc>
        <w:tc>
          <w:tcPr>
            <w:tcW w:w="1248" w:type="dxa"/>
            <w:vAlign w:val="center"/>
          </w:tcPr>
          <w:p w14:paraId="45BD51B5">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041" w:type="dxa"/>
            <w:vAlign w:val="center"/>
          </w:tcPr>
          <w:p w14:paraId="0AF45B0F">
            <w:pPr>
              <w:jc w:val="center"/>
              <w:rPr>
                <w:rFonts w:hint="eastAsia" w:ascii="宋体" w:hAnsi="宋体" w:cs="宋体"/>
                <w:color w:val="auto"/>
                <w:kern w:val="0"/>
                <w:szCs w:val="21"/>
              </w:rPr>
            </w:pPr>
            <w:r>
              <w:rPr>
                <w:rFonts w:hint="eastAsia" w:ascii="宋体" w:hAnsi="宋体" w:cs="宋体"/>
                <w:color w:val="auto"/>
                <w:szCs w:val="21"/>
              </w:rPr>
              <w:t>达标</w:t>
            </w:r>
          </w:p>
        </w:tc>
        <w:tc>
          <w:tcPr>
            <w:tcW w:w="967" w:type="dxa"/>
            <w:vAlign w:val="center"/>
          </w:tcPr>
          <w:p w14:paraId="5B55FACE">
            <w:pPr>
              <w:jc w:val="center"/>
              <w:rPr>
                <w:rFonts w:hint="eastAsia" w:ascii="宋体" w:hAnsi="宋体" w:cs="宋体"/>
                <w:color w:val="auto"/>
                <w:kern w:val="0"/>
                <w:szCs w:val="21"/>
              </w:rPr>
            </w:pPr>
            <w:r>
              <w:rPr>
                <w:rFonts w:hint="eastAsia" w:ascii="宋体" w:hAnsi="宋体" w:cs="宋体"/>
                <w:color w:val="auto"/>
                <w:kern w:val="0"/>
                <w:szCs w:val="21"/>
              </w:rPr>
              <w:t>ND</w:t>
            </w:r>
          </w:p>
        </w:tc>
        <w:tc>
          <w:tcPr>
            <w:tcW w:w="1158" w:type="dxa"/>
            <w:vAlign w:val="center"/>
          </w:tcPr>
          <w:p w14:paraId="0C839F0F">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098" w:type="dxa"/>
            <w:vAlign w:val="center"/>
          </w:tcPr>
          <w:p w14:paraId="3079BD58">
            <w:pPr>
              <w:jc w:val="center"/>
              <w:rPr>
                <w:rFonts w:hint="eastAsia" w:ascii="宋体" w:hAnsi="宋体" w:cs="宋体"/>
                <w:color w:val="auto"/>
                <w:kern w:val="0"/>
                <w:szCs w:val="21"/>
              </w:rPr>
            </w:pPr>
            <w:r>
              <w:rPr>
                <w:rFonts w:hint="eastAsia" w:ascii="宋体" w:hAnsi="宋体" w:cs="宋体"/>
                <w:color w:val="auto"/>
                <w:szCs w:val="21"/>
              </w:rPr>
              <w:t>达标</w:t>
            </w:r>
          </w:p>
        </w:tc>
      </w:tr>
      <w:tr w14:paraId="6C2A77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42C25022">
            <w:pPr>
              <w:jc w:val="center"/>
              <w:rPr>
                <w:rFonts w:hint="eastAsia" w:ascii="宋体" w:hAnsi="宋体" w:cs="宋体"/>
                <w:color w:val="auto"/>
                <w:kern w:val="0"/>
                <w:szCs w:val="21"/>
              </w:rPr>
            </w:pPr>
            <w:r>
              <w:rPr>
                <w:rFonts w:hint="eastAsia" w:ascii="宋体" w:hAnsi="宋体" w:cs="宋体"/>
                <w:color w:val="auto"/>
                <w:kern w:val="0"/>
                <w:szCs w:val="21"/>
              </w:rPr>
              <w:t>10</w:t>
            </w:r>
          </w:p>
        </w:tc>
        <w:tc>
          <w:tcPr>
            <w:tcW w:w="1587" w:type="dxa"/>
            <w:vAlign w:val="center"/>
          </w:tcPr>
          <w:p w14:paraId="3388F54E">
            <w:pPr>
              <w:jc w:val="center"/>
              <w:rPr>
                <w:rFonts w:hint="eastAsia" w:ascii="宋体" w:hAnsi="宋体" w:cs="宋体"/>
                <w:color w:val="auto"/>
                <w:kern w:val="0"/>
                <w:szCs w:val="21"/>
              </w:rPr>
            </w:pPr>
            <w:r>
              <w:rPr>
                <w:rFonts w:hint="eastAsia" w:ascii="宋体" w:hAnsi="宋体" w:cs="宋体"/>
                <w:color w:val="auto"/>
                <w:kern w:val="0"/>
                <w:szCs w:val="21"/>
              </w:rPr>
              <w:t>石油烃</w:t>
            </w:r>
          </w:p>
        </w:tc>
        <w:tc>
          <w:tcPr>
            <w:tcW w:w="1286" w:type="dxa"/>
            <w:vAlign w:val="center"/>
          </w:tcPr>
          <w:p w14:paraId="283779B8">
            <w:pPr>
              <w:jc w:val="center"/>
              <w:rPr>
                <w:rFonts w:hint="eastAsia" w:ascii="宋体" w:hAnsi="宋体" w:cs="宋体"/>
                <w:color w:val="auto"/>
                <w:kern w:val="0"/>
                <w:szCs w:val="21"/>
              </w:rPr>
            </w:pPr>
            <w:r>
              <w:rPr>
                <w:rFonts w:hint="eastAsia" w:ascii="宋体" w:hAnsi="宋体" w:cs="宋体"/>
                <w:color w:val="auto"/>
                <w:kern w:val="0"/>
                <w:szCs w:val="21"/>
              </w:rPr>
              <w:t>4500</w:t>
            </w:r>
          </w:p>
        </w:tc>
        <w:tc>
          <w:tcPr>
            <w:tcW w:w="862" w:type="dxa"/>
            <w:vAlign w:val="center"/>
          </w:tcPr>
          <w:p w14:paraId="73454D26">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44ADABAE">
            <w:pPr>
              <w:jc w:val="center"/>
              <w:rPr>
                <w:rFonts w:hint="eastAsia" w:ascii="宋体" w:hAnsi="宋体" w:cs="宋体"/>
                <w:color w:val="auto"/>
                <w:kern w:val="0"/>
                <w:szCs w:val="21"/>
              </w:rPr>
            </w:pPr>
            <w:r>
              <w:rPr>
                <w:rFonts w:hint="eastAsia" w:ascii="宋体" w:hAnsi="宋体" w:cs="宋体"/>
                <w:color w:val="auto"/>
                <w:kern w:val="0"/>
                <w:szCs w:val="21"/>
              </w:rPr>
              <w:t>37.8</w:t>
            </w:r>
          </w:p>
        </w:tc>
        <w:tc>
          <w:tcPr>
            <w:tcW w:w="1146" w:type="dxa"/>
            <w:vAlign w:val="center"/>
          </w:tcPr>
          <w:p w14:paraId="55A01C3C">
            <w:pPr>
              <w:jc w:val="center"/>
              <w:rPr>
                <w:rFonts w:hint="eastAsia" w:ascii="宋体" w:hAnsi="宋体" w:cs="宋体"/>
                <w:color w:val="auto"/>
                <w:kern w:val="0"/>
                <w:szCs w:val="21"/>
              </w:rPr>
            </w:pPr>
            <w:r>
              <w:rPr>
                <w:rFonts w:hint="eastAsia" w:ascii="宋体" w:hAnsi="宋体" w:cs="宋体"/>
                <w:color w:val="auto"/>
                <w:kern w:val="0"/>
                <w:szCs w:val="21"/>
              </w:rPr>
              <w:t>0.0084</w:t>
            </w:r>
          </w:p>
        </w:tc>
        <w:tc>
          <w:tcPr>
            <w:tcW w:w="1232" w:type="dxa"/>
            <w:vAlign w:val="center"/>
          </w:tcPr>
          <w:p w14:paraId="7A680475">
            <w:pPr>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1061" w:type="dxa"/>
            <w:vAlign w:val="center"/>
          </w:tcPr>
          <w:p w14:paraId="037FF478">
            <w:pPr>
              <w:jc w:val="center"/>
              <w:rPr>
                <w:rFonts w:hint="eastAsia" w:ascii="宋体" w:hAnsi="宋体" w:cs="宋体"/>
                <w:color w:val="auto"/>
                <w:kern w:val="0"/>
                <w:szCs w:val="21"/>
              </w:rPr>
            </w:pPr>
            <w:r>
              <w:rPr>
                <w:rFonts w:hint="eastAsia" w:ascii="宋体" w:hAnsi="宋体" w:cs="宋体"/>
                <w:color w:val="auto"/>
                <w:kern w:val="0"/>
                <w:szCs w:val="21"/>
              </w:rPr>
              <w:t>38.3</w:t>
            </w:r>
          </w:p>
        </w:tc>
        <w:tc>
          <w:tcPr>
            <w:tcW w:w="1248" w:type="dxa"/>
            <w:vAlign w:val="center"/>
          </w:tcPr>
          <w:p w14:paraId="5ED24BBA">
            <w:pPr>
              <w:jc w:val="center"/>
              <w:rPr>
                <w:rFonts w:hint="eastAsia" w:ascii="宋体" w:hAnsi="宋体" w:cs="宋体"/>
                <w:color w:val="auto"/>
                <w:kern w:val="0"/>
                <w:szCs w:val="21"/>
              </w:rPr>
            </w:pPr>
            <w:r>
              <w:rPr>
                <w:rFonts w:hint="eastAsia" w:ascii="宋体" w:hAnsi="宋体" w:cs="宋体"/>
                <w:color w:val="auto"/>
                <w:kern w:val="0"/>
                <w:szCs w:val="21"/>
              </w:rPr>
              <w:t>0.0085</w:t>
            </w:r>
          </w:p>
        </w:tc>
        <w:tc>
          <w:tcPr>
            <w:tcW w:w="1041" w:type="dxa"/>
            <w:vAlign w:val="center"/>
          </w:tcPr>
          <w:p w14:paraId="44AFF7E3">
            <w:pPr>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967" w:type="dxa"/>
            <w:vAlign w:val="center"/>
          </w:tcPr>
          <w:p w14:paraId="2DC586B9">
            <w:pPr>
              <w:jc w:val="center"/>
              <w:rPr>
                <w:rFonts w:hint="eastAsia" w:ascii="宋体" w:hAnsi="宋体" w:cs="宋体"/>
                <w:color w:val="auto"/>
                <w:kern w:val="0"/>
                <w:szCs w:val="21"/>
              </w:rPr>
            </w:pPr>
            <w:r>
              <w:rPr>
                <w:rFonts w:hint="eastAsia" w:ascii="宋体" w:hAnsi="宋体" w:cs="宋体"/>
                <w:color w:val="auto"/>
                <w:kern w:val="0"/>
                <w:szCs w:val="21"/>
              </w:rPr>
              <w:t>35.8</w:t>
            </w:r>
          </w:p>
        </w:tc>
        <w:tc>
          <w:tcPr>
            <w:tcW w:w="1158" w:type="dxa"/>
            <w:vAlign w:val="center"/>
          </w:tcPr>
          <w:p w14:paraId="0DCE3715">
            <w:pPr>
              <w:jc w:val="center"/>
              <w:rPr>
                <w:rFonts w:hint="eastAsia" w:ascii="宋体" w:hAnsi="宋体" w:cs="宋体"/>
                <w:color w:val="auto"/>
                <w:kern w:val="0"/>
                <w:szCs w:val="21"/>
              </w:rPr>
            </w:pPr>
            <w:r>
              <w:rPr>
                <w:rFonts w:hint="eastAsia" w:ascii="宋体" w:hAnsi="宋体" w:cs="宋体"/>
                <w:color w:val="auto"/>
                <w:kern w:val="0"/>
                <w:szCs w:val="21"/>
              </w:rPr>
              <w:t>0.0080</w:t>
            </w:r>
          </w:p>
        </w:tc>
        <w:tc>
          <w:tcPr>
            <w:tcW w:w="1098" w:type="dxa"/>
            <w:vAlign w:val="center"/>
          </w:tcPr>
          <w:p w14:paraId="3B23EC3B">
            <w:pPr>
              <w:jc w:val="center"/>
              <w:rPr>
                <w:rFonts w:hint="eastAsia" w:ascii="宋体" w:hAnsi="宋体" w:cs="宋体"/>
                <w:color w:val="auto"/>
                <w:kern w:val="0"/>
                <w:szCs w:val="21"/>
              </w:rPr>
            </w:pPr>
            <w:r>
              <w:rPr>
                <w:rFonts w:hint="eastAsia" w:ascii="宋体" w:hAnsi="宋体" w:cs="宋体"/>
                <w:color w:val="auto"/>
                <w:kern w:val="0"/>
                <w:szCs w:val="21"/>
              </w:rPr>
              <w:t>达标</w:t>
            </w:r>
          </w:p>
        </w:tc>
      </w:tr>
      <w:tr w14:paraId="4A2C3F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344435DE">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587" w:type="dxa"/>
            <w:vAlign w:val="center"/>
          </w:tcPr>
          <w:p w14:paraId="37D3597E">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286" w:type="dxa"/>
            <w:vAlign w:val="center"/>
          </w:tcPr>
          <w:p w14:paraId="421D1A6E">
            <w:pPr>
              <w:jc w:val="center"/>
              <w:rPr>
                <w:rFonts w:hint="eastAsia" w:ascii="宋体" w:hAnsi="宋体" w:cs="宋体"/>
                <w:color w:val="auto"/>
                <w:kern w:val="0"/>
                <w:szCs w:val="21"/>
              </w:rPr>
            </w:pPr>
            <w:r>
              <w:rPr>
                <w:rFonts w:hint="eastAsia" w:ascii="宋体" w:hAnsi="宋体" w:cs="宋体"/>
                <w:color w:val="auto"/>
                <w:kern w:val="0"/>
                <w:szCs w:val="21"/>
              </w:rPr>
              <w:t>/</w:t>
            </w:r>
          </w:p>
        </w:tc>
        <w:tc>
          <w:tcPr>
            <w:tcW w:w="862" w:type="dxa"/>
            <w:vAlign w:val="center"/>
          </w:tcPr>
          <w:p w14:paraId="718BB7C3">
            <w:pPr>
              <w:jc w:val="center"/>
              <w:rPr>
                <w:rFonts w:hint="eastAsia" w:ascii="宋体" w:hAnsi="宋体" w:cs="宋体"/>
                <w:color w:val="auto"/>
                <w:kern w:val="0"/>
                <w:szCs w:val="21"/>
              </w:rPr>
            </w:pPr>
            <w:r>
              <w:rPr>
                <w:rFonts w:hint="eastAsia" w:ascii="宋体" w:hAnsi="宋体" w:cs="宋体"/>
                <w:color w:val="auto"/>
                <w:kern w:val="0"/>
                <w:szCs w:val="21"/>
              </w:rPr>
              <w:t>/</w:t>
            </w:r>
          </w:p>
        </w:tc>
        <w:tc>
          <w:tcPr>
            <w:tcW w:w="3237" w:type="dxa"/>
            <w:gridSpan w:val="3"/>
            <w:vAlign w:val="center"/>
          </w:tcPr>
          <w:p w14:paraId="1815B0D3">
            <w:pPr>
              <w:jc w:val="center"/>
              <w:rPr>
                <w:rFonts w:hint="eastAsia" w:ascii="宋体" w:hAnsi="宋体" w:cs="宋体"/>
                <w:color w:val="auto"/>
                <w:kern w:val="0"/>
                <w:szCs w:val="21"/>
              </w:rPr>
            </w:pPr>
            <w:r>
              <w:rPr>
                <w:rFonts w:hint="eastAsia" w:ascii="宋体" w:hAnsi="宋体" w:cs="宋体"/>
                <w:color w:val="auto"/>
                <w:kern w:val="0"/>
                <w:szCs w:val="21"/>
              </w:rPr>
              <w:t>S10(0m～0.2m)</w:t>
            </w:r>
          </w:p>
        </w:tc>
        <w:tc>
          <w:tcPr>
            <w:tcW w:w="6573" w:type="dxa"/>
            <w:gridSpan w:val="6"/>
            <w:vMerge w:val="restart"/>
            <w:vAlign w:val="center"/>
          </w:tcPr>
          <w:p w14:paraId="132D413B">
            <w:pPr>
              <w:jc w:val="center"/>
              <w:rPr>
                <w:rFonts w:hint="eastAsia" w:ascii="宋体" w:hAnsi="宋体" w:cs="宋体"/>
                <w:color w:val="auto"/>
                <w:kern w:val="0"/>
                <w:szCs w:val="21"/>
              </w:rPr>
            </w:pPr>
            <w:r>
              <w:rPr>
                <w:rFonts w:hint="eastAsia" w:ascii="宋体" w:hAnsi="宋体" w:cs="宋体"/>
                <w:color w:val="auto"/>
                <w:kern w:val="0"/>
                <w:szCs w:val="21"/>
              </w:rPr>
              <w:t>/</w:t>
            </w:r>
          </w:p>
        </w:tc>
      </w:tr>
      <w:tr w14:paraId="7C8ED4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1E81DF19">
            <w:pPr>
              <w:jc w:val="center"/>
              <w:rPr>
                <w:rFonts w:hint="eastAsia" w:ascii="宋体" w:hAnsi="宋体" w:cs="宋体"/>
                <w:color w:val="auto"/>
                <w:kern w:val="0"/>
                <w:szCs w:val="21"/>
              </w:rPr>
            </w:pPr>
            <w:r>
              <w:rPr>
                <w:rFonts w:hint="eastAsia" w:ascii="宋体" w:hAnsi="宋体" w:cs="宋体"/>
                <w:color w:val="auto"/>
                <w:kern w:val="0"/>
                <w:szCs w:val="21"/>
              </w:rPr>
              <w:t>1</w:t>
            </w:r>
          </w:p>
        </w:tc>
        <w:tc>
          <w:tcPr>
            <w:tcW w:w="1587" w:type="dxa"/>
            <w:vAlign w:val="center"/>
          </w:tcPr>
          <w:p w14:paraId="77588BCF">
            <w:pPr>
              <w:jc w:val="center"/>
              <w:rPr>
                <w:rFonts w:hint="eastAsia" w:ascii="宋体" w:hAnsi="宋体" w:cs="宋体"/>
                <w:color w:val="auto"/>
                <w:kern w:val="0"/>
                <w:szCs w:val="21"/>
              </w:rPr>
            </w:pPr>
            <w:r>
              <w:rPr>
                <w:rFonts w:hint="eastAsia" w:ascii="宋体" w:hAnsi="宋体" w:cs="宋体"/>
                <w:color w:val="auto"/>
                <w:kern w:val="0"/>
                <w:szCs w:val="21"/>
              </w:rPr>
              <w:t>pH</w:t>
            </w:r>
          </w:p>
        </w:tc>
        <w:tc>
          <w:tcPr>
            <w:tcW w:w="1286" w:type="dxa"/>
            <w:vAlign w:val="center"/>
          </w:tcPr>
          <w:p w14:paraId="1AF87A37">
            <w:pPr>
              <w:jc w:val="center"/>
              <w:rPr>
                <w:rFonts w:hint="eastAsia" w:ascii="宋体" w:hAnsi="宋体" w:cs="宋体"/>
                <w:color w:val="auto"/>
                <w:kern w:val="0"/>
                <w:szCs w:val="21"/>
              </w:rPr>
            </w:pPr>
            <w:r>
              <w:rPr>
                <w:rFonts w:hint="eastAsia" w:ascii="宋体" w:hAnsi="宋体" w:cs="宋体"/>
                <w:color w:val="auto"/>
                <w:kern w:val="0"/>
                <w:szCs w:val="21"/>
              </w:rPr>
              <w:t>/</w:t>
            </w:r>
          </w:p>
        </w:tc>
        <w:tc>
          <w:tcPr>
            <w:tcW w:w="862" w:type="dxa"/>
            <w:vAlign w:val="center"/>
          </w:tcPr>
          <w:p w14:paraId="497546C1">
            <w:pPr>
              <w:jc w:val="center"/>
              <w:rPr>
                <w:rFonts w:hint="eastAsia" w:ascii="宋体" w:hAnsi="宋体" w:cs="宋体"/>
                <w:color w:val="auto"/>
                <w:kern w:val="0"/>
                <w:szCs w:val="21"/>
              </w:rPr>
            </w:pPr>
            <w:r>
              <w:rPr>
                <w:rFonts w:hint="eastAsia" w:ascii="宋体" w:hAnsi="宋体" w:cs="宋体"/>
                <w:color w:val="auto"/>
                <w:kern w:val="0"/>
                <w:szCs w:val="21"/>
              </w:rPr>
              <w:t>/</w:t>
            </w:r>
          </w:p>
        </w:tc>
        <w:tc>
          <w:tcPr>
            <w:tcW w:w="859" w:type="dxa"/>
            <w:vAlign w:val="center"/>
          </w:tcPr>
          <w:p w14:paraId="33282B7D">
            <w:pPr>
              <w:jc w:val="center"/>
              <w:rPr>
                <w:rFonts w:hint="eastAsia" w:ascii="宋体" w:hAnsi="宋体" w:cs="宋体"/>
                <w:color w:val="auto"/>
                <w:kern w:val="0"/>
                <w:szCs w:val="21"/>
              </w:rPr>
            </w:pPr>
            <w:r>
              <w:rPr>
                <w:rFonts w:hint="eastAsia" w:ascii="宋体" w:hAnsi="宋体" w:cs="宋体"/>
                <w:color w:val="auto"/>
                <w:kern w:val="0"/>
                <w:szCs w:val="21"/>
              </w:rPr>
              <w:t>8.03</w:t>
            </w:r>
          </w:p>
        </w:tc>
        <w:tc>
          <w:tcPr>
            <w:tcW w:w="1146" w:type="dxa"/>
            <w:vAlign w:val="center"/>
          </w:tcPr>
          <w:p w14:paraId="271917EE">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232" w:type="dxa"/>
            <w:vAlign w:val="center"/>
          </w:tcPr>
          <w:p w14:paraId="08B7BDD0">
            <w:pPr>
              <w:jc w:val="center"/>
              <w:rPr>
                <w:rFonts w:hint="eastAsia" w:ascii="宋体" w:hAnsi="宋体" w:cs="宋体"/>
                <w:color w:val="auto"/>
                <w:kern w:val="0"/>
                <w:szCs w:val="21"/>
              </w:rPr>
            </w:pPr>
            <w:r>
              <w:rPr>
                <w:rFonts w:hint="eastAsia" w:ascii="宋体" w:hAnsi="宋体" w:cs="宋体"/>
                <w:color w:val="auto"/>
                <w:kern w:val="0"/>
                <w:szCs w:val="21"/>
              </w:rPr>
              <w:t>/</w:t>
            </w:r>
          </w:p>
        </w:tc>
        <w:tc>
          <w:tcPr>
            <w:tcW w:w="6573" w:type="dxa"/>
            <w:gridSpan w:val="6"/>
            <w:vMerge w:val="continue"/>
            <w:vAlign w:val="center"/>
          </w:tcPr>
          <w:p w14:paraId="0BF97875">
            <w:pPr>
              <w:jc w:val="center"/>
              <w:rPr>
                <w:rFonts w:hint="eastAsia" w:ascii="宋体" w:hAnsi="宋体" w:cs="宋体"/>
                <w:color w:val="auto"/>
                <w:kern w:val="0"/>
                <w:szCs w:val="21"/>
              </w:rPr>
            </w:pPr>
          </w:p>
        </w:tc>
      </w:tr>
      <w:tr w14:paraId="7F64F0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0E6FB579">
            <w:pPr>
              <w:jc w:val="center"/>
              <w:rPr>
                <w:rFonts w:hint="eastAsia" w:ascii="宋体" w:hAnsi="宋体" w:cs="宋体"/>
                <w:color w:val="auto"/>
                <w:kern w:val="0"/>
                <w:szCs w:val="21"/>
              </w:rPr>
            </w:pPr>
            <w:r>
              <w:rPr>
                <w:rFonts w:hint="eastAsia" w:ascii="宋体" w:hAnsi="宋体" w:cs="宋体"/>
                <w:color w:val="auto"/>
                <w:kern w:val="0"/>
                <w:szCs w:val="21"/>
              </w:rPr>
              <w:t>2</w:t>
            </w:r>
          </w:p>
        </w:tc>
        <w:tc>
          <w:tcPr>
            <w:tcW w:w="1587" w:type="dxa"/>
            <w:vAlign w:val="center"/>
          </w:tcPr>
          <w:p w14:paraId="6E9189B1">
            <w:pPr>
              <w:jc w:val="center"/>
              <w:rPr>
                <w:rFonts w:hint="eastAsia" w:ascii="宋体" w:hAnsi="宋体" w:cs="宋体"/>
                <w:color w:val="auto"/>
                <w:kern w:val="0"/>
                <w:szCs w:val="21"/>
              </w:rPr>
            </w:pPr>
            <w:r>
              <w:rPr>
                <w:rFonts w:hint="eastAsia" w:ascii="宋体" w:hAnsi="宋体" w:cs="宋体"/>
                <w:color w:val="auto"/>
                <w:kern w:val="0"/>
                <w:szCs w:val="21"/>
              </w:rPr>
              <w:t>土壤盐分含量</w:t>
            </w:r>
          </w:p>
        </w:tc>
        <w:tc>
          <w:tcPr>
            <w:tcW w:w="1286" w:type="dxa"/>
            <w:vAlign w:val="center"/>
          </w:tcPr>
          <w:p w14:paraId="605C47FB">
            <w:pPr>
              <w:jc w:val="center"/>
              <w:rPr>
                <w:rFonts w:hint="eastAsia" w:ascii="宋体" w:hAnsi="宋体" w:cs="宋体"/>
                <w:color w:val="auto"/>
                <w:kern w:val="0"/>
                <w:szCs w:val="21"/>
              </w:rPr>
            </w:pPr>
            <w:r>
              <w:rPr>
                <w:rFonts w:hint="eastAsia" w:ascii="宋体" w:hAnsi="宋体" w:cs="宋体"/>
                <w:color w:val="auto"/>
                <w:kern w:val="0"/>
                <w:szCs w:val="21"/>
              </w:rPr>
              <w:t>/</w:t>
            </w:r>
          </w:p>
        </w:tc>
        <w:tc>
          <w:tcPr>
            <w:tcW w:w="862" w:type="dxa"/>
            <w:vAlign w:val="center"/>
          </w:tcPr>
          <w:p w14:paraId="4F424B9D">
            <w:pPr>
              <w:jc w:val="center"/>
              <w:rPr>
                <w:rFonts w:hint="eastAsia" w:ascii="宋体" w:hAnsi="宋体" w:cs="宋体"/>
                <w:color w:val="auto"/>
                <w:kern w:val="0"/>
                <w:szCs w:val="21"/>
              </w:rPr>
            </w:pPr>
            <w:r>
              <w:rPr>
                <w:rFonts w:hint="eastAsia" w:ascii="宋体" w:hAnsi="宋体" w:cs="宋体"/>
                <w:color w:val="auto"/>
                <w:kern w:val="0"/>
                <w:szCs w:val="21"/>
              </w:rPr>
              <w:t>g/kg</w:t>
            </w:r>
          </w:p>
        </w:tc>
        <w:tc>
          <w:tcPr>
            <w:tcW w:w="859" w:type="dxa"/>
            <w:vAlign w:val="center"/>
          </w:tcPr>
          <w:p w14:paraId="3D5BA14C">
            <w:pPr>
              <w:jc w:val="center"/>
              <w:rPr>
                <w:rFonts w:hint="eastAsia" w:ascii="宋体" w:hAnsi="宋体" w:cs="宋体"/>
                <w:color w:val="auto"/>
                <w:kern w:val="0"/>
                <w:szCs w:val="21"/>
              </w:rPr>
            </w:pPr>
            <w:r>
              <w:rPr>
                <w:rFonts w:hint="eastAsia" w:ascii="宋体" w:hAnsi="宋体" w:cs="宋体"/>
                <w:color w:val="auto"/>
                <w:kern w:val="0"/>
                <w:szCs w:val="21"/>
              </w:rPr>
              <w:t>1.4</w:t>
            </w:r>
          </w:p>
        </w:tc>
        <w:tc>
          <w:tcPr>
            <w:tcW w:w="1146" w:type="dxa"/>
            <w:vAlign w:val="center"/>
          </w:tcPr>
          <w:p w14:paraId="7F47C396">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232" w:type="dxa"/>
            <w:vAlign w:val="center"/>
          </w:tcPr>
          <w:p w14:paraId="7F274FAB">
            <w:pPr>
              <w:jc w:val="center"/>
              <w:rPr>
                <w:rFonts w:hint="eastAsia" w:ascii="宋体" w:hAnsi="宋体" w:cs="宋体"/>
                <w:color w:val="auto"/>
                <w:kern w:val="0"/>
                <w:szCs w:val="21"/>
              </w:rPr>
            </w:pPr>
            <w:r>
              <w:rPr>
                <w:rFonts w:hint="eastAsia" w:ascii="宋体" w:hAnsi="宋体" w:cs="宋体"/>
                <w:color w:val="auto"/>
                <w:kern w:val="0"/>
                <w:szCs w:val="21"/>
              </w:rPr>
              <w:t>/</w:t>
            </w:r>
          </w:p>
        </w:tc>
        <w:tc>
          <w:tcPr>
            <w:tcW w:w="6573" w:type="dxa"/>
            <w:gridSpan w:val="6"/>
            <w:vMerge w:val="continue"/>
            <w:vAlign w:val="center"/>
          </w:tcPr>
          <w:p w14:paraId="22284ED4">
            <w:pPr>
              <w:widowControl/>
              <w:jc w:val="center"/>
              <w:rPr>
                <w:rFonts w:hint="eastAsia" w:ascii="宋体" w:hAnsi="宋体" w:cs="宋体"/>
                <w:color w:val="auto"/>
                <w:kern w:val="0"/>
                <w:szCs w:val="21"/>
              </w:rPr>
            </w:pPr>
          </w:p>
        </w:tc>
      </w:tr>
      <w:tr w14:paraId="7E854A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5E714E79">
            <w:pPr>
              <w:jc w:val="center"/>
              <w:rPr>
                <w:rFonts w:hint="eastAsia" w:ascii="宋体" w:hAnsi="宋体" w:cs="宋体"/>
                <w:color w:val="auto"/>
                <w:kern w:val="0"/>
                <w:szCs w:val="21"/>
              </w:rPr>
            </w:pPr>
            <w:r>
              <w:rPr>
                <w:rFonts w:hint="eastAsia" w:ascii="宋体" w:hAnsi="宋体" w:cs="宋体"/>
                <w:color w:val="auto"/>
                <w:kern w:val="0"/>
                <w:szCs w:val="21"/>
              </w:rPr>
              <w:t>3</w:t>
            </w:r>
          </w:p>
        </w:tc>
        <w:tc>
          <w:tcPr>
            <w:tcW w:w="1587" w:type="dxa"/>
            <w:vAlign w:val="center"/>
          </w:tcPr>
          <w:p w14:paraId="3BDC5219">
            <w:pPr>
              <w:jc w:val="center"/>
              <w:rPr>
                <w:rFonts w:hint="eastAsia" w:ascii="宋体" w:hAnsi="宋体" w:cs="宋体"/>
                <w:color w:val="auto"/>
                <w:kern w:val="0"/>
                <w:szCs w:val="21"/>
              </w:rPr>
            </w:pPr>
            <w:r>
              <w:rPr>
                <w:rFonts w:hint="eastAsia" w:ascii="宋体" w:hAnsi="宋体" w:cs="宋体"/>
                <w:color w:val="auto"/>
                <w:kern w:val="0"/>
                <w:szCs w:val="21"/>
              </w:rPr>
              <w:t>汞</w:t>
            </w:r>
          </w:p>
        </w:tc>
        <w:tc>
          <w:tcPr>
            <w:tcW w:w="1286" w:type="dxa"/>
            <w:vAlign w:val="center"/>
          </w:tcPr>
          <w:p w14:paraId="0E465044">
            <w:pPr>
              <w:jc w:val="center"/>
              <w:rPr>
                <w:rFonts w:hint="eastAsia" w:ascii="宋体" w:hAnsi="宋体" w:cs="宋体"/>
                <w:color w:val="auto"/>
                <w:kern w:val="0"/>
                <w:szCs w:val="21"/>
              </w:rPr>
            </w:pPr>
            <w:r>
              <w:rPr>
                <w:rFonts w:hint="eastAsia" w:ascii="宋体" w:hAnsi="宋体" w:cs="宋体"/>
                <w:color w:val="auto"/>
                <w:kern w:val="0"/>
                <w:szCs w:val="21"/>
              </w:rPr>
              <w:t>38</w:t>
            </w:r>
          </w:p>
        </w:tc>
        <w:tc>
          <w:tcPr>
            <w:tcW w:w="862" w:type="dxa"/>
            <w:vAlign w:val="center"/>
          </w:tcPr>
          <w:p w14:paraId="3A82099C">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29B77566">
            <w:pPr>
              <w:jc w:val="center"/>
              <w:rPr>
                <w:rFonts w:hint="eastAsia" w:ascii="宋体" w:hAnsi="宋体" w:cs="宋体"/>
                <w:color w:val="auto"/>
                <w:kern w:val="0"/>
                <w:szCs w:val="21"/>
              </w:rPr>
            </w:pPr>
            <w:r>
              <w:rPr>
                <w:rFonts w:hint="eastAsia" w:ascii="宋体" w:hAnsi="宋体" w:cs="宋体"/>
                <w:color w:val="auto"/>
                <w:kern w:val="0"/>
                <w:szCs w:val="21"/>
              </w:rPr>
              <w:t>0.237</w:t>
            </w:r>
          </w:p>
        </w:tc>
        <w:tc>
          <w:tcPr>
            <w:tcW w:w="1146" w:type="dxa"/>
            <w:vAlign w:val="center"/>
          </w:tcPr>
          <w:p w14:paraId="7E1F87B8">
            <w:pPr>
              <w:jc w:val="center"/>
              <w:rPr>
                <w:rFonts w:hint="eastAsia" w:ascii="宋体" w:hAnsi="宋体" w:cs="宋体"/>
                <w:color w:val="auto"/>
                <w:kern w:val="0"/>
                <w:szCs w:val="21"/>
              </w:rPr>
            </w:pPr>
            <w:r>
              <w:rPr>
                <w:rFonts w:hint="eastAsia" w:ascii="宋体" w:hAnsi="宋体" w:cs="宋体"/>
                <w:color w:val="auto"/>
                <w:kern w:val="0"/>
                <w:szCs w:val="21"/>
              </w:rPr>
              <w:t xml:space="preserve">0.0062 </w:t>
            </w:r>
          </w:p>
        </w:tc>
        <w:tc>
          <w:tcPr>
            <w:tcW w:w="1232" w:type="dxa"/>
            <w:vAlign w:val="center"/>
          </w:tcPr>
          <w:p w14:paraId="1AA68A7E">
            <w:pPr>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6573" w:type="dxa"/>
            <w:gridSpan w:val="6"/>
            <w:vMerge w:val="continue"/>
            <w:vAlign w:val="center"/>
          </w:tcPr>
          <w:p w14:paraId="021BC5F0">
            <w:pPr>
              <w:widowControl/>
              <w:jc w:val="center"/>
              <w:rPr>
                <w:rFonts w:hint="eastAsia" w:ascii="宋体" w:hAnsi="宋体" w:cs="宋体"/>
                <w:color w:val="auto"/>
                <w:kern w:val="0"/>
                <w:szCs w:val="21"/>
              </w:rPr>
            </w:pPr>
          </w:p>
        </w:tc>
      </w:tr>
      <w:tr w14:paraId="1E0FB8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5A8AC0B2">
            <w:pPr>
              <w:jc w:val="center"/>
              <w:rPr>
                <w:rFonts w:hint="eastAsia" w:ascii="宋体" w:hAnsi="宋体" w:cs="宋体"/>
                <w:color w:val="auto"/>
                <w:kern w:val="0"/>
                <w:szCs w:val="21"/>
              </w:rPr>
            </w:pPr>
            <w:r>
              <w:rPr>
                <w:rFonts w:hint="eastAsia" w:ascii="宋体" w:hAnsi="宋体" w:cs="宋体"/>
                <w:color w:val="auto"/>
                <w:kern w:val="0"/>
                <w:szCs w:val="21"/>
              </w:rPr>
              <w:t>4</w:t>
            </w:r>
          </w:p>
        </w:tc>
        <w:tc>
          <w:tcPr>
            <w:tcW w:w="1587" w:type="dxa"/>
            <w:vAlign w:val="center"/>
          </w:tcPr>
          <w:p w14:paraId="180F4E99">
            <w:pPr>
              <w:jc w:val="center"/>
              <w:rPr>
                <w:rFonts w:hint="eastAsia" w:ascii="宋体" w:hAnsi="宋体" w:cs="宋体"/>
                <w:color w:val="auto"/>
                <w:kern w:val="0"/>
                <w:szCs w:val="21"/>
              </w:rPr>
            </w:pPr>
            <w:r>
              <w:rPr>
                <w:rFonts w:hint="eastAsia" w:ascii="宋体" w:hAnsi="宋体" w:cs="宋体"/>
                <w:color w:val="auto"/>
                <w:kern w:val="0"/>
                <w:szCs w:val="21"/>
              </w:rPr>
              <w:t>砷</w:t>
            </w:r>
          </w:p>
        </w:tc>
        <w:tc>
          <w:tcPr>
            <w:tcW w:w="1286" w:type="dxa"/>
            <w:vAlign w:val="center"/>
          </w:tcPr>
          <w:p w14:paraId="1E470692">
            <w:pPr>
              <w:jc w:val="center"/>
              <w:rPr>
                <w:rFonts w:hint="eastAsia" w:ascii="宋体" w:hAnsi="宋体" w:cs="宋体"/>
                <w:color w:val="auto"/>
                <w:kern w:val="0"/>
                <w:szCs w:val="21"/>
              </w:rPr>
            </w:pPr>
            <w:r>
              <w:rPr>
                <w:rFonts w:hint="eastAsia" w:ascii="宋体" w:hAnsi="宋体" w:cs="宋体"/>
                <w:color w:val="auto"/>
                <w:kern w:val="0"/>
                <w:szCs w:val="21"/>
              </w:rPr>
              <w:t>60</w:t>
            </w:r>
          </w:p>
        </w:tc>
        <w:tc>
          <w:tcPr>
            <w:tcW w:w="862" w:type="dxa"/>
            <w:vAlign w:val="center"/>
          </w:tcPr>
          <w:p w14:paraId="25D3D15A">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4A133A05">
            <w:pPr>
              <w:jc w:val="center"/>
              <w:rPr>
                <w:rFonts w:hint="eastAsia" w:ascii="宋体" w:hAnsi="宋体" w:cs="宋体"/>
                <w:color w:val="auto"/>
                <w:kern w:val="0"/>
                <w:szCs w:val="21"/>
              </w:rPr>
            </w:pPr>
            <w:r>
              <w:rPr>
                <w:rFonts w:hint="eastAsia" w:ascii="宋体" w:hAnsi="宋体" w:cs="宋体"/>
                <w:color w:val="auto"/>
                <w:kern w:val="0"/>
                <w:szCs w:val="21"/>
              </w:rPr>
              <w:t>7.4</w:t>
            </w:r>
          </w:p>
        </w:tc>
        <w:tc>
          <w:tcPr>
            <w:tcW w:w="1146" w:type="dxa"/>
            <w:vAlign w:val="center"/>
          </w:tcPr>
          <w:p w14:paraId="5EA5A0DD">
            <w:pPr>
              <w:jc w:val="center"/>
              <w:rPr>
                <w:rFonts w:hint="eastAsia" w:ascii="宋体" w:hAnsi="宋体" w:cs="宋体"/>
                <w:color w:val="auto"/>
                <w:kern w:val="0"/>
                <w:szCs w:val="21"/>
              </w:rPr>
            </w:pPr>
            <w:r>
              <w:rPr>
                <w:rFonts w:hint="eastAsia" w:ascii="宋体" w:hAnsi="宋体" w:cs="宋体"/>
                <w:color w:val="auto"/>
                <w:kern w:val="0"/>
                <w:szCs w:val="21"/>
              </w:rPr>
              <w:t xml:space="preserve">0.1233 </w:t>
            </w:r>
          </w:p>
        </w:tc>
        <w:tc>
          <w:tcPr>
            <w:tcW w:w="1232" w:type="dxa"/>
            <w:vAlign w:val="center"/>
          </w:tcPr>
          <w:p w14:paraId="13193054">
            <w:pPr>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6573" w:type="dxa"/>
            <w:gridSpan w:val="6"/>
            <w:vMerge w:val="continue"/>
            <w:vAlign w:val="center"/>
          </w:tcPr>
          <w:p w14:paraId="485FCB86">
            <w:pPr>
              <w:widowControl/>
              <w:jc w:val="center"/>
              <w:rPr>
                <w:rFonts w:hint="eastAsia" w:ascii="宋体" w:hAnsi="宋体" w:cs="宋体"/>
                <w:color w:val="auto"/>
                <w:kern w:val="0"/>
                <w:szCs w:val="21"/>
              </w:rPr>
            </w:pPr>
          </w:p>
        </w:tc>
      </w:tr>
      <w:tr w14:paraId="3F3209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5C2CE5B8">
            <w:pPr>
              <w:jc w:val="center"/>
              <w:rPr>
                <w:rFonts w:hint="eastAsia" w:ascii="宋体" w:hAnsi="宋体" w:cs="宋体"/>
                <w:color w:val="auto"/>
                <w:kern w:val="0"/>
                <w:szCs w:val="21"/>
              </w:rPr>
            </w:pPr>
            <w:r>
              <w:rPr>
                <w:rFonts w:hint="eastAsia" w:ascii="宋体" w:hAnsi="宋体" w:cs="宋体"/>
                <w:color w:val="auto"/>
                <w:kern w:val="0"/>
                <w:szCs w:val="21"/>
              </w:rPr>
              <w:t>5</w:t>
            </w:r>
          </w:p>
        </w:tc>
        <w:tc>
          <w:tcPr>
            <w:tcW w:w="1587" w:type="dxa"/>
            <w:vAlign w:val="center"/>
          </w:tcPr>
          <w:p w14:paraId="41759D02">
            <w:pPr>
              <w:jc w:val="center"/>
              <w:rPr>
                <w:rFonts w:hint="eastAsia" w:ascii="宋体" w:hAnsi="宋体" w:cs="宋体"/>
                <w:color w:val="auto"/>
                <w:kern w:val="0"/>
                <w:szCs w:val="21"/>
              </w:rPr>
            </w:pPr>
            <w:r>
              <w:rPr>
                <w:rFonts w:hint="eastAsia" w:ascii="宋体" w:hAnsi="宋体" w:cs="宋体"/>
                <w:color w:val="auto"/>
                <w:kern w:val="0"/>
                <w:szCs w:val="21"/>
              </w:rPr>
              <w:t>铜</w:t>
            </w:r>
          </w:p>
        </w:tc>
        <w:tc>
          <w:tcPr>
            <w:tcW w:w="1286" w:type="dxa"/>
            <w:vAlign w:val="center"/>
          </w:tcPr>
          <w:p w14:paraId="58153569">
            <w:pPr>
              <w:jc w:val="center"/>
              <w:rPr>
                <w:rFonts w:hint="eastAsia" w:ascii="宋体" w:hAnsi="宋体" w:cs="宋体"/>
                <w:color w:val="auto"/>
                <w:kern w:val="0"/>
                <w:szCs w:val="21"/>
              </w:rPr>
            </w:pPr>
            <w:r>
              <w:rPr>
                <w:rFonts w:hint="eastAsia" w:ascii="宋体" w:hAnsi="宋体" w:cs="宋体"/>
                <w:color w:val="auto"/>
                <w:kern w:val="0"/>
                <w:szCs w:val="21"/>
              </w:rPr>
              <w:t>18000</w:t>
            </w:r>
          </w:p>
        </w:tc>
        <w:tc>
          <w:tcPr>
            <w:tcW w:w="862" w:type="dxa"/>
            <w:vAlign w:val="center"/>
          </w:tcPr>
          <w:p w14:paraId="40AED543">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0E383632">
            <w:pPr>
              <w:jc w:val="center"/>
              <w:rPr>
                <w:rFonts w:hint="eastAsia" w:ascii="宋体" w:hAnsi="宋体" w:cs="宋体"/>
                <w:color w:val="auto"/>
                <w:kern w:val="0"/>
                <w:szCs w:val="21"/>
              </w:rPr>
            </w:pPr>
            <w:r>
              <w:rPr>
                <w:rFonts w:hint="eastAsia" w:ascii="宋体" w:hAnsi="宋体" w:cs="宋体"/>
                <w:color w:val="auto"/>
                <w:kern w:val="0"/>
                <w:szCs w:val="21"/>
              </w:rPr>
              <w:t>14.8</w:t>
            </w:r>
          </w:p>
        </w:tc>
        <w:tc>
          <w:tcPr>
            <w:tcW w:w="1146" w:type="dxa"/>
            <w:vAlign w:val="center"/>
          </w:tcPr>
          <w:p w14:paraId="1D83E140">
            <w:pPr>
              <w:jc w:val="center"/>
              <w:rPr>
                <w:rFonts w:hint="eastAsia" w:ascii="宋体" w:hAnsi="宋体" w:cs="宋体"/>
                <w:color w:val="auto"/>
                <w:kern w:val="0"/>
                <w:szCs w:val="21"/>
              </w:rPr>
            </w:pPr>
            <w:r>
              <w:rPr>
                <w:rFonts w:hint="eastAsia" w:ascii="宋体" w:hAnsi="宋体" w:cs="宋体"/>
                <w:color w:val="auto"/>
                <w:kern w:val="0"/>
                <w:szCs w:val="21"/>
              </w:rPr>
              <w:t xml:space="preserve">0.0008 </w:t>
            </w:r>
          </w:p>
        </w:tc>
        <w:tc>
          <w:tcPr>
            <w:tcW w:w="1232" w:type="dxa"/>
            <w:vAlign w:val="center"/>
          </w:tcPr>
          <w:p w14:paraId="676519DB">
            <w:pPr>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6573" w:type="dxa"/>
            <w:gridSpan w:val="6"/>
            <w:vMerge w:val="continue"/>
            <w:vAlign w:val="center"/>
          </w:tcPr>
          <w:p w14:paraId="2C9DDCF2">
            <w:pPr>
              <w:widowControl/>
              <w:jc w:val="center"/>
              <w:rPr>
                <w:rFonts w:hint="eastAsia" w:ascii="宋体" w:hAnsi="宋体" w:cs="宋体"/>
                <w:color w:val="auto"/>
                <w:kern w:val="0"/>
                <w:szCs w:val="21"/>
              </w:rPr>
            </w:pPr>
          </w:p>
        </w:tc>
      </w:tr>
      <w:tr w14:paraId="635A4E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7DA1834D">
            <w:pPr>
              <w:jc w:val="center"/>
              <w:rPr>
                <w:rFonts w:hint="eastAsia" w:ascii="宋体" w:hAnsi="宋体" w:cs="宋体"/>
                <w:color w:val="auto"/>
                <w:kern w:val="0"/>
                <w:szCs w:val="21"/>
              </w:rPr>
            </w:pPr>
            <w:r>
              <w:rPr>
                <w:rFonts w:hint="eastAsia" w:ascii="宋体" w:hAnsi="宋体" w:cs="宋体"/>
                <w:color w:val="auto"/>
                <w:kern w:val="0"/>
                <w:szCs w:val="21"/>
              </w:rPr>
              <w:t>6</w:t>
            </w:r>
          </w:p>
        </w:tc>
        <w:tc>
          <w:tcPr>
            <w:tcW w:w="1587" w:type="dxa"/>
            <w:vAlign w:val="center"/>
          </w:tcPr>
          <w:p w14:paraId="38370AD9">
            <w:pPr>
              <w:jc w:val="center"/>
              <w:rPr>
                <w:rFonts w:hint="eastAsia" w:ascii="宋体" w:hAnsi="宋体" w:cs="宋体"/>
                <w:color w:val="auto"/>
                <w:kern w:val="0"/>
                <w:szCs w:val="21"/>
              </w:rPr>
            </w:pPr>
            <w:r>
              <w:rPr>
                <w:rFonts w:hint="eastAsia" w:ascii="宋体" w:hAnsi="宋体" w:cs="宋体"/>
                <w:color w:val="auto"/>
                <w:kern w:val="0"/>
                <w:szCs w:val="21"/>
              </w:rPr>
              <w:t>铅</w:t>
            </w:r>
          </w:p>
        </w:tc>
        <w:tc>
          <w:tcPr>
            <w:tcW w:w="1286" w:type="dxa"/>
            <w:vAlign w:val="center"/>
          </w:tcPr>
          <w:p w14:paraId="32A7F3A2">
            <w:pPr>
              <w:jc w:val="center"/>
              <w:rPr>
                <w:rFonts w:hint="eastAsia" w:ascii="宋体" w:hAnsi="宋体" w:cs="宋体"/>
                <w:color w:val="auto"/>
                <w:kern w:val="0"/>
                <w:szCs w:val="21"/>
              </w:rPr>
            </w:pPr>
            <w:r>
              <w:rPr>
                <w:rFonts w:hint="eastAsia" w:ascii="宋体" w:hAnsi="宋体" w:cs="宋体"/>
                <w:color w:val="auto"/>
                <w:kern w:val="0"/>
                <w:szCs w:val="21"/>
              </w:rPr>
              <w:t>800</w:t>
            </w:r>
          </w:p>
        </w:tc>
        <w:tc>
          <w:tcPr>
            <w:tcW w:w="862" w:type="dxa"/>
            <w:vAlign w:val="center"/>
          </w:tcPr>
          <w:p w14:paraId="703A6EA8">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0CB416F3">
            <w:pPr>
              <w:jc w:val="center"/>
              <w:rPr>
                <w:rFonts w:hint="eastAsia" w:ascii="宋体" w:hAnsi="宋体" w:cs="宋体"/>
                <w:color w:val="auto"/>
                <w:kern w:val="0"/>
                <w:szCs w:val="21"/>
              </w:rPr>
            </w:pPr>
            <w:r>
              <w:rPr>
                <w:rFonts w:hint="eastAsia" w:ascii="宋体" w:hAnsi="宋体" w:cs="宋体"/>
                <w:color w:val="auto"/>
                <w:kern w:val="0"/>
                <w:szCs w:val="21"/>
              </w:rPr>
              <w:t>7</w:t>
            </w:r>
          </w:p>
        </w:tc>
        <w:tc>
          <w:tcPr>
            <w:tcW w:w="1146" w:type="dxa"/>
            <w:vAlign w:val="center"/>
          </w:tcPr>
          <w:p w14:paraId="73E11BC0">
            <w:pPr>
              <w:jc w:val="center"/>
              <w:rPr>
                <w:rFonts w:hint="eastAsia" w:ascii="宋体" w:hAnsi="宋体" w:cs="宋体"/>
                <w:color w:val="auto"/>
                <w:kern w:val="0"/>
                <w:szCs w:val="21"/>
              </w:rPr>
            </w:pPr>
            <w:r>
              <w:rPr>
                <w:rFonts w:hint="eastAsia" w:ascii="宋体" w:hAnsi="宋体" w:cs="宋体"/>
                <w:color w:val="auto"/>
                <w:kern w:val="0"/>
                <w:szCs w:val="21"/>
              </w:rPr>
              <w:t xml:space="preserve">0.0088 </w:t>
            </w:r>
          </w:p>
        </w:tc>
        <w:tc>
          <w:tcPr>
            <w:tcW w:w="1232" w:type="dxa"/>
            <w:vAlign w:val="center"/>
          </w:tcPr>
          <w:p w14:paraId="1DF28CCA">
            <w:pPr>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6573" w:type="dxa"/>
            <w:gridSpan w:val="6"/>
            <w:vMerge w:val="continue"/>
            <w:vAlign w:val="center"/>
          </w:tcPr>
          <w:p w14:paraId="7D0FD48E">
            <w:pPr>
              <w:widowControl/>
              <w:jc w:val="center"/>
              <w:rPr>
                <w:rFonts w:hint="eastAsia" w:ascii="宋体" w:hAnsi="宋体" w:cs="宋体"/>
                <w:color w:val="auto"/>
                <w:kern w:val="0"/>
                <w:szCs w:val="21"/>
              </w:rPr>
            </w:pPr>
          </w:p>
        </w:tc>
      </w:tr>
      <w:tr w14:paraId="69BAD4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1A737233">
            <w:pPr>
              <w:jc w:val="center"/>
              <w:rPr>
                <w:rFonts w:hint="eastAsia" w:ascii="宋体" w:hAnsi="宋体" w:cs="宋体"/>
                <w:color w:val="auto"/>
                <w:kern w:val="0"/>
                <w:szCs w:val="21"/>
              </w:rPr>
            </w:pPr>
            <w:r>
              <w:rPr>
                <w:rFonts w:hint="eastAsia" w:ascii="宋体" w:hAnsi="宋体" w:cs="宋体"/>
                <w:color w:val="auto"/>
                <w:kern w:val="0"/>
                <w:szCs w:val="21"/>
              </w:rPr>
              <w:t>7</w:t>
            </w:r>
          </w:p>
        </w:tc>
        <w:tc>
          <w:tcPr>
            <w:tcW w:w="1587" w:type="dxa"/>
            <w:vAlign w:val="center"/>
          </w:tcPr>
          <w:p w14:paraId="59F0C2D3">
            <w:pPr>
              <w:jc w:val="center"/>
              <w:rPr>
                <w:rFonts w:hint="eastAsia" w:ascii="宋体" w:hAnsi="宋体" w:cs="宋体"/>
                <w:color w:val="auto"/>
                <w:kern w:val="0"/>
                <w:szCs w:val="21"/>
              </w:rPr>
            </w:pPr>
            <w:r>
              <w:rPr>
                <w:rFonts w:hint="eastAsia" w:ascii="宋体" w:hAnsi="宋体" w:cs="宋体"/>
                <w:color w:val="auto"/>
                <w:kern w:val="0"/>
                <w:szCs w:val="21"/>
              </w:rPr>
              <w:t>镍</w:t>
            </w:r>
          </w:p>
        </w:tc>
        <w:tc>
          <w:tcPr>
            <w:tcW w:w="1286" w:type="dxa"/>
            <w:vAlign w:val="center"/>
          </w:tcPr>
          <w:p w14:paraId="046F109E">
            <w:pPr>
              <w:jc w:val="center"/>
              <w:rPr>
                <w:rFonts w:hint="eastAsia" w:ascii="宋体" w:hAnsi="宋体" w:cs="宋体"/>
                <w:color w:val="auto"/>
                <w:kern w:val="0"/>
                <w:szCs w:val="21"/>
              </w:rPr>
            </w:pPr>
            <w:r>
              <w:rPr>
                <w:rFonts w:hint="eastAsia" w:ascii="宋体" w:hAnsi="宋体" w:cs="宋体"/>
                <w:color w:val="auto"/>
                <w:kern w:val="0"/>
                <w:szCs w:val="21"/>
              </w:rPr>
              <w:t>900</w:t>
            </w:r>
          </w:p>
        </w:tc>
        <w:tc>
          <w:tcPr>
            <w:tcW w:w="862" w:type="dxa"/>
            <w:vAlign w:val="center"/>
          </w:tcPr>
          <w:p w14:paraId="33DD2975">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468C3FDA">
            <w:pPr>
              <w:jc w:val="center"/>
              <w:rPr>
                <w:rFonts w:hint="eastAsia" w:ascii="宋体" w:hAnsi="宋体" w:cs="宋体"/>
                <w:color w:val="auto"/>
                <w:kern w:val="0"/>
                <w:szCs w:val="21"/>
              </w:rPr>
            </w:pPr>
            <w:r>
              <w:rPr>
                <w:rFonts w:hint="eastAsia" w:ascii="宋体" w:hAnsi="宋体" w:cs="宋体"/>
                <w:color w:val="auto"/>
                <w:kern w:val="0"/>
                <w:szCs w:val="21"/>
              </w:rPr>
              <w:t>16</w:t>
            </w:r>
          </w:p>
        </w:tc>
        <w:tc>
          <w:tcPr>
            <w:tcW w:w="1146" w:type="dxa"/>
            <w:vAlign w:val="center"/>
          </w:tcPr>
          <w:p w14:paraId="0D7A5994">
            <w:pPr>
              <w:jc w:val="center"/>
              <w:rPr>
                <w:rFonts w:hint="eastAsia" w:ascii="宋体" w:hAnsi="宋体" w:cs="宋体"/>
                <w:color w:val="auto"/>
                <w:kern w:val="0"/>
                <w:szCs w:val="21"/>
              </w:rPr>
            </w:pPr>
            <w:r>
              <w:rPr>
                <w:rFonts w:hint="eastAsia" w:ascii="宋体" w:hAnsi="宋体" w:cs="宋体"/>
                <w:color w:val="auto"/>
                <w:kern w:val="0"/>
                <w:szCs w:val="21"/>
              </w:rPr>
              <w:t xml:space="preserve">0.0178 </w:t>
            </w:r>
          </w:p>
        </w:tc>
        <w:tc>
          <w:tcPr>
            <w:tcW w:w="1232" w:type="dxa"/>
            <w:vAlign w:val="center"/>
          </w:tcPr>
          <w:p w14:paraId="29CB2BE7">
            <w:pPr>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6573" w:type="dxa"/>
            <w:gridSpan w:val="6"/>
            <w:vMerge w:val="continue"/>
            <w:vAlign w:val="center"/>
          </w:tcPr>
          <w:p w14:paraId="72600C0A">
            <w:pPr>
              <w:widowControl/>
              <w:jc w:val="center"/>
              <w:rPr>
                <w:rFonts w:hint="eastAsia" w:ascii="宋体" w:hAnsi="宋体" w:cs="宋体"/>
                <w:color w:val="auto"/>
                <w:kern w:val="0"/>
                <w:szCs w:val="21"/>
              </w:rPr>
            </w:pPr>
          </w:p>
        </w:tc>
      </w:tr>
      <w:tr w14:paraId="5F84F4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3F7C7EE8">
            <w:pPr>
              <w:jc w:val="center"/>
              <w:rPr>
                <w:rFonts w:hint="eastAsia" w:ascii="宋体" w:hAnsi="宋体" w:cs="宋体"/>
                <w:color w:val="auto"/>
                <w:kern w:val="0"/>
                <w:szCs w:val="21"/>
              </w:rPr>
            </w:pPr>
            <w:r>
              <w:rPr>
                <w:rFonts w:hint="eastAsia" w:ascii="宋体" w:hAnsi="宋体" w:cs="宋体"/>
                <w:color w:val="auto"/>
                <w:kern w:val="0"/>
                <w:szCs w:val="21"/>
              </w:rPr>
              <w:t>8</w:t>
            </w:r>
          </w:p>
        </w:tc>
        <w:tc>
          <w:tcPr>
            <w:tcW w:w="1587" w:type="dxa"/>
            <w:vAlign w:val="center"/>
          </w:tcPr>
          <w:p w14:paraId="261D5044">
            <w:pPr>
              <w:jc w:val="center"/>
              <w:rPr>
                <w:rFonts w:hint="eastAsia" w:ascii="宋体" w:hAnsi="宋体" w:cs="宋体"/>
                <w:color w:val="auto"/>
                <w:kern w:val="0"/>
                <w:szCs w:val="21"/>
              </w:rPr>
            </w:pPr>
            <w:r>
              <w:rPr>
                <w:rFonts w:hint="eastAsia" w:ascii="宋体" w:hAnsi="宋体" w:cs="宋体"/>
                <w:color w:val="auto"/>
                <w:kern w:val="0"/>
                <w:szCs w:val="21"/>
              </w:rPr>
              <w:t>镉</w:t>
            </w:r>
          </w:p>
        </w:tc>
        <w:tc>
          <w:tcPr>
            <w:tcW w:w="1286" w:type="dxa"/>
            <w:vAlign w:val="center"/>
          </w:tcPr>
          <w:p w14:paraId="4D9D0D34">
            <w:pPr>
              <w:jc w:val="center"/>
              <w:rPr>
                <w:rFonts w:hint="eastAsia" w:ascii="宋体" w:hAnsi="宋体" w:cs="宋体"/>
                <w:color w:val="auto"/>
                <w:kern w:val="0"/>
                <w:szCs w:val="21"/>
              </w:rPr>
            </w:pPr>
            <w:r>
              <w:rPr>
                <w:rFonts w:hint="eastAsia" w:ascii="宋体" w:hAnsi="宋体" w:cs="宋体"/>
                <w:color w:val="auto"/>
                <w:kern w:val="0"/>
                <w:szCs w:val="21"/>
              </w:rPr>
              <w:t>65</w:t>
            </w:r>
          </w:p>
        </w:tc>
        <w:tc>
          <w:tcPr>
            <w:tcW w:w="862" w:type="dxa"/>
            <w:vAlign w:val="center"/>
          </w:tcPr>
          <w:p w14:paraId="1D106F31">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1A86627A">
            <w:pPr>
              <w:jc w:val="center"/>
              <w:rPr>
                <w:rFonts w:hint="eastAsia" w:ascii="宋体" w:hAnsi="宋体" w:cs="宋体"/>
                <w:color w:val="auto"/>
                <w:kern w:val="0"/>
                <w:szCs w:val="21"/>
              </w:rPr>
            </w:pPr>
            <w:r>
              <w:rPr>
                <w:rFonts w:hint="eastAsia" w:ascii="宋体" w:hAnsi="宋体" w:cs="宋体"/>
                <w:color w:val="auto"/>
                <w:kern w:val="0"/>
                <w:szCs w:val="21"/>
              </w:rPr>
              <w:t>ND</w:t>
            </w:r>
          </w:p>
        </w:tc>
        <w:tc>
          <w:tcPr>
            <w:tcW w:w="1146" w:type="dxa"/>
            <w:vAlign w:val="center"/>
          </w:tcPr>
          <w:p w14:paraId="307C9439">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232" w:type="dxa"/>
            <w:vAlign w:val="center"/>
          </w:tcPr>
          <w:p w14:paraId="364F277F">
            <w:pPr>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6573" w:type="dxa"/>
            <w:gridSpan w:val="6"/>
            <w:vMerge w:val="continue"/>
            <w:vAlign w:val="center"/>
          </w:tcPr>
          <w:p w14:paraId="15AB1658">
            <w:pPr>
              <w:widowControl/>
              <w:jc w:val="center"/>
              <w:rPr>
                <w:rFonts w:hint="eastAsia" w:ascii="宋体" w:hAnsi="宋体" w:cs="宋体"/>
                <w:color w:val="auto"/>
                <w:kern w:val="0"/>
                <w:szCs w:val="21"/>
              </w:rPr>
            </w:pPr>
          </w:p>
        </w:tc>
      </w:tr>
      <w:tr w14:paraId="324038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0A9E0380">
            <w:pPr>
              <w:jc w:val="center"/>
              <w:rPr>
                <w:rFonts w:hint="eastAsia" w:ascii="宋体" w:hAnsi="宋体" w:cs="宋体"/>
                <w:color w:val="auto"/>
                <w:kern w:val="0"/>
                <w:szCs w:val="21"/>
              </w:rPr>
            </w:pPr>
            <w:r>
              <w:rPr>
                <w:rFonts w:hint="eastAsia" w:ascii="宋体" w:hAnsi="宋体" w:cs="宋体"/>
                <w:color w:val="auto"/>
                <w:kern w:val="0"/>
                <w:szCs w:val="21"/>
              </w:rPr>
              <w:t>9</w:t>
            </w:r>
          </w:p>
        </w:tc>
        <w:tc>
          <w:tcPr>
            <w:tcW w:w="1587" w:type="dxa"/>
            <w:vAlign w:val="center"/>
          </w:tcPr>
          <w:p w14:paraId="6AF8F5D4">
            <w:pPr>
              <w:jc w:val="center"/>
              <w:rPr>
                <w:rFonts w:hint="eastAsia" w:ascii="宋体" w:hAnsi="宋体" w:cs="宋体"/>
                <w:color w:val="auto"/>
                <w:kern w:val="0"/>
                <w:szCs w:val="21"/>
              </w:rPr>
            </w:pPr>
            <w:r>
              <w:rPr>
                <w:rFonts w:hint="eastAsia" w:ascii="宋体" w:hAnsi="宋体" w:cs="宋体"/>
                <w:color w:val="auto"/>
                <w:kern w:val="0"/>
                <w:szCs w:val="21"/>
              </w:rPr>
              <w:t>六价铬</w:t>
            </w:r>
          </w:p>
        </w:tc>
        <w:tc>
          <w:tcPr>
            <w:tcW w:w="1286" w:type="dxa"/>
            <w:vAlign w:val="center"/>
          </w:tcPr>
          <w:p w14:paraId="6BFBA5EC">
            <w:pPr>
              <w:jc w:val="center"/>
              <w:rPr>
                <w:rFonts w:hint="eastAsia" w:ascii="宋体" w:hAnsi="宋体" w:cs="宋体"/>
                <w:color w:val="auto"/>
                <w:kern w:val="0"/>
                <w:szCs w:val="21"/>
              </w:rPr>
            </w:pPr>
            <w:r>
              <w:rPr>
                <w:rFonts w:hint="eastAsia" w:ascii="宋体" w:hAnsi="宋体" w:cs="宋体"/>
                <w:color w:val="auto"/>
                <w:kern w:val="0"/>
                <w:szCs w:val="21"/>
              </w:rPr>
              <w:t>5.7</w:t>
            </w:r>
          </w:p>
        </w:tc>
        <w:tc>
          <w:tcPr>
            <w:tcW w:w="862" w:type="dxa"/>
            <w:vAlign w:val="center"/>
          </w:tcPr>
          <w:p w14:paraId="30193BC2">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5316400A">
            <w:pPr>
              <w:jc w:val="center"/>
              <w:rPr>
                <w:rFonts w:hint="eastAsia" w:ascii="宋体" w:hAnsi="宋体" w:cs="宋体"/>
                <w:color w:val="auto"/>
                <w:kern w:val="0"/>
                <w:szCs w:val="21"/>
              </w:rPr>
            </w:pPr>
            <w:r>
              <w:rPr>
                <w:rFonts w:hint="eastAsia" w:ascii="宋体" w:hAnsi="宋体" w:cs="宋体"/>
                <w:color w:val="auto"/>
                <w:kern w:val="0"/>
                <w:szCs w:val="21"/>
              </w:rPr>
              <w:t>ND</w:t>
            </w:r>
          </w:p>
        </w:tc>
        <w:tc>
          <w:tcPr>
            <w:tcW w:w="1146" w:type="dxa"/>
            <w:vAlign w:val="center"/>
          </w:tcPr>
          <w:p w14:paraId="17A3B32D">
            <w:pPr>
              <w:jc w:val="center"/>
              <w:rPr>
                <w:rFonts w:hint="eastAsia" w:ascii="宋体" w:hAnsi="宋体" w:cs="宋体"/>
                <w:color w:val="auto"/>
                <w:kern w:val="0"/>
                <w:szCs w:val="21"/>
              </w:rPr>
            </w:pPr>
            <w:r>
              <w:rPr>
                <w:rFonts w:hint="eastAsia" w:ascii="宋体" w:hAnsi="宋体" w:cs="宋体"/>
                <w:color w:val="auto"/>
                <w:kern w:val="0"/>
                <w:szCs w:val="21"/>
              </w:rPr>
              <w:t>/</w:t>
            </w:r>
          </w:p>
        </w:tc>
        <w:tc>
          <w:tcPr>
            <w:tcW w:w="1232" w:type="dxa"/>
            <w:vAlign w:val="center"/>
          </w:tcPr>
          <w:p w14:paraId="7E1D7C44">
            <w:pPr>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6573" w:type="dxa"/>
            <w:gridSpan w:val="6"/>
            <w:vMerge w:val="continue"/>
            <w:vAlign w:val="center"/>
          </w:tcPr>
          <w:p w14:paraId="4C354260">
            <w:pPr>
              <w:widowControl/>
              <w:jc w:val="center"/>
              <w:rPr>
                <w:rFonts w:hint="eastAsia" w:ascii="宋体" w:hAnsi="宋体" w:cs="宋体"/>
                <w:color w:val="auto"/>
                <w:kern w:val="0"/>
                <w:szCs w:val="21"/>
              </w:rPr>
            </w:pPr>
          </w:p>
        </w:tc>
      </w:tr>
      <w:tr w14:paraId="4EE171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40" w:hRule="atLeast"/>
        </w:trPr>
        <w:tc>
          <w:tcPr>
            <w:tcW w:w="563" w:type="dxa"/>
            <w:vAlign w:val="center"/>
          </w:tcPr>
          <w:p w14:paraId="64C4D90C">
            <w:pPr>
              <w:jc w:val="center"/>
              <w:rPr>
                <w:rFonts w:hint="eastAsia" w:ascii="宋体" w:hAnsi="宋体" w:cs="宋体"/>
                <w:color w:val="auto"/>
                <w:kern w:val="0"/>
                <w:szCs w:val="21"/>
              </w:rPr>
            </w:pPr>
            <w:r>
              <w:rPr>
                <w:rFonts w:hint="eastAsia" w:ascii="宋体" w:hAnsi="宋体" w:cs="宋体"/>
                <w:color w:val="auto"/>
                <w:kern w:val="0"/>
                <w:szCs w:val="21"/>
              </w:rPr>
              <w:t>10</w:t>
            </w:r>
          </w:p>
        </w:tc>
        <w:tc>
          <w:tcPr>
            <w:tcW w:w="1587" w:type="dxa"/>
            <w:vAlign w:val="center"/>
          </w:tcPr>
          <w:p w14:paraId="6EC78AEE">
            <w:pPr>
              <w:jc w:val="center"/>
              <w:rPr>
                <w:rFonts w:hint="eastAsia" w:ascii="宋体" w:hAnsi="宋体" w:cs="宋体"/>
                <w:color w:val="auto"/>
                <w:kern w:val="0"/>
                <w:szCs w:val="21"/>
              </w:rPr>
            </w:pPr>
            <w:r>
              <w:rPr>
                <w:rFonts w:hint="eastAsia" w:ascii="宋体" w:hAnsi="宋体" w:cs="宋体"/>
                <w:color w:val="auto"/>
                <w:kern w:val="0"/>
                <w:szCs w:val="21"/>
              </w:rPr>
              <w:t>石油烃</w:t>
            </w:r>
          </w:p>
        </w:tc>
        <w:tc>
          <w:tcPr>
            <w:tcW w:w="1286" w:type="dxa"/>
            <w:vAlign w:val="center"/>
          </w:tcPr>
          <w:p w14:paraId="7829CA0A">
            <w:pPr>
              <w:jc w:val="center"/>
              <w:rPr>
                <w:rFonts w:hint="eastAsia" w:ascii="宋体" w:hAnsi="宋体" w:cs="宋体"/>
                <w:color w:val="auto"/>
                <w:kern w:val="0"/>
                <w:szCs w:val="21"/>
              </w:rPr>
            </w:pPr>
            <w:r>
              <w:rPr>
                <w:rFonts w:hint="eastAsia" w:ascii="宋体" w:hAnsi="宋体" w:cs="宋体"/>
                <w:color w:val="auto"/>
                <w:kern w:val="0"/>
                <w:szCs w:val="21"/>
              </w:rPr>
              <w:t>4500</w:t>
            </w:r>
          </w:p>
        </w:tc>
        <w:tc>
          <w:tcPr>
            <w:tcW w:w="862" w:type="dxa"/>
            <w:vAlign w:val="center"/>
          </w:tcPr>
          <w:p w14:paraId="7638CBF4">
            <w:pPr>
              <w:jc w:val="center"/>
              <w:rPr>
                <w:rFonts w:hint="eastAsia" w:ascii="宋体" w:hAnsi="宋体" w:cs="宋体"/>
                <w:color w:val="auto"/>
                <w:kern w:val="0"/>
                <w:szCs w:val="21"/>
              </w:rPr>
            </w:pPr>
            <w:r>
              <w:rPr>
                <w:rFonts w:hint="eastAsia" w:ascii="宋体" w:hAnsi="宋体" w:cs="宋体"/>
                <w:color w:val="auto"/>
                <w:kern w:val="0"/>
                <w:szCs w:val="21"/>
              </w:rPr>
              <w:t>mg/kg</w:t>
            </w:r>
          </w:p>
        </w:tc>
        <w:tc>
          <w:tcPr>
            <w:tcW w:w="859" w:type="dxa"/>
            <w:vAlign w:val="center"/>
          </w:tcPr>
          <w:p w14:paraId="7BF54640">
            <w:pPr>
              <w:jc w:val="center"/>
              <w:rPr>
                <w:rFonts w:hint="eastAsia" w:ascii="宋体" w:hAnsi="宋体" w:cs="宋体"/>
                <w:color w:val="auto"/>
                <w:kern w:val="0"/>
                <w:szCs w:val="21"/>
              </w:rPr>
            </w:pPr>
            <w:r>
              <w:rPr>
                <w:rFonts w:hint="eastAsia" w:ascii="宋体" w:hAnsi="宋体" w:cs="宋体"/>
                <w:color w:val="auto"/>
                <w:kern w:val="0"/>
                <w:szCs w:val="21"/>
              </w:rPr>
              <w:t>40.8</w:t>
            </w:r>
          </w:p>
        </w:tc>
        <w:tc>
          <w:tcPr>
            <w:tcW w:w="1146" w:type="dxa"/>
            <w:vAlign w:val="center"/>
          </w:tcPr>
          <w:p w14:paraId="0B94F3C6">
            <w:pPr>
              <w:jc w:val="center"/>
              <w:rPr>
                <w:rFonts w:hint="eastAsia" w:ascii="宋体" w:hAnsi="宋体" w:cs="宋体"/>
                <w:color w:val="auto"/>
                <w:kern w:val="0"/>
                <w:szCs w:val="21"/>
              </w:rPr>
            </w:pPr>
            <w:r>
              <w:rPr>
                <w:rFonts w:hint="eastAsia" w:ascii="宋体" w:hAnsi="宋体" w:cs="宋体"/>
                <w:color w:val="auto"/>
                <w:kern w:val="0"/>
                <w:szCs w:val="21"/>
              </w:rPr>
              <w:t>0.0091</w:t>
            </w:r>
          </w:p>
        </w:tc>
        <w:tc>
          <w:tcPr>
            <w:tcW w:w="1232" w:type="dxa"/>
            <w:vAlign w:val="center"/>
          </w:tcPr>
          <w:p w14:paraId="6C58A368">
            <w:pPr>
              <w:jc w:val="center"/>
              <w:rPr>
                <w:rFonts w:hint="eastAsia" w:ascii="宋体" w:hAnsi="宋体" w:cs="宋体"/>
                <w:color w:val="auto"/>
                <w:kern w:val="0"/>
                <w:szCs w:val="21"/>
              </w:rPr>
            </w:pPr>
            <w:r>
              <w:rPr>
                <w:rFonts w:hint="eastAsia" w:ascii="宋体" w:hAnsi="宋体" w:cs="宋体"/>
                <w:color w:val="auto"/>
                <w:kern w:val="0"/>
                <w:szCs w:val="21"/>
              </w:rPr>
              <w:t>达标</w:t>
            </w:r>
          </w:p>
        </w:tc>
        <w:tc>
          <w:tcPr>
            <w:tcW w:w="6573" w:type="dxa"/>
            <w:gridSpan w:val="6"/>
            <w:vMerge w:val="continue"/>
            <w:vAlign w:val="center"/>
          </w:tcPr>
          <w:p w14:paraId="1F81BAA1">
            <w:pPr>
              <w:widowControl/>
              <w:jc w:val="center"/>
              <w:rPr>
                <w:rFonts w:hint="eastAsia" w:ascii="宋体" w:hAnsi="宋体" w:cs="宋体"/>
                <w:color w:val="auto"/>
                <w:kern w:val="0"/>
                <w:szCs w:val="21"/>
              </w:rPr>
            </w:pPr>
          </w:p>
        </w:tc>
      </w:tr>
    </w:tbl>
    <w:p w14:paraId="39BAF343">
      <w:pPr>
        <w:ind w:firstLine="197" w:firstLineChars="94"/>
        <w:jc w:val="center"/>
        <w:rPr>
          <w:rFonts w:hint="eastAsia" w:ascii="黑体" w:hAnsi="黑体" w:eastAsia="黑体"/>
          <w:bCs/>
          <w:color w:val="auto"/>
          <w:szCs w:val="21"/>
        </w:rPr>
        <w:sectPr>
          <w:headerReference r:id="rId17" w:type="default"/>
          <w:pgSz w:w="16838" w:h="11906" w:orient="landscape"/>
          <w:pgMar w:top="1588" w:right="1418" w:bottom="1588" w:left="1418" w:header="1020" w:footer="1020" w:gutter="0"/>
          <w:cols w:space="720" w:num="1"/>
          <w:docGrid w:type="lines" w:linePitch="312" w:charSpace="0"/>
        </w:sectPr>
      </w:pPr>
    </w:p>
    <w:p w14:paraId="54132EA0">
      <w:pPr>
        <w:spacing w:line="480" w:lineRule="exact"/>
        <w:jc w:val="center"/>
        <w:rPr>
          <w:rFonts w:hint="eastAsia" w:ascii="宋体" w:hAnsi="宋体" w:cs="宋体"/>
          <w:color w:val="auto"/>
          <w:szCs w:val="21"/>
        </w:rPr>
      </w:pPr>
      <w:r>
        <w:rPr>
          <w:rFonts w:hint="eastAsia" w:ascii="宋体" w:hAnsi="宋体" w:cs="宋体"/>
          <w:color w:val="auto"/>
          <w:szCs w:val="21"/>
        </w:rPr>
        <w:t>表4.3-12  土壤理化性质一览表</w:t>
      </w:r>
    </w:p>
    <w:tbl>
      <w:tblPr>
        <w:tblStyle w:val="51"/>
        <w:tblW w:w="4999"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1590"/>
        <w:gridCol w:w="4282"/>
        <w:gridCol w:w="3072"/>
      </w:tblGrid>
      <w:tr w14:paraId="4AE96CE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3282" w:type="pct"/>
            <w:gridSpan w:val="2"/>
            <w:vAlign w:val="center"/>
          </w:tcPr>
          <w:p w14:paraId="7EF08F6E">
            <w:pPr>
              <w:pStyle w:val="530"/>
              <w:rPr>
                <w:rFonts w:hint="eastAsia" w:eastAsia="宋体" w:cs="宋体"/>
                <w:color w:val="auto"/>
              </w:rPr>
            </w:pPr>
            <w:r>
              <w:rPr>
                <w:rFonts w:hint="eastAsia" w:eastAsia="宋体" w:cs="宋体"/>
                <w:color w:val="auto"/>
              </w:rPr>
              <w:t>点号</w:t>
            </w:r>
          </w:p>
        </w:tc>
        <w:tc>
          <w:tcPr>
            <w:tcW w:w="1717" w:type="pct"/>
          </w:tcPr>
          <w:p w14:paraId="6DBB70F6">
            <w:pPr>
              <w:pStyle w:val="530"/>
              <w:rPr>
                <w:rFonts w:hint="eastAsia" w:eastAsia="宋体" w:cs="宋体"/>
                <w:color w:val="auto"/>
              </w:rPr>
            </w:pPr>
            <w:r>
              <w:rPr>
                <w:rFonts w:hint="eastAsia" w:eastAsia="宋体" w:cs="宋体"/>
                <w:color w:val="auto"/>
              </w:rPr>
              <w:t>S1</w:t>
            </w:r>
          </w:p>
        </w:tc>
      </w:tr>
      <w:tr w14:paraId="1AFAE11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3282" w:type="pct"/>
            <w:gridSpan w:val="2"/>
            <w:vAlign w:val="center"/>
          </w:tcPr>
          <w:p w14:paraId="7803A42B">
            <w:pPr>
              <w:pStyle w:val="530"/>
              <w:rPr>
                <w:rFonts w:hint="eastAsia" w:eastAsia="宋体" w:cs="宋体"/>
                <w:color w:val="auto"/>
              </w:rPr>
            </w:pPr>
            <w:r>
              <w:rPr>
                <w:rFonts w:hint="eastAsia" w:eastAsia="宋体" w:cs="宋体"/>
                <w:color w:val="auto"/>
              </w:rPr>
              <w:t>层次</w:t>
            </w:r>
          </w:p>
        </w:tc>
        <w:tc>
          <w:tcPr>
            <w:tcW w:w="1717" w:type="pct"/>
          </w:tcPr>
          <w:p w14:paraId="3EBE060C">
            <w:pPr>
              <w:pStyle w:val="530"/>
              <w:rPr>
                <w:rFonts w:hint="eastAsia" w:eastAsia="宋体" w:cs="宋体"/>
                <w:color w:val="auto"/>
              </w:rPr>
            </w:pPr>
            <w:r>
              <w:rPr>
                <w:rFonts w:hint="eastAsia" w:eastAsia="宋体" w:cs="宋体"/>
                <w:color w:val="auto"/>
              </w:rPr>
              <w:t>0～0.2m</w:t>
            </w:r>
          </w:p>
        </w:tc>
      </w:tr>
      <w:tr w14:paraId="6E6CC4CD">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vMerge w:val="restart"/>
            <w:vAlign w:val="center"/>
          </w:tcPr>
          <w:p w14:paraId="2599E3F5">
            <w:pPr>
              <w:pStyle w:val="530"/>
              <w:rPr>
                <w:rFonts w:hint="eastAsia" w:eastAsia="宋体" w:cs="宋体"/>
                <w:color w:val="auto"/>
              </w:rPr>
            </w:pPr>
            <w:r>
              <w:rPr>
                <w:rFonts w:hint="eastAsia" w:eastAsia="宋体" w:cs="宋体"/>
                <w:color w:val="auto"/>
              </w:rPr>
              <w:t>现场记录</w:t>
            </w:r>
          </w:p>
        </w:tc>
        <w:tc>
          <w:tcPr>
            <w:tcW w:w="2392" w:type="pct"/>
            <w:vAlign w:val="center"/>
          </w:tcPr>
          <w:p w14:paraId="1BCAF51D">
            <w:pPr>
              <w:pStyle w:val="530"/>
              <w:rPr>
                <w:rFonts w:hint="eastAsia" w:eastAsia="宋体" w:cs="宋体"/>
                <w:color w:val="auto"/>
              </w:rPr>
            </w:pPr>
            <w:r>
              <w:rPr>
                <w:rFonts w:hint="eastAsia" w:eastAsia="宋体" w:cs="宋体"/>
                <w:color w:val="auto"/>
              </w:rPr>
              <w:t>颜色</w:t>
            </w:r>
          </w:p>
        </w:tc>
        <w:tc>
          <w:tcPr>
            <w:tcW w:w="1717" w:type="pct"/>
          </w:tcPr>
          <w:p w14:paraId="542A1B79">
            <w:pPr>
              <w:pStyle w:val="530"/>
              <w:rPr>
                <w:rFonts w:hint="eastAsia" w:eastAsia="宋体" w:cs="宋体"/>
                <w:color w:val="auto"/>
              </w:rPr>
            </w:pPr>
            <w:r>
              <w:rPr>
                <w:rFonts w:hint="eastAsia" w:eastAsia="宋体" w:cs="宋体"/>
                <w:color w:val="auto"/>
              </w:rPr>
              <w:t>黄棕色</w:t>
            </w:r>
          </w:p>
        </w:tc>
      </w:tr>
      <w:tr w14:paraId="3687798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vMerge w:val="continue"/>
            <w:vAlign w:val="center"/>
          </w:tcPr>
          <w:p w14:paraId="5DC6D020">
            <w:pPr>
              <w:pStyle w:val="530"/>
              <w:rPr>
                <w:rFonts w:hint="eastAsia" w:eastAsia="宋体" w:cs="宋体"/>
                <w:color w:val="auto"/>
              </w:rPr>
            </w:pPr>
          </w:p>
        </w:tc>
        <w:tc>
          <w:tcPr>
            <w:tcW w:w="2392" w:type="pct"/>
            <w:vAlign w:val="center"/>
          </w:tcPr>
          <w:p w14:paraId="2F2B4BF2">
            <w:pPr>
              <w:pStyle w:val="530"/>
              <w:rPr>
                <w:rFonts w:hint="eastAsia" w:eastAsia="宋体" w:cs="宋体"/>
                <w:color w:val="auto"/>
              </w:rPr>
            </w:pPr>
            <w:r>
              <w:rPr>
                <w:rFonts w:hint="eastAsia" w:eastAsia="宋体" w:cs="宋体"/>
                <w:color w:val="auto"/>
              </w:rPr>
              <w:t>结构</w:t>
            </w:r>
          </w:p>
        </w:tc>
        <w:tc>
          <w:tcPr>
            <w:tcW w:w="1717" w:type="pct"/>
          </w:tcPr>
          <w:p w14:paraId="2B0D411B">
            <w:pPr>
              <w:pStyle w:val="530"/>
              <w:rPr>
                <w:rFonts w:hint="eastAsia" w:eastAsia="宋体" w:cs="宋体"/>
                <w:color w:val="auto"/>
              </w:rPr>
            </w:pPr>
            <w:r>
              <w:rPr>
                <w:rFonts w:hint="eastAsia" w:eastAsia="宋体" w:cs="宋体"/>
                <w:color w:val="auto"/>
              </w:rPr>
              <w:t>碎屑状</w:t>
            </w:r>
          </w:p>
        </w:tc>
      </w:tr>
      <w:tr w14:paraId="39A01F34">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55" w:hRule="atLeast"/>
        </w:trPr>
        <w:tc>
          <w:tcPr>
            <w:tcW w:w="889" w:type="pct"/>
            <w:vMerge w:val="continue"/>
            <w:vAlign w:val="center"/>
          </w:tcPr>
          <w:p w14:paraId="064D3BC2">
            <w:pPr>
              <w:pStyle w:val="530"/>
              <w:rPr>
                <w:rFonts w:hint="eastAsia" w:eastAsia="宋体" w:cs="宋体"/>
                <w:color w:val="auto"/>
              </w:rPr>
            </w:pPr>
          </w:p>
        </w:tc>
        <w:tc>
          <w:tcPr>
            <w:tcW w:w="2392" w:type="pct"/>
            <w:vAlign w:val="center"/>
          </w:tcPr>
          <w:p w14:paraId="5BFA388C">
            <w:pPr>
              <w:pStyle w:val="530"/>
              <w:rPr>
                <w:rFonts w:hint="eastAsia" w:eastAsia="宋体" w:cs="宋体"/>
                <w:color w:val="auto"/>
              </w:rPr>
            </w:pPr>
            <w:r>
              <w:rPr>
                <w:rFonts w:hint="eastAsia" w:eastAsia="宋体" w:cs="宋体"/>
                <w:color w:val="auto"/>
              </w:rPr>
              <w:t>质地</w:t>
            </w:r>
          </w:p>
        </w:tc>
        <w:tc>
          <w:tcPr>
            <w:tcW w:w="1717" w:type="pct"/>
          </w:tcPr>
          <w:p w14:paraId="2958401B">
            <w:pPr>
              <w:pStyle w:val="530"/>
              <w:rPr>
                <w:rFonts w:hint="eastAsia" w:eastAsia="宋体" w:cs="宋体"/>
                <w:color w:val="auto"/>
              </w:rPr>
            </w:pPr>
            <w:r>
              <w:rPr>
                <w:rFonts w:hint="eastAsia" w:eastAsia="宋体" w:cs="宋体"/>
                <w:color w:val="auto"/>
              </w:rPr>
              <w:t>砂土</w:t>
            </w:r>
          </w:p>
        </w:tc>
      </w:tr>
      <w:tr w14:paraId="78F07B7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vMerge w:val="continue"/>
            <w:vAlign w:val="center"/>
          </w:tcPr>
          <w:p w14:paraId="4ED9EE19">
            <w:pPr>
              <w:pStyle w:val="530"/>
              <w:rPr>
                <w:rFonts w:hint="eastAsia" w:eastAsia="宋体" w:cs="宋体"/>
                <w:color w:val="auto"/>
              </w:rPr>
            </w:pPr>
          </w:p>
        </w:tc>
        <w:tc>
          <w:tcPr>
            <w:tcW w:w="2392" w:type="pct"/>
            <w:vAlign w:val="center"/>
          </w:tcPr>
          <w:p w14:paraId="1990179E">
            <w:pPr>
              <w:pStyle w:val="530"/>
              <w:rPr>
                <w:rFonts w:hint="eastAsia" w:eastAsia="宋体" w:cs="宋体"/>
                <w:color w:val="auto"/>
              </w:rPr>
            </w:pPr>
            <w:r>
              <w:rPr>
                <w:rFonts w:hint="eastAsia" w:eastAsia="宋体" w:cs="宋体"/>
                <w:color w:val="auto"/>
              </w:rPr>
              <w:t>砂砾含量（%）</w:t>
            </w:r>
          </w:p>
        </w:tc>
        <w:tc>
          <w:tcPr>
            <w:tcW w:w="1717" w:type="pct"/>
          </w:tcPr>
          <w:p w14:paraId="47E6B667">
            <w:pPr>
              <w:pStyle w:val="530"/>
              <w:rPr>
                <w:rFonts w:hint="eastAsia" w:eastAsia="宋体" w:cs="宋体"/>
                <w:color w:val="auto"/>
              </w:rPr>
            </w:pPr>
            <w:r>
              <w:rPr>
                <w:rFonts w:hint="eastAsia" w:eastAsia="宋体" w:cs="宋体"/>
                <w:color w:val="auto"/>
              </w:rPr>
              <w:t>90</w:t>
            </w:r>
          </w:p>
        </w:tc>
      </w:tr>
      <w:tr w14:paraId="4D074F3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vMerge w:val="continue"/>
            <w:vAlign w:val="center"/>
          </w:tcPr>
          <w:p w14:paraId="3CBE3DBB">
            <w:pPr>
              <w:pStyle w:val="530"/>
              <w:rPr>
                <w:rFonts w:hint="eastAsia" w:eastAsia="宋体" w:cs="宋体"/>
                <w:color w:val="auto"/>
              </w:rPr>
            </w:pPr>
          </w:p>
        </w:tc>
        <w:tc>
          <w:tcPr>
            <w:tcW w:w="2392" w:type="pct"/>
            <w:vAlign w:val="center"/>
          </w:tcPr>
          <w:p w14:paraId="6953082C">
            <w:pPr>
              <w:pStyle w:val="530"/>
              <w:rPr>
                <w:rFonts w:hint="eastAsia" w:eastAsia="宋体" w:cs="宋体"/>
                <w:color w:val="auto"/>
              </w:rPr>
            </w:pPr>
            <w:r>
              <w:rPr>
                <w:rFonts w:hint="eastAsia" w:eastAsia="宋体" w:cs="宋体"/>
                <w:color w:val="auto"/>
              </w:rPr>
              <w:t>其他异物</w:t>
            </w:r>
          </w:p>
        </w:tc>
        <w:tc>
          <w:tcPr>
            <w:tcW w:w="1717" w:type="pct"/>
          </w:tcPr>
          <w:p w14:paraId="316D66A3">
            <w:pPr>
              <w:pStyle w:val="530"/>
              <w:rPr>
                <w:rFonts w:hint="eastAsia" w:eastAsia="宋体" w:cs="宋体"/>
                <w:color w:val="auto"/>
              </w:rPr>
            </w:pPr>
            <w:r>
              <w:rPr>
                <w:rFonts w:hint="eastAsia" w:eastAsia="宋体" w:cs="宋体"/>
                <w:color w:val="auto"/>
              </w:rPr>
              <w:t>无</w:t>
            </w:r>
          </w:p>
        </w:tc>
      </w:tr>
      <w:tr w14:paraId="6A47C25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vMerge w:val="restart"/>
            <w:vAlign w:val="center"/>
          </w:tcPr>
          <w:p w14:paraId="2C7695D9">
            <w:pPr>
              <w:pStyle w:val="530"/>
              <w:rPr>
                <w:rFonts w:hint="eastAsia" w:eastAsia="宋体" w:cs="宋体"/>
                <w:color w:val="auto"/>
              </w:rPr>
            </w:pPr>
            <w:r>
              <w:rPr>
                <w:rFonts w:hint="eastAsia" w:eastAsia="宋体" w:cs="宋体"/>
                <w:color w:val="auto"/>
              </w:rPr>
              <w:t>实验室测点</w:t>
            </w:r>
          </w:p>
        </w:tc>
        <w:tc>
          <w:tcPr>
            <w:tcW w:w="2392" w:type="pct"/>
            <w:vAlign w:val="center"/>
          </w:tcPr>
          <w:p w14:paraId="5C5F6765">
            <w:pPr>
              <w:pStyle w:val="530"/>
              <w:rPr>
                <w:rFonts w:hint="eastAsia" w:eastAsia="宋体" w:cs="宋体"/>
                <w:color w:val="auto"/>
              </w:rPr>
            </w:pPr>
            <w:r>
              <w:rPr>
                <w:rFonts w:hint="eastAsia" w:eastAsia="宋体" w:cs="宋体"/>
                <w:color w:val="auto"/>
              </w:rPr>
              <w:t>pH值</w:t>
            </w:r>
          </w:p>
        </w:tc>
        <w:tc>
          <w:tcPr>
            <w:tcW w:w="1717" w:type="pct"/>
          </w:tcPr>
          <w:p w14:paraId="530E650F">
            <w:pPr>
              <w:pStyle w:val="530"/>
              <w:rPr>
                <w:rFonts w:hint="eastAsia" w:eastAsia="宋体" w:cs="宋体"/>
                <w:color w:val="auto"/>
              </w:rPr>
            </w:pPr>
            <w:r>
              <w:rPr>
                <w:rFonts w:hint="eastAsia" w:eastAsia="宋体" w:cs="宋体"/>
                <w:color w:val="auto"/>
              </w:rPr>
              <w:t>7.92</w:t>
            </w:r>
          </w:p>
        </w:tc>
      </w:tr>
      <w:tr w14:paraId="66FB0E25">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vMerge w:val="continue"/>
            <w:vAlign w:val="center"/>
          </w:tcPr>
          <w:p w14:paraId="5DF79843">
            <w:pPr>
              <w:pStyle w:val="530"/>
              <w:rPr>
                <w:rFonts w:hint="eastAsia" w:eastAsia="宋体" w:cs="宋体"/>
                <w:color w:val="auto"/>
              </w:rPr>
            </w:pPr>
          </w:p>
        </w:tc>
        <w:tc>
          <w:tcPr>
            <w:tcW w:w="2392" w:type="pct"/>
            <w:vAlign w:val="center"/>
          </w:tcPr>
          <w:p w14:paraId="7E992A90">
            <w:pPr>
              <w:pStyle w:val="530"/>
              <w:rPr>
                <w:rFonts w:hint="eastAsia" w:eastAsia="宋体" w:cs="宋体"/>
                <w:color w:val="auto"/>
              </w:rPr>
            </w:pPr>
            <w:r>
              <w:rPr>
                <w:rFonts w:hint="eastAsia" w:eastAsia="宋体" w:cs="宋体"/>
                <w:color w:val="auto"/>
              </w:rPr>
              <w:t>阳离子交换量（cmol/kg）</w:t>
            </w:r>
          </w:p>
        </w:tc>
        <w:tc>
          <w:tcPr>
            <w:tcW w:w="1717" w:type="pct"/>
          </w:tcPr>
          <w:p w14:paraId="5502C98D">
            <w:pPr>
              <w:pStyle w:val="530"/>
              <w:rPr>
                <w:rFonts w:hint="eastAsia" w:eastAsia="宋体" w:cs="宋体"/>
                <w:color w:val="auto"/>
              </w:rPr>
            </w:pPr>
            <w:r>
              <w:rPr>
                <w:rFonts w:hint="eastAsia" w:eastAsia="宋体" w:cs="宋体"/>
                <w:color w:val="auto"/>
              </w:rPr>
              <w:t>8.6</w:t>
            </w:r>
          </w:p>
        </w:tc>
      </w:tr>
      <w:tr w14:paraId="1863F52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vMerge w:val="continue"/>
            <w:vAlign w:val="center"/>
          </w:tcPr>
          <w:p w14:paraId="485A9F2C">
            <w:pPr>
              <w:pStyle w:val="530"/>
              <w:rPr>
                <w:rFonts w:hint="eastAsia" w:eastAsia="宋体" w:cs="宋体"/>
                <w:color w:val="auto"/>
              </w:rPr>
            </w:pPr>
          </w:p>
        </w:tc>
        <w:tc>
          <w:tcPr>
            <w:tcW w:w="2392" w:type="pct"/>
            <w:vAlign w:val="center"/>
          </w:tcPr>
          <w:p w14:paraId="57992CE1">
            <w:pPr>
              <w:pStyle w:val="530"/>
              <w:rPr>
                <w:rFonts w:hint="eastAsia" w:eastAsia="宋体" w:cs="宋体"/>
                <w:color w:val="auto"/>
              </w:rPr>
            </w:pPr>
            <w:r>
              <w:rPr>
                <w:rFonts w:hint="eastAsia" w:eastAsia="宋体" w:cs="宋体"/>
                <w:color w:val="auto"/>
              </w:rPr>
              <w:t>氧化还原电位（mV）</w:t>
            </w:r>
          </w:p>
        </w:tc>
        <w:tc>
          <w:tcPr>
            <w:tcW w:w="1717" w:type="pct"/>
          </w:tcPr>
          <w:p w14:paraId="2A5BA209">
            <w:pPr>
              <w:pStyle w:val="530"/>
              <w:rPr>
                <w:rFonts w:hint="eastAsia" w:eastAsia="宋体" w:cs="宋体"/>
                <w:color w:val="auto"/>
              </w:rPr>
            </w:pPr>
            <w:r>
              <w:rPr>
                <w:rFonts w:hint="eastAsia" w:eastAsia="宋体" w:cs="宋体"/>
                <w:color w:val="auto"/>
              </w:rPr>
              <w:t>214</w:t>
            </w:r>
          </w:p>
        </w:tc>
      </w:tr>
      <w:tr w14:paraId="53BC107A">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vMerge w:val="continue"/>
            <w:vAlign w:val="center"/>
          </w:tcPr>
          <w:p w14:paraId="4DBFE63A">
            <w:pPr>
              <w:pStyle w:val="530"/>
              <w:rPr>
                <w:rFonts w:hint="eastAsia" w:eastAsia="宋体" w:cs="宋体"/>
                <w:color w:val="auto"/>
              </w:rPr>
            </w:pPr>
          </w:p>
        </w:tc>
        <w:tc>
          <w:tcPr>
            <w:tcW w:w="2392" w:type="pct"/>
            <w:vAlign w:val="center"/>
          </w:tcPr>
          <w:p w14:paraId="55F026D8">
            <w:pPr>
              <w:pStyle w:val="530"/>
              <w:rPr>
                <w:rFonts w:hint="eastAsia" w:eastAsia="宋体" w:cs="宋体"/>
                <w:color w:val="auto"/>
              </w:rPr>
            </w:pPr>
            <w:r>
              <w:rPr>
                <w:rFonts w:hint="eastAsia" w:eastAsia="宋体" w:cs="宋体"/>
                <w:color w:val="auto"/>
              </w:rPr>
              <w:t>饱和导水率（mm/min）</w:t>
            </w:r>
          </w:p>
        </w:tc>
        <w:tc>
          <w:tcPr>
            <w:tcW w:w="1717" w:type="pct"/>
            <w:vAlign w:val="center"/>
          </w:tcPr>
          <w:p w14:paraId="790F1C42">
            <w:pPr>
              <w:pStyle w:val="530"/>
              <w:rPr>
                <w:rFonts w:hint="eastAsia" w:eastAsia="宋体" w:cs="宋体"/>
                <w:color w:val="auto"/>
              </w:rPr>
            </w:pPr>
            <w:r>
              <w:rPr>
                <w:rFonts w:hint="eastAsia" w:eastAsia="宋体" w:cs="宋体"/>
                <w:color w:val="auto"/>
              </w:rPr>
              <w:t>0.6</w:t>
            </w:r>
          </w:p>
        </w:tc>
      </w:tr>
      <w:tr w14:paraId="31F573A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vMerge w:val="continue"/>
            <w:vAlign w:val="center"/>
          </w:tcPr>
          <w:p w14:paraId="70D105F0">
            <w:pPr>
              <w:pStyle w:val="530"/>
              <w:rPr>
                <w:rFonts w:hint="eastAsia" w:eastAsia="宋体" w:cs="宋体"/>
                <w:color w:val="auto"/>
              </w:rPr>
            </w:pPr>
          </w:p>
        </w:tc>
        <w:tc>
          <w:tcPr>
            <w:tcW w:w="2392" w:type="pct"/>
            <w:vAlign w:val="center"/>
          </w:tcPr>
          <w:p w14:paraId="1DDDBE6D">
            <w:pPr>
              <w:pStyle w:val="530"/>
              <w:rPr>
                <w:rFonts w:hint="eastAsia" w:eastAsia="宋体" w:cs="宋体"/>
                <w:color w:val="auto"/>
              </w:rPr>
            </w:pPr>
            <w:r>
              <w:rPr>
                <w:rFonts w:hint="eastAsia" w:eastAsia="宋体" w:cs="宋体"/>
                <w:color w:val="auto"/>
              </w:rPr>
              <w:t>土壤容重（g/cm</w:t>
            </w:r>
            <w:r>
              <w:rPr>
                <w:rFonts w:hint="eastAsia" w:eastAsia="宋体" w:cs="宋体"/>
                <w:color w:val="auto"/>
                <w:vertAlign w:val="superscript"/>
              </w:rPr>
              <w:t>3</w:t>
            </w:r>
            <w:r>
              <w:rPr>
                <w:rFonts w:hint="eastAsia" w:eastAsia="宋体" w:cs="宋体"/>
                <w:color w:val="auto"/>
              </w:rPr>
              <w:t>）</w:t>
            </w:r>
          </w:p>
        </w:tc>
        <w:tc>
          <w:tcPr>
            <w:tcW w:w="1717" w:type="pct"/>
            <w:vAlign w:val="center"/>
          </w:tcPr>
          <w:p w14:paraId="5EDF2759">
            <w:pPr>
              <w:pStyle w:val="530"/>
              <w:rPr>
                <w:rFonts w:hint="eastAsia" w:eastAsia="宋体" w:cs="宋体"/>
                <w:color w:val="auto"/>
              </w:rPr>
            </w:pPr>
            <w:r>
              <w:rPr>
                <w:rFonts w:hint="eastAsia" w:eastAsia="宋体" w:cs="宋体"/>
                <w:color w:val="auto"/>
              </w:rPr>
              <w:t>0.409</w:t>
            </w:r>
          </w:p>
        </w:tc>
      </w:tr>
      <w:tr w14:paraId="34458B5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4" w:hRule="atLeast"/>
        </w:trPr>
        <w:tc>
          <w:tcPr>
            <w:tcW w:w="889" w:type="pct"/>
            <w:vMerge w:val="continue"/>
            <w:vAlign w:val="center"/>
          </w:tcPr>
          <w:p w14:paraId="30636E5E">
            <w:pPr>
              <w:pStyle w:val="530"/>
              <w:rPr>
                <w:rFonts w:hint="eastAsia" w:eastAsia="宋体" w:cs="宋体"/>
                <w:color w:val="auto"/>
              </w:rPr>
            </w:pPr>
          </w:p>
        </w:tc>
        <w:tc>
          <w:tcPr>
            <w:tcW w:w="2392" w:type="pct"/>
            <w:vAlign w:val="center"/>
          </w:tcPr>
          <w:p w14:paraId="718DE0AA">
            <w:pPr>
              <w:pStyle w:val="530"/>
              <w:rPr>
                <w:rFonts w:hint="eastAsia" w:eastAsia="宋体" w:cs="宋体"/>
                <w:color w:val="auto"/>
              </w:rPr>
            </w:pPr>
            <w:r>
              <w:rPr>
                <w:rFonts w:hint="eastAsia" w:eastAsia="宋体" w:cs="宋体"/>
                <w:color w:val="auto"/>
              </w:rPr>
              <w:t>孔隙度（%）</w:t>
            </w:r>
          </w:p>
        </w:tc>
        <w:tc>
          <w:tcPr>
            <w:tcW w:w="1717" w:type="pct"/>
            <w:vAlign w:val="center"/>
          </w:tcPr>
          <w:p w14:paraId="6AF0D5C3">
            <w:pPr>
              <w:pStyle w:val="530"/>
              <w:rPr>
                <w:rFonts w:hint="eastAsia" w:eastAsia="宋体" w:cs="宋体"/>
                <w:color w:val="auto"/>
              </w:rPr>
            </w:pPr>
            <w:r>
              <w:rPr>
                <w:rFonts w:hint="eastAsia" w:eastAsia="宋体" w:cs="宋体"/>
                <w:color w:val="auto"/>
              </w:rPr>
              <w:t>50.1</w:t>
            </w:r>
          </w:p>
        </w:tc>
      </w:tr>
    </w:tbl>
    <w:p w14:paraId="6B000317">
      <w:pPr>
        <w:pStyle w:val="19"/>
        <w:spacing w:after="0" w:line="500" w:lineRule="exact"/>
        <w:ind w:firstLine="480" w:firstLineChars="200"/>
        <w:rPr>
          <w:rFonts w:hint="eastAsia" w:ascii="宋体" w:hAnsi="宋体" w:cs="宋体"/>
          <w:color w:val="auto"/>
          <w:sz w:val="24"/>
        </w:rPr>
      </w:pPr>
      <w:r>
        <w:rPr>
          <w:rFonts w:hint="eastAsia" w:ascii="宋体" w:hAnsi="宋体" w:cs="宋体"/>
          <w:color w:val="auto"/>
          <w:sz w:val="24"/>
        </w:rPr>
        <w:t>由表4.3-10、表4.3-11可知：土壤各监测因子浓度均满足《土壤环境质量  建设用地土壤污染风险管控标准（试行）》（GB36600-2018）中第二类用地筛选值要求。</w:t>
      </w:r>
    </w:p>
    <w:p w14:paraId="7A836BCF">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生态环境现状调查与评价</w:t>
      </w:r>
    </w:p>
    <w:p w14:paraId="1ECBD81E">
      <w:pPr>
        <w:pStyle w:val="86"/>
        <w:ind w:firstLine="480"/>
        <w:rPr>
          <w:rFonts w:hint="eastAsia"/>
          <w:color w:val="auto"/>
        </w:rPr>
      </w:pPr>
      <w:bookmarkStart w:id="608" w:name="_Hlk80201310"/>
      <w:r>
        <w:rPr>
          <w:rFonts w:hint="eastAsia"/>
          <w:color w:val="auto"/>
        </w:rPr>
        <w:t>（1）</w:t>
      </w:r>
      <w:r>
        <w:rPr>
          <w:color w:val="auto"/>
        </w:rPr>
        <w:t>区域生态系统及主要环境问题</w:t>
      </w:r>
    </w:p>
    <w:p w14:paraId="0D2EAA61">
      <w:pPr>
        <w:pStyle w:val="86"/>
        <w:ind w:firstLine="480"/>
        <w:rPr>
          <w:rFonts w:hint="eastAsia"/>
          <w:color w:val="auto"/>
        </w:rPr>
      </w:pPr>
      <w:r>
        <w:rPr>
          <w:rFonts w:hint="eastAsia"/>
          <w:color w:val="auto"/>
        </w:rPr>
        <w:t>①生态功能区划</w:t>
      </w:r>
    </w:p>
    <w:p w14:paraId="524AF68C">
      <w:pPr>
        <w:pStyle w:val="19"/>
        <w:spacing w:after="0" w:line="500" w:lineRule="exact"/>
        <w:ind w:firstLine="480" w:firstLineChars="200"/>
        <w:rPr>
          <w:rFonts w:hint="eastAsia" w:ascii="宋体" w:hAnsi="宋体" w:cs="宋体"/>
          <w:color w:val="auto"/>
          <w:sz w:val="24"/>
          <w:szCs w:val="21"/>
        </w:rPr>
      </w:pPr>
      <w:r>
        <w:rPr>
          <w:rFonts w:hint="eastAsia" w:ascii="宋体" w:hAnsi="宋体" w:cs="宋体"/>
          <w:color w:val="auto"/>
          <w:sz w:val="24"/>
        </w:rPr>
        <w:t>根据《新疆生态功能区划简表》，项目所属生态功能区的主要生态服务功能、主要生态环境问题、主要保护目标和主要发展方向等内容</w:t>
      </w:r>
      <w:r>
        <w:rPr>
          <w:rFonts w:hint="eastAsia" w:ascii="宋体" w:hAnsi="宋体" w:cs="宋体"/>
          <w:color w:val="auto"/>
          <w:sz w:val="24"/>
          <w:szCs w:val="21"/>
        </w:rPr>
        <w:t>见表</w:t>
      </w:r>
      <w:r>
        <w:rPr>
          <w:rFonts w:ascii="宋体" w:hAnsi="宋体" w:cs="宋体"/>
          <w:color w:val="auto"/>
          <w:sz w:val="24"/>
          <w:szCs w:val="21"/>
        </w:rPr>
        <w:t>4.3</w:t>
      </w:r>
      <w:r>
        <w:rPr>
          <w:rFonts w:hint="eastAsia" w:ascii="宋体" w:hAnsi="宋体" w:cs="宋体"/>
          <w:color w:val="auto"/>
          <w:sz w:val="24"/>
          <w:szCs w:val="21"/>
        </w:rPr>
        <w:t>-</w:t>
      </w:r>
      <w:r>
        <w:rPr>
          <w:rFonts w:ascii="宋体" w:hAnsi="宋体" w:cs="宋体"/>
          <w:color w:val="auto"/>
          <w:sz w:val="24"/>
          <w:szCs w:val="21"/>
        </w:rPr>
        <w:t>1</w:t>
      </w:r>
      <w:r>
        <w:rPr>
          <w:rFonts w:hint="eastAsia" w:ascii="宋体" w:hAnsi="宋体" w:cs="宋体"/>
          <w:color w:val="auto"/>
          <w:sz w:val="24"/>
          <w:szCs w:val="21"/>
        </w:rPr>
        <w:t>3和图4.3-6。</w:t>
      </w:r>
    </w:p>
    <w:p w14:paraId="20E13240">
      <w:pPr>
        <w:pStyle w:val="19"/>
        <w:spacing w:after="0" w:line="500" w:lineRule="exact"/>
        <w:jc w:val="center"/>
        <w:rPr>
          <w:rFonts w:hint="eastAsia" w:ascii="黑体" w:hAnsi="黑体" w:eastAsia="黑体" w:cs="黑体"/>
          <w:color w:val="auto"/>
          <w:szCs w:val="21"/>
        </w:rPr>
      </w:pPr>
      <w:r>
        <w:rPr>
          <w:rFonts w:hint="eastAsia" w:ascii="黑体" w:hAnsi="黑体" w:eastAsia="黑体" w:cs="黑体"/>
          <w:color w:val="auto"/>
          <w:szCs w:val="21"/>
        </w:rPr>
        <w:t>表</w:t>
      </w:r>
      <w:r>
        <w:rPr>
          <w:rFonts w:ascii="黑体" w:hAnsi="黑体" w:eastAsia="黑体" w:cs="黑体"/>
          <w:color w:val="auto"/>
          <w:szCs w:val="21"/>
        </w:rPr>
        <w:t>4.3</w:t>
      </w:r>
      <w:r>
        <w:rPr>
          <w:rFonts w:hint="eastAsia" w:ascii="黑体" w:hAnsi="黑体" w:eastAsia="黑体" w:cs="黑体"/>
          <w:color w:val="auto"/>
          <w:szCs w:val="21"/>
        </w:rPr>
        <w:t>-</w:t>
      </w:r>
      <w:r>
        <w:rPr>
          <w:rFonts w:ascii="黑体" w:hAnsi="黑体" w:eastAsia="黑体" w:cs="黑体"/>
          <w:color w:val="auto"/>
          <w:szCs w:val="21"/>
        </w:rPr>
        <w:t>1</w:t>
      </w:r>
      <w:r>
        <w:rPr>
          <w:rFonts w:hint="eastAsia" w:ascii="黑体" w:hAnsi="黑体" w:eastAsia="黑体" w:cs="黑体"/>
          <w:color w:val="auto"/>
          <w:szCs w:val="21"/>
        </w:rPr>
        <w:t>3  区域生态功能区划</w:t>
      </w:r>
    </w:p>
    <w:tbl>
      <w:tblPr>
        <w:tblStyle w:val="51"/>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7"/>
        <w:gridCol w:w="1277"/>
        <w:gridCol w:w="6708"/>
      </w:tblGrid>
      <w:tr w14:paraId="63B28B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5" w:type="pct"/>
            <w:vMerge w:val="restart"/>
            <w:tcBorders>
              <w:top w:val="single" w:color="000000" w:sz="12" w:space="0"/>
              <w:tl2br w:val="nil"/>
              <w:tr2bl w:val="nil"/>
            </w:tcBorders>
            <w:vAlign w:val="center"/>
          </w:tcPr>
          <w:p w14:paraId="7A518F79">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生态功能分区单元</w:t>
            </w:r>
          </w:p>
        </w:tc>
        <w:tc>
          <w:tcPr>
            <w:tcW w:w="713" w:type="pct"/>
            <w:tcBorders>
              <w:top w:val="single" w:color="000000" w:sz="12" w:space="0"/>
              <w:tl2br w:val="nil"/>
              <w:tr2bl w:val="nil"/>
            </w:tcBorders>
            <w:vAlign w:val="center"/>
          </w:tcPr>
          <w:p w14:paraId="25FA0713">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生态区</w:t>
            </w:r>
          </w:p>
        </w:tc>
        <w:tc>
          <w:tcPr>
            <w:tcW w:w="3751" w:type="pct"/>
            <w:tcBorders>
              <w:top w:val="single" w:color="000000" w:sz="12" w:space="0"/>
              <w:tl2br w:val="nil"/>
              <w:tr2bl w:val="nil"/>
            </w:tcBorders>
            <w:vAlign w:val="center"/>
          </w:tcPr>
          <w:p w14:paraId="03EE2FF5">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 xml:space="preserve">Ⅱ </w:t>
            </w:r>
            <w:bookmarkStart w:id="609" w:name="_Hlk165761702"/>
            <w:r>
              <w:rPr>
                <w:rFonts w:hint="eastAsia" w:ascii="宋体" w:hAnsi="宋体" w:cs="宋体"/>
                <w:color w:val="auto"/>
                <w:szCs w:val="21"/>
              </w:rPr>
              <w:t>准噶尔盆地温性荒漠与绿洲农业生态区</w:t>
            </w:r>
            <w:bookmarkEnd w:id="609"/>
          </w:p>
        </w:tc>
      </w:tr>
      <w:tr w14:paraId="21E68F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5" w:type="pct"/>
            <w:vMerge w:val="continue"/>
            <w:tcBorders>
              <w:tl2br w:val="nil"/>
              <w:tr2bl w:val="nil"/>
            </w:tcBorders>
            <w:vAlign w:val="center"/>
          </w:tcPr>
          <w:p w14:paraId="539E312C">
            <w:pPr>
              <w:pStyle w:val="19"/>
              <w:adjustRightInd w:val="0"/>
              <w:snapToGrid w:val="0"/>
              <w:spacing w:after="0" w:line="300" w:lineRule="exact"/>
              <w:jc w:val="center"/>
              <w:rPr>
                <w:rFonts w:hint="eastAsia" w:ascii="宋体" w:hAnsi="宋体" w:cs="宋体"/>
                <w:color w:val="auto"/>
                <w:szCs w:val="21"/>
              </w:rPr>
            </w:pPr>
          </w:p>
        </w:tc>
        <w:tc>
          <w:tcPr>
            <w:tcW w:w="713" w:type="pct"/>
            <w:tcBorders>
              <w:tl2br w:val="nil"/>
              <w:tr2bl w:val="nil"/>
            </w:tcBorders>
            <w:vAlign w:val="center"/>
          </w:tcPr>
          <w:p w14:paraId="76D13B00">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生态亚区</w:t>
            </w:r>
          </w:p>
        </w:tc>
        <w:tc>
          <w:tcPr>
            <w:tcW w:w="3751" w:type="pct"/>
            <w:tcBorders>
              <w:tl2br w:val="nil"/>
              <w:tr2bl w:val="nil"/>
            </w:tcBorders>
            <w:vAlign w:val="center"/>
          </w:tcPr>
          <w:p w14:paraId="53D15CEB">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rPr>
              <w:t>Ⅱ</w:t>
            </w:r>
            <w:r>
              <w:rPr>
                <w:rFonts w:ascii="宋体" w:hAnsi="宋体" w:cs="宋体"/>
                <w:color w:val="auto"/>
              </w:rPr>
              <w:t>3</w:t>
            </w:r>
            <w:bookmarkStart w:id="610" w:name="_Hlk165761709"/>
            <w:r>
              <w:rPr>
                <w:rFonts w:hint="eastAsia" w:ascii="宋体" w:hAnsi="宋体" w:cs="宋体"/>
                <w:color w:val="auto"/>
              </w:rPr>
              <w:t>准噶尔盆地中部固定、半固定沙漠生态亚区</w:t>
            </w:r>
            <w:bookmarkEnd w:id="610"/>
          </w:p>
        </w:tc>
      </w:tr>
      <w:tr w14:paraId="126B2A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5" w:type="pct"/>
            <w:vMerge w:val="continue"/>
            <w:tcBorders>
              <w:tl2br w:val="nil"/>
              <w:tr2bl w:val="nil"/>
            </w:tcBorders>
            <w:vAlign w:val="center"/>
          </w:tcPr>
          <w:p w14:paraId="25103341">
            <w:pPr>
              <w:pStyle w:val="19"/>
              <w:adjustRightInd w:val="0"/>
              <w:snapToGrid w:val="0"/>
              <w:spacing w:after="0" w:line="300" w:lineRule="exact"/>
              <w:jc w:val="center"/>
              <w:rPr>
                <w:rFonts w:hint="eastAsia" w:ascii="宋体" w:hAnsi="宋体" w:cs="宋体"/>
                <w:color w:val="auto"/>
                <w:szCs w:val="21"/>
              </w:rPr>
            </w:pPr>
          </w:p>
        </w:tc>
        <w:tc>
          <w:tcPr>
            <w:tcW w:w="713" w:type="pct"/>
            <w:tcBorders>
              <w:tl2br w:val="nil"/>
              <w:tr2bl w:val="nil"/>
            </w:tcBorders>
            <w:vAlign w:val="center"/>
          </w:tcPr>
          <w:p w14:paraId="798B0007">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生态功能区</w:t>
            </w:r>
          </w:p>
        </w:tc>
        <w:tc>
          <w:tcPr>
            <w:tcW w:w="3751" w:type="pct"/>
            <w:tcBorders>
              <w:tl2br w:val="nil"/>
              <w:tr2bl w:val="nil"/>
            </w:tcBorders>
            <w:vAlign w:val="center"/>
          </w:tcPr>
          <w:p w14:paraId="648D0E51">
            <w:pPr>
              <w:pStyle w:val="19"/>
              <w:adjustRightInd w:val="0"/>
              <w:snapToGrid w:val="0"/>
              <w:spacing w:after="0" w:line="300" w:lineRule="exact"/>
              <w:jc w:val="center"/>
              <w:rPr>
                <w:rFonts w:hint="eastAsia" w:ascii="宋体" w:hAnsi="宋体" w:cs="宋体"/>
                <w:color w:val="auto"/>
                <w:szCs w:val="21"/>
              </w:rPr>
            </w:pPr>
            <w:r>
              <w:rPr>
                <w:rFonts w:ascii="宋体" w:hAnsi="宋体" w:cs="宋体"/>
                <w:color w:val="auto"/>
              </w:rPr>
              <w:t>23</w:t>
            </w:r>
            <w:bookmarkStart w:id="611" w:name="_Hlk165761716"/>
            <w:r>
              <w:rPr>
                <w:rFonts w:hint="eastAsia" w:ascii="宋体" w:hAnsi="宋体" w:cs="宋体"/>
                <w:color w:val="auto"/>
              </w:rPr>
              <w:t>古尔班通古特沙漠化敏感及植被保护生态功能区</w:t>
            </w:r>
            <w:bookmarkEnd w:id="611"/>
          </w:p>
        </w:tc>
      </w:tr>
      <w:tr w14:paraId="622E3A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gridSpan w:val="2"/>
            <w:tcBorders>
              <w:tl2br w:val="nil"/>
              <w:tr2bl w:val="nil"/>
            </w:tcBorders>
            <w:vAlign w:val="center"/>
          </w:tcPr>
          <w:p w14:paraId="3444418B">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主要生态服务功能</w:t>
            </w:r>
          </w:p>
        </w:tc>
        <w:tc>
          <w:tcPr>
            <w:tcW w:w="3751" w:type="pct"/>
            <w:tcBorders>
              <w:tl2br w:val="nil"/>
              <w:tr2bl w:val="nil"/>
            </w:tcBorders>
            <w:vAlign w:val="center"/>
          </w:tcPr>
          <w:p w14:paraId="39934797">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沙漠化控制、生物多样性保护</w:t>
            </w:r>
          </w:p>
        </w:tc>
      </w:tr>
      <w:tr w14:paraId="3F3A59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gridSpan w:val="2"/>
            <w:tcBorders>
              <w:tl2br w:val="nil"/>
              <w:tr2bl w:val="nil"/>
            </w:tcBorders>
            <w:vAlign w:val="center"/>
          </w:tcPr>
          <w:p w14:paraId="228282DE">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主要生态环境问题</w:t>
            </w:r>
          </w:p>
        </w:tc>
        <w:tc>
          <w:tcPr>
            <w:tcW w:w="3751" w:type="pct"/>
            <w:tcBorders>
              <w:tl2br w:val="nil"/>
              <w:tr2bl w:val="nil"/>
            </w:tcBorders>
            <w:vAlign w:val="center"/>
          </w:tcPr>
          <w:p w14:paraId="03E33A25">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人为干扰范围扩大、工程建设引起沙漠植被破坏、鼠害严重、植被退化、沙漠化构成对南缘绿洲的威胁</w:t>
            </w:r>
          </w:p>
        </w:tc>
      </w:tr>
      <w:tr w14:paraId="4F351F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gridSpan w:val="2"/>
            <w:tcBorders>
              <w:tl2br w:val="nil"/>
              <w:tr2bl w:val="nil"/>
            </w:tcBorders>
            <w:vAlign w:val="center"/>
          </w:tcPr>
          <w:p w14:paraId="3C86CA4D">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主要生态敏感因子、敏感程度</w:t>
            </w:r>
          </w:p>
        </w:tc>
        <w:tc>
          <w:tcPr>
            <w:tcW w:w="3751" w:type="pct"/>
            <w:tcBorders>
              <w:tl2br w:val="nil"/>
              <w:tr2bl w:val="nil"/>
            </w:tcBorders>
            <w:vAlign w:val="center"/>
          </w:tcPr>
          <w:p w14:paraId="1A0BBBEC">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生物多样性及其生境高度敏感，土地沙漠化极度敏感，土地侵蚀高度敏感、土壤盐渍化轻度敏感</w:t>
            </w:r>
          </w:p>
        </w:tc>
      </w:tr>
      <w:tr w14:paraId="579870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gridSpan w:val="2"/>
            <w:tcBorders>
              <w:tl2br w:val="nil"/>
              <w:tr2bl w:val="nil"/>
            </w:tcBorders>
            <w:vAlign w:val="center"/>
          </w:tcPr>
          <w:p w14:paraId="43FED39E">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主要保护目标</w:t>
            </w:r>
          </w:p>
        </w:tc>
        <w:tc>
          <w:tcPr>
            <w:tcW w:w="3751" w:type="pct"/>
            <w:tcBorders>
              <w:tl2br w:val="nil"/>
              <w:tr2bl w:val="nil"/>
            </w:tcBorders>
            <w:vAlign w:val="center"/>
          </w:tcPr>
          <w:p w14:paraId="22093DE6">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保护沙漠植被、防止沙丘活化</w:t>
            </w:r>
          </w:p>
        </w:tc>
      </w:tr>
      <w:tr w14:paraId="22DD6D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gridSpan w:val="2"/>
            <w:tcBorders>
              <w:tl2br w:val="nil"/>
              <w:tr2bl w:val="nil"/>
            </w:tcBorders>
            <w:vAlign w:val="center"/>
          </w:tcPr>
          <w:p w14:paraId="0E2C56EC">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主要保护措施</w:t>
            </w:r>
          </w:p>
        </w:tc>
        <w:tc>
          <w:tcPr>
            <w:tcW w:w="3751" w:type="pct"/>
            <w:tcBorders>
              <w:tl2br w:val="nil"/>
              <w:tr2bl w:val="nil"/>
            </w:tcBorders>
            <w:vAlign w:val="center"/>
          </w:tcPr>
          <w:p w14:paraId="560F452B">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对沙漠边缘流动沙丘、活化沙地进行封沙育林、退耕还林（草），禁止憔采和放牧，禁止开荒</w:t>
            </w:r>
          </w:p>
        </w:tc>
      </w:tr>
      <w:tr w14:paraId="2541F8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gridSpan w:val="2"/>
            <w:tcBorders>
              <w:bottom w:val="single" w:color="000000" w:sz="12" w:space="0"/>
              <w:tl2br w:val="nil"/>
              <w:tr2bl w:val="nil"/>
            </w:tcBorders>
            <w:vAlign w:val="center"/>
          </w:tcPr>
          <w:p w14:paraId="23C32EED">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主要发展方向</w:t>
            </w:r>
          </w:p>
        </w:tc>
        <w:tc>
          <w:tcPr>
            <w:tcW w:w="3751" w:type="pct"/>
            <w:tcBorders>
              <w:bottom w:val="single" w:color="000000" w:sz="12" w:space="0"/>
              <w:tl2br w:val="nil"/>
              <w:tr2bl w:val="nil"/>
            </w:tcBorders>
            <w:vAlign w:val="center"/>
          </w:tcPr>
          <w:p w14:paraId="11EBFC7D">
            <w:pPr>
              <w:pStyle w:val="19"/>
              <w:adjustRightInd w:val="0"/>
              <w:snapToGrid w:val="0"/>
              <w:spacing w:after="0" w:line="300" w:lineRule="exact"/>
              <w:jc w:val="center"/>
              <w:rPr>
                <w:rFonts w:hint="eastAsia" w:ascii="宋体" w:hAnsi="宋体" w:cs="宋体"/>
                <w:color w:val="auto"/>
                <w:szCs w:val="21"/>
              </w:rPr>
            </w:pPr>
            <w:r>
              <w:rPr>
                <w:rFonts w:hint="eastAsia" w:ascii="宋体" w:hAnsi="宋体" w:cs="宋体"/>
                <w:color w:val="auto"/>
                <w:szCs w:val="21"/>
              </w:rPr>
              <w:t>维护固定、半固定沙漠景观与植被，治理活化沙丘，遏制蔓延</w:t>
            </w:r>
          </w:p>
        </w:tc>
      </w:tr>
    </w:tbl>
    <w:p w14:paraId="6EE0EC88">
      <w:pPr>
        <w:pStyle w:val="86"/>
        <w:ind w:firstLine="480"/>
        <w:rPr>
          <w:rFonts w:hint="eastAsia"/>
          <w:color w:val="auto"/>
        </w:rPr>
      </w:pPr>
      <w:bookmarkStart w:id="612" w:name="_Hlk160376418"/>
      <w:bookmarkStart w:id="613" w:name="_Hlk147591298"/>
    </w:p>
    <w:p w14:paraId="45DF0FD2">
      <w:pPr>
        <w:pStyle w:val="86"/>
        <w:spacing w:line="240" w:lineRule="auto"/>
        <w:ind w:firstLine="0" w:firstLineChars="0"/>
        <w:rPr>
          <w:rFonts w:hint="eastAsia"/>
          <w:color w:val="auto"/>
        </w:rPr>
      </w:pPr>
      <w:r>
        <w:rPr>
          <w:color w:val="auto"/>
        </w:rPr>
        <mc:AlternateContent>
          <mc:Choice Requires="wpg">
            <w:drawing>
              <wp:inline distT="0" distB="0" distL="114300" distR="114300">
                <wp:extent cx="5614670" cy="3904615"/>
                <wp:effectExtent l="0" t="0" r="36195" b="39370"/>
                <wp:docPr id="914" name="组合 914"/>
                <wp:cNvGraphicFramePr/>
                <a:graphic xmlns:a="http://schemas.openxmlformats.org/drawingml/2006/main">
                  <a:graphicData uri="http://schemas.microsoft.com/office/word/2010/wordprocessingGroup">
                    <wpg:wgp>
                      <wpg:cNvGrpSpPr/>
                      <wpg:grpSpPr>
                        <a:xfrm>
                          <a:off x="0" y="0"/>
                          <a:ext cx="5614670" cy="3904615"/>
                          <a:chOff x="0" y="0"/>
                          <a:chExt cx="5614670" cy="3904615"/>
                        </a:xfrm>
                      </wpg:grpSpPr>
                      <pic:pic xmlns:pic="http://schemas.openxmlformats.org/drawingml/2006/picture">
                        <pic:nvPicPr>
                          <pic:cNvPr id="909" name="图片 909" descr="C:/Users/Administrator/AppData/Local/Temp/picturecompress_20211118172920/output_1.jpgoutput_1"/>
                          <pic:cNvPicPr>
                            <a:picLocks noChangeAspect="1"/>
                          </pic:cNvPicPr>
                        </pic:nvPicPr>
                        <pic:blipFill>
                          <a:blip r:embed="rId90"/>
                          <a:srcRect l="5626" t="4256"/>
                          <a:stretch>
                            <a:fillRect/>
                          </a:stretch>
                        </pic:blipFill>
                        <pic:spPr>
                          <a:xfrm>
                            <a:off x="0" y="0"/>
                            <a:ext cx="5614670" cy="3904615"/>
                          </a:xfrm>
                          <a:prstGeom prst="rect">
                            <a:avLst/>
                          </a:prstGeom>
                          <a:ln>
                            <a:noFill/>
                          </a:ln>
                        </pic:spPr>
                      </pic:pic>
                      <wps:wsp>
                        <wps:cNvPr id="912" name="星形: 五角 912"/>
                        <wps:cNvSpPr/>
                        <wps:spPr>
                          <a:xfrm>
                            <a:off x="2414388" y="1053193"/>
                            <a:ext cx="118110" cy="118110"/>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13" name="对话气泡: 矩形 913"/>
                        <wps:cNvSpPr/>
                        <wps:spPr>
                          <a:xfrm>
                            <a:off x="2254250" y="616858"/>
                            <a:ext cx="655320" cy="321945"/>
                          </a:xfrm>
                          <a:prstGeom prst="wedgeRectCallout">
                            <a:avLst>
                              <a:gd name="adj1" fmla="val -16593"/>
                              <a:gd name="adj2" fmla="val 100906"/>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1F60A6A">
                              <w:pPr>
                                <w:jc w:val="center"/>
                                <w:rPr>
                                  <w:sz w:val="24"/>
                                  <w:szCs w:val="24"/>
                                </w:rPr>
                              </w:pPr>
                              <w:r>
                                <w:rPr>
                                  <w:rFonts w:hint="eastAsia"/>
                                  <w:sz w:val="24"/>
                                  <w:szCs w:val="24"/>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inline>
            </w:drawing>
          </mc:Choice>
          <mc:Fallback>
            <w:pict>
              <v:group id="_x0000_s1026" o:spid="_x0000_s1026" o:spt="203" style="height:307.45pt;width:442.1pt;" coordsize="5614670,3904615" o:gfxdata="UEsDBAoAAAAAAIdO4kAAAAAAAAAAAAAAAAAEAAAAZHJzL1BLAwQUAAAACACHTuJA8q5bBNcAAAAF&#10;AQAADwAAAGRycy9kb3ducmV2LnhtbE2PQUvDQBCF74L/YRnBm91srSVNsylS1FMR2gribZqdJqHZ&#10;2ZDdJu2/d/Wil4HHe7z3Tb662FYM1PvGsQY1SUAQl840XGn42L8+pCB8QDbYOiYNV/KwKm5vcsyM&#10;G3lLwy5UIpawz1BDHUKXSenLmiz6ieuIo3d0vcUQZV9J0+MYy20rp0kylxYbjgs1drSuqTztzlbD&#10;24jj86N6GTan4/r6tX96/9wo0vr+TiVLEIEu4S8MP/gRHYrIdHBnNl60GuIj4fdGL01nUxAHDXM1&#10;W4AscvmfvvgGUEsDBBQAAAAIAIdO4kCrGNwkpwQAAKMMAAAOAAAAZHJzL2Uyb0RvYy54bWztV01v&#10;HDUYviPxH6y5N/OxO5vdUTbVakOiShGNSCuOldfj+SgzY2N7s0nPSMANoR6QEKrggjgViRMg+DUk&#10;6c/gsWcm2SQtTaFwIlIm/hr7eR8/z/tOtu4e1xU54kqXopl64UbgEd4wkZZNPvUePti9M/aINrRJ&#10;aSUaPvVOuPbubr/7ztZKJjwShahSrgg2aXSyklOvMEYmvq9ZwWuqN4TkDSYzoWpq0FW5nyq6wu51&#10;5UdBMPJXQqVSCca1xuhOO+l1O6rbbCiyrGR8R7BlzRvT7qp4RQ1C0kUptbft0GYZZ+Z+lmluSDX1&#10;EKlxTxyC9sI+/e0tmuSKyqJkHQR6GwjXYqpp2eDQi612qKFkqcobW9UlU0KLzGwwUfttII4RRBEG&#10;17jZU2IpXSx5ssrlBem4qGus/+1t2ftHB4qU6dSbhEOPNLTGlZ//+snpF58ROwJ+VjJPsGxPyUN5&#10;oLqBvO3ZkI8zVdu/CIYcO2ZPLpjlx4YwDMajcDjaBOkMc4NJMByFccs9K3BBN95jxXuvedPvD/Yt&#10;vgs4smQJfjuq0LpB1esFirfMUnEQb3drjg5KdqDazhpdwaSn6/Tr388//5RM7EjKNYO85on/UMNj&#10;/iyty6bURlEjlD+T0irD3xeMVv4DXku/OwxqkAqOeBQFUYifcbgZTaLAF0sjl+ZRuPFY5n3bEmeR&#10;WTAtNGpjxqYfadKIeUGbnM+0hPhhcLvanrK23HWvxLWoSrlbVpW9R9t+u24kKuH1gkNk6l7qANFE&#10;K/YBAFpfxqNo5Kw5jOJRqwoQxg0rLJwMsOxKGwZe6ydcDJewbYAa8vyngryQFShV2uxxURPbAHRg&#10;gCRoQo/2dYemX2KHq8Y+G2FpbLHaEQezBeaawGkdhdSpe5LRuyHSN/LzYUGlVavddk2gYdQL9Oyr&#10;Z6e/fZeQP355+uL7L+HryLLcLb8wtX4VgdEwHA7GKAvwbhjEg3AyaG+pd7eVa9iZu2u3DPSpoeep&#10;oxLlRcV/xaUWVZn2etQqX8wrRY4otLK7G+DHaRpiWF9WNWQFfNEmpgmjqEwZKgKatYTwdJN7hFY5&#10;Sh4zyp195e1bHmID2aG6aMG4HVoq6tKgKlZlPfXGFmEP0WnAMt1qwLYWIj1BzlUCogJULdluiW33&#10;qTYHVKH6YBD12dzHI6sEghJdyyOFUE9eNm7XQ0SY9cgK1QwBf7ykyGGkutdAXkjlQ2xrXGcYb0bo&#10;qPWZxfpMs6znAmSHDp1r2vWm6puZEvWHKOMzeyqmaMNwdktt15mbtsriQ4Dx2cwts0mOmv3mUCIt&#10;h+4SGjFbGpGVzlCX7MA4tgOT/GduGfRuOX3+84vn35z9+PTsp28Tcv7sB3gHnnGat6BgsVt4JoqR&#10;zUANPDMKR+N4fNUyozge2Etw9TAKJ0NXDl+dfVY8zblNg3NaVSgEl+6xWSdPu8pN08e4tKyuICP4&#10;hdwJR3Hv1vVFSA2Xi8IgmAQu8eJ8l91cqu1Naw9wSn+pIcN4FIxdPrHZ+V8yZDCMhoNB69qCpry1&#10;Xxhf+qzzb1sj1lG8Dcea48VxlzD/N++bmdd9neHb1V1M951tP4HW+2iv/2+x/SdQSwMECgAAAAAA&#10;h07iQAAAAAAAAAAAAAAAAAoAAABkcnMvbWVkaWEvUEsDBBQAAAAIAIdO4kAfS929CS8DAOsuAwAV&#10;AAAAZHJzL21lZGlhL2ltYWdlMS5qcGVnAP//AAD/2P/gABBKRklGAAEBAQDcANwAAP/bAEMACAYG&#10;BwYFCAcHBwkJCAoMFA0MCwsMGRITDxQdGh8eHRocHCAkLicgIiwjHBwoNyksMDE0NDQfJzk9ODI8&#10;LjM0Mv/bAEMBCQkJDAsMGA0NGDIhHCEyMjIyMjIyMjIyMjIyMjIyMjIyMjIyMjIyMjIyMjIyMjIy&#10;MjIyMjIyMjIyMjIyMjIyMv/AABEIA9UFl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6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j+0Q5x5qZ/3hR58P/PVP++hQBJRUfnw/wDP&#10;VP8AvoUefD/z1T/voUASUVH58P8Az1T/AL6FHnw/89U/76FAElFR+fD/AM9U/wC+hR58P/PVP++h&#10;QBJRUfnw/wDPVP8AvoUefD/z1T/voUASUVH58P8Az1T/AL6FHnw/89U/76FAElFR+fD/AM9U/wC+&#10;hR58P/PVP++hQBJRUfnw/wDPVP8AvoUefD/z1T/voUASUVH58P8Az1T/AL6FHnw/89U/76FAElFR&#10;+fD/AM9U/wC+hR58P/PVP++hQBJRUfnw/wDPVP8AvoUefD/z1T/voUASUVH58P8Az1T/AL6FHnw/&#10;89U/76FAElFR+fD/AM9U/wC+hR58P/PVP++hQBJRUfnw/wDPVP8AvoUefD/z1T/voUASUVH58P8A&#10;z1T/AL6FHnw/89U/76FAElFR+fD/AM9U/wC+hR58P/PVP++hQBJRUfnw/wDPVP8AvoUefD/z1T/v&#10;oUASUVH58P8Az1T/AL6FHnw/89U/76FAElFR+fD/AM9U/wC+hR58P/PVP++hQBJRUfnw/wDPVP8A&#10;voUefD/z1T/voUASUVH58P8Az1T/AL6FHnw/89U/76FAElFR+fD/AM9U/wC+hR58P/PVP++hQBJR&#10;Ufnw/wDPVP8AvoUefD/z1T/voUASUVH58P8Az1T/AL6FHnw/89U/76FAElFR+fD/AM9U/wC+hR58&#10;P/PVP++hQBJRUfnw/wDPVP8AvoUefD/z1T/voUASUVH58P8Az1T/AL6FHnw/89U/76FAElFR+fD/&#10;AM9U/wC+hR58P/PVP++hQBJRUfnw/wDPVP8AvoUefD/z1T/voUASUVH58P8Az1T/AL6FHnw/89U/&#10;76FAElFR+fD/AM9U/wC+hR58P/PVP++hQBJRUfnw/wDPVP8AvoUefD/z1T/voUASUVH58P8Az1T/&#10;AL6FHnw/89U/76FAElFR+fD/AM9U/wC+hR58P/PVP++hQBJRUfnw/wDPVP8AvoUefD/z1T/voUAS&#10;UVH58P8Az1T/AL6FHnw/89U/76FAElFR+fD/AM9U/wC+hR58P/PVP++hQBJRUfnw/wDPVP8AvoUe&#10;fD/z1T/voUASUVH58P8Az1T/AL6FHnw/89U/76FAElFR+fD/AM9U/wC+hR58P/PVP++hQBJRUfnw&#10;/wDPVP8AvoUefD/z1T/voUASUVH58P8Az1T/AL6FHnw/89U/76FAElFR+fD/AM9U/wC+hR58P/PV&#10;P++hQBJRUfnw/wDPVP8AvoUefD/z1T/voUASUVH58P8Az1T/AL6FHnw/89U/76FAElFR+fD/AM9U&#10;/wC+hR58P/PVP++hQBJRUfnw/wDPVP8AvoUefD/z1T/voUASUVH58P8Az1T/AL6FHnw/89U/76FA&#10;ElFR+fD/AM9U/wC+hR58P/PVP++hQBJRUfnw/wDPVP8AvoUefD/z1T/voUASUVH58P8Az1T/AL6F&#10;Hnw/89U/76FAElFR+fD/AM9U/wC+hR58P/PVP++hQBJRUfnw/wDPVP8AvoUefD/z1T/voUASUVH5&#10;8P8Az1T/AL6FHnw/89U/76FAElFR+fD/AM9U/wC+hR58P/PVP++hQBJRUfnw/wDPVP8AvoUefD/z&#10;1T/voUASUVH58P8Az1T/AL6FHnw/89U/76FAElFR+fD/AM9U/wC+hR58P/PVP++hQBJRUfnw/wDP&#10;VP8AvoUefD/z1T/voUASUVH58P8Az1T/AL6FHnw/89U/76FAElFR+fD/AM9U/wC+hR58P/PVP++h&#10;QBJRUfnw/wDPVP8AvoUefD/z1T/voUASUVH58P8Az1T/AL6FHnw/89U/76FAElFR+fD/AM9U/wC+&#10;hR58P/PVP++hQBJRUfnw/wDPVP8AvoUefD/z1T/voUASUVH58P8Az1T/AL6FAniJwJFJ+tAElFAO&#10;aKACiiigAooooAKKKKACiiigAooooAKKKKACiiigAooooAKKKKACiiigAooooAKKKKACiiigAooo&#10;oAKKKKACiiigAooooAKKKKACiiigAooooAKKKKACiiigAoPSijtQB4QsXibxJ8Qdb0rT/Elxp8Fm&#10;IPKjRFI+aJSeo9cn8a3P+Fd+Of8Aod7j/vhP/iag8Ef8lh8Uf7tt/wCiVr2EUAeS/wDCu/HP/Q73&#10;H/fCf/E0f8K78c/9Dvcf98J/8TXreKMUAeSf8K88c/8AQ73H/ftP/iaT/hXnjn/od7j/AL4T/wCJ&#10;r0i6imM0rxiXlRja3UnIPBPbA/OprPy/nRZ/MlUL5is4LKcdx2NOxN2eZf8ACu/HPbxvcf8AftP/&#10;AImj/hXfjn/od7j/AL4T/wCJr07TkmSJln3bs5yf/wBdXcUhp3PJP+Fd+Of+h3uP++E/+Jo/4V34&#10;5/6He4/74T/4mvW8UYoGeSf8K78c/wDQ73H/AHwn/wATR/wrvxz/ANDvcf8AfCf/ABNet4oxQB5J&#10;/wAK78c/9Dvcf98J/wDE0f8ACu/HP/Q73P8A37T/AOJr1vFNYZBGe1AHk3/CvPHP/Q73H/fCf4Uf&#10;8K88c/8AQ73H/fCf/E16Ktvco0BLOI97GQF+gwQOfyqZ/wB9pyfZJfNUshV1bdldwycjrxmnYm55&#10;p/wrvxz/ANDvcf8AftP/AImj/hXfjn/od7j/AL4T/wCJr1W3DCFA4O7HOamxSKPJP+Fd+Of+h3uP&#10;++E/+Jo/4V345/6He4/74T/4mvW8UYoA8k/4V345/wCh3uP++E/+Jo/4V345/wCh3uP++E/+Jr1v&#10;FGKAPJP+Fd+Of+h3uP8AvhP/AImkPw88cj/md7j/AL9p/wDE165iqt9E0sIVA2dw+623jvQhN2PL&#10;f+Fe+OP+h3uP++E/wo/4V545/wCh3uP++E/wr0S2SSLaNQnVGaXEWXxvbngAn+VWpUm/tBGXPlbQ&#10;D9cn3p2Fc8y/4V345/6He4/74T/4mj/hXfjn/od7j/vhP/ia9axS4pFHkn/Cu/HP/Q73H/fCf/E0&#10;f8K78c/9Dvcf98J/8TXreKMUAeSf8K78c/8AQ73H/fCf/E0f8K78c/8AQ73H/fCf/E163ijFAHkn&#10;/Cu/HP8A0O9x/wB8J/8AE0f8K88c/wDQ73H/AHwn+FetHpWVfW928khtnZCQNp3Eg9c8fgKa1Jbs&#10;ecj4eeOD/wAzvcf9+0/+Jpf+Fd+Of+h3uP8Av2n/AMTXp9qUzKqyh5lwJVD5KHGcH065pNPSZISJ&#10;g27PU0DueY/8K78c/wDQ73H/AH7T/wCJo/4V345/6He4/wC+E/8Aia9apcUhnkn/AArvxz/0O9x/&#10;3wn/AMTR/wAK78c/9Dvcf98J/wDE163ijFAHkn/Cu/HP/Q73H/fCf/E0f8K78c/9Dvcf98J/8TXr&#10;eKMUAeSf8K88c/8AQ73H/ftP/iaT/hXnjj/oeLj/AL4T/CvUrxZXtnWFsSHofSsuCK6h3vf3HlwA&#10;MXcvgAZG3r07/mOtNIlt3scF/wAK88c/9Dvcf98J/wDE0f8ACu/HP/Q73H/fCf8AxNemXayusHkk&#10;lQckqc5GKuqOKQ0zyb/hXfjn/od7j/vhP/iaP+Fd+Of+h3uP++E/+Jr1vFGKBnkn/Cu/HP8A0O9x&#10;/wB8J/8AE0f8K78c/wDQ73H/AHwn/wATXreKMUAeSf8ACu/HP/Q73H/fCf8AxNH/AArvxz/0O9x/&#10;3wn/AMTXreKMUAeSf8K88c/9Dvcf98J/8TR/wrzxx/0PFx/3wn+FejX0d4bwPEXMIHKIcE8Hp+JH&#10;FS2QRSsck5a5Eal43cbgPUinbQnmdzzT/hXnjn/oeLj/AL4T/wCJo/4V345/6He4/wC+E/8Aia9N&#10;s0mW4nMu7aWJXPpmr2KTGjyT/hXfjn/od7j/AL4T/wCJo/4V345/6He4/wC+E/8Aia9bxRigZ5J/&#10;wrvxz/0O9x/3wn/xNH/Cu/HP/Q73H/fCf/E163ijFAHkn/Cu/HP/AEO9x/3wn/xNH/Cu/HP/AEO9&#10;x/37T/CvWqiuVdrd1jJDlSFI7HFAHlP/AArzxx/0PFx/3wn/AMTR/wAK88c/9Dvcf9+0/wDia9Cj&#10;iu0KtdygQhJPMfO0KOx56cVauFeWyi+yvvBKkMpzlfX3ptakpu2x5p/wrvxz/wBDvcf9+0/+Jo/4&#10;V345/wCh3uP++E/+Jr1iMHYucg4p+KRR5J/wrvxz/wBDvcf98J/8TR/wrvxz/wBDvcf98J/8TXre&#10;KMUAeSf8K78c/wDQ73H/AHwn/wATR/wrvxz/ANDvcf8AfCf/ABNet4oxQB5J/wAK78c/9Dvcf98J&#10;/wDE0n/CvPHH/Q8XH/ftP/ia9bPSsjU4tQkkBs32jaB+OT+X9fbrTSuKTsed/wDCvPHP/Q73H/fC&#10;f/E0v/Cu/HP/AEO9x/37T/4mvSrTCuiTTAXOw4j38lc9cZ/WnW6TJdzNJu2FiVz6cUWC55n/AMK7&#10;8c/9Dvcf98J/8TR/wrvxz/0O9x/3wn/xNetUuKQzyT/hXfjn/od7j/vhP/iaP+Fd+Of+h3uP++E/&#10;+Jr1vFGKAPJP+Fd+Of8Aod7j/vhP/iaP+Fd+Of8Aod7j/vhP/ia9bxRigDyT/hXfjn/od7j/AL4T&#10;/wCJo/4V544/6Hi4/wC/af4V6xKGMLhPvbTjnHNYsFvqCTBrmf8AcjO45x8u3r145+vrx0ppXJba&#10;ZwP/AArzxz/0O9x/37T/AOJo/wCFd+Of+h3uP++E/wDia9LlBl06P7JL5ikqVdTuyM9cjrVuEERK&#10;CCDjkGiw7nlP/Cu/HP8A0O9x/wB8J/8AE0f8K78c/wDQ73H/AHwn/wATXrdGKQzyT/hXfjn/AKHe&#10;4/74T/4mj/hXfjn/AKHe4/74T/4mvW8UYoA8k/4V345/6He4/wC+E/8AiaP+Fd+Of+h3uP8AvhP/&#10;AImvW8UlAHkn/CvPHP8A0PFx/wB8J/hR/wAK88c/9Dvcf9+0/wDia9I1SK9kKCzfae5J4HI/pmks&#10;w0TRLdzgXBLeXGXGWHGeO/r+NO2lyeZ3tY85/wCFeeOT08cXH/ftP8KP+Fd+Of8Aod7j/vhP/ia9&#10;NjSYak7Hd5RAA9On1q9ikNM8k/4V345/6He4/wC+E/8AiaP+Fd+Of+h3uP8AvhP/AImvW8UYoGeS&#10;f8K78c/9Dvcf98J/8TR/wrvxz/0O9x/3wn/xNet4oxQB5J/wrvxz/wBDvcf98J/8TR/wrvxz/wBD&#10;vcf98J/8TXreKawoA8l/4V545/6He4/74T/4ml/4V545/wCh3uP+/af/ABNd8Ib8TkSNLsLrgoR0&#10;DHJP1GP1q6CklhKLSbzj8wDK4b5u4yKbRKkzzT/hXnjn/od7j/v2n/xNH/Cu/HP/AEO9x/3wn/xN&#10;epWiusCiTO7JzmrOKRSPJP8AhXfjn/od7j/vhP8A4mj/AIV345/6He4/74T/AOJr1vFGKAPJP+Fd&#10;+Of+h3uP++E/+Jo/4V345/6He4/74T/4mvW8UYoA8k/4V345/wCh3uP++E/+Jo/4V345/wCh3uP+&#10;+E/+Jr1uqeopO1uPs+d4bpnGeD/XB/ChCbsjy/8A4V545/6Hi4/74T/4ml/4V545/wCh3uP+/af4&#10;V6JCskJP2+4CZZAjb8BmxjAz71YnSZr2JlDGID5sfX607BfQ8z/4V345/wCh3uP++E/+Jo/4V345&#10;/wCh3uP++E/+Jr1odKXFIZ5J/wAK78c/9Dvcf98J/wDE0f8ACu/HP/Q73H/fCf8AxNet4oxQB5J/&#10;wrvxz/0O9x/3wn/xNH/Cu/HP/Q73H/fCf/E163ijFAHkn/Cu/HP/AEO9x/3wn/xNJ/wrzxz/ANDv&#10;cf8AfCf4V63WNqMOovdBrV9qYXOfTPI/KmlcUnZHnv8Awrzxz/0O9x/3wn/xNH/CvPHJ/wCZ3uP+&#10;/af/ABNem2QRX2NMDcBF3xh8kDsce9LZJMkkvm7sFm259Nxx+mKLCTPMv+Fd+Of+h3uP++E/+Jo/&#10;4V345/6He4/74T/4mvWhS4pFHkn/AArvxz/0O9x/3wn/AMTR/wAK78c/9Dvcf98J/wDE163ijFAH&#10;kn/Cu/HP/Q73H/fCf/E0f8K78c/9Dvcf98J/8TXreKMUAeSf8K78c/8AQ73H/fCf/E0f8K78c/8A&#10;Q73H/fCf/E163ijFAHkn/Cu/HP8A0O9x/wB8J/8AE1laR/wkOifE+00LUtfn1GCSzedlkVQAwYgd&#10;B7Zr3DFeO6p/yXyx/wCwbL/6MegD2FRgUtA6UUAFFFFABRRRQAUUUUAFFFFABRRRQAUUUUAFFFFA&#10;BRRRQAUUUUAFFFFABRRRQAUUUUAFFFFABRRRQAUUUUAFFFFABRRRQAUUUUAFFFFABRRRQAUUUUAF&#10;FFFABR2oo7UAeO+CP+Sw+KP922/9ErXsI6V494I/5LD4o/3bb/0StewjpQBwHjjxLr+neJ9M0fRJ&#10;bWJrqB5WaeEyEkMqhRyOu6qok+KGP9fp/wD4A/8A2ymeMv8AkrHhr/r2b/0dHXptAHmm/wCJ/wDz&#10;20//AMAf/tlZmn6P8RdP1XUtRhnszNqDq8260yMqu0YG/jivXqKAPNQ/xPH/AC30/wD8Af8A7ZR5&#10;nxQ/576f/wCAP/2yvSqKAPNfM+KH/PfT/wDwB/8AtlHmfFD/AJ76f/4A/wD2yvSqKAPNfM+KH/Pf&#10;T/8AwB/+2UeZ8UP+e+n/APgD/wDbK9KooA818z4of899P/8AAH/7ZR5nxP8A+e+n/wDgD/8AbK9K&#10;ooA8wuF+JlxbywSTWGyVCjYsucEYP8dVNE074j6Ho1ppdpPZfZ7aMIm+zyce53161RQB5rv+J+f9&#10;fp//AIA//bKPM+KH/PfT/wDwB/8AtlelUUAea+Z8UP8Anvp//gD/APbKPM+KH/PfT/8AwB/+2V6V&#10;RQB5r5nxQ/576f8A+AP/ANso8z4of899P/8AAH/7ZXpVFAHmvmfFD/nvp/8A4A//AGyjf8Tz/wAt&#10;9P8A/AH/AO2V6VRQB5Dq2j/ETWJ9OluZ7MNYXS3UWy0x84BAz8/Tk1p7/ifx++0//wAAf/tlel0U&#10;Aea+Z8UP+e+n/wDgD/8AbKPM+KH/AD30/wD8Af8A7ZXpVFAHmvmfFD/nvp//AIA//bKPM+KH/PfT&#10;/wDwB/8AtlelUUAea+Z8UP8Anvp//gD/APbKPM+KH/PfT/8AwB/+2V6VRQB5r5nxP/576f8A+AP/&#10;ANspDJ8T8f6/T/8AwC/+zr0uigDyLTtH+Ium6pqmoQT2fn6jIkk+60yMqoUY+fjgVp7/AIn/APPf&#10;T/8AwB/+2V6VRQB5r5nxQ/576f8A+AP/ANso8z4of899P/8AAH/7ZXpVFAHmvmfFD/nvp/8A4A//&#10;AGyjzPih/wA99P8A/AH/AO2V6VRQB5r5nxQ/576f/wCAP/2yjzPih/z30/8A8Af/ALZXpVFAHmu/&#10;4n/899P/APAH/wC2Vna3pfxG13RrnS7ueyFvcKFfZZ4PUHg7/avW6KAPMYR8TYYY4knsNqKFGbLs&#10;OP79SeZ8T/8Anvp//gD/APbK9KooA818z4of899P/wDAH/7ZR5nxQ/576f8A+AP/ANsr0qigDzXz&#10;Pih/z30//wAAf/tlHmfFD/nvp/8A4A//AGyvSqKAPNfM+KH/AD30/wD8Af8A7ZR5nxQ/576f/wCA&#10;P/2yvSqKAPNd/wATz/y30/8A8Av/ALZWXFo/xEi8S3GurPZ/a5rZLZs2ny7FJYYG/rkmvXqKAPNI&#10;7j4kG8gt5r/TIDOxVHksTjIUt2f0BrU/s/4j/wDQf0P/AMAX/wDiq6HVf+Qno3/Xy3/op61RQBxX&#10;9n/Ef/oPaH/4Av8A/FUf2f8AEf8A6D2h/wDgC/8A8VXbUUAcT/Z/xH/6D2h/+AL/APxVH9n/ABH/&#10;AOg9of8A4Av/APFV21FAHE/2f8R/+g9of/gC/wD8VSf2d8Rv+g9of/gC/wD8VXb0UAee6noHxA1P&#10;SruwuNe0UQ3MLwybLJwdrAg4+b0NLpuh/ECx0u1tINe0XyYYlRN1k5OAMDPzV38hAjb6GmwjEEef&#10;7o/lQBxn9nfEb/oPaH/4Av8A/FUv9n/Ef/oPaH/4Av8A/FV21FAHE/2f8R/+g9of/gC//wAVR/Z/&#10;xH/6D2h/+AL/APxVdtRQBxP9n/Ef/oPaH/4Av/8AFUf2f8R/+g9of/gC/wD8VXbUUAcR/Z/xG/6D&#10;2h/+AL//ABVIdN+Ix/5j2h/+AL//ABVdxRQB5m3hXx03iiPWTr+j/bFtTbj/AEN9uzdnpu65Nav9&#10;nfEb/oPaH/4Av/8AFV2J/wCPtf8AcP8AMVKKAOJ/s74jf9B7Q/8AwBf/AOKpf7P+I/8A0HtD/wDA&#10;F/8A4qu2ooA4n+z/AIj/APQe0P8A8AX/APiqP7P+I/8A0HtD/wDAF/8A4qu1yKMigDiv7P8AiP8A&#10;9B7Q/wDwBf8A+Ko/s/4j/wDQe0P/AMAX/wDiq7XIoyKAOJ/s/wCI/wD0HtD/APAF/wD4qobzRviH&#10;eWNxbS69onlzRtG22ycHBGDj5q7suq9SB9aTcrA4IP0oA880Xw94+0rRrOwtNe0b7PBEqR77JycY&#10;7/NV/wDs74jf9B7Q/wDwBf8A+KrsbbHkIPQY/KpqAOI/s/4j/wDQe0P/AMAX/wDiqX+z/iP/ANB7&#10;Q/8AwBf/AOKrtqKAOJ/s/wCI/wD0HtD/APAF/wD4qj+z/iP/ANB7Q/8AwBf/AOKrtqKAOJ/s/wCI&#10;/wD0HtD/APAF/wD4qk/s/wCI3/Qe0P8A8AX/APiq7eigDiP7N+I3/Qe0P/wBf/4qsq88LeOrrxBp&#10;uqy69o/2mzSWOHFm+3Dgbsjd/sivTKgl/wBfCfc/yoA4/wDs74jf9B7Q/wDwBf8A+Kpf7P8AiP8A&#10;9B7Q/wDwBf8A+KrtqKAOJ/s/4j/9B7Q//AF//iqP7P8AiP8A9B7Q/wDwBf8A+KrtqKAOJ/s/4j/9&#10;B7Q//AF//iqP7P8AiP8A9B7Q/wDwBf8A+KrtqKAOJ/s/4j/9B7Q//AF//iqT+zviN/0HtD/8AX/+&#10;Krt6KAOHOm/EY8f29of/AIAv/wDFVl6B4W8d6FYPZ2WvaP5ZnklPmWbk7mbcf4vU16ZUEPBlHfea&#10;AOP/ALO+I3/Qe0P/AMAX/wDiqX+z/iP/ANB7Q/8AwBf/AOKrtqKAOJ/s/wCI/wD0HtD/APAF/wD4&#10;qj+z/iP/ANB7Q/8AwBf/AOKrtqKAOJ/s/wCI/wD0HtD/APAF/wD4qj+z/iP/ANB7Q/8AwBf/AOKr&#10;tqKAOI/s/wCI/wD0HtD/APAF/wD4qj+zviN/0HtD/wDAF/8A4qu3ooA8z13wr461iG1F5r2j7ba5&#10;S4Ty7Nx8ynjPzcitUad8Rsf8h7Q//AF//iq7G6H+jufTk/hzUo6UAcT/AGd8Rv8AoPaH/wCAL/8A&#10;xVH9n/Ef/oPaH/4Av/8AFV29FAHE/wBn/Ef/AKD2h/8AgC//AMVR/Z/xH/6D2h/+AL//ABVdtRQB&#10;xP8AZ/xH/wCg9of/AIAv/wDFUf2f8R/+g9of/gC//wAVXbUUAcR/Z/xG/wCg9of/AIAv/wDFUn9n&#10;fEUD/kPaF/4Av/8AFV3FFAHmdv4V8dW/iW81dNe0f7Xc28cUmbN9u1ScYG7rya1Rp3xGH/Me0P8A&#10;8AX/APiq7BuLmI9ipX8eP8DUwoA4n+z/AIjf9B7Q/wDwBf8A+Kpf7P8AiP8A9B7Q/wDwBf8A+Krt&#10;qKAOJ/s/4j/9B7Q//AF//iqP7P8AiP8A9B7Q/wDwBf8A+KrtqKAOJ/s/4j/9B7Q//AF//iqP7P8A&#10;iP8A9B7Q/wDwBf8A+KrtqKAOJ/s/4j/9B7Q//AF//iqk8Gazrt3rWv6Rrs9pPNprwhJbaMoGDqx6&#10;En0FdlXD+Ev+Si+OP+uln/6LagDuK8d1T/kvlj/2DZf/AEY9exV47qn/ACXyx/7Bsv8A6MegD2Id&#10;KKB0ooAKKKKACiiigAooooAKKKKACiiigAooooAKKKKACiiigAooooAKKKKACiiigAooooAKKKKA&#10;CiiigAooooAKKKKACiiigAooooAKKKKACiiigAooooAKKKKACjtRR2oA8d8Ef8lh8Uf7tt/6JWvY&#10;R0rx7wR/yWHxR/u23/ola9hFAHmfjL/krHhr/r2b/wBHR16bXmXjH/kq/hr/AK9m/wDR0dem0AFF&#10;FFABRRRQAUUUUAFFFFABRRRQAhYDrWf/AG5p/wDbJ0kz4vPJ88IQcMmcZB6cHt71JqckUWn3DzwS&#10;3EQQ7ookLsw9Ao5NeJWTaVJ4l/s+48OajvtruW5Ij0+Tzjat/qlcdQMkj/gA70Aevz+MfDltF5ku&#10;tWSr5ph/1wJ3g4K4HcGtlZFdQynIIyD614d4M8QWWipcQXPh2W8nvtbuoLaYLGdz7ydvzHIxXtsB&#10;LwoTGYiVBKHqvtxQBhar488NaIZhf6okTQna6BGZgfoAaf8A8Jv4e/5/z/35f/4mvPvGWraz4li8&#10;XeHYLWwW2sZIEWeSfymAYhuS3B6e1cgL3VoPE19DBc3YiGteXMsdzMFEWzodnAX3FAH0Hpur2Wrw&#10;Gexm82MHaW2lefxAq3JIkMTSSMERBuZicAD1rgvg7JLL8ObJ5nkaTzJclySfvHua1viDdvD4J1OC&#10;FDJc3kJtII16vJJ8oA/OgDVu/EekWMdnJcX8SpeSiG3YHcJHP8IIzWnmvBvEmj654b0TwPpE1vp4&#10;W11KJYWjlcl5OT83HAJJ6Zr17TpfEbXirqNrpsdsQdzQTOzZ7cFRQBtk4qlq2r2Wh6VcanqEphtL&#10;dd8r7C20Zx0AyatunmIQGK5GAR1HvXlnxM06SDw2+lf8JHqU91qTLDHBO8IjxuGWfEYIUeufSgD1&#10;C2uobu0huYWLRTIJEbGMqRkHH0qXcK890O28u8bw/ceKtVivbREEUQeFRLDt+VkBj5HY89q7+MYR&#10;VLM2BjLdT9aAHbxWU3iPT18UL4dJk/tBrb7UBs+XZnHX1yK4X4g6Zap428I7VkUahful0ElYCVQg&#10;wCAazrtdatPjJttf7PWaLQ28oEuVEYc4z33fpQB7DkVR1nWbPQdJudTv2ZLW2TfIyrkgfTvXO/DL&#10;XdR8SeB7bU9UmWW7eWVWZUCjCuQOB7Cs74mX9ysWn6T9gimsL6YLPLPcrAnByI9zd2x0GTgHigDq&#10;ZvFGlweG5NeklcWMcKzOdh3qpAYZXqDhgce9X7TUbW9SFoJlJmhWdEJw2xuhx6c1414s/tOK08V7&#10;L7TJbK50pZLq0tZg7W0q7VTjOcFQOcDOK6b4fappAudPsrXU7bUtRutN8+6njkDtHs8tVjwCdoAZ&#10;uD3FAHo7OEBLdAM1zVj8RfCGo232i31+z8vcV/et5ZyOvDYNdHLzE/sprxL4WXNtpPw8s9Tv7WGb&#10;TzeSxXEjxBjBl/lkJx93PB9OD60Aeqf8Jr4Y/wCg9p3/AIEL/jW5uGM9q85ivzefF7+xLSGybR4N&#10;MW4nVbZD+8Ynad2M9CtejEfLQBkXnijR9P1qLSLq7EV7LCZ1RkbGwHGd2MDn3rQur63srSa6uJNk&#10;MKGR2wThQMk4HJrxjxdJqd18UI1vdPs4o/7EuUcSXR2+Rk7nLBTggc4xVXUL+a68S6di5ilt28NX&#10;OwwSu6OoUgHLck8dSKAPbdL1Sz1rTINRsJfNtLhA8Um0ruU98EAj8az9d8XaP4bvLG11S4aF70ss&#10;J2ErlRk5I6VnfC//AJJl4f8A+vNP5Vh+PH8v4k+BX2lgs1ydoGScRHge9AHT/wDCd+GP+gvB+v8A&#10;hUuieMNF8Raje2Ol3JnlswplIQhfm6YJ615KzeKLPU7rSbLUHtNc1m/W58gwbjFbsM7w5OAFwQRj&#10;rmuu8GLs+LHjRNxYqtqMnv8AuxQB6TRRRQAUUUUAFFFFABRRRQAUUUUAZOq/8hPRv+vlv/RT1qis&#10;rVf+Qno3/Xy3/op61RQAtFFFABRRRQAUUUUARz/6p/8AdNOj/wBUn+6KjuuLaUj+4f5VKowoHtQA&#10;tFFFABRRRQAUUUUAFFFFAEB/4/F/3D/MVOKhb/j7X/cP8xUw6UAFIelLmqt9cG2tmcYz0GaFqNK7&#10;sjJ1vxPa6M8cUiySTSkrHFFE0jucZwFUEniq9l4gvb+IOunXUAaUoPOi2lQBncQTkA9KrW2myXes&#10;22tXEpEkcDxCAEEAsQS2QOuABW2B2rnqYjllaKJnWjCXLFJmBD49tbad7bV45LCcMQFuEKhlzwwb&#10;oQfrVm+8TXEsUMujW6X6yDIWOdFJHqN3B7dxV6dEllS3dAwIL/MMjjH+NNtNNsrBFW0tYYVXJUIg&#10;GM9fzoWKVtVqJYmG7jqYsa+KNRuIGuxaWMCtudRIZnYf3egA+oJ6VZ0XUyPEl1pL+c8luA7SOFww&#10;ckqBt9AMc4PFbeK5eK0udP8AGUt1DdwyW1+BK8LEb1dQFyvcrgD6Z96dCrKcrSLoVZ1JOLO4tf8A&#10;Uj6n+dTVBaHMK59T/Op63EFFFFABRRRQAUUUUAFQT8GI/wDTQVPUFx0Q+jg0AT0UUUAFFFFABRRR&#10;QAUUUUAFQR8Tz/7w/lU9QDi7kH+wp/U0AT0UUUAFFFFABRRRQAUUUUARzKXhdR1KkfpSwtvhRvVQ&#10;acaitf8Aj2Re6/L+XH9KAJqKKKACiiigAooooAKKKKAIJ+DC/wDdcfqCP61MKiuuIC390hvyNSig&#10;BaKKKACiiigAooooAK4fwl/yUXxx/wBdLP8A9FtXcVw/hL/kovjj/rpZ/wDotqAO4rx3VP8Akvlj&#10;/wBg2X/0Y9exV47qn/JfLH/sGy/+jHoA9iHSigdKKACiiigAooooAKKKKACiiigAooooAKKKKACi&#10;iigAooooAKKKKACiiigAooooAKKKKACiiigAooooAKKKKACiiigAooooAKKKKACiiigAooooAKKK&#10;KACiiigAo7UUHpQB474I/wCSw+Kf922/9ErXrn2iJXCmRNxOAM8k15H4I/5LD4o/3bb/ANErXqqQ&#10;W/2mSdTmQH5mJzj29hQB594xOfiv4a/69m/9HR16cK8i17W9M1n4raD/AGbfQXXkwMkhibdsbzY+&#10;D+VeujpQAUUUUAFFFFABRRRQAUUUUAFFFFAFW+XdZXA82SL5D88ZAZeOoz3rwLRdVt7z4jLfHXNZ&#10;t7W+tYoluZpIxJu3yKquduNpKcfUV7zq1o99pd1axyvEZYym5ACQD1x74rzF/AV5PfatcnRkhtfs&#10;cFlp1q0qs26NtyyuRwoB6jJOM9c0Ac3pA/0zw0cfK3i+7I+mT0r37p0rzK78FXelf8IRaWUT3a2G&#10;pG4vZ1GOWBLOfqTXpnOO9AHzx8RY44vFHi2P+z5186zhuDK78BxIq7hg/dIOOnWnx+I3tNUu7QlE&#10;QamtkCbm4UhSPvttbB+ldn40+H0+s3V/NareXeoahsiE0soSC1iDBiMDluh7HmqkPgK+ivrqeTS9&#10;RlL3wvY/LvoY1SQDAYf/AF6AOj+E90dQ8GreuoV5LiRSquzKNpxxuJI6V2N/Zm6tz5TRx3KcwzPH&#10;5nlt0ziud+H+h3Ph3w6dMuLeaIpM7qZZEdm3HP8ADxW9qd5d2VsJLTTpr+Tdjy4pEQgeuWIFAHlX&#10;xL0/XYbnwt9r12G4L6vGsW2xEexsHDfeOfpXpemWWs207NqOsRXsRXColmISD65DGuI8aWviXxNN&#10;ob23hi5iGnagl3IJLqH51XPAw3WuystX1W5u44rjw5eWsTfeleeFgv4K5P6UAbTM2w7SAexIzzXk&#10;UXi6yu/EM+kNpDX97qF1cabcXN1KBwkYYBQAcId2McY68161KZBGxjQO4U7VJxk/XtXkeo+BNe0P&#10;V9J1zS7OPVbxNRuL+8gWYRLukVVCqWHQBevX2oAm+yeFPEfg3w4k5vbQxy/YoL1n2z20y/wM3fJB&#10;Hp0r1eGIQQxxKSdihQSck/WvMDoOu+Mr6Sz1rw4mh6SbZ+Y7lZWM5lWQOMAYOQc16fHH5UKRrkhF&#10;CgnkmgDzv4lXENr4v8CXFxKkUMeoyO8jkAKAg5Jqss6ax8X7u+s9z29v4f2yORjBdiyj8Qc1r6z4&#10;CsbjXJdenS71W8Mga0s7mYm3t3xjdt6AcZPX6GrkWjz+G9CvTaWcuqavfsz3EikJ5khGBkk/Ko6A&#10;elAGb8Ff+SZ2f/Xef/0YaqfGZlj0bQWbyto1iEnzULJ91+oHJHtXR/D3w5c+FfBlnpV5Ij3KM8kn&#10;l5KgsxbA9cZxmqvxA0W/1mHQxYQGU2uqRXMoBA2oobJ569RQB5Xc3gtrj4gXlgbWMjSrYq1pAY4u&#10;SoOEbkd+vvXpfw+kju4oLyy0q0s7E2aJ5/khJrmXC7mGMfIDke5rn9d8Ia7rM/jq/hsTENTtIbe0&#10;hldQ7mPbknBIAODjmtjwk/iu51rSl1Pw8NMsdO057Zne4Ehlc+XyAOn+r/nQB6DL/qX/AN0/yrx7&#10;4W3llafBlxfRefHNczwrbgZaZmbAQDuT/wDXr2GQExsB3Bryj4d+FvFugeH7eKXTdJS4gllMf2ua&#10;TegY5JG0FRn164oAzvh7Hc+AvGr6Brlmwn1qNJLO7DmTAVf9ST/sj+Ve2HpXJTWvi24mgmms/Dry&#10;QNuiYyTEocYJHy+hrqU3+WN+N+OcdM0AeJ/F67m0vxtZzRwPK9/o1xp9uqDJaR224/Jqp39hFpfi&#10;fSdOikWT7L4WuYXZehdQQ3/jwNd14p8A3/isHUZ9RNrq1s4fTRGSY7bByM/3i2OT26DpzQg0bVov&#10;Bpi1DQBdeJ5I7i3E0QAVRK7EsXJwF+YnA59qAOk+F/8AyTLw9/15p/KsHx+Lg/EXwOLVo1nM1yEa&#10;QEqD5fUgdfpXY+EdGk8PeEtM0iaRZJLS3WNnXoSBziuc8b6Fruo+LvC+o6LDbsbCSZpJLgny03Lg&#10;ZAOT36UAYN/4ch1fxQ2mx6gkt9gvPqKyGO9tJguRhehiI/hAwOeal+G1ncaf8Q/Flpd3r3txFDaL&#10;LcSdZG8sZatK/wDCnibUddsNbni8Of2hYn91MqTg45+U88jn9am8G6Fr9j448S6prUNuovhD5cls&#10;TsfauDgE5H40Ad9RRRQAUUUUAFFGaKACiiigAooooAydV/5Cejf9fLf+inrVFZWq/wDIT0b/AK+W&#10;/wDRT1qigBaKKKACiiigAooooAhuv+PWX/cP8qmHSoLv/j1l/wBw/wAqn7UAFFFFABRRRQAUUUUA&#10;FFFFAEL/APH0n+6f5iph0qGTi5jP+yf6VKKACqep2q3dhLC4BVlwQe9WyPequoSxxWUpdtoK4zTS&#10;1Kh8SON8LXT2c0/h24VDJYxiSGVDw8TEhcjswxz+ddEZyZTFGPnAySRwKydAms7+2k1O1xNK5aIy&#10;hNpZVOQvuBng1r2+8pvk27m5+U5A9K86tbndjlrKKqOwsSOATK6s/TKqVGPpk1JS8UViYmdrtpd3&#10;+h3drYypFcyxlI3bIAJ+nNZPgyW3is47S5tJLSW1Yx+VI5bp3UnBKn1rpiBiqd/p0V/azRZaKSWN&#10;oxPHw6ZHUH1HX8K6aFdQ0Z00KygnFmzaSo6NtYEBj396s15raw63o2vPaWN1Hd2B2OUuJj58YJIO&#10;OORxnk9jXosLM0Slx8xAyK7tLXR0SiklJbMlooFFIgKKKKACiiigAqC5/wBSf95f5ip6huRm2kPo&#10;N35c0ATUU1e1OoAKKKKACiiigAooooAKgPF4P9pD+h/+vU9QScXUR9Qy/wAj/SgCeiiigAooooAK&#10;KKKACiiigBG6VDbcCRP7sh/Xn+tTGoYuJpl9w35j/wCtQBPRRRQAUUUUAFFFFABRRRQBHON0Dj/Z&#10;NLEcxKc5yBTj0qK1/wCPdR3HB/DigCaiiigAooooAKKKKACuH8Jf8lF8cf8AXSz/APRbV3FcN4T/&#10;AOSieOf+ulp/6LagDua8d1T/AJL5Y/8AYNl/9GPXqkM9y9yVaHbCCRuIOT9PavK9U/5L5Y/9g2X/&#10;ANGPQB7EOlFIOlLQAUUZoyPWgAoozRQAUUZozQAUUZooAKKKKACiiigAooooAKKKKACiiigAoooo&#10;AKKKKACiiigAooooAKKKKACiiigAooooAKKKKACiiigAooooAKKKKACiiigAooooAKD0oo7UAeO+&#10;Cf8AksHin/dtv/RK16OJJ11goGk8on7gjwPqTjmvOPBH/JYfFH+7bf8Aola9f25IPFNOwmrnlvim&#10;0trX4reHfs9vFDvt2LeWgXJ86PrjrXqg6V5n4xGPiv4a/wCvZv8A0dHXptIYUUUUAFFFFABRRRQA&#10;UUUUAFFFFABRRRQAUUUUAFFFFABRRRQAUUUUAFFFFABRRRQAUUUUAFFFFABRRRQAUUUUAFFFFABR&#10;RRQAUUUUAFFFFABRRRQAUUhPNZ+q67p2iQCbULhYYycAkE8/Qc0Ac7/amp2mq/ZbiZ5bO6vxFb3C&#10;KN0ZDcxPgdCMkN7EemeyFcNB43sZPFcFokc4s7m3d499qyMZIypJCsA2Crjt/DXV6frFjqnnfY5x&#10;I0MhjkUjaysOxU8j8aAL9FIDmloAKKKKAMnVf+Qno3/Xy3/op61RWVqv/IT0b/r5b/0U9aooAWii&#10;igAooooAKKKKAILv/j1l/wBw/wAqn7VDd/8AHrL/ALh/lUw6UAFFFFABRRRQAUUUUAFGaQnArG1H&#10;xDa2EU8hDOIU3uFG5gPXaOTQVGLk9DUc/wCkR/Q1LuAriW8cqZUYaPrBAzz/AGbPz9Pl5q1Preoa&#10;hpSvYWbrNPB5sYmUqAeMK3ofb60aLqCj5o6l5URSWYAVxGtrfeINVGlxuYNNeNjcTxsCzDjCD+6T&#10;nOfTpUS6Dr1zAqXfiNlWRQZVhtUVlPcKxJx9SDXSW9tHbr8oBcgb324LkdzWFSvBK0dyHWpxTUXd&#10;iwW8dtCkEMapDGoVVUcADpUZWOO9XauHkBLEdwPX1qyTgZqFCZJt3GxRhW9fWuHVnHe5MelZ+lak&#10;2pC83ReUbe5a3xu3Z245/WtD1rL0bTrjT2vzO0bfabt7hdmeAwHBz34oS0A1CwUZJwKrSKLrcu1s&#10;J03AgE/1p0yAyQndja+QuevBFT4o2BaHEaPq2oaKyQa5Z3s128xXz44TJEcnjDLzj2PSu9g1a1lC&#10;/vArNxg+3WqiD55B/tf0FYmv+GYdSsHFo72d9Gjm2mikZBG7ckkKcHJ65zXbHFRslJHXHERkkpo7&#10;RHV13Kcg9xTs1xWma3qaafIJ9PktpLaQJP5jAqRgbmVu45zXT6fqUGoW6SwyK4YAgqeCPUeoro0e&#10;qZrKFldaovUUUUEBRRRQAVFc/wDHrN/uH+VS0jAMpB6EYoARTwPpTqitiTbRMepQZ/KpaACiiigA&#10;ooooAKKKKACoJjiWA/7f/spqeoLj7qf9dF/nQBPRRRQAUUUUAFFFFABRRRQAVAPlun91BqeoH4u0&#10;I/iUj8v/ANdAE46UUDpRQAUUmaM0ALRSZpN6jqw/OgB1FQm6gBx5qE+gNH2lT91JWPsh/rQBKaht&#10;zjzF/uuf15/rQZpG4WB/+BECoY2n+0SgIi52ty2eTx/SgC5kUZFQ7LhuTIi/Rc/1o+zufvXEhHoM&#10;D+QzQBNkU1pUX7zqPqaj+yRnruYejOW/mactvCvSNPyoAQ3UI/5aAn0HNJ9oDfcilY/7uP54qUKB&#10;0GKXFAEG+duVgAH+24B/TNebaOniBvif4rOly2C24ltPtYuFYsRsONmPbPX2r1GuH8J/8lF8c/8A&#10;XSz/APRbUAdVa38cszW7PmZScgKQB+NeV6p/yXux/wCwbL/6MevUotN8q/Nx5zEHJC7VHX3xmvLd&#10;T/5L3Y/9g2X/ANGPTduhMb21Ox8aapqOnS2v2EuFKsz7QecEcdPTNZfi3VtXs/EWnW9rNcpC5QMY&#10;QWDA4zu5/WvQWRWwWAP1FNeNGPzKpPbIzikUYVxNfx+LLeNbkfY5EOY9wwMAduuTUVvqc0vi24tx&#10;LL5KERGJxgZCliy8cjkDt254rovKjL7yi7h3I5o8tN5cKNxGN2OaAOW0rUNSm16eOSaRrZvMVA8e&#10;MbXfaR/wEp9cisvw1rep32nanJcXEgZLZHjVxhlJXk/nXfhADkAZ9aasMSZKxoMjBwvWgDkTqOpf&#10;8Ixqdx5k3nwyI0JUZZowFOR7n5uD9Krtq+rr4ce4MzG7a/eOM4PK7TtxgdOldwFA4AFIEQAAKuBz&#10;jFAHC6jqGuXGjaLNZSzlnlC3TRccBwCCe3euu0KSWXQNNkmZmle1iZ2bqWKDJNXBGgAXaMdcYpy4&#10;UAAYA6UAPoppYDrS7vagBaKbu56UbqAHUUgYGlJxQAUU3d7UbqAHUUm6jd7UALRSAg0tABRRRQAU&#10;UUUAFFFFABRRRQAUUUUAFFFFABRRRQAUUUUAFFFFABRRRQAUUUUAFFFFABR2oo7UAeO+CP8AksPi&#10;j/dtv/RK17COlePeCP8AksPij/dtv/RK17COlAHmfjL/AJKx4a/69m/9HR16ZXmfjL/krHhr/r2b&#10;/wBHR16ZQAZozWbq89/b2ks1jD57pGzLEDguQOBWAdZ8Wf8AQtTev/H1D/jTsUo36nY5ozWDZ3Ws&#10;3FjDPPaGCV03NCzAlD6E+tZUet+LXiRz4YnBZQcfaoRjj3NO3mV7PzOzzRmuf0681u7tBLdWLWkp&#10;dlMTOrEAEgHI4561nf214qLOF8OTMqyMqt9piG4AkA4JBGetFvMXs/M7HNQXl7BYQCa4fZGXSPOC&#10;fmZgqjj1JA/GszQrzVr2FpNSsGsmDsoiZ1c4HQ5HHNN8WDOkW4PT+0bH/wBKoqRLVjR/tGDr+9/7&#10;8v8A4Ultqtpd2D30Mwa2QuGkwQAUYq3X0KkfhXJakz2niaaNrSCS3NnAGXYXRAZZBuK5HoAT9PSr&#10;OgeQ3ga5hkmSFZZ76MMeQM3Eo4HGfpSEdCNasDtxOMtH5oG1vuf3unSrNrdw3trFc27h4ZVDow7g&#10;9DXm9vvaC5vicRWiLpaIYnEjg4+bG/rkjAz0+vHb+HLi3k0W2ggaRvsyLAxkhaM5UAdD/wDXoA2K&#10;KKKACiiigAooooATNGaiuHaO2kdBl1UkD1OK8sPxA8ZqxA8NqcH/AJ4S/wCNZVKsafxETmo7nrGa&#10;M15P/wALC8af9C0n/gPL/jR/wsLxp/0LSf8AgPL/AI1n9ap+f3Ee3j/SPWM0Zryf/hYXjT/oWk/8&#10;B5f8aP8AhYXjT/oWk/8AAeX/ABo+tU/P7g9vH+kesZpa8oj8f+MnlRW8OIAWAJ8iX/GvVFJKitKd&#10;WM9i4zUtiKa8ggmjhlmjSSTPlozAM+OTgd8U2xv4dRs47u2ffDIMq2CM/nWHqViZtbbULn7SohhM&#10;VsIASRnlmP14H4Vl+EVSXQdHTfqgPLAqSIxgk/MfStSzt3kCRs5xtUZP0qCyv4L+wgvLd98E6B42&#10;wRlT0ODXOeJ0M9tPbWsbR3FxmI3Ms7RouQfujPzNjOABisjTJYIbWwhk0e5uLCdgLUrcB3i2n7rL&#10;u5AxkMueOwxQB3TajZx3DwSXUKTIoYozgEA5wf0P5Ux9VsUxm6hOSFAVgxJP0rCd2i8R65MLkWpj&#10;s7VhIwyo5m4Ydx7dfeq3hzV7vUvENz/apls7swDyLA52NEDzKMjkkn2KjANAHZA5GaWkHQUtABRR&#10;RQAUUUUAFFFFABRTXGVIyRnjI7V5/p2t6ydYbSbmWd5fnszNgACVWyH6d4iGx6jFAHTeJ9dOh6aX&#10;ghM97MRHawAH95ITgZ9ucn2Fc7da23g5IbnxNA1wjqhn1CFMrEx65Tqq56Gm+Jtb8QQ6vYWtjpdo&#10;s7eYYDe3DESbQMnCKen171ymqQfE2+drq81fw4liit5tu7YjKHhlfcM4PvQA3xrri2fjzwFrFqxm&#10;iuZJ2/dAtvR2Ucd+hrr5RZav4yZNIgNrqFiokurqFguc/dikHQ59DyK82toyDp7JvH9nCRLU2I8/&#10;yvN5/d79uThG25z17450/DXj/wAJ+Hkl0vRrLxGbp5d9xuthLLJIepYE5zQB7Ho+px6lA5BAmhby&#10;5kH8LDtWjXnvhDUtQfUdUnh0e9MN7Osz+dGtuYztCn5SxznGe30rb8P6le3ssjXMkm1by7hUkrtY&#10;JMyKMdcgCgDp6KQcjmloAydV/wCQno3/AF8t/wCinrVFZWq/8hPRv+vlv/RT1qigBaKKKACiiigA&#10;ooooAgu/+PWX/cP8qnHSobr/AI9pf9w/yqagAooooAKKKKACkyaWmk4BNAFPU7oW1lI7MEAHJJxg&#10;dzXneheI9Ri05bnUtFu51uMyRT28AYmIklAQDnofSuh120l8RO9h9omgtgVMpVflljz8yZ7ZA59j&#10;WyiKiKiKFVQAqjsK5sVOyUUyMRLlioJ+pw//AAnNw98qDRNQIWQhU+zMrMuBzz+NPXxxehPMk0K/&#10;WEOyki3JIAyB365C9vWuwlija5hdo1LLnDEcjigWFmJTKLWDzCcl/LGc/WuS5yHK6b48sbuZEuZo&#10;rPAJkW4QxsOuMZPtnv1rW0DWo9VgDC5imfYpIjYHDY+YcdOa0LrSdOvSpurG2mKjAMkQbA9Kyb3w&#10;bpNwRNaQjT7pDlJ7UBGU/QcH6UubQdzYvX/c7VGXJyq9yRzWTZ6ndz2csbn9+satuVeQWwcY9Rn9&#10;OazY9Y1DQb5YdfAntGby4dQRcAH0de319q69CrLuXBDDOR3zQpaWBNGP/aNzIqbeWZ8KEQ8jBPXk&#10;Hp+FVYNUvP7JsZZZcSysuSVGSpT9fmI6V0m0AYAAFVLu+s7BQbmWOPsinqfoOtPmXYLojsZvtQim&#10;b5sRLtfIwSfvYx9BWh2rDg1K5mBNlYyTM5+/IPJjUemSMn8qm+zaxcf6+/ht1/u20WT/AN9N/hUS&#10;eoMv71jaVnYKAc5PHYVRfX7FmKWxku3Ha2TeB/wLp+tNh0KyM7tcq924IIa4bf29On6VqoiooVFC&#10;qOAAMAUO4jIefU75Gji0+OCNwVLXbbuD/sr1/Os/4f26adbXds6NAyXcw2lCkf3sAoD0UqAcepNd&#10;NI6ptB5ZjhR696ydR0m5voZjHqElrcyJtV41yqenB6+5/lXTh5qDfMzpoVIxupbM6wNxS5rhIfEP&#10;iDTY/s95ok88qEDzrUh4mHqMkMPpjj3rqtP1WG+Z4w6+ZGxRwD0YYOPryK7k09nc35bq8Xc0c0Zq&#10;OWZIlLOwAqqNWtdrHzB8pwR6U7MFFvZF7NL2qCC5juU3RsDU3akS1Z2ZFa/8esQ9FAqaoLY/uvoz&#10;D/x41PmgAopM0xpY0+9Iq/U4oAkoqL7TD/z2j/76FN+1R/3ifopoAnoqD7SvZXb6KaPtGekUn/fO&#10;KAJ6huv9Qx9MEfnSedJ/zwf8x/jUc7TtA/7tRx3f/wCtQBboqupuXQH90uR6lv8ACl23B6yoPon/&#10;ANegCeioPKl7zufoBR5HrLL/AN9UATZpN1RfZY++4/8AAjS/ZYMcxIf94Z/nQArXESfflRfqwFN+&#10;1w/wvu/3AW/lUqxogwqKv0GKdigCH7SCflSRv+AkfzqCWZzNCywPnJHOB2z/AEq7ioLngI/dXX9T&#10;j+tAAJJyOIVH+81H+kEdYl/At/hUwApcUAQeVM33p8f7igfzzR9nJ+9NKf8AgWP5VPRQBD9li7gt&#10;9WJpRbwj/lmv4ipaKAECgDAGKWiigBCKhbi8X3Q/jzU9QTcTQn3I/SgCcUUg6UtABRRRQAUUUUAF&#10;cP4S/wCSi+OP+uln/wCi2ruK4fwl/wAlF8cf9dLP/wBFtQB3GK8d1T/kvlj/ANg2X/0Y9exV47qn&#10;/JfLH/sGy/8Aox6APVNQknjNn5GfnuFWTAz8uDn+lYfjWfVYbOwGjbzdNdYCqxAYeW5wx9OAfwrq&#10;OwrCuJNRfQ5njeRLoSnaVUZ2h+mCD1FAGY97qY8N6HcrJKbh1h88gg7ixVTnIOfvHH0pmuale299&#10;oqwNdsrjLj7hc7CfnGMdASRx0p3jJtYF1ZjSd24RyM43bVAHc/Spb641COPR5YzOS1uFk2H5izBS&#10;eD1Pyk+3PrQBuNdakrEJp6sucBvPAyPXpWAdSvm8dRWnmSpaleUOMHh89umQMUaheahH4wsYoZLh&#10;rZkVWQLheTyx/wA+v4ywanft4r+zsH8hphCfkO3aElbg4xnITmgDM8JX+tSa/Lbaq9zvXzF2Sg4x&#10;ncp646EfpWhY3uoD+0knknxDHI8eQCvJyMsBkEAjAz0PtTdLvdQfxHcrcGbyiDt3AlcAHGB9R+tU&#10;PCVxq0zajFqM90zCBDHkYwcEHHHXI9aADRL3VoNI1QXl49xPHBC6SB84Lls4yT6D0pdG1nUH8Kz3&#10;8jTNNJcKqtJzhWcDCgDggHt3qbS7jVrbw/qc19PcSXMZXaSnTnBxj3znn0rOtbzVdR8BCSO4vPPN&#10;zteQrtkCqoPY8DI/U0AW9Y1rVk8D297ayul15u1nWMn5QcHPp9TUGt+I7638N6Nd/aXEk24SNbH7&#10;xAbvkjt+dbNxLqMeiaV87+e04V96MWK8/ewf5nFU9RfXP7I0ye2llCDT2e4cDjd5fGRnOc4oAm1r&#10;Vr6IaYLSWUCZIjKdhYYOeeO/XP4U3VtYvLfxlp1pF9oEDlVkAUlG3ZOTjkEbf1pfF17qtrqVitgs&#10;jJ5LNKE4yfMjHGc5OMj8a6yOVZHKbSHQDO5cYyKAOT/tPVE8a/ZlEzWP2rYcYxjyFPp0ySa66KdZ&#10;4yyZwCR0I5Bwa5ldRvT4sFuQ/kb2j5Q7ccnr61naRqmrHx/c2VzM32JkkMaMuDnzG2kdyMDr9KAJ&#10;tIn1Zxr32mSYlUbyfvfI3zYAz7FaXw1e6ld6VqQu7mRJ1QBJJW+4xU5IJ4wDjg9Mc03RpNXb+3xc&#10;icEI4iy38fzH5eeOClS+F7rU307UDeyStOiKVypzu2nOM++P1oAkt9Wuf+EOuLq4nZpVLoHiIZl+&#10;YgHv0pkuq3TeHrKcXLGQ3Ozfv2iQBGIBIAGCQOmcetVre71dvA9158kv29XKCRUPOW4II6j3qB9S&#10;1az8DQXIEkt8J9hUqfny2OvvnrQB2WjyyTaVbSTEmYoPMyc4bv8ArV/NcK95qk/g7Sbgtcw3THM4&#10;ixuwucg59cYz71Z8R3l7bR2csRmX92u9SCcHev3tp6dcn0zQB2OaM1yWry6p/wAJdp6W3n/ZmAY7&#10;W+UgH58jPoRVC91XVrb4hW9qJ2XT5ZyNjrgMvlIPl9cNn9aAO8zRk1xGmapfTeO76zeS4MKb9iM3&#10;yYAHP1yRx+vFWNAn1FNRu4ry5lI2SPmYDCYcgAEccck+xWgDr80ZrkfDl7fX+kamZ7tEmWeZUYOD&#10;5fzHBz6DsfalttRuo/BU1xPNLJOisN0ZDuPfAA+uP1oA63NGa4y+v74+D4popG85biJS4chim5c4&#10;45ODg9up+j9UutRj0jS2tpW+1PExwpyGbZ0J+tAHY0VBaNvtIWyx3ID83Xp3qegAooooAKKKKACi&#10;iigAooooAKKKKACiiigAooooAKO1FHagDx3wR/yWHxR/u23/AKJWvYR0rx7wR/yWHxR/u23/AKJW&#10;vYR0oA8z8Zf8lY8Nf9ezf+jo69NrzLxl/wAlY8Nf9ezf+jo69NoAKKhmuoYP9a4X60z7fbf89Vp2&#10;Y+V9izRVb+0LX/nsn50C/tSM+cuKLMfJLsWaKrfb7U/8tlo+32v/AD2WizDkl2LNZuuaYNX05bQy&#10;mMC4hmLAZP7uRXxz67cfjVuK7hmbbG4Y+gpLqWSKLckPmnPI3Bf50iWrbmQfCumsTmNTkYP7mLp6&#10;fcqbTNGbSNGWwtZgxWWWQSSJ03yM/Qem79Kzv7fvV8VyWbQILVLFZihlXhi7Ddu+g6Vovq88GmLd&#10;T2R3yTrHGkT+YCGYAMWAwBg5J7YoAifw8g0yO0jmJcXS3MsrjJkYOGJOPXFbuRWP9pvhqW8Nam1M&#10;XMRm+YPnqDjpjOR9Kp3muXTeF5dShhFvJ5qrFuYSBkMgUNx6g5wefpQB0uRSZHrXOT6veQagLIvb&#10;iVoHmDM4C4VlXBPrlhUnh3Ubu+02+kvGVpoby4hUouAFRyAPfpQBv5HrS1wum+LL25bR1lktwbvT&#10;muZiAvyOPKwPvcA726+nsa6Xw3fXGo+HLC8uipnnhEj7F2gE84AoA1aKKKACjA9KQnFNEqH+IfnQ&#10;A+im+Yn94fnR5if3h+dLQB1FN8xP7w/OjzE/vD86NAHYHpRTDKg/iH507IpgVpoZ3ZwtztVuNuwH&#10;HFZ1lo1xp+kw2FtqLosQwrmJScZzTNS1mW21yGxiiZ4vJeW4dYncp2QfKD1OevpVfw74ge80LT5r&#10;iK7muJ+HdLVwo5PJOAMcUAP1Lw5PeXwvkvz56TRSwpKm6OPYCCAAQeckk/SoYfC7yySJfyWv2XKS&#10;RQ2kRiEcoct5gOSQTnmtHWdWl0uwu7prX91DGWEhkAyccADqTnjHeqOi6rqtzo1r51n596gSO63S&#10;qhV+N+Rjj1xQBdbRg2s3GoecMzJEgQxhguzdg8/75qeawlldJftKidMhJPJUsoOMgE+uKra7rD6T&#10;YXtyghdra1e5ETZBYKMnmqza5cfap4HktLcxXcdsrPuPmFlDYA9cZoA6MHgc0ZHrWDPqssWuXlq8&#10;0cFtb20Mu8xlsF2kBzzwPkFOXUHudVbTba9DTxxLM8i2+5FUnhS27gnkj2oA3c0U1QR1OadQAUUU&#10;UAFFFFAAaYEUHO0Z65xT6KAMLX9La8uLC/jJE2nymZAvVsrtIz6YJrm9b0cePdXswyrJoti+90LY&#10;WafptbHJC9x3PGRXoBGa5+TwukOsjU9LuJLGWRi11HGf3dxx1ZDxuzj5hg0AeYeFtJm1278f6Vqj&#10;eXcG9gihaMFfJI3eWUx0wMYrr9NuNY8IwzN4jRL2NIsC/tVy05X7oZOoc8DuDxzSLoOsW/jPVpNP&#10;uLWGW9EF00skLMnyh0xgEc5569q6vTdJuYYw2p3n265DZEpQIMdvlHAoAr+FoNUXTTc6uUF3dN5z&#10;QqP9UD0UnuQMZ961Y7C1hl82K0gSTJO5YwDz15xVkDFLQAgGBiloooAyNXJXUtHIUt/pLcDH/PJ/&#10;WtDzmHWGQfgD/I1Q1X/kJ6N/18t/6KetUUAQ/aB/clH/AAA0v2hf7sn/AHwalxRj2oAi+0L/AHZB&#10;77DR9oj9W/75NS4oxQBF9ph/vij7TD/fFS4oxQBVubmEwMN47fzqUXMOPvikuf8AU49WUfqKmA4o&#10;Aj+0w/8APQUfaYf+egqTFGKAI/tMP/PQUfaYf+egqTFGKAI/tMP/AD0FRy3MXlNhxnFWMU1hwaBr&#10;c4Tw3Ox1nX/PuJTtu0EcbyMQqGJDkA9AW3frXS+fF/fFYtvpvleJb27imnSWWNFcMqmIhS2AOM55&#10;PfuK1zMySBZI2w38a9B9fSuHEJe0Zz4hNVHcR54vNj+cd/5VJ58X98UjnMsWPf8AlUgxisXbQwGe&#10;fF/fFI06bTyen92nSPsjZhzgZwTiotsk6r5ihBuDYVs5IOev1FCsBBLBFd6a1pdwbkkTa67Dj+VY&#10;vhC9eG2udIuWdriwlMYyCSY/4D+VdRWHq/hxb27XULO5kstRQYE8fIYejDoRUt9RPubHnD+6/wD3&#10;waxVlSPxVNuhaSSa3UxEryACd3XoOlUxr+q6Kdmu2BkhHH2yzG5fqy9RT9P1nTtX8QSXMF3F5cEQ&#10;ijy+1nJ5J2nnA6UuaI00b0G6KFYxDIdvuP8AH3qXzG/54v8Amv8AjWdqf2uW7tBaF2Uhi+xyF+8m&#10;CSD6ZrMb+1ha2chEpkE0nnBWIz8xAGDyRgDFa8qY7XOhWR/tD/uX+6O6+/vT98vaMfi3/wBauauL&#10;jUFFqQssjhcHYGUtjcOf1PPoKuXMmofa4tgnRBFkKAG+cjocZ7gfnTlFBY0pnlaeJRAGZTu3b+F7&#10;c8e9T5mP8KD/AIET/Ske3SRlZmkyP7rsufqAf50QSM8ZDghlJBz396hvTYQpE3qn5H/GsDVYNdm1&#10;CKfRbmzIiys0M25VJP8AFkAkkY6V0Z6VDbn5pU2Fdrntwc85H5/nmqhUcNYl05uDujEgsPEFzclN&#10;VubT7LtyrWrSK+4EHv2PPeiXwbo09w809sZWdtzq7sUc+pTdtP4iuhxilqpYipLdlSrzktWctA9n&#10;4OlitWnaGxlciMvIPlYknaBjhRz3x2rrTcwC1+0G5k8vGeo/wqhf2MeoWU1vKqkSRsmSM4yMVhad&#10;4e1SPTpLLUtRhuIjEkSKkGAAMht2Sc5GB+dddPEQlH3tDqjWpzj7+ljobPUdPuMKlwz7iWBEh5Gc&#10;9j71qfZ4z1DMPdif5muAn8NWOm6zpt9ZQ2lmkEjxuEj2mTcmAox2HWu6tNQtrhB5cqtx69a2TUle&#10;JXKpLmiiYWsH/PCP/vkU9YY0+7Gq/QU8MCOKM0iA2r6CloooAKKKKACmSrujcDupFPoPSgCKEhoU&#10;I6bRUtQ2v/HtH/u4qagAooooAKKKKACiiigAqC6/493P90bvy5qeo5gGidT3FADx0FLTISWhRj1K&#10;g0+gAooooAKKKKACiiigAqC54RG/uuv6nH9anqG6/wCPWQjqFLD6jkUATUUgORmloAKKKKACiiig&#10;Arh/CX/JRfHH/XSz/wDRbV3FcP4S/wCSi+OP+uln/wCi2oA7ivHdU/5L5Y/9g2X/ANGPXsVeO6p/&#10;yXyx/wCwbL/6MegD2HjFZaPcx65dCZ3a1aGHyRs4VyXDDI+i1pnoKw7S5uD4hu1eS7+zKAgV4DsL&#10;EjBUhcYHI6857YoAb4u+2jQz/Z/mm5MqBRGxBbnpkdBWVby6z/wibPcO630d0SxVzwqnOAecjA6d&#10;+lavi43o0MjTzL9pMqBBExUtz0yOlZEEusDwk7XEjfbo7slyrkgKrZwCc8cdO/SgA1y91WLRtOlt&#10;mu1mMuZAUG88n5TjsD+YFTazqmo21xZCLeNsaSsFGckxzAg46jIT8cVDrt3qUei6dLF9sMxl3SKB&#10;hycn5flHTn8QKm1rVNQtbmzEeV2xpI6qCwJKTAgnuNwT8cUAVddOpr4tilt55xaxeQrRI7ANvcAk&#10;jIzgCr8N/P8A8Js0DXMgtWV1VCh2lgE4HHuTn2pNZ/t0+I7ZbOYrasybVBUAgHMmRgn7vTn6Yqjc&#10;X2oSfECG13XJtEbdtUkL/COw/nnvQAadfajceOjBK1ybaN7ldvIjwNoBI6Hvijw9ca0g1KLUXuDI&#10;lvuAk25VuemPbHeptLvNWfxjLFMsxst1wFJOQAHXbkfn+f1pdBbVFm1priWc7Q/liTf8rckAZ46F&#10;f1oAzdCufEEml62l7NcPJ5cbWrA/MOWTj0OU/XPepNLu9Yj8B77ie4N4LuCFpCdzlDMiscn1Unn8&#10;afoN1qf/AAj+szSyXH2iJB5JlLNnAJDDPqTjHsMir9vJfDwtcLJJN9ojuEjVtzBsBkzk5z65oAr3&#10;EmoXXheLy76eG4W6dVlwSxRWOAcdRgUaxNqY8PaWYJ7kzh/LkdHwzHOzJx2yR/XvUd1qWqR+Bo7q&#10;zWd7wTFSBuLjk9Qcn0q/4ourrTNCtVguT5hOGZ3w5+Ukcj3oAyPFz6zHp+kSWM9yhEH7+SN2+9hc&#10;FsHnq5z/ALPvWnq1zdW+u6e0byeWzQq5DNt5b5s49s9epwO9Sa22oyahpbWsxMOw+eY3YKSXQDOD&#10;3G/H0NO1+a6ttasHjnmS2LKswB+RRvXk8egPX2HegCKa71IeMFRTP9kzsGMbMZXOR6+/1pdOvNTb&#10;xrfQSNK1mMbQwwqgZ6e+ev4UTTajH4rhAS5a0a7253Mq48nPAJwQGBJ+lVtGvtTPiqW3uTOIGM5Q&#10;yggEea5XAP8As4/DFAEHh/U9Xk8WX9ncTzSWiQyPEjpxndxzj3Peo9Hv9bl8P6012ZhJHZBoJOTh&#10;hFk++7PNXfC0mqpqV2mo3cskLxFoiQMAh2DY47Db379+y+G5r6Sy1G2uLiRJ44FVWlfJU4YFuSeP&#10;u80AVYbrVh4L1WXfOLyORlj3OxYAEAEZHOeuP5VpXser2/g26d7wLeBGkR9/ONmQudvXPtTbLULo&#10;eEbq4uJGkmQyANCd7gbiAf8APamG+vpfCaSRy3Uk3mBA6RhmZfwGPbPr3zQBZ12+uLbRbRzJMs0s&#10;qqZLY5C855Jxxxgn3qr4hvNSFhYy2bTJKYTKxWMkcYPORkdDxWfrGo6vb+G9MIeTzy7pLInynhwg&#10;PoeCf59qu6he3ph054Jmd3sy5CylQx3Jk5yATgnGaAINe1LUoPElnFFJJFC0cbOwHy53LkHn/aP/&#10;ANetI3F0PE8sQMhtxdBW+Y4RPJjIwM4ILFs10wCMoOAwx1IzSjGaAHBVHRQM+1LtAGABQKWgBNox&#10;jAxRgegpaKACiiigAooooAKKKKACiiigAooooAKKKKACiiigAooooAKO1FHagDx3wR/yWHxR/u23&#10;/ola9hHSvHvBH/JYfFH+7bf+iVr2EdKAPM/GX/JWPDX/AF7N/wCjo69MrzPxl/yVjw1/17N/6Ojr&#10;0ygClqOl22qWstvcqxSVCjFTg4Ixwawx8PfD4H+pu/8AwNm/+KrqaKdxqT7mXaaBY2VhFZxI/lRp&#10;sXc5Jx7nvWRH8O/D0cSoIrshQBk3kv8A8VXV0UXHzy7mTp3h3T9LtBa26SGIMzDzJGY/MSTyTnvW&#10;a3w/0B5JJHiumZ3Z2P2uUckkngNjvXUcUUXDnl3MzR9AsdCgaGyWQIWZv3kjOeTnqSan1CcxQFVt&#10;nuJH4SNRwT7noBVymsQqFicAckmkTe553HoFzD4yu5w0M2pSaek7q6/uWPmOPLA7Lt4/WulbUnPh&#10;mSWXSntLhVMUVnIFO6QcKq44IJxj254Fakd5ZSzzhJYzLEFEjDsGGVGe+Qc1NPLBb27XFwyJFEpZ&#10;pGPCgdTmgDz6O8h0zxHbxateW1jPHpPkyXN9GoSSXeMlSSqn1rc1q8tLrwNLLaXdteRq0QMtrgox&#10;Ei5wFJ/IZrck1TTFEplu7fEab3DOPlX1I9OD+VWYRBJboYQhhYBl2jg98igDitWtZdS1FbtLV4Sl&#10;u8a7YJQdxdGBP7vGPlIOfWr/AIVkm/sPUJf3cDNqN0zGVSFQeY3ODg/nius2CkaJHGGUMM5wRnmg&#10;Dz9baeDRNbvxNKwnnjWCZ0CsUXaMrgcLknb7fnXZaVp9xYQvFNqEl2m7915kaqyL6EqBn64FXmiR&#10;1KuoZT1BFP6UAFFFFAEciCSNkbOGBBxXMf8ACvdCJz/pv/gZJ/jXVUdKiUIy3QnFPdHK/wDCvNC/&#10;6ff/AAMk/wAaP+FeaF/0+/8AgZJ/jXVZozU+xp9ifZw7HK/8K80L/p9/8DJP8aP+FeaF/wBPv/gZ&#10;J/jXVZozR7Gn2D2cOxyw+H2howYfbcg5H+mSf411AGKWlqowjHZFKKWxj3iWsclwyaj9mmfmQK0e&#10;WOOM7ge3asHww8Nl4b02W61mdPJUhrfKYJJIwVC7j1zXYSTwxSqjyIrvkqpPLY64Heo7O8t7+2ju&#10;baTzIpBlWAxkdKsZyXiG+tpdSS3nQzwJcxxSvdfLBF5isRt6BmACnJJxn1rMt7aMyWyWsr3Gp2pV&#10;rn7BfkvJAXKg5z8wGBw3IHf19FnSIwt5qqyAZIYZFVdPeyubSO7sVj8idA6Oibd6noaAOa8d6eL/&#10;AEe5eCZ1ube0uEESIWaXfEQE/PBpLWO3XxJqmpXpkMEE4e2QRM2WMYUuAByQMgY6Zb8OyOKrrdwP&#10;fPZrJm4RFkZB2UkgH8SDQBz8lyY/FWqBHgjeWxtQpuGwo+abkjv16VX0jTrbwxfl7PVYZNMnVnuY&#10;pXDOJuMOmOgPIK4wOMYrqJ7u3tpoY5pVR532RqerHGePwFKt3A1xLAsqmWLbvXuuen50AWQ2cY70&#10;tVXvbWGfypbmFJNu7YzgHHrimy6rYxJve8two/6aCgC5RSKcjNLQAUUUUAFFFFABRRRQBykF9ew+&#10;K1guXZ7aeZkgkhYFRhCfLkXqpGCQw611dRiCJZPMEaB8Y3Ac/nUlABRRRQAUUUUAZOq/8hPRv+vl&#10;v/RT1qisrVf+Qno3/Xy3/op61RQAtFFFABRRRQAUUUUAQ3P+qH++n/oQqYdKhuf9UP8AfT/0IVMO&#10;lABRRRQAUUUUAFIaWkoA4m+aaHx/YoJZBBNDMGTedpYbSDjpnGa6EjPWsnWrBLjxJp1x5k6PA7Ov&#10;lqCDlSDuyOmK1gc1xYpe+jLFL3k+6KzW0QuUdV2sxOSD7UBjbuokeWUP0JTOP++R/OpZP9ZH9T/K&#10;pMVzvY5hFYMMg5FMtxiMjcW+duT/ALxpGgXzTKpKvjBI6Ee4pLVQsC4wdxLcH1Of60DJ6KKillZM&#10;BIzI391SAcevNJCHkDHIzXH+KLTTLCym1C50aC6QyhSeEZckKMY9+a6ppZdwCwMR/eJAFc145hEH&#10;guSMfwvEM+vzilKyR1YKEaleMJq6b1GxeF7u2thPpOpXNjMRu+zvJ50WfTnmr+i+IJLm7fTNTg+y&#10;6nEMlM/LKv8AeQ9xW6mNi/Ss7WNBsdZjT7SjLLFzHNG214/oaVrbHNNJSdi+uPtB90H6E/41JiuP&#10;j1HVPDMwi1WOa/swCIruFNzgZHDr7etaMPjXw/OONSiU91fKkfpVOXcm5tzP5cZO1mPQBevNJBbR&#10;QglEwzfePc1z83jbw8LqNTqULIA2SMnB4x2+tbVjqllqUZeyuop1HXY2cUJp6Idy4eBWbeXktvPb&#10;NFA0izP5WVUntkE4HA68/SrVw5ysO3iTILHoB/8ArwMVV1OK+azWLTljB3APukKEJ6A4OD+FVHzG&#10;kSaVqK6naNMIyhSV4mXOeVJBwe44q9VLSoZoLJYpoIINpISKFiyqvYZIGT+FXKT3E9xaKKKQEARX&#10;aRGGQTnmuffwfBab5dI1C901yS+xHEkRbuSjA9e+CDXRJ/rpPw/lUhHPetI1JRaszSFSUdmZ3he+&#10;vpraOHUJYXu1X9+kXRG9MZOOK6avPL7d4W8RQ30EsS2Wq3IilhxtKSlTh155BwARjrzXfwyebEr+&#10;or0VJTjzI7ZNTSmiWiiimQFFFFABRRRQBBbf6s/77D/x41PUEHDTL2D/AMwD/Wp6ACiiigAooooA&#10;KKKKACmsAQQe9OpDQBFbHNun0xU1QW/3GHYOwH51PQAUUUUAFFFFABRRRQAU1hlSD0NOpDQBHakm&#10;1iz12gH61LUNt/q2X+6x/nn+tTUAFFFFABRRRQAVw/hL/kovjj/rpZ/+i2ruK4fwl/yUXxx/10s/&#10;/RbUAdxXjuqf8l8sf+wbL/6MevYq8d1T/kvlj/2DZf8A0Y9AHsBOB+FYcFxcjxHOjm5NqY8fNGdq&#10;tuUDHGMYJ5BPvjjO4e1Ydvc6iPEl0lzDItiYkEGMFS245PHOT/SgBvi37aNDI08yfaGlQKIzgnJ6&#10;Z7A1kwSawPCLPcyt9uS6Jdg+QApz1OeOOnfp3rd8QTyw6UTC0iSmWNRsUkn5xke3Ga5jV7u/n8Ha&#10;RJb3Vz5vW4lQFMARMDk9fvFR7mgCzrtzqUei6fJG98JjLukUL85OTwdoxj09QO9Ta1qepW1xZLCk&#10;oCRpKwVGcAmOYHcfTITr3xTtX1DULbTNOMCyB3jV3CAyHI29Tj69qh1+91NZ9Na3E4UojyFCQoJV&#10;87uOnHTjnFAF7U7q9g8U2KxNN9lZNsgVcgEnrjBPYfQHtVX7Zf8A/CaLEyTLaltgYkhCACcDnBPH&#10;PHSqmr3Gqx+ObdI5roaeVhDBRhd2457HOQRyavA6mPHW3E4swucbvk2FSBx67lH4E0AUtOvNRuPH&#10;hilF39nje5UZBEeBtAPTBHoan0E6oJdZN0JtoDCPczNhuSMZPoV/GmaFLqn/AAlt9HdPN9l8xzEH&#10;BwVOcYPrnP6DtUmi3N41/qcE7SBPJZomYNyC74I7Hjb7jigDP0aXWpPCuqi4mu/tkcA2eZ94MN2c&#10;E8Y46dePpWnHeX0HhnVWe4xPDM4jeY7flJzweODk7T9Kr+E4dXGj6hHfXr+Zt2pK4IdCRnOSccAj&#10;tV6xvr9fDE0wfz7sTsqjO84MpHbHbn6CgC94evWm0W1knl86SQkFl+bHJwCR7CqviuTVFt4l0vf5&#10;5y3y8cDGecj1/SseW41qbwrFIstyJxdupKgBinIGf06U3V7zWl8Pae6s73QEruFDfPtkUDp1G3P4&#10;fqAXNZvb23g0s280gdrXeSZAPMO6MYyQecsDnrwfU1LqVxeJ4stY0uLwW5RBIIlDKpZgMnCng4xz&#10;654Gai1Q6xJqGjWun3Eib7OTzHLY+YeXgsMfX9avalJeQa/p227CxMNskfmBR064I55oAhk1C5Hj&#10;f7GbqJbfy4tqb/8ArpuGP72do/KmWdzdDxjLDI8rW7eaY9+4qMAYAOcZ4PHpU02oTjxitspmVERQ&#10;VOQjhjnI9SMH2HrzUMN1qR8XyAPP9iLugV1+XGxTkcf3t3NADdJm1d9UuftLSCAwzNArEjoygZGe&#10;O/61jaJLrSaR4glu76SVo7NmiDSFijFC3HpjOKtaBqWo3GpaolxNMFS1cxxuvIIdhuHP9PTmt3wz&#10;PdzNOLlpGQLH5TPn5hg5Psc8fQA98AAwoLvV18FatKZJ/tqSlYiQQQAQARuznPXH4cVp366rbeDb&#10;qSa+dbtUeRHVgG+4SFyR1z7V1m0UbR6UActr1/Nb6JaulxKryTKrSxlGC8/xHGAO2eOtVfEN3qS6&#10;dZS2b3EcxhaV3RPlBXB+bIx26V2YUCjaPSgDg9f1TUbbxFZxJLJDAUjZ26JncoIP/fR/lWkbq7/4&#10;SiWETN5H2sBlMmNqeTGRgE8gsWzXVbRRtFAAKWjFFABRRRQAUUUUAFFFFABRRRQAUUUUAFFFFABR&#10;RRQAUUUUAFFFFABR2oo7UAeO+CP+Sw+KP922/wDRK17COlePeCP+Sw+KP922/wDRK17COlAHmfjL&#10;/krHhr/r2b/0dHXpleZ+Mv8AkrHhr/r2b/0dHXptAGRq11f2kfmWlnNddB5cO3d/48wH61Rt9U1q&#10;dCz6NeQYONsvlZ6E54c+mPx/GuloqrlqdlscrJrOuR3HlLoOoOuceavk7f1kz+n51Yn1HWYYnddK&#10;upSp4SPy8tzjjLge/JHHvxXRUUcw/aeSOattU1q4jZn0e8gIPCy+Xk8E8Yc/T8ajl1jXIrgxLoOo&#10;SgYHmJ5O39ZAf0rqaKOYPaeSM+wlvJAxuYmjGcAHGfrwar6+Ek094ZvOaFwfMigX55V7rnsD3P6i&#10;tiorqMy2ssYIBZCAT7ik2Q3d3PO0dDZS69JbqlnIkcqadFOVUgIFUOdvPH8PT610upaZBH4KvtLF&#10;yYY7i3liR53L7N4OB6kDOAOuAKhHhaY+Go9La8XzFhSNn2kjIxnv04reuYJntwsBiEgGA7rnb7ge&#10;tIR57NIb611PUmYxw32NNVdsjSLs34YruyTlz8voPqK77SLy2vNNgktZRLGqhNwUryODwRVH/hHx&#10;FZ6bBbyZ+zXQuJHk+9IeSx+pJrbUKvAAHPpQA+ik3ClzmgAooooAKKKKAGSsVjZlVmIGQq9T7VkD&#10;Wb3/AKAGof8AfUX/AMXW1RUtN7MDG/tm8/6AGof99Rf/ABdH9s3n/QA1D/vqL/4utmip5H3EY39s&#10;3n/QA1D/AL6i/wDi6P7ZvP8AoAah/wB9Rf8AxdbNFHI+4GL/AGzef9AHUPzi/wDi610YsgJUqSOh&#10;6in0VSTW7Gcxqdn52uf2hdSTRC3haK2CJuyWHzN0OOw/A1meEXSTQNHiF7fAnLBUj+Q4J4Y46V2E&#10;0NzIXCSoqHoCmSP1rOsNGvNN0iDT7e/UCIYEhiycZyeM1QGd4lDTWtxb2SzfapwY/Oe4eOOPI7c4&#10;LY6KByevGayNLmtYLOxt59L1KWwlIFpJHMzlAp4V0V+2OCuQR6Vv6p4dvL29F6l8rSRTxSwRSp+7&#10;jCggjg5JJYnP0qG38LTySNHetbR2alZYIrMMhimDli4JPGc4IHagCxraQJfaa0krxxzTlJAZWVWG&#10;xuCM4rFvprixk1y8sLsD7NbW8EbCMdcsQPycV08+h2zXcl9Hbwm+fAE0w37ABj5Qen0GPes688NX&#10;MtrFZ294i2zzLJd+ZHuebBySGB4JIA9hQBl67ceT4kuvMmk3RaZ5oBOV6sGAGOM4GTWRawiNgyXF&#10;tNK8dsqC9aR2jlKZUgYIfAPU9Paut1fw7cX1/eXcEsCyTWP2VPNj3BTkkn9aih8NX9hJO1hdWqma&#10;GOMySwkupVAmQQfbNACyCQeKrpjcJDImmRMZSPlGHfOQe341S0LXbrVvErLfO1mUgIt7TB23Iz80&#10;wJAyOAAOoB561snQ5ZNTF5LOkn+jRwsrpnJVi27r79KsXGmzzNFLvtxcQkmGVoATGSMHHPpxQBpr&#10;0paagIUBjk9zTqACiiigAooooAKKKKACiiigAooooAKKKKAMnVf+Qno3/Xy3/op61RWVqv8AyE9G&#10;/wCvlv8A0U9aooAWjNFMZlXJYgAdzQA+ioRcw7gvmrk9s1LkUBZoWikFLQBDc/6of76f+hCph0qG&#10;5/1Q/wB9P/QhU1ABRRRQAUUUUAFIaWkoA5Pxnb3/ANlivNP80yW8iSvFG20zKpyyA+pGcVe0++g1&#10;OxhvrWTfBOgdG6cVo6mcWMnylj7VwOlajf6RYfZIfDOpNBvdxulRj8xJPT3JrmxVuVSZNdJwUmdi&#10;7qZF2kEq2D7cU4TRmMvvGwEgtnjjg1wya/NaSGa/0K+tYiMtK0JYbvUjPoK29Gsg2kMbO4jmt7kM&#10;UkbJbDMxJz369PXNcnuvqcaszc+0wFGcSoUBAJByMnp/P9axdXjuXgtIdNZiC7fIJ/KyFB43devo&#10;D2qSTSZwk8UCIsTtHtUyE/d5L9OCcgY/2RViHShJDH9qQCaFn8t43IKhjzg+4ppJalCaRete6Ta3&#10;FvGTGwwfOlO9cHHPByetXLeRtzrKrq5Y/e6H6e1OtbWKzt44IIxHEgwqjtVXWbxbOxB2SSSyOEiS&#10;L7zP1H4cZP0pNq4jR6Guc8RppmoxiwuZbmZ8hvs1q3zMRyM+nPqRU8Vjql+obU7n7Oh5NvaMQcej&#10;P1/LFadrY2tkmy2gjiHfaOv1Peod2XTnKnJSg7NGXYalLBcQWF3aTwlxiKSWVXJ64DY6EgHHXoa3&#10;a5nxIzNeWVvZyKuoSOJFDH+FAx/XOPxrQsdRjv4YmguNkxyHilGSCvDL9QfSmovsTKV3ds0WA+0J&#10;/uN/MVFNp9lOczWdvKf9uNT/ADpGWdblCCjptI5GD2/wqVJ43Zl+ZSOMMpH5Z6/hTZNiCzsbWKE+&#10;XbxKGYnAQY6+1Y+qeFIZpvt2lMNP1FeVkiGFf2YDqK24ZY4ykAyRztYDI9ev+NWqlpMVjmNL1+4v&#10;TLp17AbfVIB+8jU/fGfvJnGR/nFdIjq4yM+4IxisfX9AXVY0nt3+z6hAd0FwvBB9D6g1QsPEDDUY&#10;LDWoDY6iOFO793OPY9PwNCfRgnbRnVUUgpaYyqt0zX0lt5Y+RA+7d1Bz2x7UtndC7iMgRkAdkw3X&#10;5SR/SmJbSrqUtxldjoqAc5GM/wCNFhbS20LpIVJMruCv+0xP9a3mocum+hCbuTj/AI+D7qDT2ZVU&#10;szAKOSScAUwnFwT2Kf1rGjhTXr+aWbc+nwMI4o8/JK4+8xHcDgDtwawnoWQa7r2mjSbt0WS7aKNm&#10;AgUnkD+/ggfXtXQ+Hpzcack2CFcKyqWBxke3FN8iIQmHykERG0oFGMfSsLQIbrw7fNpss0T2HLWg&#10;yTII+6kdMKTge2K7cLLRxZ2YeXNF0ztx0paYjq6hlOQRT66SgooooAKKKKAII+LiZfUhv0x/Sp6g&#10;Xi7f3UY/An/Gp6ACiiigAooooAKKKKACiiigCCHiSZfR+PyBqeoF4u5QO6qfx5/wqegAooooAKKK&#10;KACiiigApDS0UAQQjEsy9t2fzFT1AMrdOPVQf51PQAUUUUAFFFFABXD+Ev8Akovjj/rpZ/8Aotq7&#10;iuH8Jf8AJRfHH/XSz/8ARbUAdxXjuqf8l8sf+wbL/wCjHr2KvHdU/wCS+WP/AGDZf/Rj0Aewelc7&#10;qFxfroTtvuUuDOVRokyQNxwTwflx1roj0rCtJruPxBdCYXDW78KSj7UOQFA7EEbiSOmOcUAYXjm4&#10;1e3trI6YbiSbZ84iyA3IBPHOcZNaOqS36tpksDTFWi2yLEeSW2nODwT8p57fjVrxd9pXRGazMwn8&#10;xceUxU/mOaxtPk1l/AlvJc+cmopKGkLt8wwc8n+nfpQBoakdR/4SDTvstxN5G5RMhbAIOevHseO/&#10;qKzrZ9WHxBZXkuTp7vIArMSg+UFcD8Gq1rA1F/DMckEl3FeKHkbLkNxliPl4PTA7Yx1qj4oTWYtU&#10;057OaZUjSITCNm2udx3ZI5PGSeRwKAL1jLrLa9MzK725eQQrK5VTgd8ZwM57VtSS6w0Mwe0tIv3b&#10;APFdNIwODjCmMZ5x3rH1gasfEMP2YzC0TyRLtcqDl/TPPAPb60sn9qt40jbMy6ZkpjeVBcKT0B5G&#10;B1xQBWsptVXR9XtpnuPtEcUbo7ljgsCGAOFOcqT7bhVqyurtfC1zLJLK8olZByQy5bHJwfXPTgcU&#10;aZNfSeKJo2djbkzsUaQnbtZVHGO/X6VR0CfWWutVF0J/J8qUws7ZwRI+Mjg9MdPT6UAWr2fVX8LQ&#10;LYec995nlAlt2/acE5OOuM81DrH9qNoWlvaz3MZJxIYydxZyEXPXj58/hVTR31X/AIRfXTM9z9oW&#10;AiDzGbptYhgTnkk9OvA6ZrThg1aPwozXV1K9xKYXTDFXQblyMjGO/wCFAFTxFLrEeq6ebZphEY4h&#10;NgvjJY5OAPTrVvU31OHxRA8c04tmaJAmAUwWwxOPbI57kfWqNzdan/wiFtNC10txHM5cbHMmBu4b&#10;qR268VDrf9t/8Idp62cl0l6tu3mH5t2QvOTnOffv260AbH228/4Tt7YzYtfITaOSCcvn2znA+mK6&#10;JZllhaRQwxkcrg8e1cV4ju7+3TRhFNOjvbEyGMZ+YbOW/X9as65PqY17Sxa/afswnhMxQlVwxwSc&#10;HGOfzxQBU8O3OrSaxrstzLcmBYP3KsGwDk4Kg98dR7io/Dtxq8Xh3Unvri9NykCSx+YCGHU45z1I&#10;we+PwrWmuLqPxgI3uJIrZmwMZKtxGQoHTOSxJx0zVLTLrVj44uYboTpaebJ5YIYqwycHnjoBjGP8&#10;QC1a3V7D4Qu5DNMbuNcfvwQeg6HGeetNmuNRm+HouYrplvFti2dxDEhDgZwTnofrVTwzLqs/iPUP&#10;tdxLJahJFTez/IdwIJU8dCcd/lNaekT3cGm6t5sstw0DO0QD73YBBjHA69vegB+v39zBpdntkn82&#10;SUbpLbkDBzz04PSqeu3eoefobQvIqyH99tLj06gduvWnWF3fSeFbqQSXUsoIMXyZcEnOOPTJHtVS&#10;W51i38MxgtPJcR3iRBjjdt8sZ5HBw2fXPSgDS1K4vF8RLHE0pj3Q7wGICpn5iOcZ7fTPpz1S9K4O&#10;O4v5PC2iPHcStcvCwJMjLufZxvOR3/Wu1sCzWEBbO7yxuycnOOeaALFFFFABRRRQAUUUUAFFFFAB&#10;RRRQAUUUUAFFFFABRRRQAUUUUAFFFFABRRRQAUdqKO1AHjvgj/ksPij/AHbb/wBErXsI6V494I/5&#10;LD4o/wB22/8ARK17BnFAHmnjL/kq/hv/AK9m/wDR0dem15f4zXzPiv4Z5+7bsTj/AK6x16eDkZoA&#10;N3NIGz2qrqOnrqVobdri4gBIO+3kKN+YqvdaHHdafBZm+v4xDjEsVwVkbj+Ju9AGluGcUbvasq50&#10;CO5MRN/qMfltu/d3LLu4AwfUcfqfWprvR0u76C6a8vYzDjEcU5VGwc/MO9AGhuFJu9qzU0ONNRjv&#10;BfX5ZF2+UbgmM/Ve9IdDjOozXn26/BlXaYhcERr0+6vbp+poA1N3NZmvam2maaLiMIzmeCLD9MPK&#10;iE/gGJ/CrVpZLZpIqzTS73L5lcsRnsPQe1YXjHyZrC3tBbvcXUl1bvHGkRYlUmRn56D5QepFABee&#10;KIk1W3toniWIXn2eaR+Qw8kygrg/QfnVu+1tTosV3pjRyzXqD7EJAQGLDIYg4IUDk+wrj1jtrLXr&#10;poBZW01tqAk8q6uFjIU2iqOeTjce1TM9tdeE9F06KbT52tz9ikco0pJjUKwi2g9cDnjg9RQBtzeL&#10;1jjkeNYpI0tnmEh3IHKsEwMjux4PStO71G4tvC1zqTxR/aYbN5zGrblDKhOM9xkVxWqXLRTNqMVp&#10;DciOBLO3tBDw6ruZ5AmW+VWKc/7GAea6rSorRPB9tbabNZ3NmLfY0ztujIx8xIHXvkcfUUAVJvE1&#10;9HNdxraL+4sBdg5HJO75ev8As/rXR6ZPJdabbTyhRJJErsE6AkZ4rgoLA/2EbhvLM19qiJHctCNx&#10;iZwgOOmMZwOmD3rutKhvLazEN7PBNIhwrQQmIbe2V3Hn6cewoAvUUUUAFFFFABRRRQAUUUUAFFFF&#10;ABRRRQAUUUUAFFY2q+KtE0S9trPUtRgtrm5IEMbk7nJOBwPetgHNAC0VT1PVbHR7RrvUbuC1t16y&#10;TOFH61m6P4y8PeIJ2g0nV7W7mUZMaN82PXB5oA3qKQHIzXPXfjrwvYXclpd67YwzxNtkjeUAqfQ0&#10;AdFRWZpfiDStatpLnTb+3uoYjteSJ8qpxnk/SsyP4heEpb8WKeILA3BbaF80YJ9M9P1oA6aiqd7q&#10;dnptm93fXUNtboMtJK4VR+JrM0jxr4c166NtpWsWt1OMny0f5iB1wD1/CgDfoozxmsHWPGfh7QJ1&#10;g1XV7S1mIyI3f5seuByKAN6iqWn6tZatZpeafcxXNu/3ZInDD/8AXWLP8QvCdtf/AGKbX7BbgNtK&#10;+bnB9M9KAOnoqrcaha2tobye4ijtVXc0zuAoHrmsfTPHfhjWb77Fp+t2dxck4Eavgt9M9fwoA6Ki&#10;iigAooooAKKKKAMnVf8AkJ6N/wBfLf8Aop61RWVqv/IT0b/r5b/0U9aooAWuZ8dXr2PhXUJ4n2yp&#10;byMhH97acfriulJ4riPFkN5rJW2tkYpDIksiYG2VVYEpk9zik3yq7Lg7e92Jp9Nv/wCxw1lcgakY&#10;UHmTElCwAydvQE+tV4vFOradNbJq+ltawyuIhMJlkUOegOOQD2Natnq9nev5SSbLgdYJRtcfgauS&#10;Rq+NyhscgEdK4oYqSeuqOeOJkvi1RdtL+C7XMTgn0zVvdXEazY6javFfaRNGqW+4yWLAIkoPJO4A&#10;4bPPTHX1qxYeKbx2njvNMurVoE3uZE3Kw6fKy5DdvzrsjOE1dM3XJPWDOquT+6H++n/oQqUHiseT&#10;WrWSMKXw4dAV9DkGpbjW7W3MYZsmRgq+59KuzH7OXY080ZrnJvG2hwLKZtQtozExR1eZQVYHBB56&#10;5q1H4ksJoYZo5o2SYgRkOCHJGQB68UWYezl2NnNGawrPxZpF7fvZQXkD3KZDxrICy4ODkZyK2lYM&#10;N2aVmS4tbj80maxtU1WSNvItCpncERg5wzAZxntWAt74xmjCfYLGFiM75Lxio9sBM0nKMfiY3FJL&#10;mdjV8T6+mnWogiXzruZgkMCn5pHPQfTuT2ANReH9KOj6NBaO++UDdKwPBcnJx7c4HsBVewsbua4g&#10;vtTt7P7XGny7MkxsT82G9MY7CtG3lvXEomto4iv+rIk3BvrxxXLiZ83uxMcRJP3I7E06hggIyCwB&#10;FcxF4d1vSN0WiarCtnuLJb3MW4Lk5wCOcVsSPqVvZmWYQXUyvuEUCGPI9AWY5PX0z7VYmvZxaxy2&#10;9lLK7/8ALMsEK/XNcsoXSORowV8QaxpbtHrOkSyqORcWCGRMe46ip4/HWgM217t4T/01hdcfpWvJ&#10;bXE8sMhu5IFXloowuHPuSCfyxTTDczXUiXFrZva/wMWJb6FSuPXnNTyvuFmPtNW0+/j32l7BMvqk&#10;gOKoa45jvNHmA3It4EbHbcrKD+tVD4L066mllvobZmY/J9miMOwfUMSTVW98E2EUIaLVL+1VXXaT&#10;OXUNuGOG98VLTsGpo+JYY2hgZpp1mkcW8CxzMg3uR8x2kZIA/nVy9uDpWnwQQAy3DbYIFdiS7dMk&#10;9eACSa5Ke7vbC7iW5ubTXoLWTzhscLcREZ52g84Ga3TfR3lxYa3bRSXVmYWA8sZaMk8nb69jVc6a&#10;sNNMfHpbWt7Z3Epe4unlLTz7DwNjAAeignpVWzQW/i1wbaSKKcu8QIwoccMfx4retNStb4uIJQXT&#10;76MCrL9QeRUeq2L3lujQOEuoWEkLnoGHY+xGQfrWyrWjaxLhrctyf6yL/eP8jUhAPUA/Ws2w1JL9&#10;UDJ5VzE5WaEnlDg/p6GtMVn0RQxIkQYVFX6Cn0UUgEJwMmsnU9Ig1zTJIbqPa7j923eM9iPfpWhN&#10;vcrGpAJI3f7o6/5/wqbGKAsc94W1ea7t5LC/YDUrNvLmB6sOz/QiuhrnvEGgvcyJqmmsIdVg5Ru0&#10;o7o3rmptD8S2urL5EhFtqCcS2shwykdceoqU7aMSdtGbdLSA5paoZma3dCy0+efjIhYL7k4AH5mp&#10;9KthaaXbW6gAJGBx9KynEmpeI1guhGba1HmJGFPLEkAnPXAGenWugxQ9xi1n61YS6npVzaQ3D28s&#10;iEJKhwVP+HrWhRjmmpNO6BSad0YnhbxAJbV7O9CQ3tq5hniU5wwPUf7JGCD6GusjlWRdyHINc/Lp&#10;FhJeS3bWyfaJo/KkkHDMvoTVTw1qszavqOmXMaxSWsoVUUk5QjKNz6jP5V6NKqqit1O6M41V/eR1&#10;9FFFaCCiiigCA8Xi+6H+YqeoJP8Aj5h/Gp6ACiiigAooooAKKKKACiiigCBuLxfdDn8CP8TU9QS8&#10;XEJ9SR+n/wBYVPQAUUUUAFFFFABRRRQAUUUUAQPxdxnsVYfjwf6GpxUFxw0TdlcfqCP61OOlABRR&#10;RQAUUUUAFcP4S/5KL44/66Wf/otq7iuH8Jf8lF8cf9dLP/0W1AHcV47qn/JfLH/sGy/+jHr2KvHd&#10;U/5L5Y/9g2X/ANGPQB7Ae1c9ZS6iniO7+0pM1s2RGQDsXldvtyC3I6Y56iuixkVkxRzJrV1Oz3Pk&#10;gLEiFiysTglgO2OB+dAB4gjuptIeOzWR5jJGSsT7GKB1LgHIxlQR171zdzNqT+FrYKJ0ljuXV9xL&#10;MVAcgZBzjOOeeldJ4gjupdJZLMSGYyRn92xUlQ6lhntlQR+NYqTXbeFE89pkZLny5GdjuKeZ69hg&#10;9eeBQBNqFzd/2Hp/lTTM7qJGkjQ5IXD4ICnrjFQeIn1ab7BJYGdECo9zt4+Q5zz3IIHAGeferOp3&#10;N1/Y9kY5JJnf96ZY9ybgmGwQAeuMfjWP4zk1aY6XHYw3PlkxySujMNnXgnv34xQBu3sF4/irT3jy&#10;bby23Dtkep/H9KzYRqieOzvNx9haVzjYSm3YMc44+bHPsfWrerPqcfiPSGt2mNooInjUA5zjn8O+&#10;fXipmMyeMI8vdfZXiYZyxjMnBC+g43H8qAMzSJNVPi947hZzaFZXDNEyhSW4HPUdcE/QdKg8N/2w&#10;dT1k38lyIHiDQZVkK/KOmc4I/nmpNKOqt45lM8NytkTKY5HJ2N0A4/DP40vhi51Se91aO7W4BAZo&#10;i6FV+8cbcjnp19+lAFzw3PdppF3JcPcJMqh1N0GCHOWBBI9Tg+mB6iq2kz31z4FQyTvJdgxrjJLL&#10;8y5z36Z/Cm+F4tX+walHqE1xGGhURyOxwrHfuKn16duPepGOqz+D5wlxL9qW4blGy2zzT/sjgj2P&#10;HSgBDLq0/hCAWizR3zTldpRlZfmP3t3Tj8KNRlv4fD9i6PP5w852cEknAYgE+h4GfTp2p1v/AGs3&#10;gpI3M7X4kwTk7sB/14FQa5/blvomnG0EyTxwytKC+98hcrk45PGTQBP4gj1h30Q2qStxiYpKR8/y&#10;4zyMjG/t6VU8T3msWni3TGtppYrIuvm5HytgHI56nB6DvirPiSDVRcWLW95cRotqd8US5LMJIs5I&#10;B7E9ux96j1tdUHjHT5LZ7r7KSiuioShG5ckn6E0Aasj3MXjGAC9JtpIZC0RkXCkGIAYI6nk9fWo7&#10;S8uX8W3SbbgRfc2PnbgAkMo9CT19qiih1W48YXeyZo7OKRGxvO1htTgDGOQG47VZtDeR+LLpHuS9&#10;sybgu7gHPQDb2+v+FAGdp8+rpqN+0jXPlNb3DokqjhlZNhHGRwWwO+OnFUdIu9Rk0XxEJ5bgTJDM&#10;YkbO8YUhSuPoMYHNbOiXtxPq+oGRLpY9z/JLu+XbgDbzjkZI+nvWbZS6ymk6y07XRdrQyRo4+YOI&#10;1UjOOMsrfz70AdFoDXLQ3Iut+fOOwsSfk/h69/X3rXCg8cVwulXOoTeHNRa4kuDKLtcAo25VO3ge&#10;veuo8PNcHSlN0hWbzH3Agj+I4xntjFAGoEwMU4UCigAooooAKKKKACiiigAooooAKKKKACiiigAo&#10;oooAKKKKACiiigAooooAKKKKACiig9KAPHfBH/JYfFP+7bf+iVr18gEYP0ryDwT/AMlg8U/7tt/6&#10;JWvUxDdfat7T/ugeEH9TQK55Xq/hzS/D3xW0NdNtvJ+0wtJLly25vOj55NexDpXmXjDn4r+Gv+vZ&#10;v/R0denDpQMKKil81VzEiu3ozbR/I1GxuQBthjJ4yDJj+lAFmiq7G5BG2JCCecyEY/SjdchhiFCv&#10;cmTB/LFAFiiqxa53keTHtx18zn8sUoa43sDCgXPB8z+mKALFQXdxFZ2ktzMdsUSF3OM4AGTT4zIR&#10;mRQpz2bPFZniJmfQr+3jjlklltpFRUjZskqQBxQBHPe6TJ9lnntN4unSOKR7fO4t93kir1zJZaZY&#10;SSyrHDaxj5gFwoBPoPc1xsMaTWOiNbRvMba5hE3lpKxQqMNnORweDW/rMttqvh2eGTz4UuFKBXgb&#10;zCQeyEZPTjigCd9W0iy+1OXSNoUDzlYzkLg4zx7HFaCwWs9ug8mNom+cKUGPXOK85MQu9Pmv5LfD&#10;apObQW8VspkQIGxt7FuCTzj34r0LTLuO9sIZokmVMYAmiaNuPVWANAFmWCKYKJY1cKwdQwzgjkGp&#10;AAOlFFABRRRQAUUUUAFFFFABRRRQAUUUUAFFFFABWdrf9oNot4ulMovzEwgLYwH7ZzWjRQB8m+Lf&#10;D+t6F8QdAfxFqn9oaleTQzSMMlY/3gAUZ7fgK91+JfiDxV4ftdObwtpv22SV3Ew8ovtAAx06dTWF&#10;8R/h1rvinxzour6d9l+y2Xl+Z5spVuH3HAx6Vu/ErRPGOtWunp4R1I2MkTubg/aGi3AgbeQDnvQB&#10;5J8XtYvdR8WeFrHVIJni+yW889nEMF3diHUD14wPrWpot5oen/FGwj1rwZL4ev5Sv2R4bk7Aei7l&#10;AA56E+vUV1Xjf4Z634gt9B1ewu4V8RabFGJGmY7ZWXDZ3Y6hgetUYPAHjLxX4507X/GAsbWDTwNk&#10;Ns+4vg5x7Ak5zmgD2fnbXymfDurXHibxHqmp+Cr3Uo3lkmUPI0IjUsTngfNxivRtHuvE6/HW90y4&#10;1ua50xxNMLaK4LpAh+4GHRW6cU+Xw78WNIvNSgsNUt9YsbtSkcl7Md0I552ngHntmgDkT4i0Q/BD&#10;XR4ZsZtMma5iivIDKXxu43BvQhcfhVLUvCmkwfs82Oux20a6kZ1drgfeYGQptz6dD+Feg+Gvgz9h&#10;+H+r6Nqd1G2oamVd5YhlYiv3cZxnknP1rmH+GfxKuvDMHg6aXTF0aGfzfPEpyRk8dM4yc4xQBy/j&#10;nWr3V/A/gGznlfZLA5kJP3mVwgJ+gH61tfFLRrDwT418LXegW6WTbUJEXG4qwGT7kdfWu48afCBt&#10;Y8GaNpmk3Ecd9pCbIXkyokBxuyR0JIzWT/wrnxv4v8V6VqXjJ7GG008KuyB9zSAHPQccnqaAPb0b&#10;dGrdMjNfNvw00qy8bfEfxTda7brdkCRlSXkKWcgY+gGBXX3114ng+PFlYprUkmlzsZTYxTlhFGE6&#10;uvQZPSq118OPGXhbxpqet+DHsprfUd+6Gd9pj3nceDgEA9OfwoA4XwTrF5oegfELT7SVxFDbM0fP&#10;3CH2ZH1DfpVjQvCmk3f7P+ta3Lao2pRzM6XB+8gVk4z7gn869G8C/CSbSPDmu22vTxTXutIY5jFy&#10;sS8nqQMnJyfoK5aP4Z/EfT/Dl74Ps5dNk0W7m3tO0pDAZB6YyM7RkYNAHGa/r9/c/BTw1ZSSuYze&#10;To5z95Y8bAfb5j+VbvxV8Oad4T0jwhqGjQLa3IRQ0kfDOwVW3E+uc13usfBsXfwx0/w5a3EY1Cxc&#10;zpMwIV3b7wPcA/0FYFx8NPH3i250ay8Ty2MGmaYqx74pNzyKMZOB3IGMnFAHuGmXL3ml2dy4w00K&#10;SMPcqD/WrdRxRLDEkUahURQqgdgKkoAKKKKACiiigDJ1X/kJ6N/18t/6KetWsrVf+Qno3/Xy3/op&#10;61KAIrmTyoWb0FcT4cuVmvNW1GW4YQzXJit0d/lKxhVZgD6uW/Suh1u5YGO2i2mRyPlZ9uRnn8hz&#10;+FYUPhdLO0gtYJPMhiDL+9HzEM+88/hWOIklHl7iqtRppdzVuY9O1C3zcLBNEF3hmwcD1B7VTNm1&#10;qQLPV3hUjIjmIkXH48/rVa88P3Nxbxos8ausAjYsM89+e/erL6TdO8DmZQU25G5sDC4OMetcHLHu&#10;cgNcazG6xNa212ud2+GQx4xyMhgRz9al/tDUR10SbPtPH/jV+IMs8gLEhsMAe341Nmla2zE2cde6&#10;FbXl5LfXXhSKSaYqHaW4Uk9BwOgOOM8Va0o6XoTzAwX1o0uDsuC0gGOMK2T69M9q6OblVH+2v88/&#10;0pZZI4YmkldURRksxwBVOc7ble0l3Ma2n0CW+QxW1uly7HY7221mJyThiK0LHS7HThMtpbRxLLIZ&#10;HCjqx6ms+Avrd/Fc7WTTrd98O4YMz9A3+6O1btTGchczWzMjU/D1lfwIqobeeJ2lhmhOxkds5Off&#10;JyO9YF1r+paPFZaQ11bSX0jlJLiVWjhUKm7PGSSeBgY5NdXd3EcUbM8wijjw0j+g9KxIiltrF3dR&#10;2Zu0fbkon72A4+7tbB29xj16VtCvOETalXlBNFfQZ7PS1nmub+a7urp/MnmELiIHoNowcAAAfhWy&#10;fEOmniOV5f8ArlEzD9BSf25BjAs78n+79kf/AAxQNUumH7jRLwj1cxx/oWzWEqjm7tmUpOTuxf8A&#10;hIbDv5+fT7O/+FH9v2p6QXjD1Fs/+FOg1Vmu47a7sZ7R5M+WXKsrYGcZUnB9q06Su+pLMg65Yu8a&#10;yO8B3DHnxmMH8xWqjK6hlIIPQg5BqK5jSRUWRVZSwyGGQaz20VIGMmm3D2bHkonMTfVDx+WKp3SE&#10;a+BRWTt12PgPYTD1IdP5ZoM+uKpJtbBgOTi4Yf8AstTzBY1GIUEk4A715l408U/21Ivh7R8zGRws&#10;zqMhsHoPbI5NReJfFd74hnTQ9HjeN3JWchgc9sAj+Hvmt3w74atdCgGFEl0w/eTEfoPaiKdR2jsb&#10;YfDyrystlucdf+Cp9NgWS0ac3USeb5q8qxHUDHKkds9frWz4O8a6Ro/h82t9JKtwsjOwCFt2fTFd&#10;Ze+eYAtuwWQuoyfTIz+lUp/DGi3Nw08unQtIxySMjJ+g4rWeHs7wO6tlt2nSdina+MtJ1vX9O+xr&#10;NFcK5RmlULujI5Gc+uK7yvI/HGkQ6YLHU9Ot47fyn2v5Sheeqnj6GvTtJv4tT0u1vImBWaMN16HH&#10;IrJc0ZOLPOq05Up8kuhDqWmC4nhureQ294h2rMozkejDuKii1iS1kW31aMW8nQTjmKT6H+H6GtWb&#10;on++P50rosiFXUMp4IIzTa00JFR1dQykFT0IOQaZLMIsZBYk4Cr1NZUeiRFmltpZrEFj8ls+1fxX&#10;lc/hTl03VIc+Vq3mE954FJ/MYp7boDTjj2yNIfvNgewA6VLWMp1cyGNNQsHcdV8o5/RqfnXl/h09&#10;/wAXX/GpbEaxANZmqaBpusAfbLVHcdJB8rD8RTP7VubYf6fp00YHWWD96n6fMPyq5aahaXwJt50k&#10;I6gHkfUdaLphbuYDeF760GdK168hI5EdwfOT9eaYPEepaK4i8RWQEJOBfW3zR/8AAh1WusqvdxiW&#10;2dTEsoPVG6MO4x34p8vYVuxi6VJDLrk8kEgkikRHVgQQc7z2966KuGksf+EN1ZL+3ydHuHCzRnny&#10;Cc4I9smu3R1dQyEFSMgjvQguOooopjErnr7TLi013+27O5EcbRbbyFkL7wn3CoHQjJ+vpXQ1h+L9&#10;QfS/C1/dxzmCRI/kkGPlOevPFa0W1NWNaMmppo6iyuRdWyyDuOatCsLwxe295pUT290typUHzVYE&#10;NxjORxW4K9JnXNWlYWiiikSQTcPCf9vH6VPUFxwEb+66/qcf1qegAooooAKKKKACiiigAooooAgn&#10;6xn/AKaCp6gujiEnuCMfnU9ABRRRQAUUUUAFFFFABRRRQBBdcQlv7uG/Kp6inAMTjH8Jp0R3RIT1&#10;KigB9FFFABRRRQAVw/hP/kovjn/rpZ/+i2ruK4fwn/yUXxz/ANdLT/0W1AHb149qn/JfLH/sGy/+&#10;jHr1eO+t5bkwIxaQZzhTgfjXlGqf8l7sf+wbL/6MegLnsBJAGK56/bUjoUu37T9q81/LMa84yduf&#10;bpXQntXO2kmor4ouzP8AaDZMhVAVJVTlAp9Oct06Y57UAUfGEmprpFutmLlZmUlzFnO7aSBxjncA&#10;azvEa61Hr1vPB9saybyyvlscZA5yAff9K3/GCXcmiEWZmDgsWMJwwXY2TntVZ/t7eD7do2lFwrhs&#10;lyWwrdSfw6cg9KAJ9S+3r4ktWh882zqquImx0brjp6Z9qy0g1L/hOEuTPcm0a4eEw7m2BQmQ2M9M&#10;g/5NTaqlzJZaWJ7y5smJcySPKwOc52koRkdQPaoNaOqwNpU1vLctam2RGZXIJlA3hivPPy9/XFAC&#10;6TNqk/jaX7QlyLeJp0UsW2Y4wcdPp1qfQ7zVLm0vhci4DtarKuUIPmFcHH4jpU2p3V+vimCON3Ea&#10;iALjODvZ93GOcBB9N1C3ep/8JWIws32cymIExnZtEcjden3ttAGT4bn1260vXLe6muDcAIIDIpVl&#10;bbtP8h09DUrx6u3w/kELXJvHlWSH5m37dwbBPX+9611kZ1XzF8xLIIT820tn9a53wjFqjwXN/ePO&#10;okTiKR3JzjOQCcD8KAGSw6nceF7ECS5WQysJQjsG2kMMZIye3480usXmpJ4b0uRJJBcOn74KrBt/&#10;ln0H96pdDGoNp2owvNcSyGBWiMzNkFg3AJ6cj8KWG41OHw9cuftLzi5SJDjduj87Z8oAz9zOfzoA&#10;PEsl4k1hLbNO8Yj/AHpj3AcvHhiB2wH/AAqLWdQvF8X2NtA98kLGIO0cQMeCT1J6ds027bVbnwSv&#10;FwLlJNrgFo32A47YOaj16LWU0vQ/Ka7E0cZW78iVlLNtA69cbh/nNADJrrWYviKkQluBp8ki4VkO&#10;wjbg4P1FTaS2p/8ACXTCcXRttkzqXyFUl+Bjp05HPenasuqiTTriOa4wlopfYTy4dMkrj0JPPoas&#10;6vd3aeKNLjjudkDH94MkY4PUdD7Z70AZ3h5dXGo6n9unuDA8UrQkhlK8rzySM/y561d0Ce/Hh+8e&#10;d7hLryjKhuAxXc+X44zgM23HYL9KuXKX0HiRZ1+0GCZ44wu/5MAHccBvcdu1RWjaovjK+MjTyWMi&#10;qIhjiPj+RIP6c8igCDSZb268HSGS4lFwFABcsrDAHGSCeT7Utzd3q+C4N4uGuZdsTtBksm7jceFP&#10;Hf0ql4fGqrrestdNdmHZIYUdfUjGDng8N+fsKTwtea3cPrAv/NCAH7OzM2cAYBwScc5PH9KAJ/EM&#10;2oyeH7CS2eYytIdzKHVyMHBwPwz9ata692l7aC1aUjyMsFLAEB1z3+9jOM0mkR6n/wAI1dQ3cs0V&#10;wh2iWSU7icAnnBxzkd+lMkurxfA8W57hriULC8kT7njDcFiSBjGevagDro/uin1x+qSajc6HYCB7&#10;rzZJWEjoNnybWALY4AzsP+TWX4ivNYFppLxtcBnhDTyLlcHenJx04z6d6APRKK5LUpb3+24PIll8&#10;srCZB5hRSm75sDON3t9fautoAKKKKACiiigAooooAKKKKACiiigAooooAKKKKACiiigAooooAKKK&#10;KACg9KKD0oA8d8E/8lg8U/7tt/6JWvTlvCl81sVkJc53E9PpxXmPgj/ksPin/dtv/RK16x9gtzcf&#10;aPLHmeuP1poTv0PJtW0RtH+KuhhtV1G/8+Jn/wBNmEnl/vo+F4GBzXsQ4ArzPxjx8V/DX/Xs3/o6&#10;OvTaQwooooAKKKKACiiigArN1nTrvUrVYLXUHs/nzIyoGLr3XqCM+oOa0qKAObn8LSS6eltFqUlq&#10;0R3QvbRJGI3HfGOfcE81s3NtPPbeUlx5TEbWlVRux7Z4B/OrdFAGQdBhjj0uG2PlRWE3mqvXd8rD&#10;k/8AAic1rYpaKACiiigAooooAKKKKACiiigAooooAKKKKACiiigAooooAKKKKACiiigCnBpdla3V&#10;xdW9pDFcXLbppVQBpDjGSe9XKKKACiiigAooooApx6ZZxahNfx2sK3cwCyThBvYDoCauUUUAFFFF&#10;ABRRRQAUUUUAFFFFABRRRQBk6r/yE9G/6+W/9FPWoeKy9V/5Cejf9fLf+inq5e3C2tpJK5ACjqe1&#10;A0ruxxWsQprPji0s5CzQW9vLO+xipViVVORyP4/yq3d6fp1lCkmo3d7JGzrGvmXEhG5jgDCn1IqT&#10;TbZGuZNUt47dmucKZkmLb0B+U8DHc1D4pW7m02KKG1aVhcwsRHzgK4J7egrhxFpVPQwxDvUt2GXd&#10;p4fsWlEgkiMKq0rxSyAxgnALFT0qzPZXumRNPYXkkqLybe5beG/3XPzA/jis7XJXlvZYZtLnexMS&#10;tM8MWWnwchCeyjv/AIZra1S/Sz003IXevGAp6+mMe+KwlBJaGLMewuReeKrO7SSXbcaczlGbhSHG&#10;fl6A5zU9jcm21nxG7NJJHC8TKhYtt/dAnGTxzV3SdHgs7a1kkiU3ccW0y45GeSPpmrLaZZ7rhhAo&#10;a5G2VhwX4xzTUtAujFm8W2i27zsmFhKEnOQcke2eh+tVre//ALcim1C8hcWluQYrTOAxLEbnPc8d&#10;OgpRp2mX3iWS2Gx47VVJQNnLnPJ9xgfnW6mh2UcDwoJAjlSw3n5sev4Y/Km3BoehZtJxcQBwgTDM&#10;u3PTBI/pVg9KhtrWO0Rki3bSxbBOeTUOo6lFp8AZwXkc7Yok5aRvQCodkyNyhrkP2nRNQt0hMkkj&#10;KHUA5A3KN4xySoGRjklcdaq6GTYXWom7vfPjZ0KXc+EaQBcYPQceoA/OrS6TNqSmbVppAzDK28Dl&#10;UjH1H3j7002+g6VbGa8SzQISpkkAyxH8z9KfM+Uq+hafxBpSNtF2sh9IlMn/AKCDSf29A3+qtNQl&#10;91tHA/NgBXG33xLiiuPs2h6Z9pVf4iCv5KBWVN8QfFl19qW30uO2W3UM7+USQCM5+Y46e1ZqTexK&#10;vL4Vc9Ak+26pd2hNk9rBDKJS8rLuOAeAATjr3rbryS213x5ErXXyXEa4LKoR/qMDkY9K6DSvifpk&#10;1t/xM43trleGVFLKfp6fQ0c3K/eCV4/GrHQ+Ki76FNFDcxwTPgKZJNgPcjPbIyM+9VNAu5Z9b1Rf&#10;JEFoiRbUDhsMQc8jjpiuB1WYePPFoSLzhpyoIySPurjk4PGSTVwfDu5tSUsdYeOJjyNpX+RrRSk4&#10;e6rmtOlUqRvBXR6Rfa3pmmoWvL6CLHZnGfy6157r/jK88STHR/DscnlyfLJNjBYd/oPeo2+HccUE&#10;s0l5LdTjkJjaG9s8nmuo0S102CxU6bAsSNwwx8wI6g55yKSpzk7S0N6WAqTlapoir4a8NQaDbZ4k&#10;u3H7yX09h6Ct4kDr2oxxTZFDROpGQVIrrjFRVke3Tpxpx5Y7FWNFu7mO+SctCIysaDgZJ5Y+vQAe&#10;nPrVyq2nywzafA9uNsWwBVxjAHGMVZ7VRaRV1DT4NSsZbS5XMcgwfb0NcKo8QeArkyWzfatLLfMp&#10;GR+P90+4r0SmsFZSpUEHggjrWNSkp67M5cThIV9Xo+5zh+KOkyJGWtboNwzfKOP8a0LT4keHblwr&#10;zy2/vLGQPzGafJo2mBSVsbbk8/uxVa58I6Hdrh7CND6x/Kf0rN0aiW55ry2rummdJpmq2N9bBre+&#10;guOSSUcHHPHFXnJ2Nt644ry+8+HltE3m2V/cQr6EBsfiMcVm2cXi221C60+y1N/MtyDseT7ynowB&#10;zxWT54v3kc1TD1qb95HW+GLi7t/7MN0IZ5JNPke4dIsSQurJlSc85LN17qa6KTXbWO2mmcELEM5L&#10;KASegyT3GD7V541h46uFkje9WISD5mV1XP5Coofh3f3Z/wCJnqzshOdqksepPfjvWqk568pUcPWn&#10;9hneR+MtGkiZxeW4YMFCGZQTk/Wrn2Sw1qFLtV2S87JoXw64/wBofyOa4Rfhdo6QeWLu/wA+pdD/&#10;AOy1QbTde8DSNdaXctdWOcujjIx/tL/UUpxcVdodTC1qceZrQ9FW9vdJcJqKtc238N1FHlh/vqOf&#10;xAxWnbX1rfRF7aeOVeh2nOPqO1ZHhnxRZ+I7ESREJcKP3kJPK+/uKv3Wj2t1L54Dw3H/AD2hba35&#10;9/xzWa7o573Wg25tkv8ARfst0FdZFWOTHIzkA/rWX4MuZRYXGl3LE3GnSmE56lOqn8uPwqw8Os2q&#10;vGt5azoTuWSeMh+P904PT2qK1sn0nxF9quJ/OfUk8uR9oQB15UAfTPrTk9mFjo65zXWntZftcV7I&#10;qieEPhsLbpnnK992e4ros1Rm0mynuJJpIQXlKmTk4cr93cO+KuOjGXhjHHSqmqS2UGmzzah5YtUX&#10;MhkGVA9TVsHiuW8RSS6vfQ+H4YJBG22e5nZSECKwIRTjBJI/AVVKLc0kXSi5T0Og8LwwrYLND5JW&#10;QBt0K7VbPOQK3hVe0h8m3RO4HP1qwK9N7nZUlzSbFooopEkFzxAzf3SGP4HP9KmFR3IJtZgOpQ/y&#10;p6ncAR0IyKAHUUUUAFFFFABRRRQAUUUUAQ3Azbyf7pqRDlF+lKVyCPWobUk20Weu0UAT0UUUAFFF&#10;JmgBaKTNIXA6kfnQA6ioftcHQSoT6A5NJ9pU/dSQn02EfzoAlaorU/6Og7jg0ee7HCwP/wACIFQw&#10;PP8AvFEaDEh+83rz6e9AFzNGag23DdZI1HshP9aX7Ox+9cSn24H8hQBNmkMiL1YD6movssZ+8Wb/&#10;AHmJpwtoR/yzX8RQAn2uDoJFJ9F5P5CvNNH8Qx6Z8UPFdudN1S6+1zWiiS1tGkSLCEfOf4Rz+hr1&#10;AKB0FcP4VGfiH44/66Wn/otqAOwg8tsskez5j1XGfevJtU/5L5Y/9g2X/wBGPXpVvbXKaq0jA+Vz&#10;j588c+36ZrzXVP8Akvlj/wBg2X/0Y9Nkxdz2A5xXPWy6nF4quGkE7WDIwySdu4lNmBnAAAfJHrz2&#10;rocZArmNdt9V+1XjWj3TxPFEVVGAKsDJnb077M0ii74qhup/D80VnnzmeMDHoXXPY9s1z81rrJ8F&#10;okn2tbpZ0Zt0jF9nGeQ2SOvGa7GyaRrOITBhKFw27qSOCfpXMWdq/wDwlck7TXKt9qfEZt5AuzY/&#10;O/7uCWH/AHyKAGasupPoGmFWuIp8BpwrtlCRwzE5JCtg4qTXJL2SSwksvPwYAwI3jOWThiBxwc88&#10;5A9wbGnR36a5drKJjDhnRt52BmZzz/wHZ0zisrwlDqcOn6kbma63GFdnnqQd2DyB+VAB4jfWoPF9&#10;jJayXEdmxgV9q5jYhm3j8mHbv7VoC11I+OzPif7IFz/rDs2FSMYz13Kp+lR6PNf2+h3Kutx9pjuY&#10;xsKFmVC6qwztG7o7cZwGFW9AfWf7EhQxp5kYVCLospwEX0HPOeaAM7Q4NUi8W3xuVlW0aR2iLR/L&#10;tOcDPbnJ/ED0qDw22pz3usxzR6hG21/La4kfaTuIGzdx0A5x6Va8af23/wAI4z2qut6soMYsi7Hb&#10;3zx161X1JtVe10gRx3juwkDsAwdcOGG4+4UDnHBPegC94f8A7QtbG/S5mmyiI0bTpkFjkkg7eR0U&#10;j/ZJ4yMxaIL248DbJ7iaK6CDJYMrqRg45Gcnmretx3r3tlLarcMnllHEbMrkNgn6HA798epplzPq&#10;Y8UQrGk/2ZXVCRGSu07c5OMevPagCO6mvF8Fw7xcXNwQiP5JKuvTrgDp3o1canc6DZJbfalmk3qz&#10;oSMDaQrNuJ4zg4Oada2moL43uJ3Mv2fG7n7hVgQAPcGMH8feqfh231aPXtS+1LMsLmRoS27BDHKj&#10;ngYzQBW8RzaxjSnjNyAbfMzqn3Wzk5AHsK1r4Xv/AAkCGFJWhJtzI3lkjZk7sHGAemfbPemeGo9R&#10;tEv47p7j/UI0bShnG/5gTnHPATj9Oam8KXF2ulzSXi3JcNGAjxOD/q0DH5gCec/lQB0y9OaMjH1r&#10;L8QxzSaFdLbvIkuwlTHncSOwwD/KsPWYNVufD2n+Q9x9oyyyiMlScowGRtHHTtQB2GRmlyM1yGow&#10;arcaDpsaiaW6DkykMVLdR6e/4A564qPXIdaOt6f9lDiBYoxIEJIzvAPOR29aAOy4BPSgEdBXI6la&#10;6iPF8dwt1dG2LQYhRTsAy2SSAfT2+9UUEWpf8LAuJGjuGsix+cZCAhFC8Y6cnv1FAHZ5Box/kVy3&#10;h6z1T+2tRurmeRbcTyLHExYgg4wRk9Ac9u9S6J9tt5dXWZp5kSXMIcNlgIo+hKDuCOD1z9aAOlGM&#10;cYxS7xXH6VNqL6DqGYr5ZirNGrhg6sxJwCT2P/6zVNhrUPhO+jC3Mlyt0PKVgS23y1bA7n5s/jQB&#10;3oYHvQDmuFh+3v4Z0sYnNwtwwYPG+VxFJt39yN23JrrtJ3/2XbiUMJQg3hvXvQBdooooAKKKKACi&#10;iigAooooAKKKKACiiigAooooAKKKKACiiigAo7UUdqAPHfBH/JYfFH+7bf8Aola9hHSvHvBH/JYf&#10;FH+7bf8Aola9hHSgDzPxl/yVjw1/17N/6Ojr02vOfFFlLf8AxY0GKGRY5V0+aRS4yMrIh/pXY7Nd&#10;/wCe+n/9+3/xoA1aKytmvf8APew/79P/AI0bNe/572H/AH6f/GgDVorK2a9/z3sP+/T/AONGzXv+&#10;e9h/36f/ABoA1aKytmvf897D/v0/+NGzXv8AnvYf9+n/AMaANWisrZr3/Pew/wC/T/401xriIXae&#10;wwBk/u3/AMaANeishF15lB86wHt5b8frTtmvf897D/v0/wDjQBq0VlbNe/572H/fp/8AGjZr3/Pe&#10;w/79P/jQBq0VlbNe/wCe9h/36f8Axo2a9/z3sP8Av0/+NAGrRWVs17/nvYf9+n/xo2a9/wA97D/v&#10;0/8AjQBq0VlbNe/572H/AH6f/GjZr3/Pew/79v8A40AatFY0R12VdwmsByR/q37HHrUmzXv+e9h/&#10;36f/ABoA1aKytmvf897D/v0/+NGzXv8AnvYf9+n/AMaANWisrZr3/Pew/wC/T/40bNe/572H/fp/&#10;8aANWisrZr3/AD3sP+/T/wCNGzXv+e9h/wB+n/xoA1aKySmvf89tP/79v/jUZHiQZw2mEfR6ANqi&#10;sETeIDIybbP5cchCR/6EKf5uuj7zWg/7Yuf5GgDborE87Wu8tkPrBIP60efq/wDz9af/AN+n/wAa&#10;ANuisbzNY/5+9N/74b/4qnKdbb7tzpx+iN/8VQBr0VlbNd/576f/AN+3/wAaNmu/899P/wC/b/40&#10;AatFZWzXv+e9h/36f/GjZr3/AD3sP+/T/wCNAGrRWOf7d80J51h0Jz5b+3v70/Zr3/Pew/79P/jQ&#10;Bq0VlbNd/wCe+n/9+3/xo2a9/wA97D/v0/8AjQBq0VlbNd/576f/AN+3/wAaNmvf897D/v0/+NAG&#10;rRWVs13/AJ76f/37f/GjZr3/AD30/wD79v8A40AatFZWzXv+e9h/36f/ABo2a9/z3sP+/T/40Aat&#10;FY7HXVkVPOsPmz/yzf8Axp+zXcf6+w/79v8A40AJqv8AyE9H/wCvlv8A0U9YPjPUJZki0SzkC3t6&#10;fLTB5RT958ey5/HFas1tqTXNrc3k9qY7V2kCxIwLEqV7n3rD0zW9L1C9knknUsJCsDTQ7cEZDbWP&#10;XmpnNQhdlX5IuRcg8M2VrCkVpLdW8cYwiRzsAo9h0qT+x5x9zVr4fVlb+YrVGCMjkGoLi+tbQEz3&#10;Ecf+8wB/KvKaV7nBcpf2Td99ZvP++UH/ALLVGXTLMXObi+luZ4FMsSTAbYzjAfgdsH9auNq81wD/&#10;AGfZSSr/AM9pj5cf155P4Csi5t9Tnku76a5MJFn8jQwjbxuO3LZ9vzq6UYu7fQmTaWhrvrVpZqWn&#10;vBJnGEC/Pz6KOTxURbUNaUBQ1jYsMls/vZR7AfdH61D4e09ISbnyWPnRRt5s2WfcRyATztraAmjc&#10;gBWjxxz8w/xp1IJS02CLb3M+fQ7UJbLa7rWSI7Y5YvvLwT+P40i6jd6a6RaoqPCzBUu4hhc9g6/w&#10;/Xp9KsXuoR2kQuJkdYomyxI68EYHqcmqtxc6hfW0iJoytC6kbbmYKzf8Bwf1NZy0WhRqfa7cyeX5&#10;8e/+7vGaxbK5snvrvVLu4hVldoYjI4HlovHGT3IJryWz0OS/1650y4n+zXqMcbjwSOo9enIro1+H&#10;USyKJby4dCeTGq4H1zz+lTFTnqkaUqFWorwWhv8AiH4i2Vihg0oi8u24BHKL/ifauasvC2oeIrxr&#10;3X7mSMuN6xD7xB/RRXSaV4d0TSJQ0MQecDIeX5iO/HpW00kTlhvG4dcHkVtGhd3qHfQy+3vVnfyK&#10;+maRY6TB5VnbrGO7dz9TWbLpMt/PrYd4vIvoliRlfcQVXByK1lnZkdW/eEAgsgP8v8KytO0ySFpE&#10;a4V5Mt1GSMk/hjkV1KKSsj0FGKSUVoTaVpjW97JdFYYlNvHB5cJ4JQnJ/XFOuvD+iXkrXNxZQOzf&#10;efpn64qnYwzPbXcNuBII1MaPnaGfuQ2OgxgkZpjWOonRpoJLICfOQIZFYE9PlLFccHvim4qW4OMZ&#10;KzVyeeystH+y3dmkUEMcgSUIMblY/wBDitxpI4wC7qoPQlsZrnIdNlbQBazxbWkZiIZCueRjjnn6&#10;0wWN3La/Y4wjT2km0ljjep5B+pB5NSoqLsJPldkjp96EAh1IbgHPWsy8tpLSd72yYeaw3SQdpgOu&#10;PRvekaxn+xxJFGnmRxkjzCCd46c+nWi+06edp/LWPDRBF5xg+3FEoplyu0MXxTozXEcBvo1lfGFP&#10;YnsT61rLLGz7A6lh2BGf881wmmaIbz+1tNZUeOK5ZC5ODyQQfqBu/QVb8P3FzZ6sdN1E7bpCwWRs&#10;DzUwACD3yFH51EZPqYU68tOfZnVJK6XzW/khYTGHR1HBOfmB9D0Pvn2q0OlV7yOaS2cW8gSccoxG&#10;Rn/DtUyHKDJGR1x61odaFIyCK53SZZ00u/EAeST+0biND97YPMIB+gHb2rosAgg9Kozx22l2FzLb&#10;20Ma4aRlSMAM3UkgdSaEKS6mZ4XJ/wCEfZSZGKzyruk6n5zXRVzceoQ21ncpZ2UECoQ2yJQuWJI5&#10;Axz8tXl1fzLTzlTaRKiMHBHDYOeM+tU0RCSWhqkZFc7r9hcQyxatYYNxag/J03p1Kn+dbdpMZ7cS&#10;NgNzkDp1qcgEYPSs5K6sOpBVI2OTtPEuqParqcmmxvprk8wPukjGerDv+GK6a0u4L23S4t5FkjcZ&#10;DDvXOhV8MaywK7dJvm4x0hl/oDReQN4avv7Rswx02Zv9JgUZCE/xqKzjKUdzlp1J0/i17/12Oppr&#10;KGBDAFSMEHoaZDPFcRLLC6yRuMqynIIqWtU0ztumjh9V8GXFpdjUvD0zQTqc+UGx/wB8n+hqTT/i&#10;LqGmTiz8RWLgj/lsg2t+I6H8DXaVVvbC11CAw3duksZHRlzj6VzyoK94Ox5tfLYyfNT0ZoQX9lrO&#10;mm4tJ0mjxkFTyD7+lM1VGvdFmdAfPhHmJ6hk5/z9a84v/D2qeFrltR0KeRrf/lpFnJA9CP4hXW+E&#10;fGNnrVslnOVhvlGGjIwHA7j1+lZOTS5ZbnkzhKnLlmrMu232q5vI7lDKIZCGRgeq7Q38zipLaPUI&#10;prd5w7R5LbQTkDa33vx21Y0XNq1xpjnItmzCT/zyPKj8OR+Fa9Up6bBcxdEW6j/dzxygmNfnkzzj&#10;jP4+lL4huBY6d/aHkTTfZm3lYj0HQk88gDnv0rYpGAIIOMH1q4zakmhwm4yTW5Y0u+jvrKKaJw6s&#10;oIIOQQehq8DXHeDIpdMhn0+4QRxxTy+Q29SGiLll6HjAIGPaur+0RD/loK9I7ZqzJ6Kg+0x44Ysf&#10;YE0faR/zzl/74NBJM33T9Kitv+PaL/cH8qQzP/z7yn/vn/GoraSYwLthAAyPmfHf2zQBcoqDNyf4&#10;Ix/wIn+go23J6vGPopoAnoqHy5sf6/8A8dFJ5Ld55M+2BQBPSZqH7OD955D/AMDI/lR9lhJ+aMN/&#10;v/N/OgB7TRp951H1NNN1COkin6c09YYk+7Gi/RRTsAdAKAIftKEfKHb6Kaht5m8shYZCQ7dgP4j6&#10;1dxUEPEsw/2/6CgA82cjiAD/AHnx/IGjNy3eJPwLf4VPRQBAUmPWfH+6g/rmjyCfvTSH6HFT0UAQ&#10;/ZYu+4n1LGgWsA5EKZ9doqaigBAoAwBS4oooATAqFAFuZV7EK39P6Cp6gPF4P9pD+mP/AK9AE9FF&#10;FABRRRQAVw/hP/kovjn/AK6Wf/otq7iuH8Jf8lF8cf8AXSz/APRbUAdvjmvHtU/5L5Y/9g2X/wBG&#10;PXsVeO6p/wAl8sf+wbL/AOjHoA9h7Cuf1O11B7jUPs81xteGAxbW4Dh23AfhtzXQdq5jXIb8XF40&#10;L3rxSxwCPyWOI23PuIC84A2k+vFAHRI+8E7GXBIwwx0OM1yGiQX8fjK6a4S58plmYNIx2hcpjHbJ&#10;449AT9ettWLWybt+4DaS4wSRxn8a4fToNbj+IkzSLOdLJcBnYlQdpI69B+nFAC6HHrcPi+U3n2oW&#10;W2byjIMqMkEdPp3p3h2fUbnTtWaUaijtD+6jmXkE5PHHXJo8OLrKeIrtbxbkQjzdgKnbyQwGT3OT&#10;6dKsaLBq8UOpvemZzJaq8CO5OMhjjHY9OOtAGboR1ybwvqFvdy3hulkj2nad6884yOelTNDrM3ga&#10;4iAuYr+SeUBuS2OdvocHAH1q7Y2uqXfh3U7TMhkdkjiLSMG2mNN3JxjqRx3/ADqtPbavP4HgKJMl&#10;3JL5+0OWZVYFsEn645oAJ4tU/wCEY0uP/SpbwTkyKhKl8Etz+Q6nvVzXpbyOz0X7LJPjdmXcr7/9&#10;U2C2Ae55z3xUN3Z6jN4Y0tSbnehzOiko78H5cY5z0z+NP1mbUV0zQStw/m5BuDtYEt5TfMQBwN3b&#10;3FAF7V1uRqulzQyyNHkCQb2UYwckgKQe3Wo7+a7/AOEtt44luljVFwwUtG+5huHUYIAJz/kyaulz&#10;/amlzQ3biMECRdxAIwfmwBj/AD71HfTXZ8XW6Rx3IjVFwwyUfc3zDGewBOf0PQgERXUv+EwE6i4W&#10;0EjJg/dKlY+QPTKPz7iqOgPqjeJr0Xa3CR7JxGGB2t+84I7A4/nV5k1T/hL/ADk+1LaCRkwxyrKV&#10;j6A9so/p1HrVHQX1M+Jr37ULlIik4jV87W/eHBH55oA1vCy3fmzfaTIYzDGI95Ocjduznvkj8Me9&#10;dKUUjFcz4VW9WWY3XneUYYxEJGPX5t+c9+n4Y966igBAoFG0UtGaAE2ijaKXNFACYFG0ZzjmlooA&#10;TAowKWigBNozRtFLRQAm0UoGKKKACiiigAooooAKKKKACiiigAooooAKKKKACiiigAooooAKKKKA&#10;CjtRR2oA8d8Ef8lh8Uf7tt/6JWvYR0rx7wR/yWHxR/u23/ola9hHSgDidS/5LJof/YLuf/Qkrt64&#10;jUv+SyaH/wBgu5/9CSu3oAKKKKACiiigAooooAKhuubdl/vYX8zj+tTVBOdxiQ9GcZ/Dn+lAEwpa&#10;QUtABRRRQAUUUUAFFFFABQelFMmbZBI/91SaAI7Xm3RuzDd+fP8AWp6jiTy4kTsqgVJQAUUUUAFF&#10;FFABRRRQAUUUUAQQf62f/fA/8dFT1Bb8hz3Ltn8CR/Sp6ACkI9qWigBhjQ9VX8qa0ETfejU/UVLR&#10;QBB9lh/55J+VH2ZO28fSRh/Wp6KAIfs47PKD/wBdCf50eS//AD8S/wDjv+FTUUAU1jlF0+JicIv3&#10;lB7n0x6VN5c//PZf++P/AK9InN3L/uqP5/41PQBBtuB/Eh/Aigi4/wCmf61PRQBB+/H8KH6Eil3z&#10;/wDPFf8Avv8A+tU1FAEG+fvCPwejzZP+feT81/xqeigCDzXH/LvL+a/40vn/AN6OQf8AAc/yqakx&#10;QBUa4T7VHxJjY3/LNvVfapvtMeOkn/ftv8KRv+PuP/rm381ouWKW0jDqFNA0rswfFGuW1jolzKsv&#10;7yNCQMEHOOP1xWVph0/TtBsNNuQkhWBWYEAgk9Tz7n9ad4akbUku7m7WJ5obqW2RlXBCK3Gav32i&#10;w30vmlzHJt25Azxzx+tcuIqQk+TsZV5r4F0M1rbQEkMex15H7tJnRecfwbh6jtVu2j0W3vGgt7WJ&#10;ZVbaX2A87Q3U89DU8mjqZWlimMcnGw7QQvGCMdwaZ9hRb7zmnBZpemzhsDGM5+nPXj0rm5YHOX5p&#10;o/IcqwYheADVDXZceHrsBgGeLZgHu2B/WrxjM1xuZsxL0Xb1PufaqGvIptbaPaMSXUSnj/az/Spl&#10;ZIlmgRGLTyw2AI8Da2COO1c5pJjufC2lfaLkmbJKJJNgTMN2FbOSeOfwrpmgidCjRqVPBGOoqsuk&#10;afHbpbpZwiJDuVAvAPqKqLSGmY2mpFe+EobW5nZipkhldjyroXU4PcArwfYGtfR7t7vSbeaZgZGT&#10;k/3vf8etZl3DDf3sekW0apaQkG5ZBjsSI8+4zn2+tb6wRKgVY1AAwABUtpu4M47xb4KOsXaalplw&#10;lvfrjJJwHx0OR0NYP9mfEO3+VLhJQvT95Gc/99c16h5Mf9xfyo8mP+4v5VHKr6aCi5Rd4ux5f/Y/&#10;xAvvlmuo7ZT1/eouP++c09fhxrMvzT68oc+hY/rmvTfKj/uL+VHkx/3F/KlyJ7tg3KW7f3nll34N&#10;8S6JA13Yax5/lDe0auVyB7E4NM0bVNZ115L2CC1aeFNjee5wfZVHC5wOa7nxjcLYeFNRmQKrmIoD&#10;j+9x/Wua8A2ixeG1lZQWmkZsnn2FXTXv8sWdWD55VeRSdjX0bV4tSgdGjMFzCds0DcFD/Ue9ae5f&#10;7wrnbtEtvGlg8ajNzC6SqPQdGP8AKti8urPT4DPdSRxR+rYGT6D1NdcHe93sezSm0mpPYh1KSAz2&#10;kLIXmMu6Mg/cIHJPtz+tR3E8VlrUEzyIsdwhiclsfMOQT+Gf0rEg1XVNVhYWNmqq0hIupkwiLn5Q&#10;o6selaVr4UsAGe/3X1y4+aSc8D6DtSb5l7pHtJTfuL5s3FlQqCHUg9CD1pHniRdzSIoPcsAK5zw7&#10;GkT6vpjfvLe1mxFu5IUjOPw/rVbTokuvC/huFnt/Mkt0YC4iMgbERzwMevcirg1JXNIVXKOxb0d1&#10;tfE2r2rMNtxsuo2B4IPB/WtTUdOsNVi8u7RWKn5XBwyH1B6iuchn23uhar5CQpMGs5Y0GFHJwQPT&#10;OfzrshjHAFZxUdYsilFNODWzOXmGq6BC08F8NQs4+Xinx5ir3IYdfxrWsri080zRTjF6onVCe+Bk&#10;j8MVoSxrNE8TjKupU/Q1zHh6eK3WLT7xT9qs7h7SJh/dKlgfphf5UK0ZW6BZ06nLfRnT+dH/AHxV&#10;E3ZntrxXjVghZMYOGAHf860aqJZusdwnmg+exYnZ0yAPX2rohyWdzWfNdWKUhto7SGcWcYaZkyQh&#10;GMn6c9TVwW9oVA8g43byNh5PrTZ7N2sYoBKB5W052/e29O9XF5UfSqqcllyk01K/vEcQSFNkMLKv&#10;XA4A/M0/zD/zyf8AMf40/kAcVgeIbi6N3p+nWtw1v9rkZXkQfMqgZ49PrWEpcqvYqpP2cbmlqNom&#10;pWMtrNCSki45I4PY1neGrme70UQ3CiSS3drdyT97b6/hiojZ+INKLfYrpdRiYfdu2w6H1BHUe1Xf&#10;D2my6XpzQzMHmeQySMOm5gCf8PwrNO89jBc0qqdrGXcW1z4Yme+slLaaTme1zny8/wAS+g9q6SGY&#10;3ECTRNG0bqGUjuKkdFkjZHAZWGGB7iuf8OsdPvr7Q5GOIG822B6mJu3vg0/gduhSXsp2+yzf/e/7&#10;A/CjbJ/fH/fNPHSlrS502Kt2h+yS75AE2/Nhe3euZ1rwal7i+09xBegZ44Dn146GutlAaJwRkEHI&#10;xUdq3mWsbAnkZpSipxszGrRhV92aucd4R8S3NxrUFpqUj/alJtmJ4LDnbn3BGPxr03yU9ZP+/jf4&#10;15H4v0+XR/EVvr1sn7tpFdsDhXH+NeoaTrFlrVkLmymWROjYP3T6GuGLlGTiz52cHTm4S6FswRY5&#10;XP8Avc1z2pX08+tQaRo8cfmxsJLuVlysaHonuzfoOfSuhnl8mCR9rHapOFHJ+lVPC2jrYxzTtJJL&#10;JPK0rSSgbyT6449BwO1dmHhzPmZvQp3vN7I1NO0yGyhCrEin0A4HfFXwoHRcfSnYorsNm7u7Ciii&#10;gQVBbcKw9GIqeoIOHlHffn86AJ6KKKACiiigAooooAKKKKACoE4upfcKf51PUHS8+qf1oAnooooA&#10;KKKKACiiigAooooAKgm4mib3x+lT1Bc8Kjf3XH+H9aAJ6KKKACiiigArh/CX/JRfHH/XSz/9FtXc&#10;Vw/hL/kovjj/AK6Wf/otqAO4rx3VP+S+WP8A2DZf/Rj17FXjuqf8l8sf+wbL/wCjHoA9h7VzOt2+&#10;pedftbPeOjwxeSI5NoVwZM4xg4+5n6+nFamrR3btafZd+BKpk2n+Hcuf0zWf4xivJdDeOxjleVjz&#10;5eSQMHsDk56fjQBtWsjtap5qsjgbWDdcjg1zWnreJ4rle48xoHafyvlYhcbcc9BxmsXxJpmtzWmk&#10;zwRXMkcdsY7mNXO/cRwcd8Efyrf1iDUHn02WCOU4jMciIzKfmwSMjoPl5z7YPXIBS8LWepWus6kb&#10;oTeUuUhMiEBhtQ5GR0yG/Eml0WPUjp2qK4uATAoiUhgwcgkgbsDjIGe/ek1Nr8+NbCGGLUltQsZe&#10;WMZjH3vlJx9M89/pVcJrUPxISY/bRpzKwwELRnJHcAgdM846fmAQ+HYdcvfDGqWN5LcG5Yqq+Z8r&#10;LnhueOwPep57XVpfA8AiWf7W8vnhXbeyqwLYOSe5xTtAXUV8a6gJ7S7W2YMyTSZ2EkLwBjHY9/Wp&#10;fDen39k98tzPeTuYWCyTK3LCR+gIxzwe/WgBLmz1Kbwzpaj7QJUbM8aHYzHB+UjGOemffNO1ifUv&#10;7M0IrLK0vDXJETA7vKYZIA4G49CO4qHQYbtdI1S1a2uo7nzAv7xMbhwNwJHp2Hp71Lo+mak/g67s&#10;LkSC8d9pblSBgcg8emfxoA62GXnyyH4RSJGGA2f68dPeuZvY9RXxhZXccUh09Jysrr6tHtXjrty3&#10;4dT0qrq0eryeG42giuftEU8rBIhyVG7bkHJweKra9p2ry+GtLtrMXEdzDAVk2jcRhSMZ9enPf60A&#10;Tourr48DCS5FgXbKmNtnfnOOAeAOexpmiLrUfizUFu1uVtf9I8rIyrAuSuDzj1HSrWp29+99pRjh&#10;unCWqmYRuwwQQOmQM4Zz1ycD0qfVTef8JbpvlNcfZhjeUhcheGzlgMHPA9qAM7wnDq5uNSOoXVwy&#10;SwfK0gZWiYZHvzjHvx71paY17b+HL4Sma6nSSby41JDsPMbbzgHkYI9qneO4j8YwyoZzbyRSbz8+&#10;1W/dAD7uOinv61FYNfP4ovHeC6jiJKfMGMbKudrA5wM5Pr9KAK0Jv38IlI4r0zB1CDcRJjjPJP1q&#10;jqKa1H4VsYlNzLOlw0chUfNsD7Qen90n6itbwzBdxXc5uFlEbR4jDowKkM27ORg5yMewrpww254A&#10;FAHGXS6hLYaSYFkknNlKCWiYjfui+8MZBxuwTXZQf6iPgj5RwRzTutOxQAtFFFABRRRQAUUUUAFF&#10;FFABRRRQAUUUUAFFFFABRRRQAUUUUAFFFFABRRRQAUUUUAFFFFABR2oo7UAeO+CP+Sw+KP8Adtv/&#10;AEStewjpXj3gj/ksPij/AHbb/wBErXsI6UAcTqX/ACWTQ/8AsF3P/oSV29cRqX/JZND/AOwXc/8A&#10;oSV29ABRRRQAUUUUAFFFFAAagfm6iHoGNTnpUC83jH0QD9aAJ6KKKACiiigAooooAKKKKACobr/j&#10;2cf3vl/PipqguOVRP7zgf1/pQBMPSlpBS0AFFFFABRRRQAUUUUAFB6UUjHajN6DNAENt/qEb+9lv&#10;zOf61PUNuu2CMHsoH6VNQAUUUUAFFFFABRRRQAUUUUAQRf66f/fH/oIqeoIOXlb1f+QA/pU9ABRR&#10;RQAUUUUAFFFFABRRRQBAebxfZD+pH+FVNXvUs7RjIwUP8uT7nH9at/8AL4//AFzX+ZrmfG19PZ2M&#10;H2d/LaW4hi8wruC73Ckkd+D+tNF0/i1GeGtNudMsrhLvy/OnupJ28skqNx46/StqmqCAoY5IHJxj&#10;Jp9eVOXM2zgm+ZtjJXKIzKpZgOAKighRoeQ3zMWwwwQSc1OxwCTUNurhWLFfmbcqgYwP880iSSOJ&#10;YkCrnHJ57561ma7xDZk9BdxZ/OtaquoWS39m8DOUyQyuOqkHIP6VMtUBZrK1O+mMqafYYN5KMluo&#10;hX+8f6Cquopq9rps8z6mhWNMjy7fDH8cn+VM0x2s7Od44MytLhiwZmbBwSzHr+mKaTZSRqWljFYQ&#10;QwRAkbyWZjkuxBySe5NXqwE1maXSorxo0RjLGADnG1guSfpuP5VsWc7XFssjYDHOQOg5qnFpCsWK&#10;KKKkQn0rPu9e0yxuGt7q9hglVA5WRtvykkAjPXoaxfGPi5vDItVhiinllLbo2JB244Ix715/pujX&#10;vivxVc3+uJcwxNADGNpAPJ+UZ6AUL3nZF04SqS5Yasv+LPFSeL9Rg0HRWaWHId5NpAb357D1rsre&#10;K30HRY4i37u3QLnHLH29yaxPDel2ehDVbp4WgVbgxJJL1MahcEexbJrWt4ZdSuEvbpCkEZzBA3r/&#10;AH29/Qdq1jT5X5s9bCYb2N5P4n+Bzl5c3kF2/iCLZcSWoaK4tWJXylIBVRxycEH3zVq20ubxBrCX&#10;2s+UjWv3LJMnbnnLE/54pt/BdzxeI47a1dzc3UW0suAYxFGrMOmcbWx3zWpoVpNa3l7ulluIm2eX&#10;PN984H3T649cdzWqpLds2VG8rM2JFCpwMAEY/MVS1nVU0mwM20ySu3lxRjq7noKvTHERJOBkfzrj&#10;7jWINQ8UaZOsMzWEUrQpMV+RpT0x+VFSSUbdy681TjZbs29C0prLTnF2FkuLpzNcZGQWOOPwrSFp&#10;bLAIRbwiJeQmwbR+FTd6wPFUspt7KxjkaNby5SGR16hT1Aob5I6dCpWpU9OhWtFfxFqi3WVj0zT5&#10;SsEaj/WsP4voK6gDFQ2trDZWyW9ugSKMYVRUw9aIqy13KpQ5VruGK5XVG/sXxLHqUsW6yuQqSyY4&#10;jcZAY/ga6uqWoFisUIt1mjmkEcoYZAXBJP6frTkr7dAqw5lpui0jq6qykFWGQw6GnfSucXQNQsCy&#10;aTqvkWxORDNF5mz2U56UPN4h0nElwItTtR98wpslUeuO9Tztboz9s18UWdDJ/q2+hrl9au7n+27W&#10;xfUH0+0kiykqAfO+T8u49O1Wj4v0zaRKl3Bn/nrbsP5ZqG58SeHb20NvdSiWMjBQxMc/TjrU1JRl&#10;HcirUhONlIlFl4ktRtttTtbqLsbmIhh/3z1qXT9FuBf/ANparci4vAMRqgxHEPb/ABqh4Wkf+0Lu&#10;O1e5bSFQeUbgEEPnouecYz+ldUOBxRCKlqOjCM0pf8MKBzUUShZZsHJZgTz0+UD+lS1HHtM05Xru&#10;AbnvtH+NbHUyToc1zmvqLfW9FvF4bzzCzDqVYdPzroXkWNGd2CqoySTgCuahkbxHr0N1Ep/syxYl&#10;HYY82Q9x7Cs6jvp1MMRZrlW+h04paTtxS1Z0EczmOJnCliOgFNtcrAoOMjjg5qaq9oixxMqngSNx&#10;+NUtiXuOuLeK6geGdFeNxhlbpXnky3PgDxFDcW8jvp1wfmT/AGe4PuO1ekVynxAtfP8ADnm/xQyq&#10;358f1rmrwvHm6o4sfQjOm59UbvimU3EWiRQyuv2m/jyUcglAjMenbiu0tECW0YHZRXm2k3Vlquke&#10;HJXlma8tE4ji5C4UoWf0GP516Jp19Be2yPBIrrjqDmurDNOlc4KOtFPzL1FFFbjCiiigA7VBF/r5&#10;vqP5VPUC/wDH23+4P5mgCeiiigAooooAKKKKACiiigAqB+LqE9uRU9QTcPCewk/mCP60AT0UUUAF&#10;FFFABRRRQAUUUUAFQ3X/AB7SH+6N35c1NSMoZSCMgjBoAAcgUtQWpLW8RPXaM/Wp6ACiiigArh/C&#10;X/JRfHH/AF0s/wD0W1dxXD+Ev+Si+OP+uln/AOi2oA7ivHdU/wCS+WP/AGDZf/Rj17FXjuqf8l8s&#10;f+wbL/6MegD2AjK8dcVzxs9Rl0KeJ3mW5MgKbZMEgEcZ9K6LtXM61Zaw8uo/2c7ETQRBA8xQKQZN&#10;wUgHBxt7d+tAEHjaDUbjT0i02OVmO7JiOCTtO0e3zYOayvEWm62+u295bw3E1t+7GEm5QgYJI+p6&#10;13VqWe3TzEKuBtIb24/KuH0uPVLb4gnfaTCylM583J2jIGM9v4OPrQBtanb3r+I7WWFJHtyqrIEY&#10;r0bOc+g4OO+MVS33p8eD91epabiC4J8s4TgEYxjI/PFN0qy1RfFF9MweMbGSJpctGwJznAx79x1r&#10;emh1U2lwJZ7Vw0TYEMTI27HHO49/agDl9Ij1i38b3JuDdCzbznRGBKlSxZcHpn2/Cr+gLepHq0cy&#10;XYkbe8YkGBgs+Me/T9KpaTpuqw+FdUtrxZ2uJZBhWck7WVQcEHryR+HNW1tb248LG3SOUT/aiu3k&#10;bRuPcnOPcfyzQBR8P2uqrp+sPc2t1HLMtuqbmyxIXnGfTI7evpUnh6w1aDwLdQy/aV1CXdt81jlT&#10;jAPrjAzVxba+/sXTo5oBI0V0xcOrSEIC23HfGMfhUHiX+15ND09rOOeK4aD96kEfCkqMrjtzj8qA&#10;LElpqdz4Nt4ys8V5F5eSZPmbBAz0PBHaqnjWw1OfR7O0sxctKAQxhfk4GRzjqSBVu80++u9W0a8J&#10;bEUUYmygzuJB5+m0/TNS6ra3Q8T2N3EJ/s2QkxTJA7g4A6ZCj8TnigBuuQ6mE0g2STyfZ2VpkD4M&#10;g242/Xvn6etQ60l0viuxuhBcPbKi5MYJ2tnGDjrwxqWOC7i8ZCX7O/2Z3c+ZsyB8gGCccZIyO3B9&#10;RUGkR3UHirUTNbXIEm8xSszFXGSAMdBwBQA6Syv/APhOYrthOLPJH+znBHb1yP8Avn3q9p8E0Pie&#10;+Z5pGgkAZdxfG7J4HYY/wrG0rTNVgt/EAm8/zLi2xbhyTj7/AE7dWAx7e9R2FvrI8La1EXuBds37&#10;uRwSTliMgduAPpQBq6I17JfakZYpoFYyfLKCwByApHPcAnAz06jvS0q1v08Ja1HMs3ntCRGoVgxP&#10;kKCRnnls8etQxWOqN4DWzmSd71ZwGD5YsN3qe3vUk9hqsvhbRLeNZIrn7TmYcgrnfk8H7uW/LHSg&#10;DovD8dzFbTi63bjMShYk/KenX0HFbOcVyusafdx6dp0cd9KZoJVy2GO8bhyeewHfNJ4ge7N/pwt7&#10;e4lADN5qMQA2MAEd8/UUAdVuPtRu49a5LWbfU5fEVvNbC5WCJo2LB/lb7ysAuT/eHpwDVOOPUh4/&#10;aSVJ1tTMdj4yrfIRz6dBQB3O45pwrlNFt72PV5JJonW3PnYZlwd5kyD05G3p+PqK6odKAFooooAK&#10;KKKACiiigAooooAKKKKACiiigAooooAKKKKACiiigAooooAKKKKACjtRR2oA8d8Ef8lh8Uf7tt/6&#10;JWvYR0rx7wR/yWHxR/u23/ola9hHSgDidS/5LJof/YLuf/Qkrt64jUv+SyaH/wBgu5/9CSu3oAKK&#10;KKACiiigAooooAKgh5mmb3C/pn+tTnpUNtyrt6u38yP5CgCaiiigAooooAKKKKACiiigAqCXmaFf&#10;9rP5Cp6gbm7jHopP8qAJ6KKKACiiigAooooAKKKKACo5/wDj3k/3T/KpKgueIH96AJI/uL9BT6QD&#10;gUtABRRRQAUUUUAFFFFABRRRQBBb/db/AH2/nU9Q23+pB9ST+tS5oAWikzSFgOtADqKTcKY88ca5&#10;dwB7mgCQ9KSsuXX9PQlfPQsHEeNwHzHov15HFc9dfELTVkltY/PN2G2JbrA/mSN6ICBuI746U7dy&#10;1Tl1OxeaOP77qv1NMiuoZm2xuCRXJQWk2v6dIb8X1gZwAkbOFkTGTkEHIPHTtVa00+bwx4jVbNLi&#10;XTLmPzJGkkL+VIOCSzHPzDHHqM9KzVSDly3Hywvypnbj/j7bH/PNf5ms/XNFh1rT5bWcEq4xwSCP&#10;QgjoQQCDU0V/bmZmMgGVAx6VaN1ADjzUyfetNUSlKL2OVguJ9CsNmrTSzrBFuku3xuYjttA54rQt&#10;dRt72GOa0fz45F3q0ZyMVrzxxXMJBAdSOD1rjvDcT2eua7arBJHZmaOaEmMhCzJiTacY6gH6k1y1&#10;6UVHmjoZVqcXHnSszeIlm8xGj2Rn5QS2SRUyKFQKOgGBTs0VxXOQKKKQ0AVXns7p5rJnjkdVBliJ&#10;zhT6+3FQWjaZczStaMjSMAz7SeQSefoSDz7VkXEUtx4h1qOFXV5dPSONypALfN36Z5FLosUkmq6f&#10;MkMkcdtpfkTblK/vCykLz3G1v++h61olZblbG01hbBoY/JXYp4U9BgYH5VZhgjt4/LhRUXk7VGBz&#10;1ofiaMexNSZ5xUt6Ei0jEAZJwBzUM95bWqF7i4iiQdWdwoH51xHjjxlaRaT9i0q7iuLm5+UtA4YI&#10;vfkdz0rNyS1E3Y5cXA8SfE2a6kZpLK2cCPd0O3AA/Fua7GG5u1AaVwUKuWOfQnj1z059Ki8IaJ/Y&#10;2jqZV/0mf55c9R6CrVyW1W9ayUkWkJH2hh/G3ZP8a6KXuw21Z7mFoulSV92YW6/vzNcyB/s6wO9q&#10;GOfmCj58Z9QcVqxXtxFa3L3DvGVfjeMALuI4JHtW2QEjIXCqq8egrInuLSw0a2l1VzMYtp3uhJeT&#10;HYHvnP0rZOyuzptyK7Y/QxdSJJcXM0rbgqorggBdoJPuSSefar13qNnYruurmKEersBXP7NT11hN&#10;dNc6fYfwQw8Sv7sew9qnsNI0WNZrqGyluJIWKlpg0jEjrjdU80pbIhTm17q+8r3F9feIxNBpuINN&#10;+4906nLnvsH9aW4tIxrWi6LAoW3tENyfcrwP1P61tNdAWIljtLgDIxF5eG6+lYNldtL4n1C9e1uH&#10;eBEgjhVRvVSMkkE46j1qJx2v1Mpws1zO7bOtJrnvF/7q0sLsf8u97E/4Zx/hVm+8S6fpzxxzt+9f&#10;GYxJGGX65YYqh4xuN+mxWyxSMJJ4v3owVHzZA65/TFOdpRZtWnB02k9jp6M1Wa6lF0sQtJmQ9ZQV&#10;2r9ec/pQbif7S0f2N/LAyJSy7SfT1rRG6ehaqrdC4M1p5AUoJsy5xwm1uR7520QT3EszK9q0cQHy&#10;yFwd34Cq7G+nnty8X2ZI5suBJu8xNjDBwOOSp59KYNml1oopNwBAPBPY0ase24jKG6gH61FDDH5K&#10;fu06f3am3LnGRmoMu1l+6dVfbwSNwH4UW01QtGybgYA6Ucg47Vzmi6jqmo6ZeXEs1uskcjxptiOP&#10;lPU/NVrwxf3mp6Ql5dvEWkZgFjQrjDEep9KlSWxvKhKCd+mhtdqhiZCZmGBh+TjAzgVKThSfauc1&#10;e5uL6ePQrMlJpk33Ug/5ZRnt9TRJ8qOarNQVyKNJfFd1K0kjJo8Mm1Y14+0EdST/AHc9q6aGKOCJ&#10;YokVEQYVVGAKZa2sVnaxW0CBIo1CqB6VMKUY233JpU+XWW7Fooo7VRsc6qzR6nHJHcyTLA8zXDDP&#10;7zcCViAH3ivH02+5qHwxPPJrWuLO0mfNjYIykKmV5Az05/OtmHRrC3uRcxWyLMGZw2TwzZ3H05yf&#10;zpLC1t47m6uo4tssr/M2eWA6Va2Zlyu5fNYPjFJpvDtxFCiMSu5ix+6o5yPfoPxrdZlVSWIAHJJP&#10;SqE1obuO9fz/ADI7mEJGoPyhQDz9SWPPpj0rOSvFhWXNBxKXwzSCTwk2IkLec6SHaMsOOvr1q94c&#10;eDQvEmo6OAkMAZbm3ReFEcmQQB2w6tx71gfCq62wajYOcNHIHA9Ox/lXU+IrLytPutSs9PS51FEB&#10;jGzcSQeO4Jxz3rHB1FHc8DCyUXaR2KurAFWBHbFOzXCaVq+u3ktvGmly29oR+9nuP3ZzjPyocnGf&#10;WtAeJP7M1O30/U5Nks6syMVIjJB+6HIALYOcexr0FKLdkzq5FeyZ1dKKx7jXoYkDxK0qkgHYpY8n&#10;HQdvf0rQt7yGdAVcZ7jPSqaYOnJK7RYqA8XiY7oc/gR/jSvdQR8NKoPuaqSajarNFJ5wwcr/AF/p&#10;RZk8r7GjRVeG9gnOI5AT6VNvWkDTW46imGVFGSQKoXOuafZjM1wiD1ZgB+ZosCi3saVFZFh4j03U&#10;Ed7e6ikRHKFo3DDI6jI71cOpWo6yj8qdmPkl2LdFVhf2xOPNXNSfaIsgeYuT0GetIXK10JagueIt&#10;3ZWVj9AQam3CorkFraUDqVOPyoESilpiMGUMOhGRT6ACiiigAooooAKKKKACiiigCC2wEZe6u2fz&#10;z/Wp6gh4mlX/AGs/mKnoAKKKKACuH8Jf8lF8cf8AXSz/APRbV3FcP4S/5KL44/66Wf8A6LagDuK8&#10;d1T/AJL5Y/8AYNl/9GPXsVeO6p/yXyx/7Bsv/ox6APYe1cxrthqctzdvaNcujxwmNVlAG5WfcANw&#10;wOUz6+9dP2rldf0/VZbm5ksWleN1hOzfwSpk3ADcMdUzzQB0dsZGt082NkcDBBPpx6niuT06yvIf&#10;HVzcSpN9mlEhjYodv8OBnt0bBOOuBnNdZayMbSPzUMbgbWDeo49Twa5yOK+HiVJmjnETXbozEtgx&#10;iNyoxnGNxHbrQBcgtJjrd/KNoQQoI2Ee35iW3c9/4a53QrPVU0LU4pIriNntFMQYYYttIIyeew4P&#10;9an0G01eHxDM91G/2f8A0kguDkbpWIwT2xtxUuh2Oq20eotdiZnmtkaJeNy53ZXpjIoAp+Eo9fk8&#10;O6tFfia2nkyLdzldpII3+3PJ/wDr1p6fHdQ+B1tr+CZpxbhEGwuxJQY4GSMHjnvVWxsNUtfDmoQX&#10;QaW6dVGVyc/TA5wCKWSHU5fCxig3tcm/Rk5k3CMTDlsnPQZ7etABr1nd3fh3ThYwSgxAs6eUQ24I&#10;eMEZ5b2p+sWE50PTbJIZ5EWJEY7WJBBXGcDPUZPHb61reGjdw6FYwXsTi4CsHJOSME4JzyMiqfiu&#10;yv7sQTWSNIkMMoZVkKncdpVgB1I2n86AM/XrPVZr3TrmBJ3jt44WeJRncd2W468YBxW7MZ18RwXH&#10;kytbeV9nZlGcMTkHHpxgntn6mqGsQ39xNp9xCkmDFslRHZD82CRuH0798Y7066gvR4vtbxYpHs0i&#10;2H7vykkDdk9cZ+uM0AWl2f8ACWtJ9nm2fZggk8htvmbjn5sY6Y5qHSobqDxBqe6Wd4HwyB0YAnLE&#10;gEjtnHX0rKNjqCfEaO6AuDYur5JDbAcLjkceuO341f0/T7yDxFeXMjOVnWVgNhAHzfLg5xk4oAg0&#10;z7ebbVvMtbuPesjCOXc3zZ6Lk4Oe2M+5qlotrqMXhnXGkN0bqQkwoYWTBx8pUMB1OOe3tUfhe21u&#10;B9at78XmXjfyllQgA9BhsYPB7E9KNFsdUi8M6tbXCXfnybMK8bbmUnnBPXg49cAZoAv21hcx+D7+&#10;2VbiCUSyGNNh3H0xt65/HrVjVPtv/CK20flXNxMWRZDGHRlGRzgDJA4zwe9ZkGn6ungX7KEuEvvP&#10;99w+bgjbj29K0tU0y6h8HNapcTT3MayshQvuJbdtXjJ43Y544oAj1231S70mwWBbpZNrmRxIVI44&#10;3DOSenHP4VQ8RR6w1/pzIlyYlhTzXVGYq24ZyB1+nNa+v/bHtbBIIbqQF97yQ78oVwVyBgnJ9are&#10;IbXVbhreS1iuQ8VqzBo2I/e7TtGAeuSOtAE91b3TeJS6RN5XnxFy0ZIKbBwpwcEHr7ZrqVIyea4j&#10;VotUPjW2kSG5+xLKMyRozKP3eOQBjGSRn361fgt7seLZpikgt/PJO6NsN+6QAg4xgHNAHV0Ui0tA&#10;BRRRQAUUUUAFFFFABRRRQAUUUUAFFFFABRRRQAUUUUAFFFFABRRRQAUUUUAFHaijtQB474I/5LD4&#10;o/3bb/0StewjpXj3gj/ksPij/dtv/RK17COlAHE6l/yWTQ/+wXc/+hJXb1xGpf8AJZND/wCwXc/+&#10;hJXb0AFFFFABRRRQAUUUUAIx2qSegqK1BFvHnrtGfrS3JxbSe6kU9eAB6CgB1FFFABRRRQAUUUUA&#10;FFFFABUC83bf7KD9Sf8ACp6gi+aeZvQhPyGf60AT0UUUAFFFFABRRRQAUUUUAFQXH3VHYuAfzqeo&#10;J+WiX1f+XNAE9FFFABRRRQAUUUUAFFFFABSE0E4rmdU8U20GpQ6ZFIzXM2cIiliBjqcfdHuaCoxc&#10;jVTUbeBEjd/m54pk+t2sEkaMT+8bap9TgnH6H8q5m48H6RexyajrkCXEvkYYsSViAycpz8px1x6V&#10;5/F4smtYNQj0ewuJrVs75rqV5SFAwDxjbwB+Vc8sXSi7WB1KUXrc9JuPGckeqT20Gn3VxHC6RySx&#10;R7lR26A856EH8aNcfxBqEKppaw20izKryXAyoTjLAZ59O1eYaf4m8R6fYpY6fapaR7Uk3MmWk3nA&#10;csxJJJqczeLr5pUutZaApN5LqZSCrHGPuj/aHSs3ip/YiT7af2IM9Ch1nW45Tp9/aLaSlSUuhJvt&#10;2xj+LgjvwRWNrmsWk98YL3xNBFpyhS6WmTNI3dd4Pyr06c+9cje+GZfsMV3fa1JOZDhFKscnODyT&#10;x+VbkHhLw9ZiIypPOXTeC7YBH04qXWxEtlY0isTPRRSLemeL/BmgQNBYrcvuO53dCzO3qSepqSf4&#10;p6JGweHTp5XH3W2quPxq9H4Y0SIfLpsGPcZ/nVyHStPt+YbG2QjusYFZOlWlq5FfUsQ/imcw3xZW&#10;SWNjorYRt2RP04I/u+5q2vxT0e9ge3vtNnWJ+GHysCK6GbajI+xWwCMd8H0qOfTbG5GJ7KCT/ejB&#10;pLDzWqkH1CqneM/wOTudS8Mai8t1a6zd2N8ZlmjmmV2VMEZGwEAg4xXR6Tf6K9lGt14ktru5QuVm&#10;YiIHPqpPQf0qpL4R0O5dw1gi4IxsJWqMvw90WT7nnxn1D5/nWkpYhaJg6GLjs0yeXxhdeFw0Fzd2&#10;urRsT5c1pKvmEk5AdM8H3Bx7VkXHifxPp0sOrC0RbS4UO9vksBwBz3Xp9OasSeAtNsbWadJJ5Zo1&#10;LJufoR9BXU2bpPEWZMqVXBI+8pUH+eablVqpxm7FLDVaicajs/In8O+KtP8AEUGYH8u4Ay8Dn5l/&#10;xFbw6V5brXgya1uk1Lw+TFPG24xBsc/7J/pUln8SdR0yQW2vaY5Yfxxjax/A8GuVtw0meZVpTpSt&#10;NfM9OpM15vcfFSSV9mm6PJIc9ZGyfyUf1qs/irxtqYC2mmrbA9xGf5tQqiexnG8vhVz1DioLu+tN&#10;PhM11cRQRj+J2C15k2keN7//AI+dXEIPbzcf+gimw+Ao5H8/UtXkn9fLBJ/MkmqXtJbROiOGrz2i&#10;dDqnxI0W0bNr5l46gjCDCk/U1gv4i8YeJ2I063+w2p/jUYz9WP8ASt2y8O6ZYvEbOziB5PmzLvJ+&#10;mT1/KtnycuGMj5HYcCtPYSfxv7jqpZZKX8SXyRwyeBJLmYPq2rySznny4/mbH1b/AAqYeGdM8NTW&#10;2pSSeYqy4dZnGAD0I9SOtbWsXV0moW2l6aYoZ7pGZ53Gdqrx+J7VGfDemWVvNeXqPezpGzvLOdzH&#10;AycDp26Ueyje0Ubxw1KMrUo6rqy1qWvQWkcCWqreT3DbYo4nHPfJPYYqjpeqz6e9vY6pp72rzu22&#10;cMGR3Jz26VW0vT7O28ZkwW6wL9iWREHqTyfyrb17TJNU08R27KlxFIs0TN0DLV+9LXsax9rNOd9n&#10;sWdSiim0+VbiRo4AN8jL/dXkj6EDFYelW769fDWb0t9nRyLOA/dAHG8+9JPaa5rEJg1HyLCzA/ei&#10;F9zSY7Z7Dit7TZIJtNtpLVdlu0SlFPGFx0q9Zu72LX72SclZItDj6+tVbCVp7dpGhMX7x12nrwxG&#10;fxxmrXXI7VXsZJ5bUPcqFlLNkD03HH6YrQ6SWXAjP1H86y7/AMOWOoXZuneeKYqFZoZSm8DoDipP&#10;EN6+naHdXUQBkRflz0zmsxv+Ei0uBbk3EWpQAAyxeXscDvtx1qJyVrNXOerOF7SVy1J4a06LSbq3&#10;trSMySRsAzjcxbBwcnnOcVh6dFeatLptjNaXEEViUe4eVcbmQEKB6/Wuq03VbPVYPNtZQ2OHQ8Mp&#10;9CKsx7fPlxjdxnj8qnkUrWE6EJNSg7LyJabJjYQe4NPpr/cbPTFanVoNgAEEYU5AUY/KobuBZZLV&#10;zN5ZimDj/bO0jb+v6VNCR5Ee05XaMfTFVdU+zLBFLdSCOOOaNgzNgBt2F5+px+NAPYuiqF0Yxqdl&#10;uKZw+c/QYqxLe2tuUE1zDGZPuB3A3fTJ56iqt/qsVpLbwIyvPPKI1Xd93OfmI644q4S5XciouZEa&#10;mDz9S8zGzK7tvXG0Z6Uul4AvF6qJMhh93oOnp05rN/4StdjYhjEkYmLFn4JQgAKf9rnH071q2l5a&#10;X8RtyMuwJeJlPAJzg/nWkqt4vTsYwhaSd9jH8LEDRNRAI/4+Zv5mrPgr/kV7fv8APJ0/32qxaWmj&#10;FbiG3s1C9JF8kqG5+nPSpdOSwt7eZ7KzeFF5ZRCVLfQd65IwasenWxEJqVurTNCbIhcgZIU4Fc/4&#10;RU3Frd6nJjzrudif9lVOAP0rVe+L2Mk0cFwhAOFeIhvyNYfhy7e2Gq2yWk7tFdb1iGAwVxkdSB29&#10;aJfFE82b/exOroqnLd3Cwo8dhNI7dUDICvGectj8s06ea7Qx+RaCXd98mULs/TnvWh0XRaoqpLNe&#10;pKuy3t2g/jdpyGA9htwePcUpa9N18q24tsfeLEvnHp0/WiwXLDOFGSf/AK9RW+8ffG1tgyPTk1DF&#10;DdLfySyyQGBlwqiMhxj1OcfpRCl6t1J500DKw+QJEVIAJ6ksc9faqQmwvjDL5djNuIutyELn7oBJ&#10;57en41aVQqhVACgYAHSq9tbTqd93NHO6nKERbdn05NW8VA13POrqSXwV42GorGzWF0TuCjseo+oP&#10;NekWPiTR9RiWS31C35/hZwrD8DVS8s7a/tnt7qFZYn6qwzXK3Hw50uVyYbi4hB/hBBFckqMov3Dx&#10;a+X1FNuls+h6Mk0UuCkqOPVWBqO8sbTULY295BHcQtyUkUMD+deYv8M4s5j1N1PbdFn+tJ/wjfir&#10;SSDp2stIvQL5jD9DxU/vI9DmeGxEdeU7zTvD+lWGpT3Fjb+S20RsqOQnrwM4z07Vm2fha8hWZ7XV&#10;rywkaZ9ytiZGGeGAfJB+h/CuZF98QICU2qxzydqHNQxa746lupGiQNJGNjoEXC+nHryatYicejEp&#10;V4vZnoVho0lvGBfX0l7KshdZCAnUdCBwe9ch4m0HS7eeJYt243kLXJluG+YPKMqFzjuSfQY9aqG6&#10;+IN6Mb1gHcjYtVrjwf4i1JP+JnrjbCRlBIzc54OOBVwr1W9mWvrM+jPQrPQLPTlP9nM1uryCRgG3&#10;DGMbRnoO/HvVF7LxViTGr6cqM7FS1o5ZFycf8tADxjsK47/hXd1Dzb60yuevyFcn8DSN4C1Wb5Lj&#10;XGaM9R8zfoTVKviI9DZQxkdOU66DUEtYv+J/rlkJ45SVFvJtDLgYBUknrmsZNU8C2c0ssrrfzO7M&#10;ZJ4zMQCScLkcAZxgVXtvhzpkYBnuLiY9+QorTj8FaDGAPsIfH95iamU8RPd2KeGxdT4mkSxeJPB1&#10;1EIFnigX5sDyygG7r275q1ZeFPDdzAjwFrtQMCT7U75Prw3Ws2fwPoUqkC0MXvG5FY0/w/mtpvO0&#10;nVZIXHQOSD/30tS3XiiJYbFQWmvod9b+H7a0s/It5JVkVHWOV23su45zz15x19Kyl8MaxEA6+KLp&#10;5okxErwR+WT/ALagAt+YPvXLpP8AEDSvlEgulHTJV8/1p58Y+MouZNHU7ev7lv8AGj61Vj3MXUxE&#10;dGmdxLrU+gWaT6vcQJbqqK87NgGQnBGD0HTnNb9vqdtdwhopVIZcggjBz6eteXR/FFkAj1HQ3X1K&#10;vj9CP61jX/inQkbzdCsb+xuHYMywyCONuRkbBkZIyMgVvDHQekxrFQekz3K2OYIx6KBU9eY6F43v&#10;ksHuLzTrlEWYKNkbMAhydx78Y547iu10fxLp2tKWs7mOUDg7Gzg/0rri1JXidHI7cy2NmikzRTIF&#10;ooooAKKKKACiiigCBeLtx6qD/Op6gfi6iPYqw/lU9ABRRRQAVw/hL/kovjj/AK6Wf/otq7iuH8Jf&#10;8lF8cf8AXSz/APRbUAdxXjuqf8l8sf8AsGy/+jHr2KvHdU/5L5Y/9g2X/wBGPQB7A2dnHXFcvdWu&#10;oHQnheOeSdphjy35Vf73XkDriupA4rn9T0u5uLy92ea8U8UKr+9IEZDPuIwRjgigDP8AGNpqdzpU&#10;Fvp6TyOFIJQ4YnYcfQ5wc1m+I9L1ptet7y2hmmtyI/lSXlCBgkj8f0ru4B+6C7GRV+UBuSQOM9e9&#10;c1a21zB4yknkWQwybgjhCcrg4B5+UA5x65oAm1O1vH8RW08Ubvb7QrhGK9GznPTjr74xVFftreOx&#10;mG9jtdx3SKx8s/JxnjGM/wBKsaDb3lte3XnxuQWnZXUEBiZnOACTxggj6mqml6XqVpFqcctuQ8to&#10;AhwM5+b5eCR3/WgCDRodXt/HNyZzdCzczMquCU2liV56D6ZzSeGNI1GwN1JPHPuuLJX+c8iXHKj0&#10;PFT2FnfDwZfWr2rrPIh2o43feHzbRnrksAPpV3UY75vDF0tvC0cyzfuvKjCEqDwdv+elAGVoFlq6&#10;aTr7TW00VzNbxiHzDlmcRkY9OpHbuamtrW+k8I3lnDb3MNwJVVd3BwcHIz1/+tUsEF63geO3u7ae&#10;a7847VMeWCiXI47fKKs+JobuZNKNhFOEjlZnjSI/KPLcAnHTBPT3oArJZX0fhGzthFO1xFMSUxh8&#10;AnjPTvgHpVXWLXWJvDmli1S4+1RWmx1VQMvtAIK49R+g7Vb8R2N/Pr2kzWsU8kMabXK8c7lb5uR/&#10;d/Wq2r2Osf8ACdWd5brcCzMsW4qcrxw2QPUHHPv6UAL4m0zVbuTSTZC4RYBGZVQAjGGBH4cfn7Ve&#10;vLW6fxdbzpBcPbKsYd0c4Ulhz1xj5VyPTNEOm38fjH7X5CfZWeViWxnBVADx05U49c9qp+HrHU7X&#10;XLw3MMqRyxyvGzHdjL5UHtnnP/6qAL7C8/4Tl5N0xtfIRVIjbaCC+VzjHUg59MVPp9vPD4nvXMkj&#10;W8igjcHxuycgHpx0rD8P6VqFtY6+JLco1xDiE4zu+Vj2I53O3+RWtpGi3NvoF6l1cTGS7DZU5JQF&#10;mx3z90qMDpj2oATRBevf6k00E1urmTIkBYZyApU+4B457dO9HSrS/j8JazHPHL9oeEiNNrBifIUH&#10;GfVg3+TVpYNQj8GPbm3lubhiUaPmMhS3OOvQHNN1DT9QvfC9vZxw3AkZpEYM+0hCjqu7nn7ynp2o&#10;A19AiuYLadbsMHMxKFv7p6D8BWueK4DxJY6zcaZp4himkYJN5uMlhmRNuf8AgOfyrT1O0vJ7+zlh&#10;hdikURdnTqA4Zl6cEigDrcDpTgvHWmr0Han0AIBiloooAKKKKACiiigAooooAKKKKACiiigAoooo&#10;AKKKKACiiigAooooAKKKKACiiigAoooPSgDx3wR/yWHxR/u23/ola9hFePeCP+SweKf922/9ErXq&#10;gvWa7MAhOAcM5OB+HrQK5y2pf8lk0L/sF3P/AKEldvXDajx8YtD/AOwXc/8AoSV3A6UDFooooAKK&#10;KKACiiigCC55jC/3mA/WphUMvM0K+rZ/IVPQAUUUUAFFFFABRRRQAUUUUAFQW/Jkb1c/px/Sp6gt&#10;ceSp7tlvzoAnooooAKKKKACiiigAooooAKgl5nhHcMT+mP61PUBObuP/AHG/mtAE9FFFABRRRQAU&#10;UUUAFFFFACNzxXB+JNBSy1i01u1mNrMkyi4lDN+8iww2FQcNywxnpXeVWvoY5bVw67gBmmrbMqMr&#10;b7HDeJfFraZE1nFpE13GoRbh3+SMo/GFbuSTjGK81uf7V8N6lJJY295bQTcxw3Cf6wHoCOhr3TUt&#10;Etry0ERt45FBDbXGQSOnWsDULmOaay0PXLNXhvEMbXGNqCUDKqB1UnBxz2xXDiMNopU+hFWjzJTp&#10;9PvPOLLxw1tJcNqejypfOqrv2jACn5VCk8AZJ9ya17DW9Bv4HzeyWb7yzPNhWlc4O/rgdAB9K3NQ&#10;8G6jCmy1kttUth9231Fcsv8AuuOazdO8NeHtRuLmx1HRpbDULcjetvLJIpB6EdcCuZYiotBRxdeO&#10;jsxmqXmiz6U0Ca1Ezpl48P1PWorvxPokcERW+ld1hCLHDF0+ucCt0fDDQ/M4hnKesk5zn6AVoWXg&#10;TQ7GYummQtgZDzSNIc/QnGKHVqvXQt4qu3dJI4v/AITDWtU/c6LpEhJ4DlS5/wAKbdN460ONNRvg&#10;0luDl4/kYKPfb0r0iDWtJgjZfNjt1SNpACu1WQEAspxhhyOmeo9asR3ttqkZjtmWUBl8wMhGB15B&#10;Hf8Az0qGqjd2zJzrN3c3c87h8f6LJ+8uLedJSMH92Gx+Oela9p4u0S7CLDdgMTt2MpUjjPeunm8M&#10;aHcMXm0mzdj3MK5/lXG+Mfhzp/8AZ82oaUv2SW3RpWjUna4AJP0P0q41qieuqNljK8NZWaNeDVbW&#10;SNpgzhWlMYyvUgE/yUmpnv4YoUlfcA5AA4J5OO31rlvBsh1LQ/LnYblkI3Z6tj0+hraxp0xgtVun&#10;3+YwjbGQSrZYAkYOCDx7Gu1SUkmj06VTngprqa6sk0W4ZKMOMjrWTp0hsryTTrghVjUm2c/xpknG&#10;fbgVfsJ7aW22W0wlSA+Sze6gcVHe2kOo7YpIiVXkSq2Cp/2SOamSd7o0kr6o56+RohLPY3RL26XH&#10;7wsN8zsCdgx1C8n/AICKtadBC2spAsaS2zadFJIGAYb9xAb6kbsnvgVLDph0eQSpYwXUa5/eRxhZ&#10;VB68dD+GDWlYS6e0bNZeUoJ+dQNpB9COoo501ZkKz+IzbjSrOyniSS3jk0+aTBjdQfJkPRl7gHp7&#10;ZFatxZCcRBZp4hF0EUhUH6+tVNbuIG06W2EqtPLhYkU5YtnjA+v8qQSS/wBhmYyP5oP3txyPmxV0&#10;afM2kQ5RptpLzLMJIuZbea2bywodZWkLq4/HofaodQupLO90uGAosVxOYnXb22luPypb5JXUxJKd&#10;zhQqnooz8xb2xULWMMl3Y2huZVlsR50QwDvXleSR2B+vIq5QaSd9y1PmbjYz5Nflh1JUlba/9oi0&#10;EGzkRsQA+ffO7PTtXU9qzZNNSXUYp5pZJVSTzY42xhGC7Rj274Pc1pZ/GoZpC63Oe8RRS2txZ61C&#10;hf7GSJkXqYj94j6VqTXwOl/bLWPzgyhkX1BNO1OWGPS7t5v9UsLl/pisrRY7yPwdaoiq1z5I2hug&#10;yeP0rJaTt3MV7tVxXVXGa8W0zV7LWvLZreMNDcFR91W6Nj0zW3Le28NkbwyZhC79y85HtUWoRTz2&#10;ogjMWJDskaRNw2kc8DufrXLwalceG1m0q90+e4to8m2lVCwdc5Cn6UP3ZNvZkuXspNvZnVeRJLeJ&#10;cNKwiWMgRDoSe5/D+tZV9qepvrL6ZpcVtuhiErtOxAIPYYoTxhpvy+dFd26nq0sBCj8agtLqLVPG&#10;Qu7BvNtorMxyyqPlLFgQAe//ANapnNP4WKdWMrKEuvQlXxFeWv7vUtGvFlH8VsokRvfOarW3i5LS&#10;JIr+yv1leV9paJVG0sSOpA4GBxzxXVgcCqGr6ZDq+mTWco4dflburdiKq0lsy3CrFXUr2KOsz2up&#10;6FdwhmAaIlTx1B4H54pmh+JLe+0OO5kLebFhJlC87umce5rK8Pw+et3DfTkXURCmAk7lwByAeCCV&#10;zx/eNN1fRE0GcanaSOtu8iJeQr0YFuG+uSKptW5kZObv7Xy1NK+sbK8dNTsZ5rK5YhPOhUAt/vKe&#10;v41Ci67aqL63vTqA2qzwSRKhdSM8EdwO1bEekRrCEjlYIZFkyRycKAOmPT9as2EBt4GiJLMrEbsY&#10;yO3H04pOnF7GnsE3daFbTddstUJjjZorhfvwSja4/A1p9evNZmqaHa6ptdw0VyhzHcRHDqfr3rMl&#10;vNW8PSRyahcC+05mCvN5YV4s9CQOopczjpIrnnBe/qu50MDDYyBduxiuMYp00STwtG4BBx1Geexq&#10;nNqdpbr9okuYltmj3ebu4/yc/pWf/wAJjpG7mWdU7O0DbT+lU5xW5brU1uzaUJIq7kUleOQOKran&#10;bXNzbhLR4o3LfOzg/d7gEcj8Kkgu7adEuLeRZIpeN6nIz2+lWhVJ9UXpJGIbC+FoY5HsxD5UiNCs&#10;eEGcbT68AHjvmr2kW32PS4LfzGlaNcGRs5Y5PJqzcECI5Gc4XHrmlhGN49G/oKq90JRSY+jmloqb&#10;lkVwcW8hDbSFJz6VheFQ11/aGqsMfbJyU/3F+UfyNbV6jSWNwi/eaNgOfasLwtqdmmh29m88cVzb&#10;rslikO1gc+lZya51c5pte1V9kdLSGsy48Q6RanbNqMAPoG3H9KV9bsG0ye+t7mGZIoy/D9wOlVzx&#10;7mrqwXVE2oX9lYWxe9uI4kbj52xmobLW9Lu0Vbe+hYgAYL4P5GsrRNKW9EWq6kpuLyZfMBkHyxL/&#10;AAqB0/8A1Vr3Wh6Ze/8AHxYwOT/FswfzFTeb2Mozqy95WsaAII46Uw/69f8AdP8ASuZuIr7wqhub&#10;eZ7nSlOZYJDl4h6q3Uj2rWg1i0uAJQ5SIKW3PgZXsRz7VcHfTqVCre6as0alFURqVv8AZZJyf9Wh&#10;kZAcnFWbedbmMugIAYjB9qZtzIkopaRiAMkjFAxruI0LMeKSOLYWbq7feP8ASmx7pGLOuFB+UE5z&#10;71KfrQIo6tqK6Xp0lyyltuAAPU9/61FoumxWFqJApM9wBJM7HJLEZx9PajXsf2HdK3V12D6scD9T&#10;WigwgUHIAwKj7Rno5srSSyDUIoQwCMjMRjnjFRfaZBHeGVlKxPsXjHp/jVprdWuUn3vvQEBRjGD+&#10;FU7mew01JWurxI/NO7ErLycdhXTz01H3jOSmnduyuT6dcSXNp5kuA+91IXoMMQP5VbrmoPFfh2xi&#10;MS6luOSx/dseScnkLjvWlaeINIviBb6jAzH+EttP5HmsalSm5vlaCjWg4qLkr+pp0tIOlLQdAUlL&#10;RSHYSjFLRQFiOSGKVSskaOD1DKDUMOnWNuxMNnbxk9SkSr/IVaqEXVuztGJoy6jJUMMgUcqZDjHq&#10;h0fBYejH+lUX0mMavHqcEkkEyIUdY22rMO276VYtbq3upJfs88coGCSjBsZ+n0qzVptO6DlTVh1n&#10;400yNktbzULT7V0ZVmBwfTnFdLBcxXCBkYGuOfTbGWJ4ns4GjfO5TGMHPWq9pZpoVjttXuDDC7Sb&#10;BmRmGOEXPPHAH0rVVFLc5KmFvqj0Giuc0bxbp+p2cEgmRZJFyUJAZSOoI6git2O5imGY5FaqscUo&#10;SjuTUVC9xFGMvIoHuaz73xBp9hA8886pFHje7HAXJwMk9KdmCjJ7I1qKht7hLmISIcg1NSE1Ygm4&#10;eFj0EnP4gj+ZqeoLkYgLf3SG/I5qYUCFooooAK4fwl/yUXxx/wBdLP8A9FtXcVw/hP8A5KL45/66&#10;Wf8A6LagDuK8d1T/AJL5Y/8AYNl/9GPXsII9a8e1T/kvlj/2DZf/AEY9AHsPauV8RaVqdzJemxaY&#10;iaOELiYDBVn3YBIA6pn/AOtXU9q5bxBpN/cS3slkZCZYoQimTILqZM8E8DDKePTvQB0Np5ptUEyM&#10;jqNpDEEnHGeCevWsyKGePxNLcFJWgmiEanfkIV3HLDPAO4gfT3rSsvPWBI51O+NVUvkEOccn865y&#10;HT7+28XJdGCN4pppN8iudyxlCRu46BlUAZ/iNAFLw9pOp2esXUvCmbzGDOpOxi3fJzjAXAz610/k&#10;amEk827hYFGACRlSDjg5zWFpOnanD4h1ScJDGk7Fo5GTOzoAMcZ5DZ+tbLx3zwzrLewTL5TApFEU&#10;bJBxzuOKAMKDT9UXwrc2rks5uQ8Z3MXx5uTkD2w3XvVWPSL2DwaLFoJPPF0gAjYrlNoUnI4xjPJ4&#10;4zV7TbC5Hh/VomjkaeR18sSO3JEMYHf+8D37Yqo+n6w3gRbSOzK3z7RIA4APy8nk8DIxgY59uKAJ&#10;9ajvG8HQRxR3AuCTviGZSx5zyCeM9OelTa5pdzf/ANmyRkv5KfOZIxuYl07H6Hj/ABrHm0bWR4W0&#10;i3VZFuIppJJVVyNwJJA6jAPqTUmuaZrNxp+ifZ1nMkNoBKoJUlwYyQeRz8p6ntQBr+JbCaW+sLi3&#10;heTySPNKE5KZ7KCM4yTxz0qa6gkXxfaXMbSeWYmWQYfA5XaODjnB/Lms3xBY6vPq+lyWW/y4okDk&#10;swyQ6k5weM/56Ut7p+oyePILtEkNmNnmEYwcDjBPoc5/r0oAuRpet4umlMFwkJCx7g7FHQZIOOg5&#10;Y8denHNQadZanF4iu7lkmSGQTgAyZB+bKcZIBwTxT9N0u8bxfqN5NcOkIlVoYyTh/lIPGenTt24q&#10;ey0+6tdeuZRHmO482R2G04J2hRnGex7mgDF8P2Wqx2euR3kM4llt3CKVYhiVxwT39hXReGoJbdLr&#10;zwoUuDH8hXauANpyByPX3rO0fStQtYtUmaSV0uI8xxu3O/aARg8YGMD1yfaqulaXqFr4Y1u3YSfa&#10;JI38vgHeSpxjHrx7igDuty4zkYpMqMdOeK4prG6uvDUtsPtCSm8BkZ1YYG7Py9MgDHPfBqDUdN1W&#10;XwxpsenxlLkSmRlkGPLJ5A59M4yB2oA7zK4zkYPelyowMjmuKk027Xw3oqStMLyAqWA3k/eBYnbg&#10;9B3q1r63j32nC1tpXUBiJVJOHxwCPQ88n3oA6vKggZHPSjeucbhn0zXJaxYahP4it7i3jlWONo23&#10;pJjd95WGAemGHPt9M047TU18etNJFcC0MpKyDJVhsPJ7DoBnigDuQQehFLXJ6Ja3cOtySSqywYmw&#10;rf3jJkH3GBx6fjXUrIjfdYH6UAPooooAKKKKACiiigAooooAKKKKACiiigAooooAKKKKACiiigAo&#10;oooAKKKKACg9KKKAPHfBP/JYfFP+7bf+iVr1VLyMyPGzxiTOFXeMn8O1eVeCf+Sw+Kf922/9ErXq&#10;P2OY34m3x+X6bOe1NCdzz+K+1m6+L2mtqmkpZMmnXAhEdyJPMXcvJ4G3txXpQuMdYZBjqcZrjdRH&#10;/F49D/7Bdz/6EldwBxSGQ/a4R959n++Cv86kSaNxlXVh7HNOxTGgic5aNGPqVFAD80ZqL7LEOgK/&#10;RiKT7OR92aQH3OaAJs0tQeXOvSZT/vpn+RFG64HGyJ/fcV/TBoADzeJ/soc/p/8AXqeqSTSC5lYw&#10;NwFU4IPqf/ZhU32lf4kkX6qaAJ6Kh+1Q93C/73FSLIjjKsGHqDmgB1FJmjNAC0UUUAFFFFADZG2x&#10;sfQE0yAbYUA/u0lydtu/0qRF2qB6cUAOooooAKKKKACiiigAooooAKgH/H4+eyDH5n/AVPUEYzcT&#10;HvkD9P8A69AE9FFFABRRRQAUUUUAFFFFABUF1/qGHrx+dT1Bc/6sf9dE/wDQhQBNiuR8b2UmpaY9&#10;jaxxvdSgCPc+3awOQwPquMiuurkfEN3Lp2vaVIqQGO4u1gZ3TLJuU42nIxkgD8aT0i2XT3fobsSl&#10;IUViSwUAknk/WuW1fRdTstbk1/RpVmndAk1pMfldR2U9j/jXVg80uK8du5zyXMc9pXjDTb/EFxJ9&#10;ivhgPb3PyMG9BnrW+SvlsSMjHI65qhqehabrEYW+tI5sdGI+YfQ9axJfCV1Y4l0LV7m2kXkQzuZY&#10;m9iDyPwpE+8uhRe3s9WilDWV/B5ds6W8cVq6i3TcrcbgNzMVXgdlxWxoFrenWdT1C6laRJkiijJi&#10;8oHaCSQpyQMt3J5z2xVX/hINf09FGp6A0oyFMtnMGB/4Cf8AGlTx3p6E/bLLUbQA/emtiB+YyK09&#10;pdWY+dHVHgZNeRav4i1zxdqV3pulHyrCPKtjgsvQknrz6CvUNP1aw1aEyWN1HOo4Ow9Pr6V59r/g&#10;i9stUl1Xw9dlHkcloeVwTycHoR7GspdLEyV7dV5Gh4c0a30rTUt/MWSbdvdgR97A6D2qG1jgm1pG&#10;+x3cYilfyl8plRSc7pCcY5/rnvxhP4g17Qb23/t6yLwbiFkxjnoSCOD34967KHW9LniWRL+3AYZ+&#10;aQAj8zxXdCrC1l0PWw9alKKjHS3co6FbFk1JZxOBJeO43qU3KQMEcAYraeWG3Rd7qi52jJxzSQ3V&#10;vcZME8UvrscH+VVtTsP7Rihj3bRHKsn1x2rS6Z1pq3uk6Xlu43LPGQSVHzDqDVa5g0u4bzp44HJy&#10;NwGTx159qp2uiTRwRxTzKArF2Mfc/KfTpw2frWNqms6dYRR2sl3C7xbyyoS+Cc8cD0NTJwXxMzqV&#10;Yx+Ox0Nxo8OyOSxjiguIm3o23g8YIPfBFM2XggMB0uEx55Cz8H8xXOf8LKtEiAFhO7453OAM96ng&#10;+JGmuuZrW4ib0GG/WslXpp+7Kxz/AFrCt6yNqS1vrl9xsbWJsAbnlZ+B7ADP51kafqniO+uLqaO0&#10;06QWsrQEfMjMOCcHJx2qyvj3QmxmaVWJxgxHiovD1/bv4kv4NPm8+yuFFzkA/u3zgj8etDqczXvC&#10;c6cppQlv2ZZe98R3ZSOLTYbJzwZppN4A4yQBilbSNdtx59vrbzzg5MU8YEbe3HStyWVIXV3JCjjg&#10;epAH9KY17bxwGdnIQHaTjoc4/nWjp6as6PYr7TZhz6Zr+sIINSuLO3tGI81LZWLsPTJNdHHGscax&#10;oMKoAA9BUB1C3ECTM5VHKhdykdSAOPxFTxyJKgZDlT0NOMFHU0p04x2M+40wmyvYI7lwlwGKhzny&#10;mIPKnr97nnNPk+0nR0VLiNp/LUNMcbe2W/mafqsSTabOkjbIyh3NuC7Rjk57VlafokkOgxWqyNuW&#10;NdoODnCYAqtwejNEajZy20zShhbRcSSTxlVx684yPfHersUUcMYSKNY09FAArCvLFzpW2ZcRI+6Q&#10;EZLKWB6LnpyPwrT0lAmlWwEbR5QHaw+YDqAffFFkgjvsXTmj6Vga3bvM80cN26zyxKE5wtuAxJlz&#10;9DjHfH1qjbX9y2opcXcOUOpPbIyzncvykDKYwV9s+/anbQfPrYveINGsbgjUZEmWeFcCWBiGA9SB&#10;1x/KoovD8995LajrEl9aph0iVQqt/dLEda6Cb/Uyf7p4qvbs7X9yRcJJDhQqhvuMOG+lQ4Jq5nKj&#10;TcrtFwDAwKiAP2hufkKg4x3qYdKgkAE8eGIc9AD1HfiqN2TYx0pskSTRtHIgZGGGUjIIp9FIbRgj&#10;wtpFtPFNFZpkP0diyj6A8VtlFKbCo24xjFNnVjs2kjDAnHpUhG4EHoeKFFLoZqnFaJHKarYS6EJt&#10;T0qVY4mx51o4yjnPUf3TW5pGqRatp6XMYKv92SMnlGHUGue1+12yWOmWTuZopxMqs7ELGdx/HlDg&#10;e1ZjfavD2vwRLNKU1A/cb5TvDAA578dD3xzUJcsrrY5b+ynePwnfyMd8SgEgtyR24J/wpY8bpP8A&#10;e/oKxZ2vmnt2UybUjGdoJJYq+c+3C/nV+S9jslxO3JPJZgMYAznNa6dzq51cv5ozXO3vjTR7Iqvn&#10;GZmCtthG4gH6VWfxmzSIsGiahIGG4EqFyKjmRLr01pc6iRQ0bA9CCKz59F0vUQktzZwzMFADMvOK&#10;onxDfAEyeHr8JjkgqSPwzTIPFtlHEn2i0vbaLH+skgO0fiM1HPCW5EqtKXxGrb6NptoMQWMCD2QV&#10;VufDGkXc3myWSK5OW2EqG+oHUVftr+1u4llguYpEboVYVY3AnAI56D1quWLLUKUlokyOEbVK7QCD&#10;yF/T9KlxxUEjKtxHiQBiPuZHI9f1qxVWNV2IriBLm2kglGUkUqw9jXFW0U/hpXt9Sine08sxpdQn&#10;eFU8cjGQcY/Ku5PSq95AlxbtA4ysgKH6EYpOL3W5jWp396O6IPsUNxbSbbiQpcKvzAg/L7cd6ntb&#10;UWiuokZwxz8+OPbgVi+GL5Y7I6VcsEu7JjEVY43Lk7SPbFbE1yIUead0gt153sw5/wAKFK6uOnOM&#10;oqRPJKI0yAWY9FHU03y/MZZJM5XkKDwPr61gL4lhyx02wvb+MHLzIOPwJPP4UsniS4ugINO0u6N2&#10;3/PxGURB6k96n2sRe3gbN9qVppkJlu50iUdNx5PsBWM2vahqI26PpkpB6XNyNiD3x1NT6d4eSGc3&#10;2pOt5fsc+Yw+VPZR2p+p64La5+w2MLXeoEcRL0QerHsKTva7djOUpuN5PlX4mNqeiFIorzWdUkuF&#10;WTdMhbZGF2n7qjqd22tjwqLgeHrb7RvzyV3/AHtmflz+FYZ066PizTP7YuFu2mjd/KAxHGRjAA71&#10;J4l8VyJP/ZGjgzXrnazoM7Cew9TWalGN5s541YU26stLaebJfE3i02M39m6WvnX7naSBnYT0GO7U&#10;3RvhtNqJF94ivJjM/wA3ko3I/wB4nP5CtnwX4HXRQNS1EiXUZOeeRHn37n3rtqwcnOV5HBUnOs+a&#10;p9xydv8AD3wyIVY2BYkZy0rH+tZGt/C7TpLSSTSTJBdL8yIz5Q+3PIrq7m5khmgjDskZRskKT8wY&#10;DHAPbNUru41DbZGC5+V02SNgjLBHJbGMjkL/AJNV7JNkeyj0Vji/Dnip7J30rXmME0B2LJID27Gu&#10;lTxLosjhF1O23H1eqviPwumu6iLh7TcDtUSr8hJCn8xmsqb4b2Ju5IF+0wDcvlvncMFyvI/L86uM&#10;pxVtGdNPFV6a5UkzsldXUMrBlPRgcinV5hHpvijwlNJc2gludPVyGUrx+K9Rx3FXtO+IlvLK/wBs&#10;82AlW+XYGG4ZwAR+uRWsasXo9GdtLH05aT0Z6DSZ5rjIPGtgyHOoAFogRuQ8OTVy219LuxuRFfxy&#10;S7RtC4BDHI45+laKUX1OhYim9mdRnPcVxi3OkyyH7LeIUtYbhYYon82Ricl2IznGegPXP0rptPle&#10;WB9+/Idh8/Xr0q5irRo1zbGFokrDUrm2EqzwLBC6SrGEwx3bl444AU+o3c5reqMgLKmABkEfnz/S&#10;pDQ2OKshCQASegqIysXURJvBIy2cAD+tIQLgsrodinGD0apsDHTtikG5kXXhnSr1nkuLONpHHLou&#10;wg+oI5zz1q1cx3ttaMcAAYD+f0uRBchUSMTEmMAHnIHOcZ5+lXqKpTkgcEzDbRb69B/tPW7mUH/l&#10;lagQIPyyxH1aqvia3SaK00jcqR6nILe5lKguYwp7+p6Z7ZrpaoapqVvpghkuZpYYy/LLEXB9jgHA&#10;/wAKqDlKWpEoqMdDsdOt1trONFxjAwB6VdHSuRsvHugztHBDexO5+UAE5z+VdKl7E6BlJOemFNbN&#10;Pc8qcZJ3ZLMoaBwe6mliJaNGPUgGovtBYYEMh/DH86jtpJzAuIgMcfM+P5ZpEFykzUP+kt/FEvtg&#10;t+uRQIZD96dvwAFAE2eK4bwo6r8RvG4LAEyWmBn/AKZtXZ/ZVP3nkb6tXm+jeGNF1j4n+LLrUbCK&#10;4nspbRrd5CcxkoTxz7D8qAPQYbBI7k3Hmu789SMAegAryvVP+S92P/YNl/8ARj16ZaXDC/a3V4fL&#10;DH5VjbPfvnrXmeqf8l7sf+wbL/6MemyY7HsB6Vx2raXqF1fXskEMqqflUCXiXPc88YIGBxxnrnjs&#10;T0FcreaXeXd7qTok8IKqIis3EnzKSTzx0wBgcZ9aRR0dl5q2USzAiRV2sT3I4z+PWsSC2ePxi90L&#10;ZxDJCyCUHILcH5hnjABx67q345CykshU5IAJHPPX8a4fTtL1C38ey3jxn7O0suGyThGBz39Uj/Og&#10;DR0aO7i1O+EsV0vm+Y0YbG0ZlkI57HBXH1rI8N6RrFpc69Pe2rJ9oiRYQmATgt7kZ5FaOkaXqcGt&#10;3s7uiecMw7/nMXQEMBjqQTwea1rqDUHsLlZby2mRoXAWKAoSccclz/KgDndG0zUh4d1K3eGaOdrm&#10;MRhpMEouznP5/lSaDYaifAUlpqD3S3YkZ181WLZzuA4IPX3pfDeg31roGs2l3MshucKrPgggoM59&#10;Rzj3waNR0q/vPDEUbwuZPNMjlpTlk8th65zkgYFAE2taTqN/4b0yKCRzcQkbuWTkDHIJPH41Z1LT&#10;b680bSYI13SxBTIHYj+Arg8j1574zimXdneSeHdJRE3PCQZI1U8/KQBnPHoetJr1pezWVgIUYTR2&#10;sh+6WIkwoCnkcHJ/IUAJrOmavN4i0+aBv3CRxJIqZC8OSx69OnHtTrvSbk+NINQWS6aNZkJAb5FX&#10;ynB4yO+3161Q8XWGqtrulXNo83lxGIStE+A2C5+717j86m1Czun8cWs6oGi85GYM6/dCkDAz6n/D&#10;PSgCS006/Tx0b1onNswlBbjqCdp69MOR+HtVnw7pF5Bqd3fXEpUGacRxYIDBpGYHr06Y+pqnBpOo&#10;f8LCGpfvfsmyRGBIwpzweOcEHNWvD9ncWus30ksEio7PscyZwAQACCcngcHHrQBLpWmXennUISGK&#10;G33IwIOXLOSAcfSqGi2F7HoGo2LWMlvOXCDDEhlBC7gTnsM4HbA461Z8N211/wATlLsTr50ztGzJ&#10;t3Kwxu69eP0NSaZBe2nhq/QxvLMJJ2ijYGMkGRyOST1yD/OgCnYaXqNt4KksmSR7sTZIJ++Mjvzx&#10;SXen3V14b0yBRc5inaSUuCrk7XJx6LuOBweMdqmgtb0+D2gWCZZNyhEaXBC8Z+bjiqOpabqy+FrC&#10;0iWSSSO5dWBbkpvwMH/dzj2oAb4p0nWbzR9ITTI9rpFL5pZiGTcBx1H+0OnpW3qlhcSTaPLE8qtE&#10;VEoCOwC7Tk/Kw74FULyzvZtP0kIjCVLKVS8q/dYtFwR9A3auvikjjiiRiqMVGFJoA5/UIr2TxPBL&#10;HZyeVEgVZlIwQxBYEe20VE1hqP8Awl32xUlS2M4HEnBQxqDxngblz+NdVld23Iz6ZoyuduRn0oA4&#10;nQbPU4PF15NdxXCQSKwRuqt8znn8MdMde9aPhezvbWRzdQvHG0KKgfAKEE7vrknNdMCCSARkdRmk&#10;3rzyOOvPSgB44ApajWVCu5WUqO4PFPDZoAWiiigAooooAKKKKACiiigAooooAKKKKACiiigAoooo&#10;AKKKKACiiigAo7UUdqAPHfBH/JYfFH+7bf8Aola9hHSvHvBH/JYfFH+7bf8Aola9hHSgDidS/wCS&#10;yaH/ANgu5/8AQkrt64jUv+SyaH/2C7n/ANCSu3oAKKKKACiiigAoxRR2oArwctK3q5/Tj+lWKgtv&#10;9Sp9SSfzqegBCoPUCmNbwuctEhPqVFSUUAQm1i7Bl/3WI/rSeQw+7NIMdBkH+lT0UAQeXOOk+fqt&#10;A+0jvG3tgip6KAIN9wOTCpH+zJk/qBR57j70EoH/AAE/yNT0UAUri4QxgEOAWUHKEd6nFzCf+Wg/&#10;Gkm5eFexfn8AT/MCpiAeoBoAYJoycCRSfYinimtFGwwY1P4VH9lgHSJR9OKAJ6Kg+zL2aQH/AK6H&#10;/GjyHxxcS/p/hQBPRUGyccecPxT/AOvRi4HeM/gRQBPRUGbgdUQ/RsUeZMOsGf8AdYUAT1BDzJK3&#10;q+Py4o85+cwSgevyn+RqKC4Tax2y8uT/AKtv8KALlFQ/aoR1kUH3OKcs8TdJEP40ASUU3zEPR1/O&#10;nZoAKKM0ZoAKKM0UAFQXHJiX1cfpz/Sp6hm/1kH++f8A0E0ASmuP8a2E9+tjHA0SFLuGUtJKU4V+&#10;QCATuI4Fdh2rkfFWoNZ6lpMflwtHPdpEzT/dTgsDn1yoA9yKH8LLp7v0LP8AYroCYtU1BCOmZQ+P&#10;zHNc/Z3viSK8n8zddxoG2BiI26sBkBSCcDoDXbDrS146aXQwOFt/EHiDzpluNLkXFsQpWZMbh35x&#10;zyPyrU0nxLDJK8F8Lm2kO3abqPavIHG4cZ610hA9BXJ6hr81jBeDVbW3lS3sWuJ40+YI2eEyeufp&#10;VfEtAOmuGKxrIoDhTuI3YyPapFKSxh8AqRkcVyWj2KXks4stQe2MTI22IMMZXODHJkAehA5rZWLW&#10;7UYSa1ulHPzqUY/jkipemjBlDWvC5eddR0Py7LU0PLD5UlHcOAOfriok17WdJjVNT8PyNCv/AC1s&#10;XEg/7561rDWJ4Ti70m9jI6tGolX/AMdOf0qxbazp94/lxXK+Z/zzcFG/75bBqV5Mjl7M52fXPC2v&#10;6adPv7qNQ5OY5gY2U57Z71mj4WaHcgS299ceW3KlWVh+ddaNPs7wTW91YwyqSWyyAhskj8+Ky/8A&#10;hCLeF2Gn6nqVhC3Pk29wQgPrRKN3rqS433Vznbj4Sonz2GrzRv23rn+WKq/8If45sz5dtqqSx9mM&#10;54/76FbrDxDoN+tpa6kupK/McF6CruPRZOhPHQmtrSPE8V/dtYXltLp+oKM/Z58fMPVT0YVPKCil&#10;tdHEHwJ4yuxsutbiEbffUTyHj6YANdHonw40bTY1a8j+3TjndL90fReldlRT5e5XL1epVt9MsLUD&#10;7PZW0WP+ecSr/IVk+JLTSrbSrjULjSbW5ljX5Q0Kkkk4HOPeugrA1OOW+8S6fYPj7EkT3Mi5++wI&#10;Cj6DOadhpIxZfhlo11YQId8FysYDyRHhmxycHjrXMX3hLxB4N3X+lXf2m2U5dFU5x7r3H0r1/HpQ&#10;QCMEZFLlSd1oTyK946M860bxLYeIIkjlbyLlfvxlsZIxjB78itP+ygYJITITG0u8L2A9P0zUWv8A&#10;w603U7lprJjZXDfOSg+QnPp2/CsL/hCfGtqPLtdZVoh0zOw/Qg1usRKNlJXOynjpwVqkb+h0Q0gC&#10;2tovOOYWU9OOCpPHblf1qx50FhGkU06hsZ54zzz+prk20T4h2IzHcLcgc4EiN/6EBWRqd74pmkjF&#10;9okvmR8AiJ1B5B7deQKuOJi/iujZZjSW6a+R3mpXEMkltaGJZftBLKzjKLtG4E89M4pz3dxaWrG5&#10;aCWfOFSPKBvbnPNeey61rxj8saO6nyfJ+4/TaR+fP6VZsNB17x3qU91dXBtLeHKhTnCscHAX6d6f&#10;1iHQJZhD7KbZ2K6wl9GgswfPWdY5onxuj5yw4OMgeh71NeamLWYx+WXClct/dBIHP51yK/DrxPo0&#10;jXGkakkp3MSu4oWz14bg1F/wkWr6RcFfEGjsxJBZ9pXJHQ/3Tj2o+sx6ijmEdpppm/qMlhc326fS&#10;1uHbCMzHHGOAe3U/TmtBWg/tYj7OgcS/fH97Yfm+vbPvWTB4v8N3qkSyNAzMHZZEYZPHcfQd6uPr&#10;PhuJvtJ1GAtu35WYsc49B/KtVWg+p0xrU3qpI05UP2+RzOwHkYSHPGcnLY79hTI7GG0ubRoGEUaI&#10;8Qi7SE4bPuRtP5muQm8X6RJcM0pmmdZG8l0VvkBUAYyR39sU/T/EunX+pWbXF+0K2++RFlLABiu0&#10;bieDwz96Paw7iWKot2Ukd7WHrFxfw3J+zqFjW3ZvMYfxZXjPrUdjfR3kMs1texzSNIVCbz90PwQM&#10;+mT71PZLdJbIJQ4Ijxljz93JOCfXirglJ2Rs5qS91lTULrU7eVljlYhEAbaAeSDznHtUz3OpfbNg&#10;YIhcFSRkFQBnOBxzVozTf2dayiVvMkZAxwOQetLNK0V6DI8iwl1jGFQgk9M8Z64rZUZP8fwM3USe&#10;7/4crPdyNqmxncw+eAoBXB+Xp/31k1a1KWaMxmEk7QzMoz8wAPH4nFW5AhmjQqM53HA6VN3rC5vY&#10;5DV5blfE2nGCCXa+QJ0AJKhWyPXIyTg+v4UniGLz5HFxYz3USYZGVfufd7jkdycVr6mk1zqkUVtI&#10;I5YIWk3dgSVA/QNUrDVEXLyQ7PNdnb+7GCcAcckjH05pKzuYuN+ZM5LRtBa+lBvJr942wFHnPtCg&#10;v39PlH51uHwVocj7XtmbZtILSMe/T8cVo6En/EugfPJiUY/M/wBa0V/1z/Qf1qacVyrQUKELaq5k&#10;t4Y0vYqRW4hVSCBGAOnv1q4+mQPMkhLBlAXIPUD/ACau0Va0N1CK2RBepI9qyxgsxxwGwcd6y5LC&#10;4utBe2w0bsGGN3OOij0GQB+tbdRQZ2uTjG84A9M/5P40DcU9zlbvwVa3k6F7WKMn78sTkevzY9en&#10;50svhC5tmj/s/Vr+PaNuWk3Ae5B7fTmuuoqWkZPD030OFuJtb0nUIJtTtxdW6Iq+fbfeXDAk7c5I&#10;FdfZalZ6hEHtbmOYEfwnkfh1FTT5UI23c24LgehOD/jWZe+GdNu5DMkRtrjqJrdijA/hwfxpNSjt&#10;sSozh8Luv66mxmo5eNpH94Vhiz8SWgxBqFteKOi3Ee1j+IqKez8Q38RF5eQWcH8SWqlnI/3j/ShT&#10;fYHVla3Kyzf6bpmqy+bNL5FzExRJY5Akgxwec5/Oo4PDGkGQSSvJfODnM85fn6Vk2Xh6z23kd1YB&#10;pkY+W7s5yMDGSDwec4+uKij8OW0tvJ5VsfODLs2yuDjOGOCQO2fxqfZu97IxcZN8zgvv/wCAdyiI&#10;iBFUKo6ADgU6uDFhq1naibS9VusEjEMo8wHgNjvjOcVbnu/FyWaQvbW8MjHBuBKGwPULj/Oau9t0&#10;bKtZWlFm3q+sppwWGFDPfTDEMC9SfU+go0HSn020d7hhJezt5k8nXJPb6CsvTrJrIW90ZvPvrgO1&#10;xO4B+Yfwj0UHPA9KzvFnim702xt4beTbd3MKMQF+6CDkj8eKlpr3pESny3q1Pu/rqVfGupPNr9lB&#10;pUrNeRBoyIuTluMfWu08E+DE0CD7XeBZNRlX5m6+WD2Hv6muN8P+H20bVtKv9SO64adC6Ej5C6tt&#10;B56k7TzXsIkTby6+/Nckk3LmZ5Em6knUkOoNR+fD/wA9U/Ojz4z03N7qpNFmMIPuMP8Abb+dSbR6&#10;Cq0U3zzbUkPz9NuOw9cVJ5knaB/xK/402mBLgelLgVFvm/55L/31/wDWo/f/APTP9aVmBJgYxjj0&#10;rIvvC2h6i5e60u2dyclwm1j+Iwa09sx6uo+i5pPLkP3pj/wFQKLX3Ymk9zmZfh14akzixaPP9yRh&#10;j9ax734T6e4LWF7Pbv23fMP6Gu98sE4Mzt7bsfyoEMR/iLD0Lk/zpckSfZx7HlNzpHjLwovnR3Iv&#10;7ReoBL4HuDyPwrU0bxvY6hthugbS56EP90n2P+NeiCCIdIk/Kud1/wAD6TrytI0X2e5I4mi4J+o6&#10;GnGThsa061Wk/cd12YjTRt5bK+RkYxznIpZZysbFEYvj5RjGT2rgpIPEvgeYpPG15pu7IYZKj8eq&#10;mug0XxVpmsyg+cYbnGBDIcd+3Y11QrwktdGejRxsKmknZm8hZUCiIj6kAfzp2ZT/AAoP+BE/0FSZ&#10;ozWtzuRHiU/xAfQUbH7yH8ABT6KLsLDPKBPLMfxxQYIj1RW/3hn+dSUUXYWRC8EZGAqqwyUbbkqe&#10;mR+dXfDGsxXwuLVGk32svlP5qbSWCgk49DkfrUFY06XGneJrXUbOGSRLlfIuVjHpyjn6cgn0Na05&#10;fZZjXp80T0bFQ2/HmL6SH9ef60sEolhVx3FJH8tzMvrtb+n9K0PJatoT0UUUAFcP4T/5KL45/wCu&#10;ln/6Lau4rh/CX/JRfHH/AF0s/wD0W1AHaiKMOXCjcep715Bqn/JfLH/sGy/+jHr2KvHdU/5L5Y/9&#10;g2X/ANGPQB6+fz4rkNV0u7ub69dNOncOVRWSVMOuRljlxkjHyg4A/Guwb7hHfHFcxcaXeyaBPatG&#10;JJ2kJT95930P4HtQBvwuI7ZPMBi2/J+8YZODgHPv/WuNsrO/t/iFJcy2hS0cvidnHJK8D9PTNXPF&#10;2mapqGk29tZxGSRUYNtYDLbCBye2cHNZ3iHw9qtxr8N9aRiSPEeUWQBo8DGSD+PT0oAu6Xpd7a+J&#10;tQneEiKUSOhUjJLEnnJ9xj06VS0bR9Xt9J1a3lQrcS24EQGAS2W9AD0x1ra1PT7i48Q21zHGk0Kq&#10;FlBOMAHPX2647kc1QSG8l8def5E4s1ckzJO2z7mASAcY7fj7UAZnh/R9TtPDGt2stpKLi4BEcaSg&#10;k8MO56Z7VfvdI1DUfB8VjbrLFdQ3JLeYR0Ab9ORiotF03VLXxzc3EnnCzczMMPvTDMSAewPtVvRd&#10;CvtOju5JrtpcwGFPnP71tq4YbjjkigBktg7+Dra2fct3bkFkGflbd7HgenNM8Saffaj9jn08GaOC&#10;I+YeueCcAE5znBqlpek6tb6Jq5ntRHPP9mMYLrlimC3KnGB/jWlbWN9aeEbq3mhzdCXMSM4JYAja&#10;fmOCcDnPU0ATa3Y3txfWFzawPIqJGJCAMgb8k4PXp096bd6bdDxxa6p5UhtQyqzAjA+RlxjPdmX8&#10;vpWvo4a10y0iaF0dxmRW2oVbHJ29MZ9Kg8S2EuowWyW8m2WO4iOFfBx5iFv0Un8KAKz2s0fio3DG&#10;MwOfMYNJswcKqn3Pyt+HFV9A0jUbLWNWku/uXG8qwbJf5jj64Xb9Ki8RabqM+swtaRb0WCJThyAd&#10;pkyAAecbh+dXL6CSbxPbEQF7XYPMdArEMDwPVRn0xQBU8J6JNp0WpxXWVM67FAzkqC/PQc/OP/rU&#10;sOmTv4R1PTkZxcM8zxod4OPNZlxk9xj8+as/2VczeKxqKTMscTkSZf5SmARjHc9DnsBUGm6Vd2vj&#10;C61KcMsDrJ828EDnjPpxg/jQAWWkX6eGL6xcl55JDsDNuwMDj86h1TRdQ/4RmwtrfyhLDLK0gjbC&#10;8rJjJ9ckAnHU1oaNaNZ3GqtEzvFI+YQ4YKx2qOpOOuRUOkW19Fpd+stt9laVXZR8pw7FiSPUZOfS&#10;gCrrejzX+maSwnm3W0LK6wSkruKjG7pnpj8TSa7pV9f6xpNxaRvLFCqrKQRwuckc98he9SadpuoW&#10;/gu3tLiCUXSyx5i3KP4h0OcfrXQaFDcWmlxw33Fx5jliSPmJYkEYJxx27UAZFxol3eeNDevLJHaR&#10;wqQVJwzhkIHXngN+dWVsXi8YG7XzfKkiO87Wxu+UAdcdFroTJGG2l13HtnmjzYy5Teu4dRnmgDmN&#10;Ngvk8R3c81rJHE7NnDZVgBhTzxn6Vn2Wk6taR6o3lyI89pKERZCR5m1Qp9M8HpXdUUAcDpemahHo&#10;evW1xay+bMz+UmCQyknGCfbFdL4etJ7KzljuANzTM4IXGQeRx7dPwz3rZooAKKKKACiiigAooooA&#10;KKKKACiiigAooooAKKKKACiiigAooooAKKKKACjtRR2oA8d8Ef8AJYfFH+7bf+iVr2EdK8e8Ef8A&#10;JYfFH+7bf+iVr2EdKAOJ1L/ksmh/9gu5/wDQkrt64jUv+SyaH/2C7n/0JK7egAooooAKKKKACmSM&#10;BGx9jT6guf8AUOv97Cj6k4oAdCpWGMHjCipaKKACiiigAooooAKKKKACiiigCB+bqMdgrN+PA/qa&#10;nqAf8fjeyDH5mp6ACiiigAooooAKKKKACiiigBCahtv9Qv1P86kfhW+lMt/+PaP/AHRQBLimmNW+&#10;8qn6in0UARGCI/8ALNPypPssX/PMVNRQBB9lT+EuvsrEUfZ8dJZR/wACz/Op6KAIPIfP/HxJ+S/4&#10;UvlTDpP/AN9KD/LFTUUAQ7Lj/nqn/fH/ANeoX8/7RED5ZwGPce39auVC3/H3H/ut/SgBM3HdI/8A&#10;vo/4Vz3i+ym1DQri2EMXmSxlQzt8qn1Pfjr+FdPiquoRCSykB7DNNbl03aSM7T5J20+3LhJG8pdz&#10;o+QxxyQferPmsOsT/hiud8L6hc3llcw3EjPPDdywj92AERThRxjtz+NdAlsqoVDyc5yxc5ryaiSm&#10;0YyVpNDJ7xIIi8qSKucdMn8B3NcpNplvq0RS91OSa3jtXtxJ5ZEj78NuLZwSAAeBj+VdHf6fJcWR&#10;gjdXIZWHnZPIOeTVS10E2NjLDbSRhpFySyEkNtC9QR6elOMopCKtg8Nne6hqc8wlnuBHG7KCqkID&#10;j5ecHLH86uP4hhj8v91IdwBOATty4TrjHU0l9YG5tFt40aOSNsjeARISMZzUmn6fDJbWgmjLNbxi&#10;MbvutjHIHcZ/lTfLa7Ad/btsYIpQj7XUNgjB5XOAO5qtf3On31wLO5hRwyqfNLAFM7uh6gjb+tbD&#10;WkbSwPyPIJKKDgDIx0+hNYXifT4WsJ5A0guLp0gVgxGNxC/lgk1PuAyDRdWv/sRX7E10FYokwkVd&#10;6g4BOTyfetP+2bmMAzaRdqPWMq/8jVvTlhOm2wijAjEYVQV7AVY8mL/nkn/fIqGtRGZ/wkNgv/H0&#10;txbDsbiBlH54xWXqeiabr8M11YXokuCC0TxXG5Y5OzDGce4GBXUeRD/zyT/vkVm6lodtdQs1ui29&#10;2BmOaJQCD2z6j2NL1Bq6scxp3ijxA6x2w0uHUJDCsqTRTbPNQ8B8EdDip7DWvFWtid7GHSoY4Zmh&#10;cu7yfMMZHGPWl0mG41dob6GE2i3dgBKWXcIX3D5EGRxjd7dDV7wrYy2o1SOeBo0N67RAoUymFwRy&#10;cjrVunG17i5fMgj8R6jo9/Fa+JYraGGbiK8gyI9391s/dp2ra1pljr2nag2pW4jMbwyKJAxKtghs&#10;DtkfrXRXGn2l3C0VxAksbdUfkGs5PCWgIrKml267gQSF5x9azUewrSRqWt5bXsKz2s8c0TDIeNgw&#10;P5VNmuSufBItpVn0DUJNLkH3owu+N/qM/rzTRN4vtOJtLsr0L/HDcGMt9Ac80/ULtbnVk/6R9F/r&#10;UgIxXGWviZtXv0sLQNY3m0iVbwnKEHkKMjeevetxNDMi/wCl6jeXBPJHmbF/JcU3Z7DTTNekxWZ/&#10;wj9j63H/AIEP/jR/YFoPuzXan1Fw/wDjSAsCxH257pridwyhRCzfu0x3Ax19yT+FSKtrYQkKsUEZ&#10;OTgBQSf6ms99GvIzutdZu0I6LMBIv49D+tQGfU7a4VbuwNwAuVktZfz+VsY/M07rqM0pI7qPTZxa&#10;FPtTB2i87O0MckA+2TWM19cTWOuLJ5cosgTCZ4uWwmfmXjjOcHvUt3qdjcWc1tcvf2fmIULmN1K5&#10;HXIBFQomj3a323XFae9jEUjiVAwUDAAB+p6jvVKULagRQ+DfD+sadbXVzpsSyzRK7GEmPkgE9DVe&#10;P4XeHEk3Fbpxn7jTcfoAa3bWbTdPs4bVtVjYRIEDSTqCQB3xgUPruixnDatb5/67j/Gs5KDZPJHs&#10;VR4N8PWlrIItKt8hThmXcfzNZn/CEeGtdtzcRWL2yFyEeFtu8A43AdMHt+daN/q9jd2jRWGpQPN5&#10;iqw84fdyC3X2PatxI0aNW3sQRnIbiq5YcoOEX0OAvfhNZ436ZqNxDKOR5hDDP1GCKxTp/jfSImaI&#10;m/tkJQhD5mQPbhvyr1aeNAoC5LEjA3n1FPSzgjQKiBVHQLkAUlFR1i7CULbOx5bpnjLTZ4Es9Vik&#10;s5IiMfMxXI/UfQ11kC2V8FuoHWZGYOGR8qSBwfrWlqXhLRdVLvd2KNKwwZF4b86811HRdW8JavON&#10;Gna5t1Klo9vI3HABXufcV0QxNSOkndHTTxU4/wARXX4noEG5o9zgK5Jzg5qXjPWvP7L4h2kSiDUb&#10;GdJ14cocjP0OCK05fFfh3UYNn2woFYM0eNrPjnb+OOa1VWD1uejDF0pLRli8kJ1HU45ZEgtyYS07&#10;yBeMcL9Mg1bLIvhS6+zzvPiKY+Y45Lc7vpzkAVmSveKt9qDw2zLLHEYIwFkDOGbCEevIOfU+1S3t&#10;hey3cVjDdw20E7tI8EUAJEeMtliepYnoO/tVRV4FKTtobkMawwRG3A+6uVzjIwP8KlS4haZ8SpkA&#10;ZBIBHXrXKv4wtNIha0vLYm6gUJtTB3kcc+n/ANes6LUfFuuSCXTrJbZJhhG243Ae7dfwrL28Iqxh&#10;UxtOnZbs77z4v76/99CoZtRsrfHnXcEeem+QCuUHgPxZdjzLvWliJ5K+a5x+XFW7b4TpITJqerzy&#10;uf8AnkoH6tnNZvEv7MTF5jP7MPxOjivLedA8MqyJ/eT5h+Yohkwh37ySxI+Q8AnIrk7n4bXllcn+&#10;xNYlU85WQFMD/eHB/KqUmoeK/CTKNUtvtVp/ezkf99Dp+NNYlfaRUMxt/EjY73zfRHP4YoMn/TN/&#10;0rF0TxZp2tHy428m47xScE/T1rdByDXRGcZao74VI1I80Xc5e7Ey3ylLxt8M7zTzNhdiFCBHjPOC&#10;VNN0O7vTqFpHcxNHvsy4O/K3ByvzexA7f7XtWtb6NpwuJLlLcF2laQkuxG7oTjOPWrkNlb27h4og&#10;rBdqn+6PQegq20ChK97kuZD/AAqPqaZN5vlH5U9etTZ4qO4cJbSuTgKhJ/KknsW1oMhWTy87lySc&#10;kjOeak2yf31/Bf8A69JAgigVB0A6+vvUF7qllpyb7u5jhHox5P0HWk5JbivGKu2WPLb/AJ6N+AH+&#10;FJ5WT8zsfy/wrIi8XaFK21dQjB7bgQD+NX4dW0+4GYb23f6SCpVSL2ZKq03tJFgQqOAWGPRjXDX0&#10;S3nxQsLRwDEhTKt34zXeKwblGDA+hzXCasfsvxQ0uYdWMeQOvpWOKfu6HFmLToq3dHqF3plreWkl&#10;vLECjjGR1B7EehFZVtqDaVcGy1poUUY8i8b5VlHoT0DfzroRyKxvEzaadFuItTdBFKhAU9Scdh1z&#10;3rC555sAggEYxS1keGLk3XhyxkIcfuwvzrgnHGefpWsWA70ncBicTyD1AP8AMf0qWoQcXJ/2k/kf&#10;/r1Lmm9wFooozUgFIelGaDzTA5K4NtBrFhcQXe63a6nWWVZdzbyDlD6KMfhgVJoywwa5FFBcGS2l&#10;05Dbsr7/ADVU/fc/3uRz3roVsbVZjKIUEmSd2OhPU/U0sFlbWxzDCqHG35RjjsPYe1aOSsO6Jx0p&#10;skixrudgoyBk+p6U7tUDMs0wiKkhSGYkccdP6H8KzERTL9oWUOgaEJ8oI6nvx3HT9a5bXfhxperE&#10;3FmTZXJ5zGPkY+4/wrtHXcjD1GKbCS0KN6qDQ0mrMTSe55BJc+KPBUvlX8LXdhnAk5I/Bu30Nbun&#10;eONGvtokmNtIe0owM/XpXobxrIpV1DKeoI4Nczq/gLQdUSQ/ZBBMwOJIPlOfp0pxnOGzNKdetS0i&#10;7rzJIp45kDxSI6HoysCDT8jPWvPovhjrVrD9q07VGjIjyIXJVicDjI465qAx+PNJs54JrGW6R4tu&#10;/G9gCMdQc10Ksup2QzFfbiek5pa4HRvHsUUj22rWclo+7JYnIBPqCMiu5t7mK6hWaCRZI2GQynIN&#10;aRnGWzOyliKdVe6yWo5olmieNxlXUqwzjINPznpRVp2dzfck8J60b43NrNEIJ7eYxtDuzjHKn8Vw&#10;a6Tpdj/aTn8D/wDXNcFdWdzb61BqljJHGSNl2JPutGMkN/vA/oTXY2d4t5Fb3CEFTxkdDx/+qulP&#10;mVzy8TScXzGlS0gpaDmCuH8Jf8lF8cf9dLP/ANFtXcVw/hL/AJKL44/66Wf/AKLagDuK8d1T/kvl&#10;j/2DZf8A0Y9exV47qn/JfLH/ALBsv/ox6APYD0Fclqmj3t3d6hJHbbQ67YWE/DHj5mHqCBgdhn1r&#10;rG+7j2rmrjSdVl8P3FnFKizyOTl3PK+mR0oA3oHaO1jFxhGUbTluD2z+NYaRTxeKGuHgRI5G8ouR&#10;j5ArFSDu6lmI6VV8X6ZqOo6VBbWcJd1UhtrdTtIAPtnB/CsvX9B1G71+G9tI4plAjzHv+ePAxnB/&#10;H8qANvT9PubbXruSSMPEyF1IOCGZnJwO/BUE+tZnhnSL/SrLUUuEnMj28YUZUksFwQOnOfX2rT1C&#10;0mu/EVrc2xjmi2AMokwMA56j0zke4qmsF6/jv7UbWYWQc5nWbC8JgZHpkYx7+1AEPhi01Wx8NahH&#10;cQSPelmdUlw25snpg9OlTTaNczeHILGKML9kvYRH1BMSFRk4brjJ69qq6JpWp2vja4upVm+xSGZl&#10;IfcmGYsBkd+c1oaTZ3tmmqeYpEcvmNE5kBG4np/L9aAKz6LPceE7TSmLiUROs3lvzGSpwDknjOPw&#10;puv6Nf32k6bHFMkrW6L5zI+Vc4wwGTn3GTzgA1BoOkapb6RrpurdY7i5gjWEkj5nEZHXnjJHX3qW&#10;HTrkeErzTRa/Y5TKNvmOACvBz05xQBb1yyurm806eGOaa3SJd5hxnIdWwPrjn6VU1jTdUPjW2vI1&#10;P2EvC3DgYIYA8Z5+UkfRjW74cgn0zRrSznhxLuYMBgbeSeB3FZ3jTRH1z7CsKu7W0jSnYwGPlyOv&#10;qQPwzQBTt9I1EeOm1E+eLcSvtV8bCjdxz7DAxVvTrC9ttcuzLCUhmSby3+XktKzAHuOGH6+lTatp&#10;srtpPklnktiobKFiEyMnhlHYf/Wpmt2eoXur2slqC0McsbgrJgjBIY4H1xz6GgDK8O6VqtlY65bX&#10;Ak86W2AhLsrb2G8cAHjgxjn2p+j6PqMHhfU7C43SXUpTjKkyDjdx9OCD6deasnRrweLjqCORbC5L&#10;swY4IKpkHnsVP5CjRdKvIfFd1qEsX+jv5+JCw4JlYgnnoUK4oArxaLqR8Df2fsC3fn5+X5uM8EHP&#10;GBjn2rS1PQpV8IPYWzyTToJWjx3Zt/HBH94gdsdqZ4Z0O4tIp7m5lk8yTzUCL02sQQevtxz3p+lW&#10;9zp+i6moUElpGt1YGMNwdvJY9cfhQA7X7e8ubTT44bZrhA5aWRXAZWH3TyTxn3PSq3iDTNQvvs8t&#10;spzFauAyyYPm7SFAx7nrTIrK4XwjNbTxvBK7KUikIfngkDOOOtOGmXK+FdIsfKJuYnVnXaMp8jDO&#10;O4BI+tAEeqabqkvjS1vIoZWsklBLxkHb8mM8+5I/E1owafer4qmuvKYW5nJOcYYGNACD14IIrX0m&#10;NrXS7W3mx5yRhWPTcR1P49auhl37cjd1x3oAevSlpgkG4rkbsA4zzTVuI2BIdSAMkhugoAlopofO&#10;MdKdQAUUUUAFFFFABRRRQAUUUUAFFFFABRRRQAUUUUAFFFFABRRRQAUUUUAFHaijtQB474I/5LD4&#10;o/3bb/0StewjpXj3gj/ksPij/dtv/RK17COlAHE6l/yWTQ/+wXc/+hJXb1xGpf8AJZND/wCwXc/+&#10;hJXb0AFFFFABRRRQAVBPyYk/vSD9Of6VPVd+bmIdgC348D+poAsUUUUAFFFFABRRRQAUUUUAFFFF&#10;AEEfNxN+A/Sp6gg+9Kf9s1PQAUUUUAFFFFABRRRQAUUUUAQ3J228rDqFJqVVCqFHQDFQ3X+oZf72&#10;F/Pj+tT0AFFFFABRRRQAUUUUAFFFFABUB/4/PpH/AFqeoBzdv7IBQBPTXXchHrTqD0oA42xsm0rx&#10;Tet56LBfhSIQhJMiqctn3XHGP4etdGKy/FltevpUs2mymK8VCY2XHJHIHPr0/GuZl8UaterZXGl2&#10;MrW00e4M7ooZgCT6nHB6jtXFiqfvKS6jqq9pI7vFJiuOl1jxJBJA0mnxGMRAkLODvZs8/dxxj9aW&#10;bVPEn9sKFsoo7fIQq84IyRnO4L7Y/GuXkMrHXsoIIIyO9QR5tztkkLKThS2Bj2rnU1bX1uZI303z&#10;DvBHlyg4ByAOQMDjrWbZa14gmuEhm0yeRWgyFkeMKTjqT3xxTUQsd4DWRqv73V9Kg7B3mI/3Vx/M&#10;1zWn+MLyOEtfW9yu6B2DNGpUOoUDkHA6nrilm1a5bWrZ/MEim1xG6fNks3PIyOgGf50nERtu8890&#10;bGytbTMESO8k+cAt2UDp061NFf6vAhFxpgnCEqWt5huOP9lsfzrDnmkmhS6jvGt9QTygJIwMsjYJ&#10;VlPBAyfcVe0nVNWNmivBa3Ui8MVm2OeeuMEdeOvXNEotDsaY8RaevE7yWzjqk0ZUj+lQz6vLfL9n&#10;0iJ3lfj7Q6FY4/fJ6n2FKmsXLkhtFuHI4/dSxOP/AEIVJ/ad+fuaDd+26WIf+zVmIpz21zp8dra2&#10;e820USwk88YVvm475C/nVe8XVI7xpYXm8oQKE5PpnJX1yOlXJb3WTcp/xKiBtJ2LdLzyM5yMd/Wn&#10;Nq+pbGVtEvEkzjKmNxj/AL7FaqaSKGzS3a6ormRxbjALAnB9VAx1/GnWktwdVJYuY2lcDLNjGB7f&#10;XrQ2tXUbJ9o0i9iT+OQIsmPwQk1Lba7ZytIn2lXfcNkaqQ+MDqp5HOetHOI1+1HB7VGk8bEDdhj0&#10;VuD0qXNRsIxNd0G012MwzrtlVMxTJw0beoNY9h4jutBCad4lieMoNkd8oLRSAdMnsa67/l5/4B/W&#10;m3NtDdwPDPGskbjDKwyCDRLpYlx6ohi1XT54xJFe27KRkESinx6jZyyiKO7gaQ9FWQEn8M1ip4E8&#10;NRxhF0tMDuZHJP45rM8R+ErW00xLrQtKVbyCZJAYWIcqDyAe/wBKnULyO1z0rK1fetvPKjlcBFGw&#10;7Tnd6j2NZ9h420y4ljt7hbmzuGyClzEVGR2z0reW1ilgKXCCUM24iQAj2rSnJJpg/ei0ircDGr2K&#10;KzhSj5AY4OAMZqCGzt7rUtRSeFJVDKFEg3AAqCcZ961Da25kSQwxl0GFYqMqPY0LbQI7ukMau/32&#10;CgFvr61s6se39XJ5GZeiWFkdKhY2kBY7snyl55PtVvUJI9PsGljtwRuVdqAA8kD+tWobeG2i8uCJ&#10;Iox/CihR+lVjNPJqkKRhXtPKkMrjBw4KbB+W/wDKspWlJtbFxVkKdNsha+StpAY1BCqYwQKqJ4d0&#10;pkWSK2EDEAhoGMZ/8dIrWI9K4W81C/0aCUJeyyf8S3fG8h3CVwwBkUAkKFDDI4+lJQ5kM6A6dqNv&#10;NusdRZ0QY8u7G8MeP4hz/OpG1a8sxnUdOdUHWa2fzUH1HDD8jVTSnaPxPqdgksksMVvBLvdiTvfe&#10;CM9/9WD+JroTjBpThyvQCsLuG5sTPBOhjZTiReQP/wBVVP7MMySsbuZWmwxCnG3j3PrzUFzpYW6M&#10;ulytbTyn96EXMT+7L0z9MGpEvr+xQLeaaZI1GPNszvH/AHwfm/LNJSaGOu/D9lfXBluoYpQXDbXj&#10;BGMYxXJ3vw48Oy6v5UbXEMswaULEflUZJ5z0+9gfSusHiHSyDuuRCwH3ZkKN+RxXCeLPFt5PFbaf&#10;pv7q8veWaNssqE/KmR0JHX0pOStdkS5UtUc0mlyaR49XTdJ1OSSL/Vs2wMUyOT6ZHrXoF3p0qTXd&#10;/BO7XJsjBGvYEZOR7kkVl6DoNj4Zhe9vbqNrpl+eVzwg/wBmpYvHOhT3PkfaHTJ2h3QhT+PYfWui&#10;lLkglN7noYVKlS5asrN/gYfw50nR9Xe9GpAyX6NlEkPRf7w9TnP6V6V5F9aW4ht2S8mVeDcSeV8u&#10;fVVPP4VwWt+FHubj+19BuPKuSd+EbAY+qkdDSWHxD1XSJVg8QafI5T5DIo2tj19DWCTp6M8905UH&#10;aS+Z6F5l+BDCtoziQ/vJHlVfLXuOOSfoB9aVNNnTTI7JdRuF2/L5wwZCufU55xxnrxUejeI9K16H&#10;fYXKuwGWjbh1+oNa1PmuUndXRyc8mpaNqCRWu2dbm6WOG3uJiQV2El92CVweSOelSQa/e/2lY2Op&#10;WUcc10JPNt0zJ5KgkIxYcYb3FaF1o815KRNes1v9oS4VcfMhUghVI7Ej69aSw0vULW9M01/HIrsW&#10;kxFhn/ugnPAHoK0urFXOf8Q/DrT9VP2rS3WxuvvDYPkY/QdPwrn10j4h2i+TGRIicK5kRsj6nmup&#10;1e51Wy8SW2n6RNErX6NKwuAWRCo5K9xnHTpSzaz4l0WLz9V062urRSPMms3O5R67T1/CsLJPTQx0&#10;i/duvQ5SLRPH4hFxFcIysN4QOnOeelSaV4xurXUP7M8QW5gnzgSEbefcf1Feg6Jrmnazar9iukld&#10;FXeo6qcd6q+JPCen+JbcLcLsnQYSdB8y+x9RTTlF3izWFSpB80ZXGhgyhgQQRkEdMVzOueMdK08t&#10;bZa5l6NHFjH4mqbfDTXY8wwa7/ox7FnHH0Bro9D+H2maND5kqLeXvUSTLlQfYf5NbPETeysdM8fV&#10;krQVn3OQl8eahcxmGx0hxM3CPkv+OAKv6H8ObjU3bUPEk0nmSncIVb5v+BHt9K6i58VabppgtIYJ&#10;Ly+KD/R7aPcy8dz2pB4xkgGdQ0HU7WM9JBF5g/HHIrGTu/edzjnN1H+8lcim+GvhyVNotpIz/eWQ&#10;5rMuPhLpT48m9uYvrhv5itdvH2ks22GK/nOP+Wdq39cUf8Jm85xZaBq1wfeEIPzJqLQIcafY5qT4&#10;U3Vv81hrjIw6BkK/qD/StDw78OpdP1ePUtVvxdzRHMajJAPYknk1qnW/E7jMXhYgHpvu4wfyzS/8&#10;JLrVvxeeF7zcehtpFlB/I8U7RC0TqGO3knA7muNjvLL7br2sWTwSSQhVSR3BG4D5hyeBmkjg13xU&#10;sz3F42l2O4xm2hwZT6h27H2FWbXwBo0LK1x9pu9uMLcSkrx04p9S+Z9EV4vEeu65BjRdLjRMf8fc&#10;7kRn/dBAJpU8IxXx87xFe3F5cNgBXby0T2ABxXS3N/p+kwL9ouILaJRgB2CgD2rFn8c+Hz8gmluF&#10;zy0Vu7KPxx/Knp1F7v2mVpPDF7pD+Z4e1GWJtpIt7ljJG+O3PIq/o3imC+lNnfRmx1FOHt5jjPup&#10;7iqg8baG9xEV1RVQZ3LPA6fqQKszponifakx0+6VR8hSTL59iCCKbWzQK32WdCXULuJAHrVWXV9O&#10;hOJL63Q+hlX/ABrnk+H2jli0r3Midk89sD9auWvgjw7bJt/syGU/3phvP60tR3l0Ral8UaFD/rNV&#10;tR/20BpsXi3w/M22PVrVj/10AqaLw7osP+q0myT/AHYF/wAKfLoOkTrtl0yzcf7UKn+lLUPeJRqu&#10;nsm9b23K+vmipYLq3ukLQTRyqOpRgf5VjN4K8Ns+46Tbg+gyB+QOKqXvgq1jLXOhyyaZeKMoYHIj&#10;J9GXoRRqHvHVVBD8ssqNtGX3KB6YH9c1zCeKdVsrcR6l4ev/ALQowXt1EiOfXIPFRv4rvZpt9n4a&#10;1R5Qu0ebEFA6etNNBzI7M9Kit/8AUgf3SV/I4rlD4k8QvH5cPhm684jCtI6qufU+3SoYdR8TaCpn&#10;1SFdQsz80xt1AeAnk8fxAZp30DmR21FU9O1K01WzS6s51lhfoy/19KuUihMUYpaMU7gZOs+HtM12&#10;Ax3tsjtj5ZQMOv0NeeX/AID1zw27Xug3rTxryYujY9x0avWaQ1LSJcU3daM888L+JhrkckE0fk3k&#10;I+df7w6ZA7c9q6QdK5HxD4P1zTvEE2teHtr+aSXiBAIz1GDwRn8azz4x13SZFXWdIZUP8Wwof8K3&#10;p4iytM76GYKK5a253jhmRlVtrEcHGcVF4Q1WS80wrdyA3cM5imGMYZWI6dsjB/GuNk+JNoY/3NhO&#10;0h6AkAZqLRINYvtZk8RXrR6bZkfMGbyxLt+7kdWx6n/61dFPF00+XuOvjKMrRi7ntYpa47w74zs9&#10;SdbRrhXuAgZiFZQfXbu6iuuR1ddykEHvmuzzRhKNh9cP4S/5KL44/wCuln/6Lau4HSuH8Jf8lF8c&#10;f9dLP/0W1BJ3FeO6p/yXyx/7Bsv/AKMevYq8d1T/AJL5Y/8AYNl/9GPQB7AegrkdS0XUb271E2qi&#10;2aVdiylsrKvBOSG3ZyMDjAGfWuuPQVxur6LdXd3ezC2VFYr5beamJMEEFw2c4IGBjgZx1oA6u23i&#10;3QSptdRtIznOOMj61ymn6TPD4yku5RGQzyEAHJC4wDz06n9a6qGbyrVDclIiPlOWGD2z+Ncnb2t1&#10;a+N2urmFBFIxRJHZMhTvP167R+NAF/RNNaz1bUHKReU5zFskyRwAQBgYwQB+FVrDT7iO01uzdWjj&#10;l3mGXdvG1s9cE/MDnI+lU/Dul6pY+JruS9V/JfzGQiUEYJBHGe5z+NXdP066ih1qwkWRBKGMD+Zv&#10;+Vsn1J3An09OtAGPY6HqNv4Iv4YPLa7d43jUgBQEC9yPYnnPBrU+xXTeEPIRSZvtm/aWzlfOyck9&#10;sc1W0TRb2LwpqVjKVe7nG1IyAAuFC88dMgk/Wkt9Pur7wdJpsNsttcBxvjWQHacZz1OeSOfxoAsX&#10;djcXfgy1tbd5oXEqFpJGIY4cEnHv1+lO8Q2eoXNhaMkKC7jtpFkjWUMMlkzhm6gbSefYd6gnsbke&#10;Ebazt8fabXPnRhlOzKtz159qreINPvNQ0rSm0sM0NtG0UgaYBivAG45xzgZ5B5oA6LV7O4uLvSJo&#10;yf3cuZA77QBtI9DzzVaayuj4s+0EMYGMZUgH5do6j17r9GrF1zS77UdR0u6hkl8pLeHL71KySKzH&#10;Dc+/Jzj3rburdR4mstSSZlhaJg7KTsb7m3nIBBAPr05oAhnsLhfHcN8LZmt9mxpARlTzyRnoSAM9&#10;tp9ah8M6LPp/iTVbiRQI59xQnOcFi3TaMdcde1WUhu/+Eta5a1jjifaqShl/eIAxHvnJPv0qGw0v&#10;ULbxFcXLqY45lnCqs3DZYFDjpnBP0waAKdhpd7Fo+swBEkaS2HlAbQN5eQtyAMcbOvtR4b0O9g0P&#10;WbG6ChJX2QrG+793gd1Pv6+tM0DS9UtrfWoLuGUTz27iNd4YOduOpOc5OP8A9Yz0nh23ubb7Ul2C&#10;GZw6KzAlFxjbwT0wee9AGZp+k6hYeFhYxrIbmOUcM+eOCcMSc/XrVKfw7qc/hexszuNxDNMCC7H5&#10;SHA5JHHTg9q7lZoXLbZI22/ewwOPrSpJHJ9x0b6HNAHB63oeqXOl6ZBAskksMEoYkjOS8ZGc55Kh&#10;qvar4futT1uy/eSxWsdoyOVP3Wzx36/4V2GAe1LgUAc3fae7eKrS9j8zaEZZSFbHbAyD061H9mvj&#10;40e4NqVt1VVjmB4dcEtn0+b8TxXT4HpRgelAHIWekahD4mnvTE0UMnmAKsnBXBwSBxkluntWdoek&#10;apAurLd20iyTWTRx4yVY7nwBnocEce9eg4FJgelAGB4dsZ7I3TTx7BIymMYxtUDG0/5710FJgelL&#10;QAUUUUAFFFFABRRRQAUUUUAFFFFABRRRQAUUUUAFFFFABRRRQAUUUUAFHaijtQB474I/5LD4o/3b&#10;b/0StewjpXj3gj/ksPij/dtv/RK17COlAHE6l/yWTQ/+wXc/+hJXb1xGpf8AJZND/wCwXc/+hJXb&#10;0AFFFFABRRRQAVB1uyfRMfrU9QRczzN7hf0/+vQBPRRRQAUUUUAFFFFABRRRQAUUU1ztBPtQBDbf&#10;6rPqzfzqxUNspFtFnrsFTUAFFFFABRRRQAUUUUAFFFFAEFzyijuZF/nn+lT1BN/rIR/t/wBDU9AB&#10;RRRQAUUUUAFFFFABRRRQAVAn/HzN+H8qnqGLmWVv9oD9KAJqD0opG6UAVr0r9kk3dMVznhiwFjaX&#10;O15DFJdSyJFIFAiyxztx2JJPJ79ulXvFVpf3ujTQ6dN5U7KQrkdD+R/lXGeHBq+lTyW8OlSKlvtW&#10;RBO0iTBv41ZwMMO/Y1hib+y0NJK1M9CwPTpRtQnOBn6VjJrtrc3C2cyy2sr/AMM67Nw9Ae/4Vp/Z&#10;kMexHkVf9lzXmpnOT8A5x7VDKwZkRPmJPzFf4R/nj8agEccU0jTMVUYCsWPIwOv41K1rbvyY1BJy&#10;SvGfxFO6QDLlorGxZliUxoPuDjNclepBGZNT0uFYLiEKGXP7tw+RgjseByO5FdbPbGRQvmEx/wAS&#10;MoIYeme1ZTi1uhqCNaFXtwsJG44O0CRe3H3q0hBS1FdEFh4sgv7Qu0CQ3SPGpt5G+YBiBuHqOeo4&#10;rfsrgXVqkvyhmHzKD0PXH61zdzb6XeaHaTzWDLFujZPnKlNwAHzDtgj24pNs+m7EsdQvBB5oRRcR&#10;+ap3c8cBiOcdaqVGb2QudHST26zzIrKNhyWx37D+efwFc34jR7VpLm3v2xAYGnBl3NbRhySyqOTu&#10;GQck5x7VcN9qkEiyy2lvOGAUSRzFFHfkMOPzpJory4mM82gQSOyqGIuRlgpJGeOcHpWUZqO5RAlh&#10;BJ4xVBJI8sEf2qVxK3JbKquM428E/gPfPUgYGKwkmuIbyS8GgSieVVR5EkQsyjOAee2TU41wp/r9&#10;Mvo/cRbx/wCOk0pTTC5r5FVbmwtLwYubeKX/AHlBrOn8T6XDbyN9qjSVVyI58xkn6NiqcHiZ59Ou&#10;LlEiZ4xlQp+VvvYOc9yp47YoULq4IvP4dhG37PeXlvtOQqy7lB9gwIH4VC0eraPulSd9TtsZZJFV&#10;ZE91IAB+ntRDrrzadJdqqLtkjXBU/KGYZzz1CnJrVs52uLVXkG1/4hggD86JQaVwILW7e5hiulRZ&#10;FkiDgRnqD061Z+0CMqsiSKzHAwhYfmOlc5ourRWkMqNbXRtxPMIZI4S6lPMbGMdq1V8R6QWCvepE&#10;x7TAx/8AoQFLmWlxGh9qh81Yy+HYZUMCM/TNFzcw2lu9xcSLFDGMs7nAAoSWG5j3RypIh4yrAg1V&#10;mW1PmpJIZimJDCXDEf3ePfHH0oVmAzV9Kstd0421wMpJhkdThlPZlNcpF4pv9Etp9JvYZbvVY5Al&#10;qxQ4uEJ+Vsj0HWurtrJLqO0vby2Ed6qhiAx+RjyR196ZePa6KL3Vry4cqyjO7GFAzhVHuSffmhrs&#10;KUeq0MvwtqusapLd/b/s4W2ma3kRAQQy45B7g81rDWreJS1+P7PG/YpunVd5/wBnnmuP0a71nSJr&#10;nVpdJklsNTlM5hgy0sJPQle+RXTaV4msNWuGtSsltdpybe5XY+PUZ60KWlmKMlYu3P2y5kaCONPs&#10;ckWDMspWQkg/dwOO3Oe/tRY3NnCktpEot0s8KUYbQFxwR7H1q68iRoWd1VRySxwK47UZk8X66ukW&#10;02/TLbEl5JGeJGzxHkfmabkrDckdRFqunXX+ovraXt8kqt/Ws230fTFtIoYYY2LW7RKskjMFjOCQ&#10;BngZ25+ntVKT4e6EtqyWtnBHKSSHmVpAOmeNwPb1qi/gq2tYbKS2e6jZ8LcS21wYyoP8QU5GB3Hp&#10;9KPeSC8l0OmtYdP0ltglRJpiNzSS5ZyBgdTnp2q47NKzRKHUY5fH8veuA8R+GNNtFtNOs4nl1O/l&#10;CrczyF3RVwWfOe3H513tujxybQSY1QKSepb1/lSTbbuCd2Txx+WiIOijHNEjpGheRlVFGWLHAAp9&#10;VdSDNp1wFhjmbYSI5BlWOOAaN9xlaG2ttSnXUfNeeMriFSf3YHcgd8+pz7e/P+Jvh/ba5cpd2s4s&#10;rlRtJRBtb8B0NdfbsXt42aMxsVBKH+HjpUlKST0FKKlozzSD4Th2zfavLIoP3UXr+JP9Ks6t4E0i&#10;G0ESWbRxRhVEqOBIx57nqSdoGa7u4u7e0iMtzPHDGOryMFA/E1Wj1nSrg7YtStJCecLMp/kaIqK3&#10;RPJHqeQXFp4i8C6kxtne703zMFcErj3H8PHcVPD44t77UZI9Usyto6qoVk3AcHJOen19q9ekvbKK&#10;MtLcwKncu4Arm9dh8ManarFcGCUNkA2gDOD2I25rRVGtImkas4K0XddjzuTw/dLcvqXh2cqUXzUS&#10;OTJxk4A9fu9PQ11Pgfx3LfXA0zW2eG93Mql02h2LHg8cHHasnUvAU+kSwTaJqVwZJCPvDBTPTJB9&#10;/SqyeG/EEuv6fc62qwIk6Ibj5ecHI5HUnGOfUVnKdtbWMpS1uo2f4Hs9Rz3ENvEZJ5UjReSzsAB+&#10;Jrl7vVtW1TXrrR9GktrZbRFM9zKN7At0AXp2PWnw+CraaUT6xeXGqTDnE7YjH0UcUirtvRFSyvof&#10;EfjtLuwbzLPTYGRph0d24wPwrsyoI2kZB6iobW0trKPy7aGOJP7qKAKnNNIcVY53VvDHnXceo6RK&#10;tjqMQwHVfkkH91l7iqw1bxZa4W50CK5xxvtrgDPvhq6rIx1pN654YUWE49tDlX8QeI5d0UHhedJS&#10;OGlnTaPc81A2heJbm1b+1vETiM8tDaxKhP8AshsA+1dkCOgqK4Zli3Iu4gjg/WhJ3Dl8yjouj2Ok&#10;2uyzt1TLHc55ZuTyT3NamKit/wDVsO+9v/QjUtU9GVbsIFVc4AH4UvFZ2qa7pujxb767ji9FJyzf&#10;Qdawf7d17XTt0TT/ALJbH/l8vRjI9VT/ABqWyW0jr8iqF7rel6eP9Mv7aH2eQAn8OtY3/CJ3t3zq&#10;niG/nB6xw4hQ/lz+tXrLwlodgd0Wnws/XfIN7H8TmjULyeyMOXxjaRTTz6Lpt1eeaw8yZUKRb+FB&#10;LHgduw7VcNr4u1Q/v7y10uE/w26eZJj/AHjx+Vbmp2Au9IurOMBPMiZUx0VscH88UmjXzX+lQTyL&#10;tlK7ZV/uuOGH5g0rN7hZvczbHwbpltL9puRJf3Z5M9228/gOgrdjgiiTbHEiL6KABUtFNJDSSKdx&#10;Z28hTfbxNlu6A9qzb7wdol8CTZrBLnImt/3bqfqK2Z+IwfRh/OpabSsFkcoPCupW/Fp4o1FFHQTB&#10;ZP51n+V4pfVBZWfiET+Wf38jWkYWP0BOOT7V1urzTW+j3k1uMzJC7IMZ5A4pNItba10yBbU7o2QP&#10;5mclyedxPqajlTYuVGJ9g8ZpwusadIPV7Yg/oaP7J8Wy8S+IoI1PXybRcj6ZrqqKdhciOV/4RO/J&#10;3HxRqu/uQ4A/Kj/hHNch+aDxXdFh0E0CMPxzXUmuftvEUk9jcXawW8wjjEghtbjzZcnoCuODTjC4&#10;+RFbzfGFh9+Cw1JB3jJif9cj+VKvjJLZ1XV9KvtPBYKZZI90QOf744rX07UmvL2/tZIQklm6KzK2&#10;5W3KGHOByM9Kt3NpDeW8kFxGJIpFKsrDIIocWg5WtmZ+uaudP0Wa6tQk0/lM0K54YhS2T7ADNY1x&#10;4kmtba5uJXto1i05L0rIP9axByq88dAO/JFZt5YnQHbSbuTOkXavDa3cgLG1LjBQ8jjpit5/Di3N&#10;lFp8txG9v9l8h8QjLL0O1iSVJBwevtitabjbUqMr7lO40O6s5P7a8MuIXnUSS2Un+rm4z/wFvpW3&#10;oOtQ61pqXKAxyglJoT96Nx1BrTVAqBQAABgAcYrm9S8Ixz38mpadez6dfPyzxHKOfVl71k9NiWra&#10;o6XNLmuTW88X6efLn0+01MD7ssMvlH8Qc0G98Y6g2yDTbLTkIwZJ5TIwPsBilcOZHVF1UZZgB6k1&#10;m6j4i0jSxm7v4EbsgcFz9FHJrITwab079b1a71Bu8Yby4h/wEda0LLwpomnOXtrCJH/vYyf1pq4e&#10;92M5fE+q6kN2kaBO8R+7PdMIlI9QOpFJJH4xuUKSwaKEbs6u+P15rojbhYyHuJM/89CQCPyFZ154&#10;l03TEAuNQtWYcEeaNx/Ae9JpdWDXdmKPBup3D77rWIYT1K2lmifkcZq/B4H0tZBLfSXOoyjo13KX&#10;A+g6VE3jq0lYDTrO6vhnrDCxGPrjFB13xJdJ/ofh3yf9u7mAx/wEc/rQkkSlAu3Wi6bq9oizxCM2&#10;64jljOx4WwDlWHTtWV4e8Qz2t/LpVxdrqLxNtWe3jZgVHeQj5Vb9OPei28M6nqzyNr2puYd5/wBE&#10;tTsjP17kV01rpVlY2RtLW3SGEjBWMY/WumnXlCVuhtTqSWltDVtbqK5hDxsCPauO8J/8lF8cf9dL&#10;P/0W1P8ABX/EvkvtGOcWNw8cef8AnkTvT8lbH4Uzwn/yUXxx/wBdLP8A9FtXpXTV0aySWx3FeO6p&#10;/wAl8sf+wbL/AOjHr2KvHdU/5L5Y/wDYNl/9GPQSewNyhHqK5e60m7fRJbUSIZxOJF/eAY9M5ByM&#10;44rqD0rjdY0G+v765liiEXzjYQ64lHGd2e+QD0wAMd6AJ/F2kalqmlW8FpGHcIQ+GA+YoQOvbODW&#10;Vr/h6/utfhvLPyZQFj3RGTDx4GM/zrubQyC2jWVdrqNpwcg44z/Wubg0m8tvFi3S/ZHikmleTbnz&#10;ERkOM+vzKuOvU0AS39jLd+JLe4tzDKkQVZULD5cHPPfIzke4qodP1D/hOReyWLrYqxPn+fgfcwCV&#10;3evHTv7Uuk6beL4g1WdLiBEnYnfGqs8Z4AHt905z61sS2d69pdLHqbzuY3RUeOPAbHGcAUAczouk&#10;6jaeNbi/k3GxkMrCQTh0G9iQDznv6Vb0DStUtY9QN2I8ywARlXz823ndknnPWrcFpdnw5d2su0Av&#10;HHESyKNm2MNyvH3t9JpOmSWHhe8s3mV5VeT95HghjjjrnH40AZmgaHq9vo+trcRok91AiQlGXl1j&#10;IzkdgSPyPrUsWl3g8K3emm2FnMZAU3Srgrxlhg9uetbcNq9lp1oh1U2YWIAgpEAWxk9RWR4i02e6&#10;eHe6XSJbSMsshCHkj+7gYwBz70AV7zRNSPhKysokBvYXkZU80Lk4bGOeRz09KZr2gXl54f0zToXE&#10;VxbxGNlSYD5thAUZ7Ht3wK09Yila+0+5KRgxxo2WfGHLAMPvAfdJ7Gs/WdD1GfxrDqVvtaBDC4i8&#10;zltpwTtPsxoAsahplxdajphhghmMFsFlDOudykAjr1AZ+2OfpVjUbW4uPFlhPAssltCQJSjJhCA3&#10;H3s9xniqun6LfxeOZL+QjyBvCoXBbaS5Jx6ElfyFX7bS57fW7qVFjCzCWSUrJuO5toUdAR0PegBf&#10;sxPi6O+hw0Igk81lIOCxjCk/P0wh7du9RadDcnxLd3jxIkLMR5scqlWT+DI655ql4d0XULKPVlnQ&#10;MJI1iiHnZPyjoTz3Zsc+tVtL8P3uneF9atpMSyuqNEXcEB1Ud+AMMM8+lAF3RdMu7eDX3kBKXZdo&#10;GygDArxyD9PyrT0C1mshcSXPyRSBDHuIwigfdyDgjqc+/oBVFrOSDwlNaqoidZQq+U4YMAwwM59M&#10;DrTZtLlvvAcNoqyPcrAwUEBv3m0jsenJA56UAde0qRqu91XJAGTjJoaWNCoZ1BY4AJ6muZ12zvrm&#10;1sIoLYyxqxaQ52srDBUjr3+tV9f0TUdRMDwx/PHauu7fhhIVIGMe560AdaZ4RIIzKm8nG3cM9M9P&#10;oD+VKJYyxUOpYHBGehri9V0jU5vGVtfJCz2SShtynkfJj19c/mavQ6VdDxVNfeXiHzy3I++DGgB9&#10;sEEUAdTmikFLQAUUUUAFFFFABRRRQAUUUUAFFFFABRRRQAUUUUAFFFFABRRRQAUUUUAFFFFABR2o&#10;o7UAeO+CP+Sw+KP922/9ErXsI6V494I/5LD4o/3bb/0StewjpQBxOpf8lk0P/sF3P/oSV29cRqX/&#10;ACWTQ/8AsF3P/oSV29ABRRRQAUUUUAFQW3Ku396Rv0OP6VKxwDUdqP8ARYyepUE/U0ATUUUUAFFF&#10;FABRRRQAUUUUAFQ3X/HrLjrsOPyqaoLrmMD1Zf5igCYdBiloooAKKKKACiiigAooooAKKKKAIJP+&#10;PmL6N/Sp6gbm7UeiE/rU9ABRRRQAUUUUAFFFFABRRRQAVBB96X/f/oKmNQ2/+rY+rt/M0AS7sDJr&#10;LvNbggJhQ7pypZUHJIHXA79RV283fZZNnXFcN4SgtJNY1OW7tWGtR3Em6Z0PELH92Ebpt2gcA9c8&#10;VM58kea1y4pJczRfufE2pWd2Q+i381q0aus0UW7Gc5BUHIxx+vpTvDupHULq8cWGoQRnaQ9zHsVv&#10;90Hn68V0WBRXDPFOcXFomVa6asRT20F3CYriJJY26q6hgfzrO/4RywXIi+0QL/cindVH0APFaU0h&#10;ihkkCM5VSwRRktgdB71hy+KFtkuPtVo0TwpC5G/geY20BiR8uCcn0GTXMocxjYtHw3phU74pZCep&#10;edyT+tQx6Bogl8l9Mg3DoWT7wq7p+pC/NygQK0Emwsrbkb5Q2VPfrUrst2jxRHp8pfH3T7epo5ej&#10;CxTPhnRe2m24PYhOlUR4Yt4PtLLvQSygosc7rtGFXHB56Z/GukHTmo5/9WP95f5iqhLlE0mc6PDE&#10;qadbW8eoXKvFsyfNJX5cdAenSlk0XWkuxcW+rq6p9xLmIN255GO+eR2rpeBWTqWsLAxtLMC4v3GE&#10;iXkLnu3oKt1pC5IkukXn9pWiXh+UugDRg8Iwzkfnmrhtk3h1LKw6bTx+XSqWkWcemW8diHDMq7iS&#10;OXJ6n8606y1KIMTo+SyvH/dC4bt3z9aRblH6hk5wPMXGfpmp8D2projqVdQykYIPIo0C42aCK4ia&#10;KaNZI26qwyDWVJ4U0OTkafFG3HMWUPHTpj1NWLq6t9PiCvfwwBTwJmHT05OayZPG1m8rQadbXWpy&#10;jvaR5QexY8UOyE2kWP8AhEbJQRDc3sOWDnbOTkjp1qWLw1BHH5L3l5JDkkxmXAOTk9AKzXvvFmqk&#10;Q2+mx6TGfvXE8gkYD2Ud/rSjQvE0J/c+JmbPXz7ZWx9MYqdxc3ZHRwwx27JDEgSNIwqqvQAdKmYI&#10;6lWAKnqCMiuU/wCEd1mSQ/afFN2PlyTHEif0rNfSNIldlu9Z1rUQpw215HjH/fIxTkwvLsdZLoOk&#10;SvvNlErn+KIbD+a4rBni0jTNXaH7XPapIm97gXgxuHG0hiT0A/Sqdv4W8MXF2pttQmWIjDQfaWXJ&#10;+h59sVfu/CfhHTjFd3NnENn3AzM28/7ufmPtSD3ivda9p1mdsHiW5nl/hijRZiT9MUun6dqvia6g&#10;u9ejENjbHdDbFdplbszjJx9K0bSwuLiP/QrK20e1c5+SJRMw+gGF/U1eHh2yIzJJdySf89Gu5N36&#10;NxSSCze5qgADAHSs3VdA0vW1QX9qkxT7rHhh7ZHamf2EE4h1LUIl7r55f/0LJFH/AAj9q3+uub+b&#10;133kmPyBAplWuZy/D/w2rAmw3Y7M7Efzrfs7G1sIBDaW8cMQ6LGoA/SqP/CNaX/zxl/8CZP/AIqm&#10;S6H9nQy6deXNtKoJAeZpIz9VYn9KFp0EkjZx1qKJA9rGDnlAOPpVfSrx7/S4LqRAjSLkgHj8KtW/&#10;/HtF/uD+VWn7ugzltY8OakTDfabfmTUbQv5JuQCHRgPkJx7dTVjwvrT6m9zFfRC31SEhLiDPp0Ye&#10;xrpOM1h6x4ah1O7jvoLiWyv4xtW4gOCR6MO4qWxNdUbmap3i3M0kEUDRrHvDTknJ2DnAGO5wPpms&#10;D7H4ztfli1LT7pR0M8RRj9cZqo114i0nUjqepaTDdIY/KdrCQlkXOc7SATQmhc3dHbDpxSE4FYEf&#10;jXQJLRrj+0Yl2jLRvw49tvXNYlxq934nuI4Unk0nSJTgTSfJLceqr/dFFw5l0I7HS7TX/HGtNqBa&#10;9gtdggVnLRxls5A7Z4H/ANetuLwJoCKyy2azgnP7zGR+WKu2uhw6Rp7QaMsdq5IYs6lwxHc89xVn&#10;+0Ut3toL1hHczEIu0EqzY7H6+uKfKCiramWPAnhoHP8AZUR+rN/jTZvBPhxmRTpUIB4JBOf510lU&#10;9TvbfTrYXV1KsUMZyzN9D+tEUkx8qMGf4f8Ah9rd0gslimIOyTcx2n161m/2RrOj2hSG+tdStmBE&#10;1jdP8uP9lmJI7cGrMFnqXi9vtd9PPZaSxzDaxEo8q9mc9fwq+vgPw4oGdODY/vSuc/rU9NERa+xx&#10;ugX0+g30v2KKPULy6Ja5toH3CIZO3MmMDHTv1rqRpXiXWWD6lqY0+A8i3svvfi5/pXR2mm2VhAYb&#10;S1hgjPVY0Az9fWnxN5cn2fBwFyreozjH8qFEahpqc6PBSRfNb61q0U3/AD0+0lv0PFH/AAj3iAnb&#10;/wAJVNsHTFsu78Tn+ldBdX1tYx+ZczpGv+0eT+FURrFzON1ppF3NH2dykQP0DEH9KLIOVGcPBNtc&#10;c6jqWo3ueqyTlVP/AAEYFL/wr3w1j/kHj/vs/wCNaI16GI4vba5sj6zR5X/vpcj9aG8QWsny2Uc9&#10;5J2EEZI/FjwPzosh8qMw+BrS2G/S76+sJB3jmJU/VTwajm0TxPGgC+Jo3yQMPZjn8d1a3n66R5n2&#10;KyC/88mnO788YzUa6tciVZZ9JvlXbgeSUkXk8nhs9vSloHIjOXRfE7F1HiWNQGwSLIZP/j1OHg6a&#10;4OdQ1/Urj1VJPKU/gtaEetYZwml6kzFsgC329h3JAFSf2hqsn+p0Zkz3nuEGPwXdVO19A5ERad4S&#10;0XTJvPgs1afr5spLt+ZrVluILYAyyxxg9N7AfzrMez1CdC9/qYgi/iS2G0Y/3jz/ACqkp8PROwtb&#10;EahP3KRGZj9XbgfiaV7FJJbHSJIsqB0YMp6MpyDTs1zUdrdWmhXKpD9nee7VordJwhRWdQVDA4H8&#10;R49ePSql1fyReFtU+zyXMF3ZTBHL3BmOcr0ZuSCD7VpGNwsdhjNYdgfsXiG/sWkURzhbmFD15yHx&#10;+IH51tp9wH1FY2vRLFNYanjDWk43MOvlv8rfhyD+FQ9ANuigciigCK4H7hj6c/lzUopkyloXUdWU&#10;iljYOisOhANV0AUgHOeQaw30670gtNpJ8yAfM1lIePfY38J9ulbtFTuBVsL6LUbVLiHO08FWGCpH&#10;UH3FWqx5dNura+kutMmjQy8ywSg7Gb+8MfdPr60v9oatH/rdGL+8Fyh/9C20gNSUFo2CnaxGAcZw&#10;a5tdG1OJo7iF7Nbq3sPsse3Ko7cZYgL8oGOAAetaH9s3A4Oh6ln2ER/9npra6Yhun0nUYYx952jV&#10;go9cKxOKqM7aDJNGtby1jkS6jto1JBRYZGkJPO5mYqvJ47dq1ajhmjuIUmiYPG4DKw7ipKG7ibuV&#10;r6xt9Qs5bW6iEkMi4ZTXKwweI/DZWG3ji1axQERK0myZV9CTwcV2ZqreTRWypPM6xopO52OMDBoQ&#10;mrnPf8J1ZQfLqNlf2MvTZLAWyfYrnNOPjqxY/udP1Sb/AHLRh/PFW7RJNavk1GdClnCSbWJhguen&#10;mH+grcCgdhU6sVpdzlz4uvLgbLPw1qcjnp5yrGv4nJx+VJ5fjDUR889hpcZ6IiGZ/wAzgV1WBRTs&#10;Fn3OW/4RbVJf9f4p1A+0aoo/kaP+EKV/9brmryD/AK+SP5V1NKKXKhcqOXXwDohOZxdXHtNcMwP6&#10;1qWnhzRrED7PptqhHfywT+ZrUop2Q+VCBQOgoIGKWg0yiGM4kkB7nP5iqmq6tFpdvvaOSeY8RwRD&#10;Lue3HYe54FVtc1CfToD9kh827uCsUKn7oY5+Zj2UAEn6Y71Z0rSHCLPeSGadhlnJPJ745OB7Diuq&#10;lQ53zS2NYQTXNLYqaBp0zXkmq3NpDb3VycyCNmbjGFUk9SB1IAFUfCf/ACUXxx/10s//AEW1dqqh&#10;VAUAAdhXFeEv+Si+OP8ArpZ/+i2rv0tZFSlzM7ivHdU/5L5Y/wDYNl/9GPXsVeO6p/yXyx/7Bsv/&#10;AKMegk9fPQVy15oRvdRv3msrbZNtQM21soSMswPO7jj07da6liABkjn1ri9e0C7vZ72UJawLIVEc&#10;hmxvGQSW4POQMegBxjNAHYQKViCCMRqmVVQcjaDgfpXLQaVPa+MEuo/sjeZNK0pV8yLGydxgfxKv&#10;c966O1d47OJZigYAICGyG7Aj61hwaRcW3i+S+aYCB/mQE/eZg25R9AoNAFDw1osun+IL64bftcSD&#10;mXO4b/lzz3HP4mrmi6Rf2X9rR3irNFcSPIhdi3J/h2ngjpz7Vn+H9B1LT9dupZ7oReZCI4wsgbnJ&#10;Odpxnjj8DXSKtysrRtqcdw5UqIioQk49Qc0AYNt4euIfDeq2sAjLzTh0GVUHBUn5l9wRz0xVSw0S&#10;9t/CF1ZzNBukuEeOVXXa6EjOD3JGR681d0vS7yDw5faXPNvd2fy3SUmQgudwPp9R6+1U4NPu7nwa&#10;lsro16kwnnjE2BG2CSMjPAPHf+tAFu4srkeFrGJHhMybjkyqqtweNw49iRVPxJoV/rGk6Ilu8e+K&#10;AxuZpFBcsqjgDKnOD0OPSlvdBv8AU/BdppsDqbmNGDmCcYBwcfn+lWdR0W6e00YC1hdrS2VZXnKh&#10;QygDBJ9ctjAIyc+lAEWvaNf3l3os0SIjxqiyI7qMMOeB3A5zj2rQl0i4bxb9vWxjeDKB3JUNxzuH&#10;fghc9OPyMetWtzPqej3FrHKbSEjzDHLGFXrjBLA56g4/pXTLOOfM2IhI8tt4+fPT9aAObhhlHjye&#10;d3fyDAFUFl4Oc4xnOO9TaTaJbeItTeKRisvz7CRjdlixP4mq/wDZ93beNmvmska2mkCpNvG5Rs5G&#10;CRxuBPQ8GotJ0m5sfFN7dXEiYnVwo3g4yeAec9Bkcc8/iAP0W3n8rVfMitYzIsm4JIu3cfUjPb6f&#10;SqtvpF7aaFq0RZFL+U2BL8iEHLc9htwe3WrOk+G72z0/WYWCh7tGjQGU4J+YBuBxkMP++RxVDRtA&#10;1e10fXbWeKbfczK0StKCCBgHBz3A9u1AEmk2F0vhGOAoGmF3GxxIpHBGSDnFdTo8cllo0Ed5IpkQ&#10;ENIzD5+T83XuOetcyvh3U28D/wBlyxj7UZsnBDZXdweenGPyrQ1Pw86+E20y1WSSVRK0YTaMO+4+&#10;oAGWI+lAHTM6oAWYAEgDJxkmkaRVKhmALHAyep9q5zXbC+vLawigs/tCIxaUyMu9SMbSMnHXrzVX&#10;X9C1DUGgkgjQPHaugYPhhIVIAGMYGSOaAOrM8IlEbSxhycBSwyTgn+QP5GgXEBlMQmi8wHGzcMg+&#10;mK5DVNH1WbxlbX0cMj2SSgnay/L8mM4J9citCDTr5fFE13sdbYzlvvAhwY0APXIwQR0oA6YUtIvS&#10;loAKKKKACiiigAooooAKKKKACiiigAooooAKKKKACiiigAooooAKKKKACiiigAo7UUUAeO+CP+Sw&#10;+KP922/9ErXsI6V494I/5LD4p/3bb/0SteufaIVcRmRQ5OApPJoA47Uv+SyaH/2C7n/0JK7euI1L&#10;/ksmh/8AYLuf/Qkrt6ACiiigAooooAhuv+PaT1KkD61Kowo+lQ3PKBf7zAfrU9ABRRRQAUUUUAFF&#10;FFABRRRQAVBPy8Q/28/pU9QSc3MQ+poAnooooAKKKKACiiigAooooAKKKKAIBzdsfRAP1qeoE5uJ&#10;j/uip6ACiiigAooooAKKKKACiiigBrVXhkWO33MwAJY5z2yasNXH+JYNSuLWwhsZnhV3jEzoyqyx&#10;4+baSDz0p9CoRuy//wAJPFLd3dtbxtNJasglVFLEbhkdPasW+uNTvNQltrDRZN8UisZ5ZfKi3DBH&#10;I+Zue2MVv6XpVrpFqba0QhSxdyzFmdj1ZieSamvxN/Z9x9nz53ltsx1zjiuOWLd7RQe2t8KKXh+z&#10;1OysXXVr1bu5kkZ9yLtVAeij2FawI9a5y0/tFZybhZmKhxg7uTtGOemOvHrUVut9Bpl9G4uGOzbG&#10;5DFgxGAMd8DbyPeuaUXJ3bMW7u50k4laGQQlRKVIQsMgNjjI+tc3caBfXjSySNDH5scQuIU+7cMr&#10;hmz6AgFfoea2NJldoZFkV1KyH76kdeePanXOs6dZtsnvIlk/55hst/3yOajmcQKGl6S2mSTxxrHB&#10;a3Fx5i2ynIQbOQPqRnArbIwuFGPTFY0msvcTRCysbyUodxDR+WCCCBy2O/t2qT7Pq97/AK+5jsoj&#10;1S3G6T/vs8D8BScuoFK21a/+2RJckCNpXjbKhQOMg5Pptb8xWadb1LVZrmK3nFvZx9bhVUkkfwx5&#10;68gktyOMV0C+GtM3iSaA3Egyd07lzz161Fqt5Z6SE3WZZYommJji4SNeuD0z7VcZXewjCsrX7Slw&#10;dRe5uJEhZ1eWZgoPHVc46n2963vDyRRwSpHEiEEE7UCkZVevfrnrUrajHLcLDFYyXCMqlpAFCgMM&#10;8559DWkkSRklUVSeuBUu1tgK9/dQ2cKzTSRRgOApkfaCT2zXO/8ACS6tqV/dW2iadBKls/lyTTzb&#10;Rux2A5xWyfKsriQX07SLeShIxJ9wccJjoO/1JrFdE0j4gWxhVUh1K2ZHRRgb06H8j+lTLSxMr6Dl&#10;8O67qJ8zVvEE8WekNgPLVfx6n8ak/wCELHQ69rRHp9q/+tXUZoqeVByI5638E6DAwdrEXEg/juHa&#10;Qn/vo4/StyC2htowkEKRIP4UXAqbFB6U7JDSQmcVkz6w81w9tpcH2qZDiSQnEUZ9C3c+wpmr3b3E&#10;q6TZswuZsea6/wDLGPuc+pHA+taVnaw2VslvAgSNBgAUDMtdGkvJmbVrqS54B8lD5cQ9sDlvxJrZ&#10;ihjgiWOJFRF6KowBTAwE8nI6D+tS5B6Gm0BS1GKx+yyTXsETxoMnegNcfpayC1v5orUR3sd/5CfZ&#10;4hI0cZwcDOR0J5OBXdOiSKVdVZfRhmuUFrpNjcTrbXl5cXD3X2kpbKrFHxjB2qAB7NVRcVuNG9ot&#10;2t7pwkFxJMyu8bmVAjKysQVIHAIIxxVPV9SubbUILZJobSCRCftMyFlLZ+6OQAcc8msO6k1ywtli&#10;0jTpEDSSzSPcuN0jtuYnC++eOnQUzU7/AMSBoongtmDK2VD9eeMgr7frQ432A6NLHUZ1DHXX2nlT&#10;BBGM/iQ1Iy61Y4dZE1GIdUKCOT8CPlP6Viacb7TryaO4aOCJmjcW0UmRESRuHtnrjoM12g5UfSoc&#10;LCMhfEmnAAXEkltJ/Ek0TKR+mP1qC81pNRhNnpDGe4lBUyKp2RL3Yn+lb2KB1o1AhtLdbS0it0+7&#10;GgUfhT7f/j2i/wBwfyp56GmQf8e0X+4P5VX2QH1n63fzaXpM97DAs3kqXdGbb8oGTg+taFZHik58&#10;Kar/ANesn/oJqWbYZKVaMZdWjPufEt5a+Fl1xrBCu0OYhLyFOMduvNO1bxFe6VocGpSWEbCQqGQS&#10;/d3dMcVlax/ySb/t0T+lT+NMf8ILb8j79vz+IpXPVp4ejKcYuO82uux0CaRZThLm60y0+1dSQgbB&#10;+uK0GhjePY8asv8AdIyKUMMAGmfaYhIY8kuOwBNVbseK7X0IBbXEd8JY7k/ZiuGgZRgH1Ujke4Of&#10;bFV7XWILy8ltGtrlZopWj5t3Mfy9CJANvIx3yOlXPtJdC0UTtjjDDbz+NUYnl0xnWWK6nSeYuojX&#10;cIAQBtJznGcn8arpqAyC+a3vbuGW5uLgIC4je1ZGVR12naBIOR92sEzxeJvGKwSOsmn2UaTRx9RK&#10;7DIY/TGMeorqZ7pHnW1+z3Lbx/rEjO1PfJrmL3SNS0XXYtX04S6irRmKeN2RXPPGMAA9T15oZMzt&#10;VAAwMcVFPdW9rGXnnjiUd3YAVzaeOdPRvL1CG506fHC3MRAP0YcGrGgWdpe2EOpTlLu6mHmPK53b&#10;T6DsAOmKz5r6IE09if8AtC91WQJpimG2/iu5oz83sinGfqePrTpPD0c6H7TfahMx7/aCgB9guBWx&#10;0FLmnbuMybPR7GwlTMEZlP3ZWBLE/Vs4/OtWmSorqAeMEEH3qGK5VIpGmliCo5XfuAH4+hqraaAV&#10;NY1I2HlIv2YGTcS1xLsQAY7+vIqnc+IvsgucQRvHZWyXFy0b8BWJ4X1wFY/THrVvUg8skF1HPa+Q&#10;qSKVmAwSwABDdsc5HfNc/wD8I15GkvawX0Jt7+1is5pCf7pYZTscqxH4CtIxjYZ1gdrjouISMhs5&#10;3f8A1qnRAihVGAOAKEwFAU5A4zTicVmxEaf6+T6LTLy8gsbd57iQRxqMkn+VUdS1FrOdYLeLzry4&#10;+WGMnA46sfQDvSWuir5i3V/J9ru853MPkjPoi9v50m+wEFtp8mrP9t1SNvLJzBaOfljXsWHdj79O&#10;lbccaRKFRFVR0CjAp44GKKSQEF3ZwXsIiuIw6B1cA8YZTkEHsQRVObQ9PmsZrOSFzBM/mSASuC7e&#10;pbOT+daWRS5FUpNANjUIgUZwBgZOT+dVtShW4065hcZDRsMD6Ut3qNnYqGurmKLPQM3J+g6msfUL&#10;/UNSs549LtJY0KHNxOpTIweFU8kn1PrU3uBf0C8OoaDZXLH5niG76jg/qK06p6WiR6XapHGYlES4&#10;QjBXjoauUABqK3/49o/90fyqQ1FAcQ/Qt/M1S2AmopNwAznijIzjvSsxC0UmRmlpDCmTDMLj/ZNP&#10;pCKAMzw6R/wj9nzyEx+tRXF1fXWpSWNgyQrCB507ruIJ6BVz1+tV7W6m0Uz2UtldSoJGa3eGPeHV&#10;jnBPYjOOavaPazxRTXN0gS5upDJIoOdg6Kv4AD9aQEf9l6kORrtxn0MERH/oP9aa2iRb457y4nvZ&#10;UZceeRsHPZQAPzBrYzUdx/x7SH0UmqilcB6gAYAp1IKWkAUUUUAFFFFABRRRQAUhpaKAOa8S3Nxa&#10;XdpOthNPbxB3d4QpK8Yzyw7E+vXpXS6Xdre2McyZ2kAjIx2zVS/hM9v5YO0tld2SMZBHbnqR3rKs&#10;debTb5NM1CB4WkOIpCPkmIHO0+vsefrXp4aopQ5ep0RtKHL1OtHSuI8Jf8lF8cf9dLP/ANFtXbRu&#10;skaupypGQa4nwl/yUXxx/wBdLP8A9FtW5B3FeO6p/wAl8sf+wbL/AOjHr2HNePap/wAl8sf+wbL/&#10;AOjHoA77xTo19qz6ebORUEEhaTLlcg4q5rln/aelPbxkEsRhvM2qvfJwentWpIC0ZUdwRXIaZ4au&#10;bXw5daddyxPM8qupDnAxt6/lQAviG3v5bOzMarAwiIKSXAG1+wBPU+hp+t2GpXF9aPb4KBI9uZgC&#10;XCTBto9cMD9BWvrVjcX1vEtufmjkWX/WFQdp3AcepA57Viaxa3l9qkX2V0DpHGzRGcbkbbKDxnr8&#10;459qAKev6PqFx47sb633NEvkhlSYAgKxJJUkcYJ6Z6GnwWd9/wALFFwYYPsodiH80F8CNh03Z6uM&#10;8d60LmxuZfGMd9FbrJFEFjYrMMgkdSO2A3TvVC10WWLxk2thrdrYSyb5FkB2Ar3/ABAz6Y+tAE+h&#10;aQtj4jmuE+fetwGcyBz/AK3I78dTnjrSaHo9xbwavunjk81Sq7XB3dSGOPXP6VNpFqLK+mv7i4iW&#10;2X7QDK06lQGlBXOMAcD9KreHtOh0Xw/eRf2jbTR+UIlnEw8stg++BycUAT+DNMu9I064jdYZJAyg&#10;COQYIGevXkqQeeuRWr4qiuJvDtxHbeTuYqH84gJs3Ddkkjtmsfwnaz6PZ3ks13bTRzyRGJjMMNiN&#10;FPzDjtj6j3rV8Sm3vtDktftlrE8oWRPNkADBWBx7g4x+NAGBNpmoT+CtOtTJClws3LeYrDHzAYJJ&#10;B6jird5pdx/wi+kwy7Dc2zwruGNvEierD5iB+J470Xnh+8l8J2OmR3UdveJKsgYPt6ElgODnjPaq&#10;t7pMjeHtJ0ue7hhvortJAvmhSxMhwMZ54JPHcCgC74lSdrnTFCRBVz8zSorq2OMBsgjr6/jTr21m&#10;PiaOUlVTfAcb1/e4z8vXPGc/h9apeJNLuNYu9Oigmt/tNsBujWfndg7hjr0IPT69qh1qw1DUvFtn&#10;Jpt9D5MEkbTRpOCW2MQ4xnIIz/npQB3vnw+b5Xmp5nXZuGfy/A0xLy1kmaGO4iaVc5RXBIx14rnR&#10;pbyeKzqkRtjGMLI2NxAAJ9eCS36VDZW89tr82oySRDT283MgmG1SW6EZ46fgcigDqFvLV/N2XETe&#10;V/rMODs+vpSR31pLG8kdzC6JyzK4IX61x+l6ObG31qeW8tTBdq0UcocAc7sEnpnLY/4CKr2Glmy8&#10;NalBd3tuEuUWOGWWcMjMuQR1HOcjr/KgDvFnhaIyrKhjGcsGGBjrzSG4gWDzmmjEWN28sMYxnOa4&#10;5bZbLwveQNcxxm5djbMs6Yce2Tj6j606bTPO8DJpk24X32chELKSX2FQec/LzjNAHYSTRQqGlkRA&#10;TgFiBk0yW8tYGQTXEUZf7oZwM/Sud1u1ubixsrO1jSVhJukSYgOAOjAAjnOPaq+saZeXd1owjY77&#10;b5p0Ei5A456DngjOO9AHWNcwJJ5bTRq/90sM1LXLahYXN14hEsLIFRoZG+cZZVJ4I64yM59R9a6G&#10;O9tXVilxEwVdzFXBwvqfbg/lQBYoqGG7t7jJhmjkA67GDfyqagAooooAKKKKACiiigAooooAKKKK&#10;ACiiigAooooAKKKKACiiigAooooAKO1FB6UAeO+CP+Sw+KP922/9ErXqkcNqJpJo8GQH5mzyPavK&#10;/BP/ACWHxT/u23/ola9KMlwL8xJ5wBkB+6Nu0Yz3zTRMnY4uPxHo+t/GDSm03UILkW+nXMcpRvuN&#10;uXg/ka9JWQMoK4I9jXDXsMUfxi0QJGqA6ZckhRjJ3JXbfZYDyYk3euOaRRLuozUX2ZByryKfUOT/&#10;ADpPKkB+WZv+BAGgCeioP9IHR4z9VP8AjRvuB1hQj/Zfn+VABNzLCvq2fyFT1Sac/ak3QyjCHsD3&#10;HofrU32qMddy/wC8pFAE9FRC4iP/AC0X86eGBGQeKAHUUCigAooooAKKKKACoDzecdk5/MVPUC83&#10;UpHYKv8AM/1oAnHSiiigAooooAKKKKACiiigApM0tIaAIYf9ZP8A7/8AQVPUFt9xj/tt/wChGp6A&#10;CiiigAooooAKKKKACiiigCOVtkbN6DNc54qtrpvD7fY4o5biOMFFkHBYYI/HIroLr/j2m/3D/Kqm&#10;rtIumymLbux/F0ppXLp/Ejn9JuNX1HSre9tdRs5Y5UBxLakEHuDtfscirvk6+et5p6/S2c/+z1H4&#10;Wsf7P8PW8JmSV2LSySRn5WdmLEj8TW1XjVIpSaRjJWZk/YNYk+/rCKP+mVqB/Mmj+w3k/wCPnVL2&#10;X2DhB/46BWtmiosSZI8N6a3+uiedvWWVm/mavWun2lkm22tooh/sIBVjNGaYFeVGSTzkTcwXbtBx&#10;nn8v/wBdL5lwAuIEJPUeZ0/T61PSHgVVwInmkRlJiXy/4m38j8MVleIIbm8j+xi0E1pLGykiTa3m&#10;Y+UemK0mCzXHlOXATDgDgN+P9Kkk4aMA9G/oacZWYzlrnR9RuIcSwQf2gfs+28ibGCoG9iO3IbgD&#10;kGuuNc/qXi7TbC8azVbi6ulAJitYi559T0H51nz6vrevTQQaPZ3WnR53S3V5CBxjoFzzzSlPmJck&#10;dReFVspnaIShEL+WR97AziuQ8TX8TXnhy7h+a7FwD5CkF8MvIxVx9B8SzqYp/EoWJuG8m2Ctj2Oe&#10;K0dI8KaTozrLbWoNwFwZnJZ29Tz3qb3ViXeSsaFrfJc2K3RR4lwdyyDDKQSCD9CDU8U0c0SSxMHj&#10;cZVlOQR7VSSzt7bVDLvdpZo9qh2J2qMcL6dQT60j6YRCkFrcyWsCyFisWMkHnAJ6DNVZGho5oY4U&#10;mqN1FcJcJcpeMlvGMvDsBDD64zUialZy2f2tbmI246ybhgfX0o5ewjL0WaG20VtWupFVrrNxK7Ho&#10;D91fwGBinRRX+tjzpppLKzP+rhj4kdfVm7Z9BUI0/TVNrPYaebpZZAY9zt5UY5JcA5A9sDqRWtNd&#10;XEF0qizZ7YjLTLIo2fUH+lTyvqBSXw7pfmSBrcsQBy0jEn9akPhzTxzEs0J9Yp3X+tWobpJJJWO5&#10;Rxyw+vPpirakMoIOQeQacogZP/CPwPxcXV5cJ2SSY4/TGfxrRt7aG1hWG3iSKNeioMAVNRSsA08Y&#10;/Sk4POKgv5ZoLN2giaWY4VFAzyT1OOw6n6VyGihW0mT7TcXMph1SY+W65N0x3AIQfc5x2wOwq4xu&#10;rsaO3xnn1p1Zfh63ltNFhgmnWaRGfLK24L87HYD6L938K1Kl72EwpOlKaQ9KQFcXaNdy2wV/MjQO&#10;3HGDnH/oJqtBqcP9k/a9r+VGCG+Xn5cg/qKdHFKmrXNyYyI3hjRSCOqlyf8A0IVTitJz4entBERK&#10;5l2jcP4nJHf3rs9nTv8AcZ3lYvT6pBbEeaHHyh2O3hQTgZ/Gl1LTYdWsXtLhpRDIMOI327h6VV1C&#10;3urqHykiUfKpRi3KuD1PqMY9a1R93msakIqKaLp1JxlddDFm8LWE2jLpUkl01mv8BmPTjjPpxRee&#10;GLK+0+GxuJbp4IiCqmY5OOmT3xW2RkYpGIUZJA7c1ikjpWKrJ3Un3+ZStrVFkMcke8QgKjynezDr&#10;knH+cVcVFVQF4A6CoIGSNtok3CVi6HPXuRVqqZg23qxMYpMCmzTRwQvLK6pGoJZmOABWHGk/iGXz&#10;ZTLBpf8AyzjBKtP/ALTei+g71LYi5PrlrHMbeAPd3A6xwDdj6noPxNYsttqsKXE07S29nPciXyLb&#10;95KmcA5PYZBOFB5Y11FvaW9pCIreFIox0VFwKWcfux/vL/6EKcd9QMuLQNKkCySW/wBoYjIa5Jc/&#10;+PdKoXHgq0WZrnSbqfS7g85tz8hPuh4Na2px20Tw30sjRSQsFV1YjdnjYQOoPp60w61bjUHskR2d&#10;G2k5AUcAnJP17Ucl9gcUzIWDxrCNoutImC9HdHVm+oHApw1vxNbfJceG1nYf8tLe6G0/QEVt/wBq&#10;RfbDbbGLA7c5H3sEkdewGaitdbtbu6NumQ4HO4jrgHHB9CKfIxcnmc9qeu6leWTW9x4a1KEFlbdE&#10;Vk6MD6j0xWeur3R094J9A1QR+c0gk2huCxOMZ7A9q7Wz1JL2IyLGyAIH+fjrVm2jCQ5DFi5Lls9c&#10;80Lmj1FyvucAdc0mXS/sMl8bSUyElLmN4xjBx29cVrwCw1NLKO21G2upoAW2+Z1O4H64xXVS2sE6&#10;7ZoY5FPZ1BH61h3fhXQb+4eKTTYUZUDbol2HknHI9MfrRzyH7xs2cJt7OGFsFo0CkjoSByald1RC&#10;zEBQMkk9BXLDwvqll8mm+I7uKHtHOolx7AnmmXHhXWbyB4rrxPdMsgwypEiqR6VLbfQXM+xpaNm+&#10;vp9WcYWZdtuD2jB6/wDAjz+VbnSuNa88QeGAHv4k1SxRcebbrtlRR3K9D+Fadlf6nrlnHdWT2lvb&#10;SjKtkyP+I4AP50X0Q07m68qRIXkdUUdSxwBWa/iCyLlLZpLtx2tkLj8xx+tJFoFoWEl4Xvps53XL&#10;bgD7L0H5VppHHGoVECqOgUYAoGZfn6zeHENrDZRn+O4be/8A3wvH60f2PcTc3eq3Uo7rHiIfpz+t&#10;a+KKVgKNppFjZMXgtkWQ9ZCMsfxPNXQKWimBTsmuC1wlyFJSdgjL3Q4I49s4/DPerlVIoZ01G5le&#10;bdBIqeXH3UjO4/j8v5VbpsBD0qrIF+z3G7G0Fuv0q2ahQAvKpAIznn3FVB21E1dGG3lnQNPY7eXi&#10;yT9eauS7BrtuMLn7O5wMdcrj+tafkx7QvlptHQbRil8tCwbYu4dDjmt/brt3/EjkMXT5ZD4guxKW&#10;3tbxNtJ4X5pOB+lblNCKG3BRu9cc06sqs1N3RUVyqwUUUVkUJjms/U9TGnCL91v8wkfexjAzWjUc&#10;0EVxE0cqBkZSpB9DwaatfUZi3OvyWttA7WjM8hIIXkZBwe3SpbjWGRbdWgAM6kldxOFw3t7VotY2&#10;7KqtHkLnHzHjJB/oKY+nWbxRxvboyRrtUMM4GMY/ImrvG+waEtrIZbWGQjBZAx5z2qaorbiBR2GR&#10;UtQ1qIKKKKQBRRRQAUUUlAC0UxpFXq6j6mmm4iH8Y/CmkwC5/wBST6EH8jn+lYb3I1PX7ixdzGLN&#10;0/dkY3FlyH68jnA44KmtiWZXiZdrkEf3TWJqRgfUrK4jiI1DZtJ3LuMRwTn5umcYODgmurDfHsbU&#10;H7x18KhIVQdAMCuK8J/8lE8c/wDXSz/9FtXWwNdNAhKxKdoySxb+grznSLTXrj4oeKpNO1S2tII5&#10;bQ3Mb23mGUbDwp3Dbxn1616D3B7nocL3rXR8xESAEgd2Pv14/WvK9U/5L3Y/9g2X/wBGPXqVveqZ&#10;PKkcly5RTtIyRn/A15bqn/JfLH/sGy/+jHoJiewHpXGa14fl1G61CQLaROQBG4lA4OOXBU5PHH04&#10;xXZnoK4/WNBub/ULmWJ7JRtKsjSn5s9Cw28Ede+cDpikM6mySSKyiilA3RrsyGzkDjP49ayI49ni&#10;mSdWjbfGInj84b0A3MG2+hJYY+nvWtZpLDaRRTBd0a7cq2QQOAeg6jn/ABrJjgK+KXuV2MskYjZD&#10;OdyAbiG25wQSSMfQ+tAFHQ7C/t9RupJ1DL5RUr5wyX2oADzwcDr6EVW0jTriPRtXt5Ioh524iUXA&#10;Kck/LkcjH9as6Hp2oWuoXUk4Vx5OwqJ8nftQAH0Jx154NVtH064i0bWLaSONTLuImFxlSSTxkHIx&#10;7+tAFTRfDtzB4Q1DTIyjSSTJiSGQfMuV3c568PwT3qYaTNZ+F/s4eLyG1ATI8swAEJORg5OfTGea&#10;Xw14daHw3dabLLAA1zG6yxFXBCsrYPvuVhg560iaK1l4Os4ElhO+WCSUmQKqAKoOCOD0/HNAFbUv&#10;D82q+CbO3iaEPHI7cSgqckjhgehz/wDqq34i8PzXlrpEaTLEIFWOU5VAQRjgE9c/WmyaOlx4Y0xZ&#10;J4I2gmLgGRWjfLc4J4wBzUmtaDetpWl2enywvHBEyb5WC7yQNuPc4/8Ar0AaGvafd3uraTc20kYa&#10;B2ZY3cgSHaeDj0H16+1Zes6NeXnjSxuVntliilik8oyDewVlJ4PPQsfwq1q1lqM2p2k5kiTbFbhg&#10;ZgvzBn37R/wIenSo762vpPHttcxz2wgRkTYZQshTaSRxz1wcY7fkAWo7S6Xxh9oVlaAyOXQSDcp2&#10;ADjPToT3Hy+vEOk+H7+w8Tz6hPsNvKbhxtflQ77lBz35NQwabcf8J7Jei5t/LMjny8qWIKIvTrn5&#10;G/I11UV2sqmIyRCcbgyq+cYyP6UAcZpFjLPZ6/Gnlmae3ZCRKrDdtIAJB9MdfWr1lo8raXqUDQxs&#10;l0Idm1goKgDLcE9Ovvik0HS3gttahN5E7zoycT5243AOcDjIYZP+yPSqnh/SJrPStdW4vLaeO4Vd&#10;kwfKKu3Hf0zn0oAnbSPI8FTWcPlwx7wYi0ile38WeeePWo77QZLzwZZ2a3MCNHO0hdnAVvmboQTx&#10;zn8O2eBtFuW8BSaaJoSCQFczdE4JDHpkc+1NvdA1SfwLa6bpzIlyjH5opfu5fJ9uMkEc/jQBDf6H&#10;ezeHtGhhZI3htWRi0wILFozjI65CtyK0NZ0WK/1+wN1PFDAtqYmUsobcxAAGeTyeP/r02+0O+uPD&#10;+mW88i/abXc7NI4564PX1KnHTip9fsLmS+sXt2QvEIwyiQIXAkVjtGRzxgZ45oAl1C3hHi6ynWcr&#10;IEIdBIgLZHyjBOezfkajEcsnjiSUi08tNqo6yL5mNvzBhnOcn06Ec0t/p7yeMbS5+0oqbQ23zcNu&#10;XGABjuDJ+tV7XRp08dzagZIGiLHcm8b1OOPfGDnFADrDSJh4nubxXhAYyBkhkzgHOM9Ocn07VR0D&#10;Rb+Aawk+13mtGiUrICN25xg4PXp+taej6PJY+I7mdBG0REofYwyWZlIyM+x/En1o8OWM9tNqQuUm&#10;wS4DNIhPLu/O1jzhl60AaHh63mhS5llkDpKwZfmDbABjbkE8fl1rZFzE0ayCRCjdG3cGuV020lsv&#10;D+qRwLFvy5iEhQIOOASpOO1R2llInhSS3CW0bm4QhHkUKCpUkfLkZJU8Z7/hQB1hvIBDHL5qeXJj&#10;Y27hsjPH4c0jX1siI7TxBZBlCXADD2ribjw3qB8LWmn2XlyGG4wRuUq0YjKdzjrg47Vam0TUJ9C0&#10;y1EU0Usds0Urb1LRkgD+9g9CODQB2asHUMpyD0I70tRW+Rbxhl2ttGR6GpaACiiigAooooAKKKKA&#10;CiiigAooooAKKKKACiiigAooooAKD0oo7UAeO+CP+Sw+Kf8Adtv/AEStewAD0rx/wR/yWHxR/u23&#10;/ola9hFAHE6l/wAlk0P/ALBdz/6EldvXEal/yWTQ/wDsF3P/AKEldvQAUUUUAFGKKQ0AQrzdynsF&#10;Vfx5P9RU+BUEHLSv/ec/pgf0qegBpjQ9VX8qjNrB18pc+oGKmooAg+zgH5WkU/8AXQn+Zo8mUdLh&#10;/wAQD/Sp6KAINtwOkiN9Vx/WjdcD/lmjfRsVPRQBB5sw6wN/wFgf54o+0Y+/HKv/AAHP8s1PRQBB&#10;9qhHV9v+8CP51HbzRs8zCRSGfjn0AFWjVeCNXi3MinLMRkdiTQBYVgRwQfxpahNtEesa/hSfZYx9&#10;3ev+65FAE9FQfZ8fdllX/gWf55oMUw+7OT/vKD/LFAE9FQbbgfxxn/gJH9aM3HdIyPZjQBPRUG+b&#10;vB+TCjzmHWCT9P8AGgCekaoftKDqkgPpsJ/lTXu4VRiX2YBPzjb/ADoAfa/8e0bd2G4/U8/1qaq9&#10;vLCIY0EqEhQOGFT71/vD86AFopMj1paACiijI9aACijI9aKACikoJA6nFAEN1/qHHrhfzOKh1Ax/&#10;ZWR3VSRxk1Lcspi6j7y/zFczq13HceI7bTJGkAnSTgKNrqF556jGQad7as0pr3rvoYWm3/imS/1a&#10;1slsZ4ba4Cp5zFCisisMYBBHNX103xVqrBr/AFRNNjA4jsuST6ljW9pWj2Oi2v2ewgESE5Y5yXOA&#10;Mk9zgCr9ePVanNtHNU96VzkR4c1MyKtz4q1LzGOFKAKrYHoP608eGtcgz9n8VXnHIEsayfqa6R2B&#10;vI0IP3SynHGen54zU3FRypE8iOG8OeL2E+pQaxqVu8Vs4SGdwsTSEZ3DbntgVZs/EXiTV7cXumaN&#10;bGzkLeU01xhmAJHIHTpW2/hnRJHZ30u1Z3OWYxjJNaMFtFawJDBGscSDCoowAKVnsJKWzZzfn+Np&#10;OlnpUf1mY/0pGs/GcxDnVNOgwc+WtuWH4kmuroyKOUfL5nHroHie7Hm3niMwygkBLaFQoXPqeae3&#10;gm0mlT7fqGpXbtnLSXJH5AdK6zI9ajcjzo/x/lVJK4cqKWl6Hp2jRMljapFv++3JZvqTya0eKXNG&#10;aRS0EoFVrzULSwjD3VwkQJwNx5J9h1P4VSHibRx9+8EXoZUZM/8AfQFFwNGcoFG8A54AwOSe1LAr&#10;rCBIxZueSBnHvjiqY1TTryWBbe8t5zv48uQNg7T6HitAHIzTAXAqMwQlChiTaTkrtGCakooAQADo&#10;MVDdwJc2k1u+QkqMjbeuCMcVPVW9e7VIxZxRO5bDGVyoUevAOTQtwGWD281sjW7iSBokKMO644/S&#10;pWt2VVWGVo1HBA549s9KZZ26WvmxRqqruLbVGACxJP6mrfaqk9QIGhcurC4lGDnaAMH68UivOkhD&#10;qGTsynn8qsUVNwIEnSQNyw2nDBlII/OqK6Jos8Plf2bZsgfzShhXhyPvYx1wa0HgjlYM6k4IOM8U&#10;NApYuo2ueCwAyafoO422tbeyt1t7WGOGFc7Y41CqMnJ4HualLqoyzAfU1AsM6RlRPvJ6NKgOPwGK&#10;qWywD91Im5UJ+d+gIwAAgP9/jGO3tmi1xWNJ2VULMwCgZJJ4ArLbxBaFitslzd46m3hZ1H/Aun61&#10;DrdmuoaRJ9jxKww2yN+JVByycHvyKsaZqUN5a74EARDtKjgqR1BXqCPSk+yGM/txj00nUv8AvwP8&#10;ajivNVuIQttpogBJxJcyDjn+6uTWtHNFKoMcituGRg5zRAR5XX+Jv5miztqLUyzpV9LmWbV7hZwP&#10;l8lVWNf+AkHP40iahqFgdmo2bzRjpc2q7gfqg+Yfhml8R6lNp2k3MlptN35LtFu5C7VJ3EegxWLN&#10;4muCvl+ZLH5FlDczTxwB1BfqWH93A6Dnv2qlTbV0M2n8TaYqnEspYfwC3k3fltqMa5YtIJC99IQP&#10;uLZy7Qf++Ov41fmuVinSViWhMRbKqWxyMHIHf+lWo5VkTeMjPYgg/lUtSQWMePV7CLafsd+oU5DN&#10;Zynb+OOKtQa7plzII4r2IyHorHafyNaPWobi0t7tNk8KSr6OuaWojHfdr2otEc/2ZbPh/wDpvIO3&#10;+6P1P0reAAGAAMVz0Ud1oINrBFbz2rOzRR+bskAznAB4OM+tWY/E2lbWFzeRWkyHDw3LCNx+BPP1&#10;FJIDZqpf3UFrEhmlCb3VUB6s2RgAd6pf8JTom7b/AGjFk8dwOffFSSzCa7mie2BWOASwzYznOQwB&#10;7dB+Bq4bgS29rNJJJJfNHMBLvgUxj90O31PvTJdIiad50lkjkZy5ZQvcAEdPb61ojpS0czWw7mc2&#10;lxm5+0LI6SliWK456e3HT9TUMOhW9vPJNFNOC2flJDAHAGeRnPArXop88kFzKh0+GxkVIzI5lUph&#10;sEKOSTnA+n5VpxqEjVR0AAqK4SQhXicKy9Q3Qj0P+NSRNvQN2PSk3cB9QK7fbJEK4XYpDE9Tk5H4&#10;YH51PUU0RkjIVir9Vb0NJCJKKbGwdQw4JHI9D6U+gCGQAzRgjIIIx+VcJqsd34U1JobJmTTdTcBC&#10;DgQTZ6ewau8l/wBZF/vY/Q/4VW1TTLbWLCSzukLROOoOCD2IPrTelmJq+qMGC41aXSpWLSrcO6or&#10;OSADk8j9M1Zae8WxtQ8r+a0hztfBKgEf/X/xqto1/e6Tq/8AYGqy+dld1ndEYMqj+E/7Qrq8g1Xt&#10;E+g07lawkeWxhdsklByc5P58/nVqiioe4BRRRSAz54fIvjqJaQosBR0RC3fOQByT16etWbS7gvoR&#10;PbSiSM5+YVNVKU3SaisqkG0ELbl778jB9TxmqWvQC7UacTyD1AIpsF3BcQJPFKrRuMq2etN+0Q/a&#10;T++T7g/iHqaEmBZoqL7QnYOfoh/wpPOz0ikI9cY/nS5WBNRUPmSHpC34kCl3THpEo+rU+UCWiov3&#10;5/55j8SaztXv59NgifzbYGSXZumby1HyscknPpj8aFG4GtRXOXusXVlZC7aMSwiDzWkjlUox3YCq&#10;QOSeo6VuJEkiK2ZORnBc03G24E9NMif3l/OmfZ4v7gpfKjH8C/lS0AhhuIgHHmLwx71J569hIf8A&#10;gB/wpYuJJQOBuHH4VLTdgIvNftC/5j/GjdN/zzUfVv8A61S0UroCL9+e8Y/Ok2SnrNgey1NSE4o5&#10;mBF5RP3pZD+OP5UfZ4j94Fv95if51F/aVibr7MLyA3G7b5YkBbOCcY9cAn8KtcD603zLcdn1GrFG&#10;o4RR+FDvHChZ2VFHUk4ArG1nVbq3KWmmQCe9lONzf6uEf3nI+vC9TU0fh77ZEDqB88sDuD8jnBIA&#10;JwBkdK3pYeU1duxpGldXegyXXba4MkOmyR3cy5VirApGcZG45/lmjQPD8VtJLfXBea6nbMksvLHH&#10;QeyjsBxWxaaXa2ShYYlUDoAAAPwFWLfgSL3Dn/Gu2nTjTWhd4xVokwAx0rh/Cn/JRPHP/XS0/wDR&#10;bV3Irh/CX/JRfHH/AF0s/wD0W1WQdVHp6R3fn+ZKeSQpckAn2zivK9U/5L5Y/wDYNl/9GPXsVeO6&#10;p/yXyx/7Bsv/AKMegSVj2A9BXLaho5u729eR7ZEdAoUt/FvVgx44PB6k9sY79Qe1chq+ky3F/dSL&#10;9i2uoSRXcZwWB3dOGwCOc9RjGOQZ1kZZlO9QpBOMHORng/lWJHCF8VPcI0bb4xE0fnncoG4htucY&#10;JJGPofWtm2DJbojKF2/KBuzwOBz9KwopYR4td0vIHkkUQPB9p+ddoZgdmfdhj2z60AVtD07ULTUb&#10;uSfy3Hk7Sqz5O7amA3pkDr71W0jTbiPRtYtpI4R5u7Evnhl5J44ORj+tO8PxTR6hdSG4t5wbckpH&#10;cBjkBBzjp06+9JommTNpGq2gSBjPkq6ThlO7JA46cYP40AQ+HNCFt4Zu7G5uoEQ3MbiaNlYYDKdr&#10;Y/2gRgnvSQaR5Pg+2tUngkbz4ftGWULGyhVZQeQTkYo03w3c6V4SvtPuhEgeaNlk3DG3Kk5/Hdx7&#10;1Ti0A2/gOWzg1CCVEv1nErTqRjcrEFs49fw+tAEupaFdXvhCwtY3gG0zNI32gbNpDcgjt/nitHXr&#10;W9ngsyPKgdYAXSS4xtYFc4PfGcZqvNp1wvhKxtJHjZSJInKSKAFYMBjnBIH8qZ4l0S71S1spvtNr&#10;aTraMpheTGSRzgn0JH6UAaeppIut6dIGwFjRGxMq7hu5GCRntVC80a5PjiC/EkPl+creXuXeVwBu&#10;AI/yCcc1Y1+0lW+sDHcRKYUhVt02xmG/tzyeMe+av3+0eIbSVbiMPEBGYTcbWIdgCQPbA4780AZ9&#10;jolxa+M5L4eR5EplfHmFn6+me248D1+lSadpYj8T3t0vkNDKXLKkuWjY9Seeh/mTUNrpsv8AwnAv&#10;N8f7sSEoswY4csBxnI+7+YNO0XSri11aZn8glRc7gsgLfPKXXIzx8pFAEfh/TpLdNWY3MEqmEKjx&#10;yjHVz82OhxtGT6VS0PRRB4O1ewmvIAs0XltKk4KoGX7xPYcn8qv+H9Jht4dSiszbn7RBlxHKJPmI&#10;IHI6Dr9cdu8dhoTx+F9YtpJ4oxcCSNZt42oAzLk89R1x26UAXFgtZfBs1sLi3kRmZTI0gZVJYkc9&#10;OhFXNCkay0azSdrdcu6u4kXaxyT8uOD0I9eK5uDQ5LTwXcWrzQxg3gcSmcbNuQBz7entUtzp4m8J&#10;aJBNf26Kk/myT+cm1x8xZgx475x9c5oAt+OdMutWishas7RjdkRyou4lkK/eIB6GqXi/Q7+/u9Lm&#10;hIDRReWUEyo5bg9CQOMep61qa1ptkNP02GO4P7uQGGTfHyNwJxkY6elO8QW11NfaasC24jw2DI4W&#10;QPjjbzg+/B+lAEGo6G0njGLU4mQSbo/vOMuApyADyDjn6A086ew8dfblMZRmw6CRdysIwMkdTxj9&#10;KXV9JmvfEsEySQKYzG6KJMSHbuDHHph/096qxaTeJ4+a7cI0JcuoWTDKpUjJGeRnHY0AaOl2qQ+I&#10;72eIKUmHBGzO4Z3Zwd1Gg2Go2k97NdWyI8pc4VhtkOfl9T0HPTr0wBhmi2U9vrkrvLEVVZQYhIGK&#10;7pMhsA8Zxg/T610MWoWciuUuoSEXe+HHyrzyfQcH8qAOPsvDGpWWg6lagR/aJrdETaflZ1AHr7d/&#10;WpNN0PUbfw7LaTWv743xl2+YNrKcHIIPA/LnP1PYQ3VvcAmGeKTHXY4P8qmoAzNCs5bHS47acl5F&#10;ZizkAFiWJyQOAee3HpWlgelLRQAUUUUAFFFFABRRRQAUUUUAFFFFABRRRQAUUUUAFFFFABRRRQAU&#10;dqKO1AHjvgj/AJLD4o/3bb/0StewjpXj3gj/AJLD4o/3bb/0StewjpQBxOpf8lk0P/sF3P8A6Eld&#10;vXEal/yWTQ/+wXc/+hJXb0AFFFFABSGlpkp2xOc9AaAGWvMAbuxJP51NUcA2wIO4UZqSgAooooAK&#10;KKKACiiigAooooAa52qSewplsNttGD/dFFwcQP8A7pp8YxGo9BQA6iiigAooooAKKKKACiiigBMV&#10;Fc/8e8n+6RU1Q3X+pP1H86AHCNWQBlB47jNJ9mh/55J/3yKkHSloAh+yw9lx9CRR9mUfdZ1+jGpq&#10;KAIfs/pLJ/31SeVJ/wA93/If4VPTWIU5JwKAIvLmHSYH/eTP8iKTFx/z0j/74P8AjWVrviaz0K38&#10;24JbJwqoNzMfQAdTxWbq2t6taadLfQ2hZIpFyjOq707lfz746Um1HdlqDtd6HTlp1HKxH33Ef0rn&#10;PFfiCfStP/cRLJcyMI4IkYsZJCOBwPYn6Cs5ZvEmvTQOYP7LslKyO8rrI8q5B2qFOFGM8nn2rZi0&#10;GzXUI76TdNcwszRO/WPcMEDHbk9fWs5V6cVvqC5I63uZ9lpeopax/wBoXjzTtMJCyIqDBH3MEnjO&#10;feq0fhzUZNfttQv9Q823tJpJreCKDawLAqAz7jkBSeMDNdRIPmjGTy9S4yOa5JYmbVu5DrT7kfnf&#10;9M5P++aPOXHKuPqpqTFLXPdGRXlkjdCoZlbsdp4PrTYLgbSsrAuOpCkA+nXpVqq+1BfFv4ymCPbP&#10;WjRgP+0Q/wDPaP8A76FKJ4T0lT/voU7IAyawb7xFGHSHToPtMkkqw+aRiJGJwMt3+gpNpAa9zf21&#10;nbme4mSOIcbmPf0rGu9S1G6t5Z7SM2lpEpYzTLh5PZVPT6n8qtWehRrcfa79xd3eOGZcKnsq9v51&#10;oSWVtIhRoU2nqAoGaFbqBzRhsykslz9qnaMruZrl+/U8YHFQR3UsSLc6ZcsqiXyxBcyGRGBbAOeq&#10;nAz+NdLJptgUcyQRAM28nAABHf2rFc6HHOYrZpZd2C0VqWcMwwBkDjoB+QrROmBctdbvZYA8mkSs&#10;eRmCVXXg474P6VK0ms3wKxRJp8Z6ySHzJPwUcD8T+FQQy3yxBbbRp/L6qbi7Cn8gTUmzXZOkdjAP&#10;QyvJj9BWT5ejAgvNLFlbM9uk095NlHu2+Z41wSSPT0AHcisO0jS98EWUaTE339mOI45ZcfLgZkHq&#10;QcYPHXqOtdBNpurXETLdarEkTLhlig6j/gRNcDfeJNA05xYQy3l1HDlMxRRLGB3A45B78Yq1OMVq&#10;KUktz0GO107U9P0+4a1WeO4jVlkkjAbBTcCeMg/l1qQaBFHza3d5bH0jmJH5NkV5+PiFZtb4S91O&#10;N+Plmgidf0Oa3dH8eafcXP2a51OEqVykxQx8/wB1ge/PXNQ5RZKqRezOj+w6zF/qdWikA6Ce1yfz&#10;Vh/Kj/ioF7abJ+Mif41ct7iO7iElveJLGf4kwRU3lyf89T/3yKfKu5Zm58Qf3NMHtvk/wqvfQeIb&#10;q0aNTYRv95GjkkBBHTt+la8reRE0stwEjUZLMAAB9a47UviVolk7RxTz3bA4PlRjbn6nFK0VuyXJ&#10;R3Nq317ycPf2rwRuFHnqwkjzj+8Og963VdXXKkEEZBFeRR+PLh7X+ztF0t5DKWASb958pJOMAdOc&#10;fSp7TRPH01qiJdfZIR9yNpgu324yaG03pqJT5n7quer5ozXl3/CA+Jbn57rxDiQ9QJZGH9KP+EF8&#10;Vw/Lb+IsL73Eq/pg0rvsO1T+Vnps91BbRmSeaOJB1Z2AA/GsC78e+G7M7W1JJG9IgW/lXKRfDK8v&#10;HEmsa3JM/ohZz/303+FbNp8OdCtl+eEznuZXJ/kaLSZSp1pbKxftviB4bunVF1AIWOB5ilRW7FMk&#10;06vE6SRNHkOjZHXj+v5Vyl38OdDuYiscH2duzxE5H5mueTwV4l0bMmg6sGhJOE8wqT+GCtNcy3E4&#10;VYbq/oejXtxbWrASMY5JOjIOc9KxdSuNHilt5rp5Irqf5VntgULfXB+g57muLvtZ8ZWBj/tTTmmS&#10;POHVOmevK/4VPb+N9D1CGGDUku7fylZclFkXJI5z14x6ValTtqL2seuh1U93Npwm8ucX8KHc8My7&#10;Jfuhsh14PBHUfjViw17T7q5+wJJJbXsbHdDIDngjjrz17elYw1XwxeC4zryr52QAw27cqF4yPQVb&#10;j0nS9YkB/tMyz+a0sUkbLvU9Mgjpx2qlyW0ZSknszVvVtdTiuLGabLTI8XRcrwQwUlevHesq206z&#10;lhSzS4LGW1W2nCMoLqBnGAMZxk5GDg05J/7F1OG11O7zmR5IbhO+7OQ6/wAJ569K2YdIFsiut3IS&#10;qn5yAc5ABP8AX8aanHuMW3ngntpFtlZnZVGHHG05GB7YBqhMg1W/vGkvZYLGyIUmFtu9hy2W746Y&#10;rPs7Q3GrSW9nez+QgEdxOpA4GSEU9iSx47D610K6ZaJYLaxORBGd20N94g559eetS7Ngc3b3Es+n&#10;QahpsWoBHaQOxuQDGEzlmWT5ccdM1p6de6xc2UdwLm0yy5aG7iMci/UqxHTnpVOPSNTi8LPYlkin&#10;e6JYPINpiMm5uR3254rqxAABiV8DsDRKMegHNSrPrGqwxXOLWeOMsgVt8cq5X5geM9OnGM0zWNMi&#10;tEjknuUX5I40XadxKjoo5PP6ZzVrWE+w3lreRo5jt2LybMbirBg5A9vlJp920MOtWF9K7NayxGJJ&#10;c/KjHBHPbPSlzNCM6bT9a1Z2McCWdtMEVzOwaTAGCQBx0Pet++triDTEWyKl4QBtf+NAMEZ7HHP1&#10;FXxBGR1b/vs1HPbp9nkxvzsP8Z9PrRdN3Act3btcvbLNGbhFDNEGG4A98elT1n3tnA0JuVtlmuIk&#10;Zoi3JBx2JzjPSprZYbi1imNuqmRQxVk5GR3oko9ALOaa00anDOo+ppv2aD/njH/3yKeI0X7qgfQV&#10;OgFa6mt2hw8ibSyg8+4qVZ4QuBIn4GnuishUgcj0qBJyikTR+WV/i3AqR65/xxT0sBL9oi9T/wB8&#10;mj7RGem4/wDATUg6Upo0ApRSpFcSxqr5Y+Ztx68f0qx5/pFJ/wB80x9i3UII+YhlHtxmp8U3bsBW&#10;lkffEfKbAfuR6GpPMlOMRY+rClnH7sf76/8AoQqWhtWAxNe0T+3LMRvthnibfBOjndG47jj9KytP&#10;8TzWEw03xAVtLpTtS5dT5c49Qc4BrsKgurO3vbdoLmFJom6q4yKlvsJrW6Gxu0qhkniZT0Kpkfzo&#10;dgn37vb9dorAfwB4fZiUtHiz1EcrAH9acvgDw0n3tOVj6s7H+tHNLsK8jVfULCP/AF2qQr/vSqtM&#10;GqaSxwNWtyfT7Sv+NVI/BfhyP7uk25/3gW/mae3g/wAPsuDpNrj2TFF5BeRqRrbyqHjcOp/iVyR/&#10;OneRER9xT9RmuefwDoQbfbRTWknZreZlI/Wo20HX7EZ0zX2mA6RXyBwfbcOf50c0kF32NqAwW+oP&#10;ZR2gjAj81HVeGyxyPYg4/OrZ/wCPhOOqN/MVyMvinUdPuLe31nT1tpjKqrMjboZFJwef4T359K65&#10;/wDWQsD1JH6H/CqTuNNPYlHSloFFRqMKKKKACqN/a3M89rLA0JELszRyr9/KkDDYJUjPb6Veopp2&#10;A5dfDl9FpJ05bi2kheGQYdCPKlZiQ6nHbPA46dea6OCJoYI42cuyKFLHqcd6lopuTYXCiiipAhXi&#10;6ceqqf5/4VNUTcXKe6Nn8x/9epRVMAopDUFzdQWcJmuZ44Yx1aRgo/M0kr6BqTMwVck4A6msEXL+&#10;IomjsndbGQFfNjJVpOSDg4yo4GCOuaTUNVtNY0yW00+5ExmPlPJExwgPU5APOOnqa39Jso7Gxjhj&#10;UKFUAAdh2Fd2Go296ZvCKiuZmUfDVpY6U8FrEka4yQgxk+vufeskeIrtPC/mlU/tRLn7CwYfKJc4&#10;DEemCG+hruSoIwelYdzoIkvBNG5UZBI3HHGeo/H610ygqlrlpqekifSdNSCITN8zsd2TyefU1rAU&#10;yKMRRqg6AYqSqZE3zMTFQp8txMvXOH/Pj+lT1AflvBj+OM5/A/8A16CScVw/hL/kovjj/rpZ/wDo&#10;tq7gdK4fwl/yUXxx/wBdLP8A9FtQB3FeO6p/yXyx/wCwbL/6MevYq8d1T/kvlj/2DZf/AEY9AHsB&#10;6fhXI6tpD3c93dLLp6wyoYt7ykckjDZxhWH4546V1kg3RlQeSMVxNl4duLDQLjTTcWM8/mq8geUq&#10;EQjB52nBPODigDqPtsGnW0KX88MLH92h3cN6Y9yO1YCxW9hr3227CxCSdpkne5VVKFWVflznrJjp&#10;/FU3iHw1JrJsdiRFLZdyhm4DjGO3I61kazpV1fXumWUF3aCeGOBZI3m+bchyxxjngjn6+tAFrR9D&#10;bS9R1MTXCFrxCtvG7AZBRBzgk9VxwOn5VN4S8Ny+GRfQC5jnmYKUUjaCMsQTySMkkfhVuV4L3XLW&#10;S0uYJZLYYeMTkEg8MQBxwOcd6qW1u7+In1Jbm2azWYysVmyypslUEjGANzDv2oA1tTlg1azm0+1u&#10;Inu0eNmiWQblwysc/hWPa6VbReEhp1ldxXR/dNMxcFSuFDHtxtBIqxoemsuv6hqMd+lzbuTjac8u&#10;dxHXsNoHtWboPh5tI0y8NxcW32W4tFjScPkMACc89etAE19p1/f+FrO2sVt5pI3YOfM4UDPQhuoz&#10;61V13w5ea5oOjGwSA/ZodpWObjJAB2nOCAV9av6faQ6PpF+ZpYY451BheGVQThcnrgZB3HrjGKt+&#10;GY5NH0Czt5/LSYsAd8qkOpbHyFSc/eH4n3zQBm63od3Lfabc74IwiwRM0suCdpJK9D+eetGqaT5/&#10;iq11k3UCxL5cigz43opDE474GT+FbXiFFuHsoEuIY5hMHIaYoSmCDjHXPpWPqWgrPY6dbvdxx3dv&#10;YmFbcvzI7IUHzZ6ZzQBbt9Oex8VXF7OlqsU8hI3EB9oCgMAB/eZ8jPO+l0qwuLLxJfTXCuFuTI8O&#10;6VST90ngc8cY9Biq3ibRpda1azNpcwK9vGUKtgndvjcZB5Iwuf8A9dT32m/b/Fdnf2k1u0trE0bj&#10;PXDjIbHPZgPQgUAVtNsbi0n1exeaIz3VsqwoJOQ37wjcOxO7GR2UU6HSriXStX0x57f7RdlzGvm9&#10;AZGLHjuN35j8ah/s1b3xp/bcNzbSW9smJMSHKruY5/NcfgelN0vSL6Pxjcaw9/GdOXzQUWbKqp6E&#10;88cD8KAItF0W4j8H3elNPH9qik8zCzgj5QDyRnAyO9T6ho76h4YtbWyvIWkslZyxkDKvGVBOAMf0&#10;q/pumvp7aleSXEAtp0Zg3ABYlskn2GBVeysLix0fVFmuIBFPEPIk8/5eFPX0b6Z4A9KAG6ro63ml&#10;WJhnt3exjMTEyAhSVwCW69ccfT0qTWrOS4u9HuYstbw/JIRMgB6ZHJ5PykfTNM/sb+yNBu7GS4jJ&#10;ldSjSELuUBQepx/+uor3R5m8PW2mtNELlJJJgjy7cAs23G3g9R1xz3oAv6jHb/27Y6uLhFtwrK8h&#10;dAHyQB156014ZY/GH22ZrRbZwvkybwrldp3A8888jjGO9UtZ8JahqXhTT9L3p51vGFdllYAsGUj6&#10;ggH6HFXNV0C8u5tOeGC2k+zw7X888P0BUnBOCM/TNADbfR5rbxO15K8CtcGXYiPyy4OPcn5vwxVD&#10;Q9Cv7OTVbW5aN57iyZECyLyctjIB9GXn3rX1bS7q68T6bexQzNbwK4lw6AHOMYBOe2D7etWJNKY+&#10;Ko9SWA7PLKu2EOW+XByTnoKAHaDbSWkt2k0gMjlX8vcCYxjGOCeOK1ItRs5mkWK5icxffCuCV+vp&#10;0NYdtpV8nime+lhiELH5ZFIBK4Iwe+cn6e/NQ6Tol5aSat5u8i5R1iLOD1eRuR/wMfrQB00F1b3Q&#10;zBNHIMZ+Rgf5VNWF4d0250/zzcZHmhMKSDswMYBB6Vu0AFFFFABRRRQAUUUUAFFFFABRRRQAUUUU&#10;AFFFFABRRRQAUUUUAFHaijtQB474I/5LD4o/3bb/ANErXsI6V494I/5LD4o/3bb/ANErXsI6UAcT&#10;qX/JZND/AOwXc/8AoSV29cRqX/JZND/7Bdz/AOhJXb0AFFFFABUN1/x7sP72F/M4qaoLjnyl/vSD&#10;9Of6UATDpS0UUAFFFFABRRRQAUUUUAFFFFAEN1/qSO5IH61KOlQ3HJiXuXH6c/0qYdKAFooooAKK&#10;KKACiiigAooooAKhuOkf++tTVBNzJCOxb+maAJ6KbvUDlgPxpDLGBy6j8aB2HZ4pCwHU1gax4t0r&#10;RnRLq5VWf7o5Jb6AAk1jaVq1z4ouruW0fZp0TKIroc+cerAD0HTPvQ2oq8i1C2stDe1vxLZaMiNN&#10;ISzsEREUszsegVRyT9Kzba/vPEMDui3FnF88bLcQtHIpxwQD261PZ+HLC01SbUirzXTsTG8zFvJB&#10;AyqZ+6M5PHrWq8kcMZeV1RB1ZjgD8a5KmLtpAn2qj8Jg6b4YW1vYr6/vp9RuolKwtMqqseRyQoAG&#10;T61vTwR3ELRSorowwQwyKy31+CS4a3sIZL2RchjDjYPbcTjP50FtcuQVWK2slP8AEzGVh+AwK4p1&#10;HJ6sycm9WxnhmWQ6fJaSgiSzmaAg9QBgr+hFbVcbfifwYlxq0bPdW0ij7Qsr/M0nOGH6cVzUHjHx&#10;veRf2haaYktmWO1UgLDA+hyfrWbklozOU0tD1KT/AF0X1P8AKpR0Fecad8ULdpUj1iyltJEOCUGR&#10;09OorqJfE+nXenedpt/BM5ZQFVssMnuOo/GrTUtEEZxlojoKK5gatf8A2CWQOGZJAHJQcJs5xjvu&#10;DYou9fezskku7yG3YT+W7EgcbM/xdfmI5A9avkKasdPUTxAv5i8PjGfasnTfE+j3kUSrqtm8xUAr&#10;56ZJ/A1rmaIpu8xNvrnis7q4k0Y+sSXElvb2LPsN1cCF5EyPlwScemQMVZv9LSfSPsdttgMe1oCB&#10;wjKQV/UCoLmO11Ky8iK9jW5VvMjdZAWVweDxUum6sLhvsl4ot7+Ph4mON3+0vqKWlxkcesXcK7Lz&#10;Sbzzl4JgUSI3uCD/ADp327Vbri204W6npJdyDP8A3yuf1IrW4o4p6oDn7vTQsJuNUma/lyBFbn5Y&#10;9x6AL3/HNZP/AAkdxa+Bl1WK2gF8bGWZYkXCDZkk/QY/E1193DDNEPNWM7DuUuMhTjGf1NcU9hpc&#10;Xh2XQY7tbuQ28kAltrcyMqvnPAOAfqRWsHBLUeh3UTb4kbuVBp1cRd+OrXRLRIHgUyou0KZFBOP9&#10;lSxH41yl58QPEevubXSLV4d3H+jqXf8APHFYOpFbGbqRR0vxH8RyWlnHo1iT9su+H2dVQ9vqelT+&#10;GPClrpmipG9vDNezDM0si52+yn29qxfCvgbUxqaarrcpWRBmOMtvbd75yOPSvRbUEW6q3OMgfLjj&#10;PHH0pxjf3mbYek2+ea9ChJ4b0SYsZNIsmZurGBcn9K5i/wDC3hae/a0XT5oJckZhcgHgdBz6+nau&#10;7qo+m2skyzNErOrF8kZ5PrWijH7SOmVKD3R5bL4b1jQtWmbw1eTMYiP3TMAzZ9ujYq3H428bTyG1&#10;j0f98Mru8g9QcHvXpJsbc3BnMfzlQv5HOfrUcGmxW84mEkjNlic4wScdcD2FL2cehi8Ir6Ox56fC&#10;3i/xNIra7ffZ7fOfL3A8f7q8fnXXaT4O0TRoBss4ppAMmadA7H6Z6fhXQZFZniCS7i0Wd7JlSbaf&#10;mbsMc496mNOK1Ljh4Q1tf1KXhSKBre9u4olEc95LJE23GUzwR7HrXRVn6OqJpkCxjCCNNo9torQq&#10;zaKsjEvtZlttS+yLGCDt2k5JbqSOO+BgVO2qSLdvGbZgilUwXTczNj/a9/xq5NZ29wcywI59x/n1&#10;oa2tg5kaNM7g2T6joarmiGpTj1J21WW2ZUESvtBB5Pyqf5kj8K06yZrvQ7O48ySa1WcOX4bL5PfA&#10;57mnf22kvFnZXlz/ALQiKL+bYH86mTiFzRldYoZJHOFVSSfYCiGJYoUjHRVArHum1a7hKukVlbuQ&#10;jkESSYJAOONo6+9U9Ws5dK+xS6dNdNdT3Cwt5krP5gIJOQTgYxnIxii99A5rHT4FZl/4c0bUgfte&#10;m28h/vbMN+Y5qraG/exkEyzCTeU3Bjk4c5PU4GMdvpUd7NqUunRSwefvaRC+CqgIV5xxnqapwuKS&#10;jJaopTfDfw3J923mi/3JT/XNYl18MXQGfSNTkikUnashx046iuna41JrFADJkTqhZUOQvyZz75LC&#10;tfTXd7BHlzvJYnIx3PapdJJGTw9KXSx5z4R1FrbVbzQNctVN5IGXzH5aU/3WJ654wa6G1jmkkk0z&#10;V9UMVtAo2Rk+WZEII+Zs5OOmM9u+aqeOfDcmpz2+p6ScalD/AApnLgdDx0I9TWEvjS2v2hj8Q201&#10;vfW/CTxxg4bnOUP6isX7ujONp03yy+R2uoXelppkVlZXMW5GUhbfJI684WsyC21Z7J7bT7CYgyMw&#10;nuv3QwQO33j/ABdqtaT4iF6oisNQ0eRjxk7om/74/wAK2xZ6zNzJq0UQPa3th/Nia0hUfQtNPY54&#10;aF4iFnHD9pVWEkrlY0G0ZyOpbJznj9a1zDrxSAyNaudu4p80bKcdNwJ/qOKtGPWrP5knhv07rIgi&#10;f8COP0qN9S1Jp4tmjXA4OQ8iAZ475NDnfcCC4utRcJG+iTyyL3LxlfqG3DH4jvV3SdPZNBhsr+JG&#10;wpVoyQw25OB74GKb5uuyD5baxiHq8jN/IUeZrkHzPDaXC90iYo34buDU37gR/wBn3+lgtpk/nQjp&#10;aTnIA9FbqPoeKvWGoxalau6BkdSUlicYaNu4NVTq13gg6LfeZ2GUx+e7in6XZ3MUl3e3gRbi6IJj&#10;TkIqggDPc+poW+gGjDzBGT/dH8qpzCe2u2uzd4tAuJInAwv+0Dxj3zmrcH/HvH/uiodShgudMu4b&#10;osIHhdZCvXaVOf0zV31BFuiooJUmgjkjbKMoZSe4I4qWkAU1gCMEAg+tOqObf5TeWAWxwCcZpICO&#10;1K+WVjGI1Yhfp7e1WO1Mi2+UuAQMdD1p9NgQysVmgABOXIPsNpP9BU1QSFzcxKqrtU7mJ+hAx+dT&#10;mhgUNY1C30zT2urqTZGrL0GSTuGABTJtatYZ5Y2ZisLrFK4X5UdsEAn8R0z1rN8Xadc3emzPBulY&#10;IFSFUBwSRls5Has+90S8uNRuL4RzLdtPC0YXiGSNQufMXOCfvcnkYGDWsYxcU2M7QdKKB0orEQUU&#10;UUAFFFFABRiiigDL17TI9V04WkoUxtKhdSM7l3DI456Vzw/tjwm6Kyy6loyN8rA7poR0AI/iHNdR&#10;eWiSzQXb+YxtdzpGvO44x07miO6hvbJLmB90bMDkjBGDyCOxGOQelUl1E1fYp6d4p0fU3EdveoJj&#10;/wAspAUf8jWz2rI1Xw9pusRFbq2Xd1WVBtdT6gjoaxUv9a8M/utThm1LTl+5eQrmRB/tqOv1FTfu&#10;K7W52FLWdp+tadqkAms7yKVe4DcqfQjqK0AQe9MdxaKM0UhhRRRQAUUUUARS8Swn/aI/Q1L2qKfo&#10;n+8P51Hd3lvY2s11cyrHBCpd3JwABVb2QFfWdWh0exNzKC7E7Iok+9K56KPf+VV7HTZdU23OpqMs&#10;AfKJ3LH0+Udjz3603TI5Nbljv54XijIDRRSAgoPcE4DEE+hwcV0yIEAAGAOlelRoqEbvdnSl7Neb&#10;/ArQ6ZaQ42RDirYAFLRW92Q23uFJgUtFIQmKWiigAqCbieE+5GfwqeoLnhUPYOCaAJx0rh/CX/JR&#10;fHH/AF0s/wD0W1dwOlcP4S/5KL44/wCuln/6LagDuK8d1T/kvlj/ANg2X/0Y9exV47qn/JfLH/sG&#10;y/8Aox6APYD0FchrGjNfXV639oWtorR7CODuywI3DjHT1Oa689BXIaxoxvL+6m+0WcXAGPNKEHIK&#10;scdCMfQ8elAHU2odbdFk2kqMAr0IHQ/lXKQ6QG8d/wBoJNBJs3uQGHmL8oXGOfl5PpgkV1dqJRbq&#10;spUsoxlTwR2P4iuTtNPFv42aWO+glViWaLeodW2uCNvU/wAP60AWdJ0aztdYvrqOS2LSFkVEVdyn&#10;jOSOePT0NU9D0YWtjfQveRzx/ZRC53AlWBYnJHsRVvTIIo/EV5JHd2s2VIMYcNIG3uWx6Y3AHPpz&#10;VPSLA29jqVqJ4X3W4AkSZOFGcZ2jOcdWPXFAD9L0w2nh66SC6hlQ3MTq3mAJtUx7iTzjJVv075pL&#10;XQ7q68Ix2Uc9tI29SJFfehAiC+nqKp+HPD81t4WvrK4miVJCv7wTBlGGLe/qvatTSoxa6O0s2trb&#10;Wz3DvFNA8JR1YAjJKY9TxigDM1/RC2hadbXk9pC8TyZ85goOQeAR04POKv31lDc6Fo0bvGZ4khkD&#10;K8eCiNGzkFuDkDqBUXiXSzqdjZNHqyXAWUyJLPJGAw24wCqge9LfWu2z0NlvrYmO0ESs8iqkpIQ5&#10;GeTkK3t0oAj8S6VDPr+n3LXdvA6oibZHCufm4A9RyenHX1rWvdLe48T2l2LmOLy1BCEAsQDzgEe+&#10;M9gTjrWPruly3PiPTLqGe3MYWIGKSRclVLMduRnPQ59jWhd2Fy/iyGYTQBfMVghmw5UYzhf+AmgC&#10;Ky0SS38aT3jXMbIxllMRILDf5YBx1x8rD8PeodD0m0sdfvzbyQGQiZXCyhnyZCwz3HBq7FpjL41u&#10;NQingy6KskRbJwAR07fwnn1qnougzWfinVbtprcrKG+RWyyZAAz7YWgCHQdGuLe21yE3ETyXMKhQ&#10;soYp8h4Of9osfxJq/pOlWNl4cvBLOsyzKzXBDqVUEs2OcDADc56j8qzfC+j3the6vPdXsM0DowMa&#10;y7hHwvHX0BP4irmk6XBb6BqdlLfWotnVY3dSMKDGu4scjliWP4igB4s57fwa9tbvAr7vnaVk2FSc&#10;tyvHT1pup6c8/hm3tbi4t4ULSEmWTICMjjAPchWz+FTx6Qbrw5f2SyJP5jt5RjcEDjjrux+tN1Tw&#10;3caholjaLgS25bJk2nqpGeBjrjtQBk+JNFupdK05VltlEYmDBpAoJLq6gHjoqt/nmtPUrGS4vrFk&#10;ngi2RRsA83LFXDY9wcCprvw5c3Oh6fYI6o1u2SzAN646jnr+lR614Yu9Q1iyuopzsgREbdxnDhic&#10;DFAHSNeW0c4geeMSnH7ssMnPTj8DTRqFo161mLiI3CkBot3zAkZ6fTmsC/8ADTz+J11aKEF90OXL&#10;c4UnIwQf9npimw+Hr6PxpNq2U+zOSdpOSflUA9M9m4oA6KG9tZ5WihuInkXIZVYEjHB4p8VxDOHM&#10;UqOEOGKnODgH+RBrA0Tw29jqt/qNwztLNO7RjcPutjrgD0FSaTo1xp0uqmNSouJN0AYoQB5aLzhR&#10;3U/hQBtR3VvNG0sc8bIpILBhgYODn8RSfbbbyPPE8flZxvDcZzjrXO2Gi6nHo19bTx28cs6kAIxK&#10;biTk4OfXNU38Laivhu9sIdgmmuPNQg4A/dKp+nzA/hQB1Y1G0EMcxuovLlOEfcMMcE8evAJq1FIs&#10;qB0YMpHBFcjDoGojw/p9mU8uaGd2ciTlQYnXcvpgsMD+VdNpsEltp8MMv340CkjvjvQBbooooAKK&#10;KKACiiigAooooAKKKKACiiigAooooAKKKKACiiigAo7UUdqAPHfBH/JYfFH+7bf+iVr2EdK8e8Ef&#10;8lh8Uf7tt/6JWvYR0oA4nUv+SyaH/wBgu5/9CSu3riNS/wCSyaH/ANgu5/8AQkrt6ACiiigAqCT5&#10;rmJewBb+Q/qanJxUH3rs+yf1oAnHSiiigAooooAKKKKACiiigAooooAgl+a4hX0y36Y/rU4qA83g&#10;/wBmM/qf/rVOOlABRRRQAUUhOBk1Tu9VtLKPzJpVC5wTnp2o3Gk3sXaKrQ30M5AVhuI6GrGaAaa3&#10;FopM0jNhSaBCmq8zATR5P3Qzfpj+tYtx4kWbUZdMsNr3qReb5ZOAR2yccVm31/4gudRNjZWKKyIN&#10;9zO+IlDY7Dljx0GPrQ3Fbs05LatkuoWl9rd1iG/uLFIzkyRKjb89ANwI4wO3eqU/hvWhH5z+IJbl&#10;oSHSBLdIhJg/dY8nn2xWv4f0VtGs5UluftFxPM00sgXapJPRVycAVr4rgqYmTl7r0JnVfN7uxSs7&#10;K3jjEqwne58zEvzMpI6c9KtxxpEm1FVVHYDAqq9owvxdxzyKdu14t3yOO3HYj2rPbxEt0WttMge4&#10;vAxR0YbViIOMuf8ADOa55zk3dsxcm9zVvL22sIDPdTLFGO7HqfT3+lcF43lvtY0cu8LWmkxyRt+8&#10;YK9w28YBB+6o6+tdG+ny2s0d5cubu95O8x5WPHZFzgZ6Z60XOqTTQQlYkYNbvI28cb1ZFOM+m404&#10;Rd7giFktoPGWkxQrHEPsUwVFI6ZT866isS/unt76BQka5UFztBx8yjGTjtmtoHcoOCMjoaJLYGZ+&#10;uWVpqWkXFneNtglXaWH8Pofwry/RdX1DwNrR0bUCj2Mr5EmeFB/iB/mK9aYsLgbuE28e5rO17w5p&#10;/iO1EN/Fll+5IvDJ9DWUo9UQ001KO6ILvStJ19Y3uLaC4jkjJDgDPUfxD/GuT1b4YQKDdaLeS28y&#10;fMI5DkfgRyP1rKu7PWvhzfLPbTNd6azfMrcDB7Edjx1Fek2Woxato0V9bMAk0W5d38J9D9Kekmk1&#10;qaw9nW0ktUeex+H/AB2wEA1JVRlByZRnH5e/61ZtPhdJdTefrmqPM3XbFyf++j/QV6Eu6SdGJKhF&#10;5T3Pv+dWKPZo0jhKfU4Of4VaLJHiGe7iYdDvVh+WKzz8LbpT5aa84g6bfLI4+m7Fel80tDpxKeFp&#10;PoeP+IvAUnhzTRqVldzTPCwLNtC7RnqMc11OneMPDmsaRaJq9xEl0qDeJFI2uOpDduea7V41kQo6&#10;hlPBUjINcxdfD3w5dOXNmYmJyfKcrUuFn7pjPCyUr0ypca14ei+W28UTwqB0EjSD8OP61kXHi/wv&#10;b5AbUb2TGGcSMoz68tVp/Aeh23iCythC7280blleQn5hg11Nn4W0OwwbfTLYMOjMm4/rRyyZKo1n&#10;2R5tJ4qvdVk8rS9IuroA8C5leYD/AICMD881ej8OeMdcXZfXa2EGBmNflGP91eK7C+1Oey1M29sF&#10;EK4yiLjA55zjHanHUr1NbkhEOICyIHIyMcZxj6nr6VpGg92y1hU/ilcytM+GOi2RD3bS3sg6+Z8q&#10;Z+grrbSxtbCIRWtvFDGP4UUCs+01OSXVpIHkBTc6qoUckbce5/irYp8iidEKUI/ChJGVUJY4Hc+l&#10;czfXslpOszzXqafFHHmWAJsyXYZOcn+7nFdC48y4Qb+I8sQD1OMDP5mqN14fsbu5nmkVgbjYJlVs&#10;CQKcgH+vrVRaRoykL2WDX1F3LexwzXBhgB2CFjsJA6bux59a6IdKxjotpZTLcgSNHFM1yIs5CyMM&#10;FgPoW49+K2BRKz2BXW4tJS1k6rcTTSx6XaOVnmGXkX/llH3P1PQVFwbsOudYUXLWdhEby6Xh1Q4W&#10;P/fbt9OtUtSXX5bTi3tHAYMY4pG3FQeVOQMgj6VtWlpBZWyW9vGscSDACj9frU2P/r0WZNm0cr4e&#10;8Q2MemCGedleN2SNShLOg4UgAc8YrV/tG+uuLHT2C/8APW6Plgfh1P6VJYm3g1G9s4V2sX89lA4y&#10;3U/iRmtGhxae4JOxl/2ZeXHzXupzHP8AyztgIk/q360o8PadnMkTzf8AXWRn/ma1KKXKiuUggs7a&#10;1XbbwRRD/YQCp6KKeiGlYhuWKw5VSTuUcfUVna3+4awvW/1VtcBpPZWUpn8CwP4VpXO7yGKY3DBA&#10;PfnmnMiSxskiKyMMMpGQfam1dCaHKwcAqQwPQisfW5rqNoBA94kWyR5HtURm424zuBGOTUp8OaQT&#10;kWESH1jyn8qrT+FreSUTW95e28ojaMMsxYBWxkYbI7CiLtuLUztT8RkR6WNPu0aOSaHz5XxuKP0G&#10;OxI5Pp+NdMCgtpN7YX5st6DJrnrrwzffYrS1gv0kgtHR4opIwpJXp8wz/I1ZTXPLxBd2z2uJMPJI&#10;coOezAY/PFW5Jom9tzZtjm3TAIXGBkYJA71ieJdLsbkWd1d2sUscdwqy7l5Kv8n6Eg/hXQAhgCDk&#10;HvWb4iGfD94R/Am8fVSD/Ss5aocoqS1RzWpfC/RrkFrOWa0k7YO5fyP+Nc+8nirwJKJLgm904fLv&#10;3EqB9Tyv416urB0VsdRmmXFvFc27wTIHikUq6MMgj0qORbrQwnhoyV4aMz/D+tW+v2AvbS5YjOGi&#10;YDMZ9DjmtA207AP9o/eBtwG35fpjOf1rystP8OPFrOI5JdJuh0Udu34ivSNJ8S6TrSA2V5G7kZMZ&#10;OGH4URn0ZzKWvLLcvu1xGqnashJAIXIx6n+VCzku6GNwy+3B4zkH9Km6ilx71dyyETuFZngdcdAM&#10;MT+VBuoTFvZ9inu4K/zqamyRLLG0bjKsCCD3BoVhDYGH2ePn+EVR1K9CQSRxW73R+7LGi5IUjk47&#10;/TNWIrWNkVmLsVyOWOOp7VZCADAwB6Cm2kwKb3trZfZ7fbIpcBY0SJmwPfA4/GnPeOLtIRZzlGGT&#10;LgBV+vOat4pCKV0BWi1C2kvZbMPtuIxkowxlfUeo7cd6sCRGZlDAlfvAHpQURsbgDjpkVnmPR9Oh&#10;lixZ2iSg7wpWLdn6Y9TSuh7FpWa2TEpGN3DfU8cduv6VYJA61jwWlrd6ebW11OSSEMCHSYOy4OcB&#10;uTVufS7W5hijmRm8n7j7yHX33A5p6BuTy/LJHLvAC5DA9CD/APXxU2RiqUlncSXCsb1/s+MNBsXD&#10;de+M1EtpdwaiG+3SPaOMeSVGVPs3U/SiyAvyANEw9Qach3Rq3qAapx6Zb2sM4tUMLSg7mUknPrz3&#10;qGDUEsLO3TU7qBJGG0SE7Ff8+hp20EalFV5L61hdEluIY3k+4rOAW+nrTG1K0W7S1MymZ+iDJP8A&#10;9apsBboqoNRhN3JbESLIi7iTGdpGM8HGD1og1G1uZpIYZN0kf3htIx+YosFi3RVGC+muUlZLCaPb&#10;nZ55Cb/5kD6inJdXa2bzXFliVf8AllDJ5hP0JAosFi5RVE6rDHaLczRTxKeNrRHcOccgUtxeziCF&#10;7Oza5Mp4y4jCj1bPP5AmizAuE1nNJIt5cwCHbB5KyLIM8sScj8gD+NSvZST3cU8tzKFj6QocKT6n&#10;uf5UkmmWQnluzbIZ3UhnI5IP/wCoVSsmBdBGBg0hwciqltptpA73FvBHDPMv7x41xuPqR0J9zTIk&#10;1K3tnEkkF3KufLO0xZ9Ax559wB9KTSuBTvfCOiX8xmmsYxMeskeUb8xVA+CUi5sta1W2PYCfeB+B&#10;H9a3W1CS3sPtN5aSRsp+eOI+aQPXjqKWbVLaGGOX946yY2eXGzE5GR0HFLlJ5UYP9heJrcf6P4n8&#10;welxaqf1zR9m8a/c+36Tj+/5TZ/LpW/PqCW7wq8U7eb0KRFgPqR0qRb+1a5FsJ4/PI3CMsAxHril&#10;yhyHO/ZvGsfIvtJl9nicfyo3+N148vRW98SD/wBmrqc0tJoOXzOV83xx/wA8dF/8if8AxVJ9m8az&#10;/evdLtQf+ecTMR+ddXRRYOXzORk8O65Iha78UXJPUrBCqf41SsfDcF9qwYane6hb28m1hcShkaRT&#10;g8AD7pHvz9K6jXJmSxaGNiJpwY0x1HHJH0GTVnQNMh03SoIYUCqqAAeg/wA813YWkre0ZvSgornZ&#10;pwwrDGEUdKkopa7QeruFFFFABRRRQAUUUUAFQ3I/cP7Dd+XNTUyRQylT0IwaAHKcgGuI8Jf8lF8c&#10;f9dLP/0W1dpbsXtomPUqD+lcX4S/5KL44/66Wf8A6LagDuK8d1T/AJL5Y/8AYNl/9GPXsVeO6p/y&#10;Xyx/7Bsv/ox6APYD2rite0hLq/nuH1CwtvLIyGn25yfl3cfKeD9cDpiu1PQVzF5aBtUupXvbOFCg&#10;jdfMw21nUnIP3TgEdTnI6YoA37RZBaxhzGx243Ichh2PTuK5rTdJtf8AhLLq+kvomnEjGOBJgT/F&#10;kkdej9PauphLeWMqoAJC7Tkbc8fpXH6fpyW3jITxX0UocOGUfeydxxj29evX3oAsaFo8FrrWo3Eb&#10;W7szNgoeRuZt2R/vBh+BqHQdJa1j1FIr+Gee4tlOI3B8t/mz1J4yepqz4fghh1PUYhcxPNt2lFm3&#10;EHfI3Iz6Mv61F4b0xtL+3XK3UUrSRIWy3yo4LbhnrjPegCfStJOnaZfR3s3kRyupBZkAQBFHXGPv&#10;bv0rOl0pLj4fWNjFfQ5tljWSVmBVXVMYz35Iro73Gs6PNHYzwszYG4fMoIIJFZNvpLaToc2n3VxG&#10;kUlwiRzM/LAhQevQ5BwKAMvVtOD+EtPg+2WkbpG4SV5dq79p5U4x6+lSa9oTX+maPG91bR/Zo1O7&#10;zigbCkHHTjkflTda0aLU/Ddov2qGOBZpSrmUEBXJCjODnG4cVPrNjE9rotvd6jDDLHDwC+5ppAmC&#10;Bk89Sc/40AS6lp+/VtMuvNsQsVsqnz5FXzPmHQ9TgZ/P3NTXlpI/jW3ucgxKEVlaZRyA5GB175/4&#10;Cag1jSVur/TGkvIoWtkhZEJx5hDEEHPAHIx361LfWhl8ZW0n2iNdsqHAZd+0I524IycsFoAlhjt/&#10;+E0kkinQuYiHiDx7t2RkkY3dCO9RaLHIfEeoXDvaMS8mDE3JXdhQw9Rg5OOootbJF8cXEw1ONyF3&#10;rbj7wJGGHXoB5Zql4c0uO38QanOLm3lWYyE7CdyEnkHjnGPagB+k6NKYtRaC4t5Hmt5I90LZAdgu&#10;368AHP8AtUzQtFvU0TVIcxSvPJEyMsgKthUz9Oh/SrPhnTEtUv8AyHimikgSLdA43ZG4+w5DA5z6&#10;elTeF43sNGuZC0YKmNmeSRdu1Y0B5GccAn8RQBq6TCdHsGS8mxumJDOecseB1OfSrj6rYRWwuZLq&#10;JISxUOzYGc7cc+/FZXiSKPUtCJSWHyVYSM0khVcD+f0rnb/QpJPAFpp899ar5SEtOJiAcHeOR14H&#10;NAHcvqNlGkbyXMSLIQELNjdzjj8TUkl3BE8aSSqrSHCAn730rjdY0wx6fo8bSWiG2Vyz3DDaQBjB&#10;ODnJI9v0qbxBAJtX0p1VsQLmSON1wVJHTOD2x260AdZ9qgE4g81POI3BN3OPXFH2uDz/ACBKplxn&#10;YDzisW90ozeI7PUFgYrGrCRsJz0x157Gov7Mvj4sa+aOI2wCiNwQGCgHKn8enagDejvLeWZ4o5ke&#10;RBllVgSvUc/kaZHqVlKHMdzGwRN7YbovPP04Nc9beHrmPxHLqUnk4fzANnUKQcD65P6Vn6J4a1Ox&#10;XVEuURmubRokdGABbL4BGeuCOaAO1gu7e5BME0cgHXYwOKmrE0LTbiwa5ac8zMGAyDtwMbR7Vt0A&#10;FFFFABRRRQAUUUUAFFFFABRRRQAUUUUAFFFFABRRRQAUUUUAFFFFABR2oo7UAeO+CP8AksPij/dt&#10;v/RK17COlePeCP8AksPij/dtv/RK17COlAHE6l/yWTQ/+wXc/wDoSV29cRqX/JZND/7Bdz/6Eldv&#10;QAUUUUAIahi5nmbtkD9KmIyKituVdvVz+nH9KAJqKKKACikpcigAopKWgAopKhe5hi4eRVPuaASb&#10;2J6Q01GDgFTkHvTj0oAhT5rqVvQBf6/1qYVDB80krerY/IVPQAUjHC0GsXxBrtloti8t5cLChGNz&#10;H8gB1J9AKFqOMeZ2K+oX19ci4isYchYyUkyNpbsDzn3rK07wisi21xrd7c6jPGFk8qVgIo5ODkKo&#10;GcHpnOKk8IWk6W99f3UEsM17ctIqSgqRGOF+U9OPxrpRXDXxEm+WOw6lT7Mehz+p6TqMc8UuhzWl&#10;qAzPNHLGSJCRjOQeKhtf+EpF5HbXsVm9rk77mGdgcY4+Qj1966ekwPSojiaiViFWmupy93r+p6Dd&#10;xW0+n397F5IY3FtAZAz+m0Zx+Jqe08VXWqRTJBpN8jIqkieHyshiRxuPsfyq6uuWrSGPbIHEpiAI&#10;HJ3hCevTJH51Mup2puGhL7SOFZujkdceuK2WKnpdGnterRi+FbDVLfUdXutQt4II7mZXjRX3twoU&#10;knAwCAOPrXRqP9Ik9Aij9TWRP4mto5xbx2881y2SkSKPnAHLZJxj3qGx1DVtUMz21vb2ibl5mYu3&#10;Kg9B9a5qk3KTk0YzlzO50XQVkXOryT3Js9KVJpl/1srf6uEe5HU+woOkXdz8t/qk0kXeKFREp+pH&#10;zY/Gr8MNpY26wwrFDEo4UcCsNyTPXRGuBnUb+5uSesauY4/++V6/jmp1j+wX1pbWlrHHZPHJu8tc&#10;bXG3b+Y3/pTJNdtBIYrUveTD/lnbLvwfdug/E1XuRq9zA0klxDpcK/NuAEjqPcn5R+tNeQzZdkVS&#10;XICgc5PFZUmr6LDiISQtsBUJFHvwDyRhQfQflUcWiWCxRyX8z30m3JluJCVPuFztH5VsQQwwxhYY&#10;0RfRBgUe8Bjyaja3Ll49Fu7osNpc2wXI9MuRkVN/bhX/AF2l6lEvcmEPj/vgk1r4FGBRqK5kjWtM&#10;vFaE3Xls3GJMxsPpu71dErRbEdXcEcSIufzp9xawXKbJ4Y5FPBDqDWNcWEujwvc6bc+VCg3NbTtm&#10;I/QnlP5e1F2gK3i8xzeHtVWUBI1txkuOp5IAHrnFY/wySaTwzud5BGJ22LxtI4/rXO+Iteu/GV/H&#10;o+jpIYZiryZ7MBg9P4RivTdH0yHR9Kt7GD7kK4z/AHj3P50J3ndDw6cqnOtkWLYIVdlOWLncfUjj&#10;9MVPUGfKuAoRtrjOQvAP/wBfP6VFDqlhcXElvDewSTx53xpICVxwcj2rTc70y5RUEF3b3RcQTxyl&#10;DhtjA4OM8/gamJwM0hkck6RsFO4knGFUt+eOlIZJjIAkOFPVmYD8gM5/Sq9tJNLuJZFUksGyCT6f&#10;hipRO8aEzBTjnMWW4+nWq5WTzIpajp9zM8d5bzD7XAd0akfIRggr+Oev0qCDXptRjVNNsmab7srT&#10;fLHC3QgkfeP0/OmXV7cavI1rp4lW2Q7bicDax9UXPQ+p7VqQRrY20cEFoVjQYCxkcD15PPes7NsS&#10;1ehTNhqk2TNqECkjB8u2Gf1JpE0iV5XMurXzYwMo6p/IVrqQy5GfoarRFppLgAsibsBh1PAqkgsj&#10;Kme50FlkctfWWTk7B5sROfmJHUdcnrWssklzGjwyRGJxncuTwemD9KmjhSNNgGRjB3HcT9SazDpE&#10;lpKZdKuBbbjl4HG6JvfH8J+n5UtY7Ds0aiRRx52Iq7jk7RjJp9ZX2zVoeJdMSb/agmA/RsUf2nfj&#10;72i3GP8AZljP9aXMh8yNN13KRzyO1RRzYVRKNj5xjseeOfeqP9sydDpGo7vTy1I/PdimSSateoUS&#10;yhtUbq1w+9h77V4/WnzIL9jRuryCytmnuJFSNRkkmqWjRSMs9/OhSa7ffhuqoOFX8v1JqK30dkla&#10;4u2+23QOUkmPA9AF6L/nmr6SSTblUeUwAPIz1/8Argii1yVd7lnvS1DDIWUJIw80D5gP549Koa3N&#10;eRrbLZm5BdzvNvErtgKT/H8o5x1qkruxdyWGeP8Atme3EAEnlhzNjqM421fzivPb7xZd2s8lxbym&#10;Wy+xCaKRlAaZtpY5GPUAELgjP5dvbIbq2innZiJIw3ltjC5GfQZ/GrnFrUmLLe4eoozUBsrdmdvL&#10;GXxu5POPX1qC/m0+wtxc30qQRofld3Ix7D/Cs7Ibdty/TDKikguuR1yelY2la3pGr3DpZXkjSoM+&#10;W7OpIx1Cmtf7NBtZfKTa3UY60KzBSUtURzv5qCJMt5hwWU/dHrmhYbhUVRdFiDksyAk1OqKgAVQA&#10;PQU6ncZAY5d4ImOAOmByfrRidWLCRXHZSMfrU+KMUXArefPhQbVt2cNh1IA9c1HHCZ2n85QYnyhj&#10;YDn1J/CrhqOLrJ/vn+Qp9BNX3MqK01TTFMNkYbm0XmOOZyroP7oODkemapatqrXFvHYXFtPZC4bZ&#10;PLKuUVMZOGGQc9PxrpqQgEYIyDWbjpuJrTQjt5YZoVeCRZI8cMpyKlNc5YaXDd3WoXkMstq5uSsb&#10;277RhQB937p+YN1FXGm1XTzmeMX9uOrxKFlX6r0b8PyoTYKWmpoXdnbX1u0F1BHPE3VHXIriNV+G&#10;NnI3naPcyWU68qpYlc+x6iu3tL23voBNbSiROnHUH0I7Gp6HGMtyJ0oVF7yPL113xl4PcR6rA19Z&#10;jpKSW49d/X866vRviFoWrBEac2s5/wCWc/HPs3Q10jIroUZQynggjIrltW+Hug6ozSLAbSZuS8Bw&#10;D9V6VHLJbHNLDTj8DujrUlSRQ0bqynoVORT68uf4fa9prFtG1xgB0UuyH9M0n2v4k6T9+EXsa9Pl&#10;STP5Yb86OZrdGTc4/FFnp8H+qH1P86krzG1+J11YsIdX0aSP1ZcqfyP+NasXxU0BziRLuP3MYI/n&#10;Tc1cn2ke53HauN8Y+OItBT7HZbZtSccLjIjz3Pv7Vi6r8TJL3Nn4esppJ5PlWRlyR9F9as+D/BL2&#10;039r64PNv3O5Y3O7YfU+pqXJvRDXNUfLT+8zY/DvjbxCqzajqrWcLjITzCOD/srx+ZqzF8Kbc83e&#10;qzyN32oP65r0bFLVqnE644Smt9TzW4+GFxav5ukazLFIOV35U5+q1C2pePvDGDdx/b7Zf4/9Zx9R&#10;yPxr1CkwMdKTproKWEjvF2ON0b4naTfkRXwaxn6fvOUJ+vb8a68Si6WKa2mR48kkqchgR61iax4O&#10;0TWlJuLNUm7SxfK3446/jXJSeAde0eQy6DrLBRyEZih/wNF5R31MHTqw6XPTYJBPEHAIzkEHqCDg&#10;j880kSI8Ch1DD3Ga8xj1/wAf6PlLzTTdovJYQg/qnFWLb4qfZwI9Q0iaMjqUP9CKamrake0XVWPS&#10;Gt4XdXeJGdfusRkj8adsUEkAZ+lcFJ8WNGC5S2u2PoVUf1rNm+I+t6s3k6Do7bj/ABlTIR+XA/Gp&#10;50L2semp6XPcQ2sJlnkSOMdWdsAVx2q/EzQ9PZo7YSXsoOP3Qwuf94/0zWBF4K8S+IpRP4h1JokJ&#10;/wBXuDH6bR8orr9H8F6Jo2GhtFlmH/LWc72/wH4U05vbQ0jTqz20Xmcz/wALWcH/AJAUmP8Arp/9&#10;jVm1+LOmyS7bqxuYFP8AErB8fXpXdfZ4cY8mPH+6KqXejaZexGO5sLeVfRoxRyy7l/VqnSRHpnib&#10;RdXUfY7+J2P8BO1vyNbAANefap8MNMnLSabNLZy9lyWX/EfnWSjePfCrCJEfUrbouFMoH5fMP5Un&#10;KS3M5KpD4l9x6xSMMgg15f8A8Jp43/6F1/8AwFko/wCEw8dvyvh5gP8Ar0k/xoVREe0XZ/cemwcw&#10;J9KfivLl8WeO0UKmgkgcf8ekn+NH/CZ+OI/9b4ebH/XrIP603NXD2nk/uPUcUYAry9fiTrtqc32g&#10;Mq+u11/mKtxfFuxzifTLiM+zA0uddQ9rHqei4FRvbwyOjvEjOhyrMoJU+3pXFL8VtAI+aO8U+nlg&#10;/wBaevxT8PFsEXi+5iH+NCnHox+0j3Oqht7qK6lZrvzYGOURkAKe2R1FEC6iscxuJbZpCP3WxCFB&#10;x3ySTXOr8SfDLDJvJF9jC2f5U2T4meG1BK3Ezn2hNV7SPcPaQ7nQ+dqUNk0ksEM065Plwtt3dOhb&#10;v161Ol7E1slxIfIRwDiYbCPYg9DXDXPxX0pBi0s7mdv9oBayJ/EnirxKytp2gxrEhyjvCGx9Gfil&#10;7SIe1j01O306GfVfEd1fTE/ZEHk26BsqVByzY6ZY8fRa6m1/49Yxn+HFcj8P7m8uNMYX5zcpJIkp&#10;zn5g3P8AkcV11v8AcYdw7fzJr2o2UUkdc3sicdKKKKZAUUUUAFFFFABRRRQAUh60tFAEFscRFfRm&#10;GPTk4rjvCX/JRfHH/XSz/wDRbV2MXE0w77s/mK47wl/yUXxx/wBdLP8A9FtQB3FeO6p/yXyx/wCw&#10;bL/6MevYq8d1T/kvlj/2DZf/AEY9AHsBOMelcbrWirqrz3K6jaRQMNmQcAkkEZI6Hjt179K7CRS0&#10;ZUdxiuKtdCj0zQLzSpNTsmkZwzs7bdgKgeuQaAOpS4jsLSFLueJeiK3QHnC/nxXPW2kXOn+Jo7qS&#10;4tjbTSFlBYhslJTgA+xH4Bq1tT0t7+ytoY/KLRFXDuMgleQMehIGfasrV9On1LVYkgntkmjijLQ7&#10;zlSBKDgenz9fagB1hZyab4lvJJ9QB+2EusDsTk4AAA7Yx29fxrM8Paa9p/aVhetpSX93EUVYcZJA&#10;+YEYzgbgcVq3mlXF74k+2wXcXlwunmRcZAG09fp/Os+y0uJfF0uuQ3lo8Mckhm2OcqpTHTp1wfwF&#10;ADPBujnTVvdMbUfLuEdS32aQFuB3DA4GCP8AIrQvoLLW9M8uDWftYimhuWMrIdiBsk8KMfLmm6VB&#10;aWmqajrS6hDLaEsS6ybtpZiWzgeoAHtWd4f02DTdIvHm1OCSylgW2SUfdDDI7j1J9aALsWk/a/C1&#10;la2U9vLJaliWypQtg8dCOp9OKh1Hw9J4isNGltJYfLtE2r8+7jG3qBzwPzqWwjttM0G9mku7f7Pc&#10;hRDMku0EgHPOMZBycj244qzobr4d8OWkV7cWsTkj5zLlXXP8Jx2yKAE17TZDeWFw06QxxqiFvMCk&#10;MGBOODngHvWTremJN4n07xALq1Fk7RSqxfaSic59Dxz9PrWx4yih1C2t7NLu2iumJeEStgkkEAjj&#10;1NZmt6JFqOn2Ghm9tRd20RTYJChY7cLgDtyOOgoA0I7G1tPFralJeWyiZRJEC2GYsGB/DCqR7g1D&#10;pGhHSPEF3Jc3cB+272jTecgtycDHI4qW90qa61WwjgltvNtLVRJG55J3AemcYDDP+0fWpb/T5bzx&#10;VbXcOx4rTb56+djBw2OMe4PXnFAEWh6QulXN7aiS3Ms1usYjR9rjZnPbj/WL9OKXQNM+z6dfaZee&#10;TJcMEDokwY42BRnI9VJ6HNWFgim8TrqcFxEYYIZFnxIhwW8sgn5c4wvr6VDYJIuqXmszXFq1kGk/&#10;fRueEGRgjoSCDQBBbQMfCtxp9jc2v2mFj5+5wVC5ywJUDBxUkulPrGgQ6fFPbttZy4DFwEdXUAZ9&#10;A2R9Ki0qwFnba5M93CYruR1jkafKqxGMHjrk/oKu6HJb2FnPfzXsH2e4wVcSgqpUHKr7cE49c/gA&#10;ZuueFdRvtPsIrZog0CyhwXK53SKwAOOwB/HFaV/od7d3VpLHsRYY4yQZDncjBtvTkcVvz3VvbojT&#10;TIiuwVST1JOAKbNfWtvLHFLcRo8h+RWYZP0/KgCyB0zS7RVSTULSK6S2e4jWdyFVC2CTgkD8gacu&#10;oWrXLWy3MZmRtrR7vmBwDjH0INAFkKBRtFApaAEwBS0UUAFFFFABRRRQAUUUUAFFFFABRRRQAUUU&#10;UAFFFFABRRRQAUUUUAFFFFABR2oo7UAeO+CP+Sw+KP8Adtv/AEStewivHvBH/JYfFH+7bf8Aola9&#10;gB7UAcVqX/JZND/7Bdz/AOhJXb1w+onPxj0L/sF3P/oSV3FABRRRQAHpUNp/x6xk9WUMfqeaLo4t&#10;ZcddpA+uKlXhcUALRRTGcKMscD1oAViADXEap4rvbPxGLO3sJbqARh3aI8pubavy9wT1PatzWvEN&#10;vpVt5jRyTISFPlKWOTxwBzXK6VrGh2muXV1v+z3N2F89romJ1xwgCtjg89P60SbjG63N4QaV2jub&#10;TUYZ15cB84xnvVhrmFVLeauB1Oa5nUvDcV68U1neTWEsZZ1NuF2sW6llIw3/ANc1Ba+G7+2uYnk1&#10;2e6iIInimjUbsjqpGNv05rFYmm99DO9Nsn1PxdHDdvYWVtc3d4F3eVDGSQD0JJ+UA+pNU7ex1UaX&#10;d32sPC8+0zxW0YIEDKMhS2fn6DPTnNdFbWcNpGqQRhQFCZ6nAzgE9T1NTMNylSMgjBrnqYpt+7sS&#10;6tnaJQ8JX0uoaFa3cwRXmjWTahJA3AHv9a3jXF+HLGfStSns7e7aXT4m2wxPGQ0fcjd3A6D+ddix&#10;AXJNd976l1FrfuNtuY2b+8xP61NmqttNH5KDcuWGcA+vNKb2AS+XvG6lZkWZYJ4rlte1CyXVbG2l&#10;uFSSeUKimPf5hHOOnH19q19Yu5LaxkaBDJLg7UBAJ9ua53QPD+f+Jrq6CfVLgAsHUYgXtGo9PU9z&#10;z7VnVqKnB36lp8keYtXmuvaajDbvZSeXLcrbo46sSpO4D0GOeemT2qOx8Sx3dxZI8XlJfF/s+W5O&#10;3PUY9u3Spb3Sb68uQTNAsaXEcsMqriSJFILIOOd2COvQ9KpxeGHXVba/8iyje1kkkRYi4DluOh+7&#10;xycZyT7V5/unOdP2oFQt54ZVRYwufmYk5x9MUha4Df6uNkxyQ5yT9MY/WsrdRFMaHaLKJAG8zzfN&#10;L5BJ+ffj6Zx09KsJYItyJg7lgWO04xzUokmLtmHCg4B3DJ98elFvK8qEyR7CGI27s9D61V2O5jze&#10;FbZ5EliuruCVI/LR0kBKjv1BznHOeKisPDAt9/8AxNtScZ2keYq9OP4VB6Y/KukqKDmLd6kn9aLt&#10;piM0eHNP/iWZz6tO5z+tPXw7pS8mzR/dyW/nWnnmmSzxQpvlkSNfViB/Os7ICnFcW8d5/Z9vAwKL&#10;ljHHiNPQE9M+1Aiu7w3EN7DClqwKqEcsZAc53ccdqoRa/aR6hcr9sSa2wpjEKmQhudw+XPHT86s/&#10;8JHpo+88yj1aBx/Sq5kgL0VnBB/qogo27cDpgUi/6PII1RhFjgjGF9qqJ4i0h22i/hU+jnb/ADrR&#10;SRJVDoysp6EHINCkAkc8UjMqSIzJ94Bslfr6U/IqKQRAF3IXbzu6YrjdZ+IOl6QjR293/aF0MgKi&#10;gr26kY/Sk2kKUox3Z2Vzcw2tu888ixxIMszHAFeSX2q6r8QNWGl6fJImnKdzuV2jHqf6DmllbxR4&#10;/kVJYxZabkbjsIQ+/PLfyr0fQ9Es9AsFtLNMDq7n7zt6mp1lotghTnWfZFPQtAsPD1u8FlDvm6NK&#10;xG5uB1PYZzWwkxRSJ9iMBlsNwBUcOxbtj0aQEdeysf8AGpjAjTeac7sYxnjv/ia3sloehGMYq0Rs&#10;hMsKvCyvghgeoP41wd9e3zaXLZ6fczSNdWVyxilhVHgfPyjjnccngkk4zxXePGYmEke0Ln5xjtyT&#10;isi/1C/hvp0twWRIw2AowOCeT+Aq4MGQaFdyf2peQLIbu38mB47jyQnzEMGQlQB8oC8HkbsZreWO&#10;aRm84qEP3VQH9T3+lY1xqdxELU+YAphSRmJUAk8EdOMcH3pbjULhNZSISt9nYgYVQSflJyOORxQ4&#10;tsSLHlwSa3cQsE2taIuBj+84P6YrMmuGs/DN7PPHicL9kQdNzL8gP0zk/QVd/teWPU50uHjht4wu&#10;Xc4wMyZOcYA+UVBc3M2s6paDSpbcxWwMzyTKzKCchflGMnGT1HWtJVmko+n4GLp63v3/ABNXRraG&#10;10i1it/uCMHOckk9T+dTy3ttFOsD3EYncFli3DcwHcDqaZLZyTSxObuZFQ5KR4VW+vGaWc29jHPe&#10;mEBgu6RkT52wPYZNYNpybNoqysVLW6ee8vLJEaExMrZfklWzyPTocVoQqFMoAwA3QfQVFZoPL+0G&#10;2ME04DyITls4xz74GKmi5Mh9XP8Ah/ShsaRJRRRUliUUVz+ta1qFtq1tpWlW0Et1NGZi07lVCg9s&#10;daTdiJT5VdnQUVzJ1jxPAcS+HIpz/fguwAfwINA1PxTc8Q6BbWx/v3F3uH5AClzE+1Xn9x02aThR&#10;wMd65r+zPFN3/wAfWt29op6paW+4j/gTGkHgq0mYvqd9fagx/wCe0uFH0AwKLt7IXPN7ROgkhDbp&#10;I3KuV27hj8OoNV5LRbyWKRp5Yri2yu6JhjLKM5BBB4INY/8AwiD2bF9F1a7sM8+WT5sefof8aij1&#10;6+0C78jxHHF5MpHl30CnYW6fOO3ampWFztfEiwvhuMSJZJczrpiQeRJbbvlk+6cnjvyDyM5rpBgD&#10;AGAPSseK5sbi+W/j1CFo41cbVkGGGFJPXtisu31nX9dVp9ItbK3stzLHcXLljIAcZCjpVTlqP2ij&#10;tqdZXN+LdNu7ptOvbW2S7+wymR7ZjjzAQOnuOaabvxjB8r6Xp11j+OOcoD+Bo/tPxd28P2n/AIGj&#10;/Cs5O6JlNSVtRq22k+MbBbuDzLa7gOwSp8ksDjsajh8Q3uhE2niGCV1X/V30ERZHH+1joaveHNIv&#10;LGW/vr9ohdX0gkeKHOyPAwBk9TW8Rn+tNLqhRg2lLZmZY+ItH1FlS01G3kkbom/DH8DzWpmsjUfD&#10;Wk6nGyzWUSSHkSxKEdT6gispG8TaCfJ8ga3ZjhHD7JlH+1ng0Xa3L55R+JHWUyWWOGMySyLGijJZ&#10;zgD8TXMtd+K9TG22sLbS4z/y1uJPMcfRQMZp0Pgy0lcTatdXGpzA5zOxCD6KOBRfsHtG/hQ+fxnY&#10;GY2+nQ3GpTjgraxllH1bpUCaj4ruS/2fRrS2BbJNzOWI/Bf8a6W2toLOEQ20KQxrwFRQB+lLF1k/&#10;3zTSbWock3uznDN40jyzWujzf7KF0P6k1Xu/F1/bWMwutAv7e4VSN6p5kYPruHauwpMZ6gUuUPZy&#10;WzMXQtS0g6TCtpqEEiIvzMXAbd1JIPTua1GvLZVBa4jALFB8w5I6iub8QeCLDWHWaCKO2uASWkQl&#10;C2R321lSeA9St7RWsNYczRyNIsN0PMRiT68EHHXrVxSS1EpTirNHT3FnYySi8t7w2k8oyJYXGJMd&#10;yDkN+VONzqliQbmFL2D/AJ6W42uPcoTz+B/Cuat7+d7u20q/tItPu4kZYxIx8ubJ/gOD6Dv+FdzG&#10;GEShjlsDJ96TiujHBqeqKVvrWn3DiIXCRzf88pfkf8jzV8HPIqK4tbe6j2XEEcq+kihh+tUDoNoh&#10;zaPPaH/pjIQPyPFLUvU1DxRWX5GsW3MV3b3a/wBydDG3/fS//E0g1eWD/j+0+4g9XT96n5rz+lCl&#10;3C/cuNawXUckc8Mcqbz8rqCKpSeF9DlGH0q0b/tmKt2N7a3iO1vPHINxJ2t0+tW6qSTYuWMt0U7L&#10;SbDTU22VnDAPVEAP51c5x/WlopJJbFJJKyM19VX7Y9vDbyTGORElKkDYW789cAgmorfXre4uIUEb&#10;rFPLJFFKcYdkznj8D+VZN54Zkk1K9mihjE1xdQzx3WRuhC43D1HAPTrnmprHQrmBtOtpAogsLiWZ&#10;ZA2d4Odox1yN3P0rRqNha3OnooorMoDSYpaKAIpMq6uBx0b6VCbS3ulcTwRSDceHQHv71YkZVjZn&#10;YKoHJJxgVDZEGIqCWVWwCe4quhLSe5zviSy0nRtCuJ4dNtftMn7qACIZMjcD/GtfQNLXR9DtbJV+&#10;aNBvI7t3/Wse6P8AbfjiC1+9baUvnSehlP3R+HWur71mkr3MqcU5OSQYpaKKo3CiiigYlFLRQKwl&#10;LRRQBFF0cdw5/Xn+tSVHHkSzf7wP6CpBTYICMjB5HvVSXStPmGJbG2fPcxCrlB4qbJicU9zIbwvo&#10;btltKtSf+uYpjeE9AYYbSbXH/XMVs5rKlvpbrUprCzZA8O3zWPLAnnAHTp3z+FXCl7R2RPs6fZFN&#10;vA/htjk6ZCPoSBVS50LwTpgVryLTbcdvPlC5x9TWvbeEyXMl5e3NyxBB86UsMHr8owP0rTj8P2Mb&#10;h/KXeCTuCgHn3rpWCj1ZHLRXT8DAtB4cgjWTT7OF1YBlaG33ZBBIwcexqaHWL28YpbaTLCm3KvcM&#10;F9ONoya6RdPt1P3AfrVhIlQYVQPoK2jhqUdUPnhH4UZeh6abGJywAZ2LEhQuSTknArQi4mnHfcD+&#10;g/wqcVCvF3J7qMfrWxlKXM7k9FFFBIUUUUAFFFFABRRRQAUUUUAQD5btx/eUGuO8Jf8AJRfHH/XS&#10;z/8ARbV2L8XUfupB/SuO8Jf8lF8cf9dLP/0W1AHcV47qn/JfLH/sGy/+jHr2KvHdU/5L5Y/9g2X/&#10;ANGPQB7Aegrj9d0ZLq5uZpr60tj5eAWl2kBmwGOeAeCP9r8K7A9K5HVvD6y6peXX9pxiSWJcxTAA&#10;IMso6DOPmOPcUAdLYxNFZxRsytsUKrKcggdDWRAsLeKXnhnt5JDHsliD/MirnDfXLEEHsR6c7VnD&#10;JBaRQuVYxrtBHcDgfjiuVtNOji8bPLFf28vWR4i43o2HBwv4rzn+dAD9A0+W0v57iS5gaPymQ7XO&#10;QVKqc59Ch5qpoGkSyabqMC31vdefAiqy5IXIJ5GffrUun6KJl1a0SeJhPHcRl+pQvLJyRjnqQfda&#10;j8KaHDpVnewf2oJIAqMJoJNjhRnqO31zzQA208MS6T4Pv9NuZYBHJKjhw3GzK5B465DfnSR6dFD4&#10;blghuIBbjUw5LZAVSR8vABzkgYrS1Gytb/QbkQapLLFIUQvJNvUYdT/9asqz0aytvBj2T6hby2kV&#10;4HNzIOylW/A8Y/H8KAJZdPM/g+whjubYbZ93mbzsf5jnHfpn8qXXNMa+03TBc3dtbzRpv2mThyOD&#10;znkYb8zmq+p2CJ4N0yzhurQKrbS87ggnp8pI5OTSeJPDzahoujBHtIvIj8sIpADsygnaemBtJ9xQ&#10;Boa5Y27azpT3GqR2xChTE7DLBTkEf8CwKivdMhHjy3vHvbXzH2gW7NhyVwQR+G447/yk1fTblr7S&#10;DazW4lgg2GCR+X+7yPpgjPvT77S1l8Y2l211AJQVIgZyGwO4HTv+OfagB0VnD/wm8t9DeW4mlXa0&#10;JPzMF+VgB6jKnP1qfTDH/buqhFgWWUA4EwYrtGDlc561nWWjG18eS3aXULCQs7RhxuH3s8dvvx8f&#10;/WqLw5o66fr+qOLyGTz2uGMfmHcmZDjIxjGMUASeGoRBc6y8lzBNbPCrNtYjZ9/cOR93Ibn2qVbC&#10;M+FNXs4763ER3ym4WUkJuJd8j+HB3Ae3vUHh7Q5IrTWI0uY5DewgIUJ+X5SB1HTJY/n61sab4YS0&#10;0O5smfEl2rCds7hhmY4HToHIzQBz8Oiy/wDCD3dsLq0kJmWXzUn3KAAOrDuMVfuNFWz8Cmwlc4VH&#10;KOzAiPdkjJx0G7Gf1rUj0i6Oj3dhJN/x8OQHJzsQj3z6dKff2OpXvhqSw2Wv2mSJomLSsEHYN90k&#10;5GDj370AZniTAs9NV57aGHc25Lk7WY4yCOnTBJ6VD4i09Lx4Ipb21jcWjIqM+WZmBUH6ZYe9aev6&#10;Hc61FZsJUgkiYh1XLjaxG7B+XnA9O9Qa14Zm1LULe6S4IMEIjA6AkOrZIOewoAz9U0uWbxvaXIuI&#10;CBKCIGcBz+75x37Z+lXIYYl8YySG8hE3nMVh8wZYGJAcj1GB+BNQa14Vu73xdYaxF5TRwSbioOCO&#10;FAye/Q/pViPw7c/8JmdVmiikhBYod5LJkKOn4H86AOgh1OylvGs47hHuFUsUHXAwD/MfnU0N7a3K&#10;SPBPHIsZwzK2QDgHr9CK5/TtCvLTX5L6byWhYTBQshLDcVIPI54UDtj37TaXo76fPqjxReV9pk3x&#10;EsuFHlqozj3U/higDXi1KxngeeK7heJCQzhxhcHBz6dKP7RtDa/aRcIYM43g5FYNhoupppF7bXMs&#10;PnTqQGGSu45y2PfNUpPCV2vhy+0+J4BLPcCZSR8v+qVTkf7yn8KAOpGqWLQQzi5QxTNtjYHIY4Jw&#10;PwBP4VZjlSVA8bBlIyCK5KLw7e/2DYWJEaSwzs0h8w/dMbpkHBwcsMfSul022e00+C3kKl40CEr0&#10;OKALdFFFABRRRQAUUUUAFFFFABRRRQAUUUUAFFFFABRRRQAUUUUAFHaig9KAPHfBP/JYfFP+7bf+&#10;iVr1QQXJujI1x+6B4jA7e5ryvwT/AMlh8U/7tt/6JWvTVuyt68HzHe3djkfTjgU0ribsc3qPHxj0&#10;P/sF3P8A6EldwOleYQ6EdI+L2mINV1O78/Trl83lx5vl/MvC5HA56V6SEmA4m4/2kpDJ6Q5qH/SR&#10;/wA8yPxFRzXEsUTO0Y4HUNmhB1sF5MkcSh3C5cdfrmopNYsoOHnUEDPJ7etcRaahqPiDxLMPPWKx&#10;sJghCKZDOSoOCRwMZ5HUcVty+H/D9yYjdWMM5iUrGLkFyATn+KoqVY03Z7lvkjo9zej1S1lj8xJV&#10;Ze2Oc1yeqa5qGuXs2k6JCyyRsFnu5FxHbg/+hNjkAcepqWy8I6Zp99LJZySR2cy4ezEp8sNuyCoz&#10;8vfgV0aRRoPkQLnrgYzWNTFJL3VqDnBK8NzM0vQYtMjiUXNxO0e75pZMlixySfWrlzpljeTRTXVn&#10;bzSwtujeSJWZD6gkcVborhlUlJ3bMHJy3YgAFLiiioEFMdA8boSQGBGQcGn0hpp2dwOC8Oa5cWyy&#10;aW0N9cXsMsqNKY2OQpO3LNwCwxjmpNV1XV9W1eTTNMlNvLZ2/nzySRhhk8rH/U47YruMAdh+FVAh&#10;8maQ4/fOCAB0BCrj+v413RxjtsdHt9NjFOiaxJpluiamttdo26RvL3q3GNuMjgf0FYmtaFqGhqNV&#10;0+S71PVTGYSZZMIA3QhAMAA88fWvQRRgelZ/W5812L28r3OW0rTtdvpRLr62aQeWq/ZIiZAWBB3E&#10;kDH0wfrXUgYoxVe8vrewgM1zKI0Bxz1J9AO5rGrVdR3ZnObm9SzSHisdb7VrwbrWwSCI/da7fDEe&#10;u0cj8ead9j1i54n1COBO/wBmj+Y/i2cflWVyA1HU5TcDTtOUSXrDLMfuQr/eb+g70i6EWUNNqeoP&#10;N3dZioz7KOKu2GnW2nwmOBCCxy7sxZnPqSepq3SsBkG21m2/1N9b3CD+G5jKn/vpf8Kh+3atbyNJ&#10;NpaupABMV0pXPqNwFM8WST/2HdQxGVEaCQyTRqSVAXOAR0J9ewz7VzlxI1zpmpPIW322j20lmGBB&#10;DEOSw9yyqPwH46KndXuOx1n9qaiPvaFc4/2Zoj/7MKZDc6zLEvk6dBAOubmfJ/JQf51eQ3HkqzGP&#10;HljrnOcd6p3d/Nb2cSiNY5N6KTIflCHq2TjoM0uWyeoiMw39xN5F1q0cTld3k2qgMR9WJP44qC20&#10;W2uvOMmnSROCVW4vCssjf7QBJx26/kKnXVtFhnd7bE9zJjcbaFpHbjHJUH9TUn9pajN/x7aNMAej&#10;XEix/oCTU3QF+0s4rC0jgjLFYx95zkn1JNO+0QlQ3mJtIyDnt61mS/2/PC6bbCLcpGdzNj9Kw7Tw&#10;3r8AVHvrWRDbtEfMVjsJ28AZ9utVGzWozrXa1kjff5TooywbBAHvXPa4NL0Kyk1KC7/s9lOAIeVk&#10;b+6U6H+dYOsXdx4VsL5bx7SU3YKJEkhDsrKqnAwcdD+QrC0bRtU8damb3U90OlRtlVU/KfULn9TU&#10;ztstyG76R1ZKj+I/iJc4E32TTEwHxkLn6fxH2rtNE8DaLowVxALmcf8ALWcbsH2HQVvWdnb2FrHb&#10;W0SxQRjCoowBVikqaS13Oulh4x1lqytOFdktgMbvmIBxwCKsdqgeQLdKp4BQ8np1HFRxmdA8ay+Y&#10;45zIAMA/QDPetkbjrTErvKVxtdlUn0zk/r/KrVQ2o226DJPrk1NSlqxoSsvEg1FLWC6jSJCZZYzy&#10;7A9AB0C5z/IVNdaxY2kvkyTFpj0iiUyP/wB8rk1jX11f6rcNHpNqlrfRrzcXKqXRW9FySMn1oT10&#10;JbRtjSrBbt7tLSGO5cYeZUAZh6E96xtR1Ow8Pu0cklxeXE4YlPM3Mo9gPu9faqNhcas2oPo+r6lL&#10;GVxsmiiCebnqN+AM/wC6K310rSLby8xQLtyQXIJcnBySep4ByaXNqS3c5+zkMtsjKiWNvNI4WKL5&#10;5W2jqzt06Ace3NbtlLZ2EEf2aJykxLPI7ZZmyF5LdeePQfSrK6bbMq7CdoZ2GMEEt16innToSkaf&#10;NtTAA46A5C9OnFV7u41Ein1aOCWGNon3SDODgFQQxHf/AGTVxwJYsEFSRkHjKnHUdeaxtVn0HTVj&#10;e+uUgKAKqiQ7iAGAAA5/jNURq+ta4Nmi2Rs7U8fbLxcEj1VO/wCNS5R6Euolpua51GDRrMJq+pQB&#10;1z+8YhSw7ceuPSstPG2nAEW9tf3a7mO+C3JXqe5xUUGgaPpV39t1C6N9eBcSvc/vCMkYIXBxj29a&#10;6i2VVhIRVC7mxgcfeNFpbsS9o/I57/hNrY9NJ1gn/r1H/wAVR/b+vXXz2PhqXyv71zOsbH/gNdNR&#10;gVPK+4+WfWX4HM/2r4rcYTw5Ch9XvFx+lZmow+IdXvdP83REtJ4J1cXaXIYKmfmHHPNd1iily+YO&#10;k2rNidT1P40YpaKs1sJj3pcUUUBYKjmgiuImjmjSRGGCrqCD+FSUd6QWOUl8I+HLnVCjWUaOFLeX&#10;GxQFeOcDjrXTQQRW1ukECLHEgwqKMACqdu1q2rzAIftSRjc/bYTwP0NaNVJJMiMIrZCYFLiiikWJ&#10;iloooAKTFLRQAYoxRRQAlRxdZP8AfNS1HF1k/wB8/wBKaAkooopAGKTFLRQBn6vo9rrVi1tdJkZy&#10;jj70bdiD2NYmma1daPeJo2vvljxbXp+7MPRj2aurqnqWm2mq2T2l5CJImHfqD2IPY0muxnKDvzR3&#10;LeeKWuOttRuvCVyLDWJXm0xzi2viM7P9h/8AGutiljnjWSKRXRhlWU5BHtQnccJqWnUkxSGlpkjr&#10;GhdzhQOaZZQl0myu5HeSACZWO2WM7HX6MMGmfYdSthi01EOg/guY934ZGDVlJZSWkRMJuBKsMNjA&#10;/I+1WwcgEUSjqTZMy/t+pWv/AB+ad5if89LN9+PqpwfyzU1vrFhdNsS5RZP7knysPwNXqq3kFlNH&#10;i8ihdP8AbXNTZ9A1LWO1IzBVJY8AZ+lYgttR09Q2ls1xbf8APtctgqP9ljyPoantNQtL24VbjdDe&#10;J/y7zfKVPqB0P1FVfuFy+JZHdwkWFBwGc4z9B6U3/Simf3W/OMc4x6/Xr+dWPrS4oQ9SArc/Lh4s&#10;fxZU/pzQBOHPzRlO3ynJ/XFT0YouMgWFznz3EnPHy4H1I9ciq19fR6ZY3t5McJCN59/lGBV81yPi&#10;YNquu2GgpnypSLi6x/zzU9PxP8qG9DOo7LTcu+DbGS30X7bcg/a79zczE9fm5A/KuhoUBVCqMAcA&#10;UtJFQjyqwVgw+JIZ7t1jaDyI3kWTMmHAQHLAd+RjH41unpXMHwoHVbcvGtsLuW53KuHO9WG0n/gX&#10;WtI8vUbv0NHR9a/tZ9yCDymiEo2S5Zc9iPp3HfitesHStCksbmzlkeIfZbX7MoiXAfkHJ/Lp9a3h&#10;0pStfQIt9QoooqRhRRRQBEP+PiT/AHV/rUlQTzw2shlnkWOMJyzHA4P/ANc1nC/v9T/5BsIhtz0u&#10;p1Pze6p1/E4obJvbQ1J7mK1iMs8ixxjqzHFZn9qXd/8ALplofLP/AC83GVT/AICOrfpUsOi24lE9&#10;08l5cDpJOchfovQfgK0+1Tqw1ZkjSJp/mu9Tu3J6rE3lL/47z+tVbHTbXSPEzywIy/aI0yWYHpkH&#10;knPcVv8ASsKY3F14ugjiMgt4ICJD0VnZhgfUAE/jXThV7+hSijsAcgUuKQdBTq9A4hMUtFFAwqA8&#10;Xi+6EfrU9QS8XETduRQBPRRRQAUUUUAFFFFABRRRQAUU0uq9WA+pqNriJfvSqPxoASfiSFvR8H8Q&#10;R/PFcd4T/wCSi+Of+uln/wCi2rq7m5jMOV3MFIbKoSOCD1x7V53o+tXen/E/xXFBot7epcTWgklg&#10;27YfkIy2T7k/hQB6LHqEctyYEViQSC3GAR715Tqn/JfLH/sGy/8Aox69ZgljkJG0K4J4OM/WvJtU&#10;/wCS92P/AGDZf/Rj02JHsHYVymp6VaDUNRmutRg/0iGP93Mo/d4fKn6cECurPQVyOsaVGuo3lwdV&#10;t0e4SMSRXG35V3HoRyM8gH60hnVxMxjyxQ5Jxt6Yzx+lctBZqPFiTW1/C5E8zzQjqAUwQOvO7yz2&#10;6H6V01sHWBVbZgcLs6be36Vztjp7W3iyWYSF2bzWkUs/yq5G04xt6oaAH6FYQ2uo348y3eYoAdhy&#10;4y8jc/g6/lWfo9kkWm6mst7bsZodpBk3oCoIdiMDHzE1f0vTzbeIdUvEvI3WdlM6AfxbF2kegAwO&#10;Ov1qjZWVo+n6vCuqQPA6MrsPmMf+1n056dOlAGVoOiR2nhjVbZ7qykiDoZJN5ZMLnO4Yz096tro/&#10;2vwRPZPqFvMrTyO0wdhtDbsAkc5GRx07UaVolrJ4W1uzh1iC5iuSI0lDbQuFCAH0ywPIq7aWlhY+&#10;FLhHv4Zra5kyswUsFD9OOTnBoAil0aRPDOmW0d3AnlTbhMzFupO0jIy3JXrUviKzkmt9GAe1jeFu&#10;cTMqtlCuF+U56jBPbNF1HFc6Npckd7ZxRRS7g4DBXCnjA65+Xmk1DRXl0vR4/t0CNbwxRbjyJGAA&#10;49j60ATa4LFtV0xpJraKWIodryAFlO4KBlT3z6U6/SV/FkDm+s0iCptjMpWRSGBbgcHOVABPfvVD&#10;XNCWXXLC5e9topooogodipby265HrvI/Krt9pmm3PiqCSS/CzF0ZoNwDF1ZHTHHT92c80AV/s1vL&#10;41Sc3lubgzOyRBSGACIrD3I2L+ZqHw/pL23iW/n+120yFJeI5jmMM+QCuP8A9WKtw6YV8UpO1zbN&#10;ItxNL5QY7tpAx7ZGRRoOlxxeINQvxe287zgxzKg+bcrEE47DIP8A+qgCTwokENxcst7azM0SK6xS&#10;7tm3PsMD5s/X610CapZSWkl0lwjQxlgzg5A2kg/qKxNK0T+wZNTuWaGO3eFSrYzsILlieOmCn5Vm&#10;6Pp9rb+GdTtbbULWS2DSMSeRGA7HBP8Auj8Dk0AdTDrOnz2Yu47lGgLBA46bj0FOfV7KKxjvZLiN&#10;LaQZWRjgHgn+QP5VyOnada2PhCa0W+tjEk4JkG7AxjAIPfpU08UA8BJBLdQ/MJIknXIQsxZcjKkg&#10;ZJ4xx60AdRdatY2bQi5uoovO/wBXub72Mf4j86W51Szs2jW4nSMy/cz36f4j865XxRYWmq2OmySX&#10;ixAq3lsylt3Q8ELnt7Ve1q0t5bnTo59QW0eNeOuSOMkeh46npQBuvqdnFdC1e4RZzjEZbnnpTV1e&#10;wa++wi6iN1kr5Qb5sgAkY+hH51zl5psbeNILz7ZtfzY2MWH5/dyADjjv396lh0q2t/GUlxGYBO8j&#10;3DKH+cq0aL0x/eU0AbsGr2VxdyWkVwjTx7tyc5GMA/8AoQ/OltdVsrwn7NcxykLvIVug9a53RdDN&#10;n4lv7zzoWby2jkVc7kLOXHP0K+vb0p/hjSrCxtrkG4inugpWYiQkKpVfXjkKDnH8qAOjttRtLyAz&#10;29zFLEOro2QKbHqNpJaC6W4jNuTgSA8elc7pyKnhnU5Le9hCSGRknLB1Tr1AUdKZa26jwxLEL2zT&#10;NwuZN5MaspXjn1K9vX8aAOj/ALXsBZQ3n2qP7PKBsk3cHIz/ACpW1ayjihla4RY5l3xsT94Yzn8q&#10;4q50uFvCNpHa6papbJcblmZ8B08orj6nqRV2+0nboWl2l1PBAEhNu7LJjLMABtOOaAO0Rw6Bgcgj&#10;IPtTqoNqNtZxwJc3MUbuoCgtjcTgcfjSy6pZwXi2styizsAVQnk5zj+VAF6iqi6javdNbLOpmV9h&#10;T/axnH5c1boAKKKKACiiigAooooAKKKKACiiigAooooAKKKKACjtRR2oA8e8Ef8AJYfFH+7bf+iV&#10;r1f7Fbm4E/lL5g74ryfwR/yWHxR/u23/AKJWvYR0oA4jUf8Aksehf9gu5/8AQkruBXEal/yWTQ/+&#10;wXc/+hJXbUAB6GuX17WY1vLbS4txubhiE2xlwmB95gOigkDPqa6g9DXC6vYahpfiWPW7e5twjKIJ&#10;ork7VMeSchxnByRxjmjWz5dzSn1a3N6wsLfT9sFvCkSndIwRcAuTyfzJq/UERzM5x/CoPsef/rVP&#10;XkTbcrs527u4wxRnqi/lTPs8f93B9QamoqU2hEPk46SSA/72f50vlyjpOT/vKD/LFZl7eT2tyJCT&#10;5PnKmOACDj25Oc/hVO21O9bUhE7x/wDHw0flE/w/MQc4PI21ai2Fje/ff3o2/AijfMOsan6NWTYa&#10;k0+pPG0wdC0oQDuAVx+QJrbyKT0eqAj81h1hf8MGk85R1WQH/cJqbNJupadgIvtEOOZFHsxx/OoI&#10;2jEaxo4ZRLgHOfepLm+tLQZubqGAeskgX+dVrV7a7EciCN8sSzDB3HHXI4PFNWA0R0pah+zxE/d/&#10;ImjyVHRnA/3qVkBKa4vUJb248V3BiRpjZIVgiCggNtRtxJ7/ADY/Cuqlmhg/1l6sQ/23UfzrNeyS&#10;5vmvNP1YRTuAHMe1w+OmR0/GhNJhcoXGp6kHiaCfcvVvlB3AyOuePYA59qsw39/JNDlhtKQnk9dx&#10;fOcD/ZH5VYNpryMWTVLST/ZktMfqGpptdekOZb+2jx2t7f8Aq5NU5eQxZ7+9XVFhACxk7Puk5yVG&#10;R9Nx9uK3B0rD2a/Ccia0uB/00hKH81Y/yoFpqNyB9s1CRE7x2sPlj8WJJ/LFTJ36Cuad4LWS1kS7&#10;MfkEfOJCAMe9YxudNmEUen6a175Q2xtHHiNcdt54/LNWo9H0mNhI1v5rj+Obc5/8erSWeBQAJIxx&#10;wMgcUrSGY89pqV1BLNf3ptYlUkQ2xAwMfxORk/hil03QNORXuWUXXnN5kbysZNq4GACSfTP41pXq&#10;RXljJAzbo5R5bbW7McHkfWo7aeRZWtfsEsUUQxG+5SrAcDGDmny+6IupGkahURVHoBinVTtbx7h5&#10;Fe1nh2HgyAYb6YrI13xpo+hKyTTiW4H/ACxi5bPv6VL03E2ludA7KiFnYKoGSSeAK4PxD8SbWzka&#10;z0ZPtt3naGAygPtj734Vzgk8U+PruXypJLXSpH4DcIF9MjBeuw07w/ovg2z88IZ7o/KsjAGSRvRR&#10;2/Cobb22CMZ1Ph0Xc42w0kS6uNT8ZG43zYMULIT5h/ukDkY/u16Gmt21uiRx6bqCRKMArZsAB9MZ&#10;H5VLp+nSPP8A2lqOHu2HyIPuQL/dHv6mtUGrhBrY66VJU1oZDeKNGjdY5b1YnbosqMh/UCnf29bS&#10;YFpBdXeehihbb/30cD9avGS1kmVS8TSRnKjIJXtn1qCCCWOaW4ivGnhl+ZYnIKj3VhziqszXUh+3&#10;apJzHpOF/wCms6j+WarQXGpQSShNLjwoBYJcDr7ZFaEd9ItpNPe2z2vlAlskPx6jb2qS3lE9q8y4&#10;2SZZCO69j+PWmk+4reZRi1K8WJV/sa6yB1Dpj+dK8OraguyaSOxgb7wiJaUj03cBc/jWpH/qk+gp&#10;1Jx7jt3ZWtLG1sIvLtoVRT1IGSfqepomhWMXFxEY4p3QAyOMrxnBIyOB9RWZqnivTdMl+zh2urw/&#10;dtrf53J9DjpWeuj6r4jYTa5KbWyJ3LYQtgsP9tu/0ovbYzdRbR1KOo6lceIbZ9JsIxqUwYb7uJTF&#10;BEQeDnJJP0PNTjwDZ3EMf9q3c9xduuzzFYBY+hARSCOMeh71t+GYkttJ+zRoFWCWSLAGOjEVpXGx&#10;fLkcgBJAQSe54/rSSvqxKnfWepxl94RtdNit7bT7/U/tszbYv9J445LEYwAAewHb1q2/gb7SUF1r&#10;+rSqhyFEoGD9cVr6WDf30+qsP3ZHk2wPZAeW/wCBH+QrXpKK3GqUH0MC28GaDbMj/YVmmRtwlnYu&#10;+fXJNaradaPdR3TQjzoxhGyeB+eKt0VfoaqKjsQfZLbzWl+zxeaRy+wbj+Pem6eu2whGS3GcnvzV&#10;hulV9ORY9Ot0U5UIADmq15Ros0UUVIwrJ1a/ntN6QKhbyHky3bHQ+/OOK1qjaGN2DMisy9CQM04u&#10;wmc5qWuajCFMECIrR+ZkqSRwSBg9zxx71el1KVNQiiLDyykbHA6klsj/ANBxWq0MbtuaNWbGMkUx&#10;7WBmZjBGzEgklRkkdPyquZdibMn60UUVBQUlLSd6AM+ymEuo3yeWQYyoL465zx+H9a0azLKa9lnu&#10;laKNYY5yqZyCynBzn6kjFXfPKvtaJwME5AyBVT3EiaimJLHIWCOrFfvAHkfX0p2QKmwxaKM0ZoAK&#10;KM0daACiiigBKZF1k/3z/Snmo4vvSH/a/pTQMlooopAFFFGaACiiigCKeCK5heKaNJI2GGVxkGud&#10;bwPpgc/Z57+0jY5MUFwVT8jnFdNketHbNJpMmUIy3RzH/CJ3Fp8+ma9qMEg7TOJUP1BFRPqniHSJ&#10;Ixqtgt7bqf8Aj4sVy3tlP8K6yoZpUwYyrvu+UhB0+vpRy9iPZW+HQztG1/T9YlmS2mPnLgtFIpVx&#10;+BrSECB2ZdwLHJAY4zXO61ok04W/sCF1Szw0Tn/lovQo3qCB+daWha5Brll5qjy7iM7J4G+9G/cG&#10;nzWdmEZO/LI0Fto1Qrgtnn5mJPp3NUI7+FL17S1tmkEUywyshHyMVDd+2CM/UVqdq5SXw1N/al1N&#10;FFGHn1CK7W6z8yKFQOnrztPsd3tVRs9y3ob9tqUdzqV3YqjrJbBC5bGDuGRj8qkvLG2vo/LuYVkA&#10;6Z6j6HtVCxs7mLxJqd3JDtguEiEbbgclQQeOtbFKSQ1qYji+0X51aS9sB95W5liHqD/EB+dattcw&#10;3duk9vIskb8hlNS1i3VlNps76hpq7kY7ri1HSQf3l9G/nUbC2NuioLS7hvbWO5t3DxyDII/kamJx&#10;VFJkc80dvA80rhI41LMx6AVzHhMS395f67cIVa8IFuCOVhXIH59aNad/EWsroMDkWcOJL+RT1HUR&#10;/ietdKkSQyRxRqFRYyoUdgMULVmL9+d+iJ6KQdKWg2CiiigAoozRmgAoqC7vLext2muZVjjHdu/t&#10;9azAdQ1g5y9hZHv/AMtpR/7KP1qW7CcjVmuIbeMyTTJGi8lnYACs06xNdL/xLLKWfP3ZpR5cf1ye&#10;SPoKli0LTYmV/sokkHR5SXP65rRAxTs3uLVmPFpBe7iuNTl+1z84UjEcf+6v9TzWxUcvEkZ9yP0p&#10;zTRp96RV+pxVctkNJIfRUfnx9mz/ALozR5ynoGP/AAE0WY7jbmdLW1muJPuRIzt9AMmq3hZPtFjH&#10;qDhvMuFErb8ZBYZwcADjp+FJqrCTSbyMxMQ0Dg7lyOVPuP51a0PdHpscccB2qAF+YYAA4713YSPu&#10;tkzdos2aWoAbnH+rj/77P+FGy5P/AC0iHtsJ/rXQcpPRmoPKmPWcj/dUf4Uv2cn70shPs2KAJqr3&#10;BAMbEjAcZ/Hj+tL9lQ/eLt9WNRXNtCIWOwEKQxzzwDmgCw1xCnDyop92Apn2mI9GZh/sqW/kKkWN&#10;UGFUL9BTsUAQ+eT92KUj124/nR5sxPEBx7sBU9FAFcm5P8EY/wCBH/Cl2XBH+tQfRD/jU9FAEHkP&#10;/FcSkfgP5Cl+zJ/EXb2ZiamooAhFtCOka/iM1Isap91QPoKdRQBFOu+GRfVSK4nwg2/4geNm/vPZ&#10;n/yG1d0y5BBrg/BZz4+8a+0loPyjagDqLe0uU1EyOqCLJIIbnn8M/ma8y1T/AJL3Y/8AYNl/9GPX&#10;sOa8e1T/AJL5Y/8AYNl/9GPQ3cSVj189vSuV1PRY2v8AUZ/7VRXnt1Esc5UCNMkBgQAQOuMn1rqz&#10;2rkNZ0S0lvb+SfW2tzcRRhkIQ7fmIXqMkZyAPagZ1Forpaxo7K2BgMo6jt+lYaNbr4tLxyoZ3UxS&#10;R+W+QFGQQ2MZy3PbDD053LVHjtkjd1cqMAgYyO36VzsWlww+MRdNeqZ8SSNFgAgOAoxx/sH9KAK3&#10;h+GG21uRRf200rwsvlRklgV2Kc8cfd/WotH0gQaZqcR1CCZXgC7iMhMZzkHt15pmi6Itl4quL2PU&#10;rabf5yNbr8jA5545z0wap+F0txaa3FJfaY8pi2yyQxnEfUHd8q5Gc8UAXtA0mxtPDF1bT6hFJZfa&#10;I5BNA2duChAOQf4h9Oaamn2dr4OhSK9jEcM0TXUsinaGRQGAAAx0FUvDmiQR+E9QRbu1ltXKt5+C&#10;yMqk5+XHP0Bz16Vcl0WP/hCprG61K3dHuXLTMxIXeSACfUFh/KgBtzZQroWkrLqdvCkU75kEhAkL&#10;Ej5RwTyR9P1qxqUAAID/f6W0uk6QpvrYBbZIRIzEiRgAcgjOchW5qK7sYrXwrpkYv4YYoZS4uPmY&#10;ADcQRgZJ74OOlS+JUjeDRUmuLaGSL5uZGRWyhTCjB7kYz0oAXxBps11rWlok1nhUT93Lgs+Gy2OP&#10;QCodZ0NbjxzY3gurYSB438kttfahHPvyelaOsJZTaxpaNJAlwm11Qy7SV5AAGOmfp3p17b3D+K4G&#10;+2W6xbEKREkOuCSSMDnOMdR1PXpQBQbSd/xAS9W8tCVX5og/zjBJPHY4deO+c1r2zWS6/I1jPAp8&#10;h1miAIO5X+9+eRUTeHZ5PEY1Z5omHm71XbgqpVFIz3P7tfTqaxtA05bXxVfH7XBKzrONisQyZfOM&#10;YxgZ9ePegDp3kh1vSbi0V1dpoCrHYwXDZGRkfX8qoaP4dutP0rULOaWGRrlmKsqAAbu2PQZ/Go/D&#10;EVvavdTi9glAjRJfLfITZn1Ax97JHr9a3v7X0/7A98buIWsZIaUtwMHaf14oAwYfC0yeHX0syqGE&#10;itHMo5AGMZHt0qK+8K3F94Ug0h3jDqT5jc/N82cg+/8AWujXVrFrJ7tbhGgQ4Z15wfTimvrWnR2s&#10;dy90iwyMyK54BK5yPw2n8qAMa68Ltd6ZYW8jRmW1Q/MBgFjwfw5P6VY17RJtTe1kt/KD2zhgH43A&#10;EErnHcDH4mtG51vTbSGGW4vIo45gTGzNgMAMnFFxrOn2s8MM1wFkmXdGME5GQM8e5FAGVqGh3Vzr&#10;tvfxMgSN0Z1YkEgenHBz+mR34c2gSnxWuso6LiPy2UrnK+g9++fetV9X0+O9Fm93ElycYjZsNz04&#10;qRdQtHvHtFnQ3CDLR55HAP8AJh+dAGXY6bcQavqV01vGi3WNrB8kYUDke+M1S0Lw/fabeai100U0&#10;F0uQATkHnK89sY/Kugi1GznuZbaK4jaeH78YYZXjPSmwarYXLTLDdRSNDzIFbO0Yzn9aAMYeH510&#10;XUdMDoFuAxjkGcqWJJGPQEnHtWXb+D72HwtdaW5heSa4EoO5sEBFHJ4OcrXVRa1p01pNdJcq0MH+&#10;tYZ+T1zVm3uobpS0LbgDtPBHP40Acwnhh4/CLaQF3NucxAv/AKvOe/4n86uatpN9d2dpDaskaxPm&#10;RJCCWHbBx+tdDRQBy2seHLnU4rZPNjxFBsYFSSzcYIJJ4yPeoNT8M3t14mg1JGieBNuY24PG3nP4&#10;V2FFAHPRaHcL4hbUWkUIJy6oD1Uxqpz75HH/ANeuhoooAKKKKACiiigAooooAKKKKACiiigAoooo&#10;AKKKKACjtRR2oA8d8Ef8lh8Uf7tt/wCiVr2EdK8e8Ef8lh8Uf7tt/wCiVr2EdKAOI1L/AJLJoX/Y&#10;Luf/AEJK7VnCjLEAe9cNrUvk/F3RZMZ26Vc/+hJTtY1TUtXNtY6YHja4ZhJcABfs6Kw3MVbvjOOP&#10;fpRoldlxhdc3Q7YSKw+Vgfoa43xXrVy15BpGkxJNqc+dgf7kajOXfg/Lxj3Jqa28P6hbyTBtduJ4&#10;miKp5sSbkc/xZAAP0NWbPR0stbmvg7u9zEEcu33dp4C88DkmsJYmCV47jUoxTknqX7NXWIiRgz5+&#10;YgYBIABP6GrNVhcRW9t5s0ixqcsWcgDk1zl74se+kNl4chN3Pna1ywxDF7k9/oK893lKy6nJKSWr&#10;NjV/ENhoiL9qdmlfiOGMbnc+wrF/4SLxFdEvZeH1jiP3TdThWP4DpT9K0FLOZr28lN5qMn37iTqP&#10;ZfQVsY9f1r0aWXXV6jOeVWT2MP8A4SLxDb5e88OrLGOptrgMw/A9a0dN8W6PqRZEm8i4XO6C4Gxw&#10;foat496o3+jabqS4vLKGY9mK/MPoRyKueXae5L7wVWSPPh/bHj7xDeQxX4tLW1J2oCcKM4HA6n3q&#10;f7X4q8BXWbpm1DTSfvMxZcex6qf0pmp6TqHgnVxrGiqXsW4kQnO0ejd8e9ddp3iiy8SRWi20kXzs&#10;Vu7WYgHaVPQHr82OnrXjyouEuWekjSjGFRau0jKn+LemiIfZ9PupJT1V9qgH6gms658aeJvECm30&#10;rR3iDZ+cbmIz78Cu2XwpoiWht4bBIEPVoSUf1++Du/WroM9vepEqBrQx4yPvKwI69yDn9KfJJ9Tp&#10;WGm/ikef6d8NLq+3XWv6hJ574wI23Ef7xI/lTLnwRrnh25Fz4dv5JSPmMZO1sD1HRq9FttTtbqWW&#10;OJ23xHDho2X19QM9DzVaLWLadJLm1Et1GvyZgUschiDgdeoP5U1SRf1WnbQ4n/hK/HcQ8qTRNz+p&#10;gP8AjTBpfj7xCM3d79ggb+HfsOPovP5mvQX1O0ihglmk8lJyAhkUryexyOD9audRn171Ps31YlhF&#10;1k2ecRfCeN/mu9Ymkc9SkeP5k0kvwnt0BeLV5o8c7njBx+RFejSSCNCxycdAOST6CqIhbVbEx6jb&#10;GJHbmESZyvo2Oue45Haq9lEv6rR7HnH/AAinjHTLxU0rUJ5YCMiUyhE6f3Sx/lVpfFPjTQCF1TTD&#10;dRj+MJ1/4EvFemhQBgcY6Yo29uv1pOml8LJeEW8HY8+h+LtmSFutKuIyOoRg2PzxVt/itoYgZo4b&#10;zzdpKq0ajJ7DOa62XTrKfPm2du+f70YNUn8LaDISW0exyeuIFH9Knll3IeHqr7Ry0njzQrqzt/tW&#10;pXRnjUF1hjeMM3HoR796xtS8Wz6/qMMeg6VHJcRj5bue3VpF56g87Rz613f/AAhXhwNu/si3z9Dj&#10;+dalnp1lp8Xl2VpBbp6RoF/lVe+92H1ao9JPQ8tl8LeNlvF1B5UluSMZEq5PHQ9jTrfW/GllcyLL&#10;ps00jfLtMZCj3G3Femo3+leSCGCvkAfw8dD+f61dqnFpKzZX1RdJM8mt/DnjTXJHa6uXsoZCCyyz&#10;N+i5J/lXSaT8NdJsCsl2zXkwOcsMKD9O9dmxCgsxAA5JJrFEk+vSMIZHg0sHaXTh7j1wey+/ep28&#10;yo4anHfV+YT35jk/s/SVE86/KQABHD/vH+g5qa00loZzeXFx9pvCMeZIvCD0Qfwiq+txJY+HpoNM&#10;s/MlTZIttCdrOA4J/HAPNZVxBc6bot6lwzI80QjjYfOxPzdFByxAI4xW0IX1ZtY3IE/tG6N2lxKF&#10;ikMKqGIRipwTgHnnI59Knj0+KK7N2sCGcjBkMjZx+NYdpZ38mi6bGHkuArgvKw2s6YAyVbG08nge&#10;nvSapFfWOiWzxOFZG3TLIwXAyDnPQsMHjvVsdzoYraO3d3js7dGk5YxgAsffgZqC1kt7C4GnQwSq&#10;WV51UkbQNw3Ac9MsOPesm5s9XuJILi2uXNsEBSIAK27aRuzn1wenetm0WaS7aSe1SFYQY4XLhnZe&#10;5z2BwvGe1Jqwya4u1trWWaaKQRxoWbau44A54FVvtlvZaPG0qm1jWJQFcBQgx04449qi8Sao2kaT&#10;JcpNDG4OB5qlt3sADyaxrLQrnWF/tXxGPMcjdBYk/u4QfUdC31rO/QiU2naO4at4yt3gSDRFub+4&#10;LgH7KnAHoWPArMkt/EWrwXDatfPZxh4lWztSfmDEA7n69CeBXfw28NugSGJIkHRUUKB+VSYFNNbN&#10;B7Nv4mcRawW+lWdqulxC2lkcidiuSp28AkjJ7GtIatKbO1b7TlmaRmIIBK8kZBHGOB+FdIUU9QPy&#10;pPKQfwLx7VSlHsUoW2MXw1L5kd8CckXJbqP4lVs/rU3iOYR6S0IOHuHWJCBnbk8t+ABP4U22ijj8&#10;R6jEyKRJFDKoI/3lP/oIqvqMSz6rIkUSn7JaPIF2jl24X9AfzrPRoWqibsMUdvAkMShY0UKoHYDp&#10;T81yd5a6g5PkQTlAiF9rYycc455PXp6ipBY6kXWTdMsRuxlfNfcU8707Db/WtPZruPmOppPWsPbc&#10;rqgZ/tHks5AK7yNo6Zx05bqf7tQ2VtfJqUrO1x5bAsMyNhMjsTwed3v0o5F3HzM6GQ7Y2PoKhsgF&#10;sYFA+UIMVgRQ6itlO0/2gSBHYjPG/jA68j71b1tG4tosyvnaOwxQ4pR3BMs0VFtl/wCeg/75pdsv&#10;/PQf981FirklFRbZf+eo/wC+aXbKP41/75osFySiov33qn5Gj996p+RosFyWiov33qn5Gl/ff9M/&#10;1osFySk71H++9EP5015ZI13MEAHctiiwrlfTluVmvPOC+W05MOP7vfP45q/Wfp6XMcMpc7zJPI43&#10;P90FjhRxxgf1q3um/wCea/8Aff8A9aqktQQ5okdgzIpYdDjkUxYDHnbLJg9ic4pd03/PNf8Avv8A&#10;+tRvm/55r/33/wDWpWYXQgikCFTOxPPzYFHkybMee27+9gUu6btGv/ff/wBajdN/zzX/AL7/APrU&#10;WC6EaGQrgTsDgZOBzStFIduJ2GPYHNG6b/nmv/ff/wBajdN/zzX/AL7/APrUrDAxOXU+cwAPIwOe&#10;aTypNwPnHAGMbRzS7pv+ea/99/8A1qN03/PNf++//rUWAPKk3k+e2MfdwKihjkEs2ZjgtkDAGKl3&#10;Tf8APNf++/8A61Ro0vmSfu16/wB//wCtVJaCY9YXGd0zNk8cAYpFt2CkGaQ5zzxTszdNqfnmj99/&#10;sfrSC4nkER7fOl+uRn+VRW0bPHvMswIyhBbrg4z09s/jU3771T8jUUBn/eA+WMOce46+vvRYLkog&#10;wxbzJDntu4FItuiknLnJzy5pf33qn5GlxMf4kH4GlYdxq20aptG/HXmRj/Wj7NHs2fPj/ro2fzzm&#10;l2y/89V/75o2y/8APUf980WFca1rCybGUsvTDMTUoUKoUABR0AHSmbZf+eo/75o2OesrfgBRYYA/&#10;6S3+6P5muX8UWh0mZfE2nqFngwLpBwJo84OfcZ610gjb7Q371/uL6ep9qzfE0WPC+p7pGI+zPw2M&#10;Hj6UTWm5lVV4tmxHIssSSIcq6hgfY806svQo9/h7TmdnJNtGfvH+6K0PJX1k/wC/jf40ady4ttEl&#10;LUfkJ6ufq5/xo+zxf881P1GaLIrUkphkRfvMo+ppPs8P/PJP++aURovRAPoKLIRkXFh5Nw95pdxH&#10;BO5zJEx/dyn3HY+4/Ws7UfFUyxjT7S0ddYlO1Ym5VAf49w6qK0Ne1yDR4Vjjj8+/n+W3t1GS7evs&#10;PemeHtCew82/v387VLnmaXP3R/cX0AqHa+hjJtvliTaFptvo1h5QmMtxIxlnmI5kc9TV8zKJoyAx&#10;4I4U+xqz+NRSD97F9T/I1pGy0NVGysgEw6BJP++TS+a//PF/zH+NP7UUtOxQzfIekWP95gP5Zo3T&#10;f880/wC+z/hVO91aCzcQqHnum+5bxDLH+gHucVAbXU74D7Xci0iPWK2PzH6v/hS5vIV+xYu9Shsv&#10;+Pi5hRj0TksfoByaqpdavf8ANtbx2sH/AD1uQdx+iA/zNXrTTLOy5gt0Vj1c8sfqx5NW6Ltis2ZM&#10;OiKtyt1c3UtzcL91pAMJ/ur0FaPlH/nq/wCBqWopbiGBQZpUQHpuYCmvIdkhfJB6u5/4FSeRH/tf&#10;99Go3v7SOYQyXUKy8DYXAPPTirA5FDbGivLBENh8tPvD+EVOqqo+VQv0pk/+q47EfzqWm27ILCYH&#10;pRS0VN2Bl+IkaXw3qUSFQ8ltIiljgZZSBz+NaugxeTpcUefugL+QArH8SXZs9FkkVSzM8cYAYr95&#10;wOo56E1v6Yu2xT8a78Kv3bZFT4C5RRRXQcwUUUUAFRXA3W8ijqVI/SpaawyDigAjYPGrDoQDTqht&#10;j/o0Y9Bt/LipqACiiigAooooAKKKKACiiigArg/B6FPiH45H/TW0I/79tXeV5hpUOvSfFHxY2lXt&#10;nb2qy2n2pLiAuzjYfukMMcZ60AegxT3TXOx4GWPcRv4xjnHfPp2ryvVP+S92P/YNl/8ARj16pb3q&#10;PMYGk3S5PRCAB6Z6dq8r1T/kvlj/ANg2X/0Y9MSPYD0FchrOj239o3txJqyRSSxxkpIP9XyQrDBB&#10;+nuK6/qK43XdFs31G6uZtYEMjKjskjY2AFgDxggdce4pDOstY3W2RZJFkwOGA6jt364rnRHA/jT7&#10;VbSWr3KxPFKhJDqu5CCOOT8j9x1robPeLSMNIsmBgOP4h2P5VytrDaQ+MUaLUIvtEk0rSW+OSAvT&#10;2wSDQBY0uK3PiG+8i/jlOza8IO4g5Zic9v8AWAd+lYvhnQvsVlrCnVLSYTQKjCJj8hAIZm4HU5q9&#10;4bW1XWdSmhvop2AkMsaFsIWbcMjGB8pqn4RhS607VV+22Nw00QVpYkPykg5yNo474oAdpekw2Xgr&#10;UrW1vbGUSyYErHKAEgYbg/ypk2kxzeALm0nurCMC4LvNGh2ZB3Y6Ag9s4OBVbw/pdpD4Y1eA3drJ&#10;bRFXlkZWZdq5JLKVHYdBnvV19FhXwNLZXOoW7wtPIzTYJCht2MY7gkfyoAT+zLeLwdp1tNe2kTxz&#10;kowYsj5kwQOBnhj2q1r+iRXdvpDRahFEkISOFySRIMHI/FA1QXNnbQeFdOgGo29vDBIzic5wNu7o&#10;MZyD/Kp/Escb2+iJJNAjxlmGx2CuPLIYKAD6g5PYGgCXXLG3fVbBmu4I5mjUKjn72HQ8cd8Yz9Kf&#10;f24/4Te0uGltgG2oInmYMxAbou0j+LPXtVXxLarda5pzrc2cRSOMiKZjyu/JABGOeB+FWL7S0uPG&#10;VtOt/CkkZWT7ODhiARk/XnHuDQB0MeoQ/a2s5J4vP3lVUDB6Kcc98MPzrmNEsfJ8U38zXlo6NCyJ&#10;EpYFCGIY7SOnAHXtVpLNU8avLHJbu+TJ5bOQ0YdUXcBjkkxN9PxqhoujJa+LNQuU1C2m3+eTGpO5&#10;Nz5+nHQ/SgCHwfpNvpt9rBW7s7mKRCXaJiMA88grgDGe5rRs9Niu/CmpWqXcDJPJOwlSXcFJlYgE&#10;7RjB4/A4ql4V0+0046pcfaoJFMBW4SN2I4yQSCOMAn161raZZStoV9aWtwgmkeV0kLFgu92Ydh2a&#10;gCpZ6ZbQeFLqFb6Hybh93nKeACB+VQ6rp1pceF9OT+1lESO7LPu2qdyOMADoBkADsB61ow6DeDw6&#10;9g8kMcrOrZXcyjGOAO3ToMCqd74Tu5tCtbC3uI0aG4eXJPVS+7HT0oATWdMs7uz0hHnt2mhtpPKk&#10;lYjK4UFgcHodtTat4auNX1HTb2KWBVtgpbeN27GeOnTpT7jw7cXFhp8DGOPyLV4ZAj9CWjIKnH+w&#10;e3eunhQrEgbG4KAcUAYb+HBceKH1W4bdEIQiJvPDBlbOPTK/rUp0eUeJhqahBF5RQjf8xJI5xt9v&#10;WtvFGBQBz1jpGowa3cXc88LROzFSpbdt7Ajpx9TVKDwrcwQ36m4id7i0lgUgFQCwUD8Pl/WuuwKN&#10;ooA47T/DF/Z6XrFpI9vJJds5hfzGPUnAYbeMZ7Zre0XTX0y1eF2BDStIPm3H5jkjOB3zWntFGKAF&#10;ooooAKKKKACiiigAooooAKKKKACiiigAooooAKKKKACiiigAooooAKO1FHagDx3wR/yWHxR/u23/&#10;AKJWvYR0rx7wR/yWHxR/u23/AKJWvYR0oA4bVV3/ABg0RT0OlXI/8eSsDUNP0z/hM7yLWJHg+0JF&#10;9kl85owzDcGQEcZ4BwfWuh1L/ksmh/8AYLuf/QkrZ16yLKk8SRFkcMfMTd+QyOcZAPvVRUXpJFKP&#10;PFwfU5oeEoo/+PfV9WhHotzkfqKR/CzFS0uvau+ASM3H/wBatjTNRg1awivbcOIpM7d64PHFWJ/9&#10;Sw7nitVhKD15UeW007M51PCOnCSN7o3N3Hj/AJeLglVP04B610MEUEEYit0SONeiIAAKkxUf2aIA&#10;hECZ6lBg+n9a0hShT+FWFYkpagYTRR/IfNI7OcE/jUiSBsAjaSM4PWtbgPprsERnPRQTTqa43KVP&#10;QjBod7aCPNE8Z+I9XkuTpukxXNpGdrRiFnODnGcHvg1gW9rqF/4hgfS9JlsbpZRv2BtqNnk8/dAr&#10;ovCV2vhjxtqGl3jLFDcnCuxwMgkrz9CRXocJS6ttShtAI5FldC3QFyoOe/ZhXzE5Tqt88up00MPG&#10;rFSvqXftESIxeaMFB853cLXOw2k8WqC4+0xywR4Mj78qowQe/GCv60v9hXyJdxF4mSZCqsf4Pu9R&#10;36etNgttrahYRCWR5o1QPtITHOcMRj+IHFbJJdT1Ca2gu48yrIXCx4L4DAkO+R8o64Yf5FVRa38C&#10;3l1bKGkLDY+RjBCbuBj/AGvSty1ElopilYB5ZDsyeD39OD7VJa2cawtvAkkYkSOeN+Djp+GPwo5r&#10;JhY59pdQntrq3aK58wyRlQynld4B5PGMfj1qNhdQQSzT3l5HJHPGixozBCu1TzkHGeeeOe9dWsAT&#10;eQ8hyc43dPpXMtfPBq/l3smo29o1yscQZV8tm2qwyducFs9/ahSuDRpaPbLPINRkWbzCCimV3zgn&#10;P3T04x27VtVhaYt5/bU0cmpz3EVvHiVXVAvmNyAMKCAB7nr7VvVnLfUqJHMzLA7JjcFJGfWuW03U&#10;9UKzJKzvsJI/dnJ79T9eK63Io60RkkDRy8FzqcMVyt07AxwY3kkYfoOc9T1rX0m5eeOUOxYq/wDE&#10;ckcA4rRpM0OV9LBYWkZgOpAzUBn81D9mZWPQP1UH+tZUl3LfXLW2nJFO8RxJdyjckbeigdTxnA4q&#10;W7A5dC6JYrRYp7udEJQmR3IUZ49cf41F/bDXHGn2U9yP+epHlx/gT1/AGkttHt4bvzblmu7jbkyz&#10;8nOew6KPYVq9PSm7sSuzHfT73UmUanKiWwOTbQE4f/ebjI9hWuiLHGqIoVVGAAMAUtGalKw7W1MW&#10;drexvL4xW5hne3aY3sikpnoAWPYdcZGBTtPspJTDLfG2u0gUC1m27pBxhiTyCTgcin3/AIk0XT8p&#10;eahbq3Qpu3H6YFYEniPSrmzFjp2l6hdID8scETIv/fXGBzVc66mbnGL1Z1JvVF5HaxwTtldxcRMs&#10;ajt8xGM+wNZF3rOn2k8g1q+07apzFAuXcdeSvrj29apx6XreuKkd/IdK05AAtrbSZlcf7T9q2tP8&#10;OaTpa/6NYxBu7sNzH6k80uZ9Bc038K+8zf8AhLXuht0jRr+89JDH5Uf/AH01J9m8Wal/rry10uI/&#10;wwJ5sn/fR4rqOgoqeW+4/Zt7s5ez8J6bHq6z3V3caheRIHYXMm7BJ+VsdB9010c4+Qf7yj9RWd9o&#10;jSe8vbW1kuZVdbeUIecICeM9cbz/AJFXjIssSFc8spwRyO/NaJWZUYqOxYoooqS0FFFB6UAZK8eL&#10;Jf8ArxTH4O1RWu59S1aVV3ETRQ89lAUn/wBCNSrz4skx/DZKD+Lt/hUViGN7qoXGftsfUdgqE/pm&#10;ojuR1NujFFFWWFJilooAiuOLWUgE/IeB16U6I5hTjHA60y7yLSUgZO00+L/VL9Kb+EOo6ilopDEo&#10;paKAEopaKBCUUtISACTQAE4Gc1nobfWo1do5PJhmym7gSFehx3GemfSnkT3c9vLDPEbApvJTky5H&#10;HPQLg549vxugYpoNyOD/AFZ/32/9CNS1HB/qz/vt/wChGpKHuCMXV/EEej3VtBNaXEhuHEcTRgEM&#10;x6DrUb+Jo49bh0p7G5W4mXcmQuCO5zntzVHxjj7f4ex/0EU/nSeOIHggs9bgB83Tpg5x1MZ4Yfyq&#10;LndSo05KCktZX+/obOr6ymjpC0ltNKJZBGoiwTuJwBgkVoxMXjVipUkZ2nqK5wTJrviKzMR3WtlE&#10;Lgkd3cYX8hk10oqr3OapBQSTWvUWiiigzCiiigAqNBiWQfSpKiT/AF0v4fypoTJaSlopDENRRbhN&#10;KCylcgjHUcd6mNQqpW6clshlHB7GhMRLRS0UAJRS0UDCiiigRF/y8/Vf5H/69ZPjAOfCWp7OvkEn&#10;6d/0zWs3/H0mf7jfzFZ3iSe3h8O6j9olSNXt5EG49SVIAFE9iJ/Cyxo5Q6HYGP7n2ePH02irtYvh&#10;OTzfCumsGDYhUHac9K2uvQ0o6oKbvFMWik7ZrJ1bxJpmjfLdXK+afuwR/M7H2AobsVKSirtmvWDr&#10;HiSOzmFhYRG91Nx8sEZzs93PYVRWPxB4jG6Z20fTz0jTmeQe5/hra0rRLDRoSlnDtZuXkY7nc+pY&#10;9aV29jJylP4dEUtE0B7S4fU9SkFzqsw+eTHEY/uoOwrfoopqxpGKirIKil4aNvRv506WWOCJpZnV&#10;I1GWZjgAeuaxZL281Xatgpt7UsM3Ui/M3+4p/maaeo27Gje6na2O0SuTK/3Io13O/wBFHNU/+Jtq&#10;PH/IOtz6YeYj+S/qatWWl21gS6KXmb780h3O31NXqm12Kze5UstOtdPQi3jwzcvIx3M59Sx5NW6K&#10;KZSVgooopgFcdr5u11u8bzYlhTTN8McsW8SkM25eT/uZ78iuxprIrkFlBwcjIziqjKwmrnNFLa71&#10;7TbaSzjSWSH7bN8nO5QqqM+3/stdOKTaN27AzjGaWlKVwSsRz/6iT2UmpB0prqHRlPcEUkTb4kY9&#10;1Bo6D6j6KKQ0gMvWjG62tvIUPmTAhW287Ru4B69O3NdHaJstY19AK5VrY6p4mgnDAwWcbxqoHV2I&#10;y2fYDH1Jrr16Yr06MXGmkzKq9EhaKKK0MAooooAKKKKAILbhCv8AdZh+tT1BDxJKvo+fzqegAooo&#10;oAKKKKACiiigAooooAK4bwn/AMlE8c/9dLT/ANFtXc1w/hL/AJKL44/66Wf/AKLagDpYNPMeovdb&#10;+WzkYPI/E15hqn/JfLH/ALBsv/ox69irx3VP+S+WP/YNl/8ARj0N3ElY9gPQVy19ZWdtqt9cz6x5&#10;ZnjjE0UpX5U3nGOAcHBAyfWupPQVxuvaLYTXt7JNrHkyTRxtJFIocKNx2njBxwcc9qBnXQkmMElS&#10;DkqV6bc8fpXGWuk2DeO1v0u4zeJJMxjBPQrjHoT0P4Guvs42jtI0aRZAowrKMZHbue1c5a6aYfHE&#10;twlwHQxljAc/u92csPlwclcdRjB60AZPh23sLTXNVeC/86aeE7laNxggZzkqBjH8veo/Cml2dnou&#10;r/Y9UjljaLDSksRGfmPIPsRW/Y6VZC/1SSCeLz5VZCu0MFyoJYgY3duB9Kz9H06C10TWLVr0tGU8&#10;vewZdqhcZOQB+VADfCei2raPqtql8LqG5by5X2N0wcjn/ZYVa1bTWtvD1xBcXMSCW4Z1Z49wAKEA&#10;ADvnn8xVXwtaafFo13I2qLLbxsGd4J2AUqNpJ6en6Vd1e002fQQ5vXFs0isWd2k6qQBjsckUAYmv&#10;aVE/gGxs7q9hjYDAdo2+dj1wAMjv2qxq+kR3OlaGhuokWJESN0DSBlDIRgqMEFQQT6Gp73TIr/wl&#10;ppS8jdIXUedIhGSTtHGP7xHal8QWlnbWGlWlxd28ElvEEUSOVWQfKrJnHAOOvUYFAD9Ut9Mn8X6c&#10;L+7VZRbqiQbmG8sWxjHbKnr6VavpLD/hMbM7/wDSUUoyB2yS23GQBjt3qpq9nF/wkFlfy38cUm2A&#10;MiAgbQzAYODkksw7cD61FqVla/8ACcQ3Dalbx3Lyw7YmlKvkdgO+VDD/AIFigDThtp28WSyteQsA&#10;FZUHDKp3AL78q3fjniqun6fD/wAJJczrewyzMtwCiqQVDNnH4HIotLWKHxYZTfQ7zM+IiCCf9a3B&#10;PB/1h6elSeHYrSy1jVIU1AXU9xNLIE2t8g8xsqT7EkUAZug6O1paa4huYJi0TwtIoOUbaOCMZI5B&#10;4rZ8PSW1nYXl59qV7dnEkjbGUKdoyBkA4xjiqXhyyhMGtpHdWkizyPykzN5eR0OQKt6VBYWehX4t&#10;byJrcO6mTcT5YUBDu9wVNAG9Y31rqMHnWsokj9RTNQ1Oz0xFku5RGrZ28Ek4GTjHsKwtCkg0vQ/l&#10;v7eS1S52iQEnC9Npz90j+QzUPieC08RaTp0sF1GEeYSQlw21x16AE9BQBvXet6bYxxyXV5FCsg3I&#10;ZDt3Dj1+tLd63YWNzDBcT7ZJl3RgKzZGQOoHqRXN6h4Tl1rS9HWK6jAtbYqHUttZjs2sB3GFP5ir&#10;ms+F7jU9S0+7SaOP7KFyGyd2M8fTmgDal1mwhvxYy3kSXJxiNmwTnp/T86kXUrV757JZ1NxGMtH3&#10;HAP8mH51lt4cSbxO+rXB3qIQiIWPBDK2fbBUfnUp0d/+EkXU1VQgjKH94ckkjnGMdsdaAL0WpWs9&#10;3Nax3MbTw43oGGR3plvrFhdtMsF3E5hGZNrZwMZz+tZ9jo1/BrU95PcRSI7MV4wwB6DA9PqapQ+E&#10;7iGO/X7Sjvc2ksAcpgAsABx6Db+vtQBsxa5p81ncXUdzuht/9awB+XHUYx+lXba6iulLQsWCttOV&#10;I5/GuW0/wte2emataNLEzXZYxOXJxkkgNx2z71u6NpraZbPCTkNK0g+bdjdyecDvmgDTooooAKKK&#10;KACiiigAooooAKKKKACiiigAooooAKKKKACiiigAooooAKO1FHagDx3wR/yWHxR/u23/AKJWvYR0&#10;rx7wR/yWHxR/u23/AKJWvYR0oA4nUv8Aksmh/wDYLuf/AEJK6u/CtauHIA9TXKal/wAlk0P/ALBd&#10;z/6ElXvGcFxdaa0MN09sjD55I1LNt7hQOckcZ9zTirsumryOc0bTrqw1BY01Y3FhE7pHawoAI8kt&#10;+8OSTjOB0rppedi+rD9Of6Vk2nhbRrS7tr20sxbzQR7FMRKbgf74H3vxrWbmeMegJ/p/Wu2Csjix&#10;FSE3eKsS0UUVZzBUckKyYJA3Kcq2OQakopWAjik8xN20qckYPtTWuUCsw3MF4JUZpMTKZQApB5Db&#10;ufyp8G4wIWj8s45TOcUrgc74k8N6Xr8ayyuYrrbtSVOvsCO4rK+HWq3dveX+g3ZLyQMSm485BwRn&#10;8q7nAHSvO/EFjqvh7xcfEenWxngflwBkZxgggc9s5ryswoWSqRWvUqlU9nNS6HdTwyC1tlv7+RZn&#10;uN22FiocnpH0zt/wqa222MNxDA/2q7DtM8fmAN8zE49h2GfSuLh+KOmSSRtfaTOksfKsu1tpIwSM&#10;4xWnY+OvDlxqgeGXyGuF/fPMNnIGF9s9R1rzvaRejPVjXpy2Z0VtZxzvFqF1aNDeY5DSbio7DI4N&#10;ZkGuPbXnkO7XKSMdix2xDR/NyGbOMDnsOla66nZ3EIMF3E3mIWjIYDf7j1rDTR9LsNeE4vWE00Te&#10;bAzZ3LjGSB0+vetY2a1Nb32Na21y0uoyyCRSELhWGCcZyPrwapRWFnqEsrQNKmLgXJViCBIVGGHX&#10;t0HTPNTxaVZQoWhnCIwYDIGAWPHX8ePc1YttP/s4ySwky79uVI5wABwfwHWldLYYtlo8Gnz3c1s8&#10;itdSeY6lvlBwBwOwwOlWgLloyGMSv0DjJ49cf/Xps95HBC7lhuVSQhOC351R/tlvsU9wIgxQZVAe&#10;SeQR19R6VNm9R6GiY5tgVZsHuxUc0M06FcRpIM/Md2Dj6Y/rWV/bpW2eV7cqVlaMAn72M4x/npTo&#10;tdE9uJUiwDMI/vZyCgbP/j1PlkF0Xp7s2w82ZUSL+8Xwc4J+nQetZh1S81YKNLtikZPzXE/CY/2Q&#10;Dlv0HvVe0A8QQrql789opH2e3wSpIIyxB6knOM10gUAYAwO3as9WLVmUNEMy4vr24uR3QHYh/Be3&#10;tWiiQ2luFiRI4oxwqgAAfypsl3EgAWRCxYIOe5OKVbcMgFwRK2cnI4H0FNJIFYhWd/NkkMaCNVG1&#10;jJ1/TFMS7FwUX7XbRvnLIjhz9P5Vz3i7T57m4tro28t5p1u+LqzicqXGOGwOuM0umaJ4P1u0LWVl&#10;GdvDjcyyRn0PORRKTbsZOcublSLup+J0spzp9lEb/U2wEhjPH+8x6KKgj8K3OpAz+INQmndzn7NA&#10;5SFPbA6/Wtey0Sx0qErptpFC/XPUt7EnntWirBlyM0uW+5Sg2/fM6w0DSdMH+h6fbxH+8FG78+ta&#10;R9Kw7aS489PNe6Dh3BBifb1bBz0x0qrpf262u5ftM91IojY4kUgHkkHj6/oK0VNblKKjsjpqKyNF&#10;a5GUuFlz5SHMhY+vTNbFS1ZlphTXYJGzMcBRk06quoyzw2Ez20XmzAfInqTSQCabIk1jHOlv5Hnf&#10;vWQjkE8nPvTLqxglvbW6KlZ43wHU4OME4PqKuKMAD0GKZJzNEPTLf0/rVJ6iIY7i6NzLHLZFY15S&#10;VZFYMPpwQe/THvRb33niUm1uYvL6+YmN309atdeaXFLQepSi1FZbZ5hbXahCRsaEhjj0HelGoBrJ&#10;rkWt1gHHlGIiQ84+71q3ijoKNA1Oet9QxrGoXRtLpmMcEYiWPLjhm5HbrTLW5lS+vZUtbmTN4GZI&#10;wMqPJXhsn3/SrViFbXtSuN3WZYVXPXEaluPyqbSh/wATDV/+vof+i1qFbRkK5amvhBJHGbe6feeC&#10;kJYDnuR0pZL+GK7S2ZZd7jIIjJX8+lWcUVehepVj1O0luhbJKTMRnbsOPzxilj1G0luJLdJgZYzh&#10;lwcipbcMIRvILc8+2ak2gHOBRoGpQlv7W6tLkW91C7RDEmHHyc9/Toali1GxkgaWO8t3iQfM6yqQ&#10;uOuTnipJo0WF8KOevHWo5oIGKQbEAdtxULwcc/4U9LCJUu7aWDz454ni/vq4K/nUgkRlDKykHoQa&#10;jNpbtAYWgjMTHJQoCp+o6VVutKsZoIbZ7O3aBXBERiUpxnt07mloMv5GM0ZqrPpen3MEUE9jbSxR&#10;f6tHiUhPpkcUTaXY3LxPNaQu0RzGxUZU+xo0DUtZozVaXT7Wa7S6khVp0GFfvQunWy3puwr+djGf&#10;MbH/AHznH6UaAWc1Qx/aguILq1K2gYKBIf8AXY68f3c4+vPGOsVzpg85ZLe4uIpZJ0Z8zyMpVWDM&#10;ApbAyFI4HetQDFGwAqhQAAAAMDFLUF3dwWNs1xcyCOJSAWPqSAP1IqrHrenSWkl0t0nkRv5bueAr&#10;ccHP1FCuGxdg/wBWf99v/QjUlRW5zFkdCzEfmaloe4Iwtc8Py6xd2cwvnhFrIJY1VAfmHfmtWe1W&#10;6sntpz5iyRlGJHXIqxRSLdSTSV9tjG8N+H4/DuntaxymYs25pGGCewH4AAVsgYoooCc5Tk5SerCi&#10;iiggKKKKACol/wBdL+H8qlqJf9dL+H8qaAlooopAFQMAt2jZIZlIxnqB/wDrqeoZtizwMxwxYqvv&#10;wSR+lCAmooFFABSZpaZJIsaF3YKijJYnAFAD6oaprFlo9qbi8mCr/Co5Zz6AdzWLP4luNTna08N2&#10;/wBpdTiS7k4hj/H+I/SrGm+GVhuxqGq3LahqA+68g+SL/cXt9anmvsZOo5aQKKv4g8RTK0e7RbLa&#10;SpIDTSDjt0XtV218G6XFOtxd+df3C8iS7kL8/TpW3IyxyozMFUAjJOAO/wDSqkmvaXGxVryNiOuz&#10;5v5U2kCpxveWrMm48O3Wl3bX3hyRImc5mspD+6k9x/dNRf2z4nubv7CmkWdrcbN++e4LKRnGRgVs&#10;DxDpZPNyE93RlH6iqs97bahq2nnT386WOQl5EBKrGQQQT09OPapa7CcF9l2Kx8P61fn/AImmvOqH&#10;rDZJ5Y/7661paX4b0rRyXtLRBMfvTP8AM5/4Eea1RR05qrJFKnFasKWqU+rWFsdst3CG/uhsn8qr&#10;/wBryT8WOnXM+ekjjyk/NufyBouXdI1aoX+q29gVibMtzJ/q7ePl3/D096gNrq12MXF5FaoeqWy5&#10;b/vo/wBBTJfD1qtuDaZgu0bzEuTlnLf7RPJHtSbb2Jbb2CHTLi/mW61cq207o7RTmOM9s/3mH5Vq&#10;TACLjsRVTS79rtZIbhBHeQHZNGOeexHseoq3P/qj+H86cBqzRLRSZoplC0UhrIvvFGiaa7JdalAk&#10;i9UDZYfgKWi3E5KO5sUVh6d4v0LVbgW9pqCNMfuoylSfpkDNbROBk8Yppp7CjOMldMdRmsfUPFGi&#10;6XkXWoQqw/gU7m/IVzdz8VNGjYrb213NjuVCg/rmpc4rqRKvTjuzvKM15rL8ULucYsdDkJPQuxb+&#10;QqM+JPHd6MW+kiEHoTF/8UcU0+b4U38jF42kup6aSM1Rm1Ox021Rr26hgAGPnYDOOOPWvPTafEW9&#10;+WS+Fup9JEXH/fIJp9j8PJLuc3Gt6jJcOTyqMTk98s3+Fbxw9aeii/mZTx/8i+86S5+Inhu3JH2x&#10;pSO0UZNQp4vbxFbvb+H4JRMW2PcTqAsK92xnLH0H50+38F6BbL8umxyEd5WLfzOP0q/4BtLY6Fa3&#10;gtIIbiaFHm8qIJ85HPA981vDBVISTqNFUK9So25Wsje0fTvsNqqsdz4GWIGSfU47mtMUgGKdXU2X&#10;KTk7sKKKKBBRRRQAUUUUAQJxdSD1Ab+n9KnqA8Xg/wBpD+h/+vU9ABRRRQAUUUUAFFFFABRRRQAV&#10;w/hL/kovjj/rpZ/+i2ruK4fwl/yUXxx/10s//RbUAdxXjuqf8l8sf+wbL/6MevYq8d1T/kvlj/2D&#10;Zf8A0Y9AHsDYC5PQCuOv9I03VFv9Si1cCKRVV5Cdyx47g8Y4OPxrsHXdGV9RiuIj0TTNP0O70mfW&#10;DHtkV3dcLsOAACDkH1oA6hJ49MsoEmcunEaMiHkE4Ud/YVRkggtfEEd881uj3A8pkZOSoVmU57Hh&#10;uvGOOwqxqOlLqdjbxK8ZEe10d0DZYcr+GcE1h31nFrWrRxW+oWvnxxANEqk4MYdWx6D98vFADtMs&#10;4dF13y7nUIXlmi2LEsZBB+QDnn0Hp1qjo9hZ2Ut9og1SCW6uYvKCBOVKdRjGP4queVZ614le4stS&#10;UvA6mSABgMKVB9jyh/MVDp1ja3Hii41u11CORLeZ/OUoy4BQggH2PP4D0oAk8OaXBa6ReaNDqEc6&#10;ykspQH5FwoYc8dwf+BdPVmnxW2p+H49NtdVgmNnJG8xwfuL1GfcjINT6RZaVYXs2pwXcEsIXy5JD&#10;/rFLiMKM4yBgD86qaFZWGk6fd6hBe2/kXS/Z4poSSN25gBjHbj8qAJ7G0j1bwuthYvZXZguAXlcl&#10;Vysgc4+U9cYP49aPGOgHUoLO5lvobBIMK2ASO+MEAHrj04zUGg2llo2hTXGp6nI1vczGWN4JJIgF&#10;C88Lgjnd9eKu6wmhHSjFLqU8SXMH2iNpp5JMqOhw5OPvD3oAh1axtbya31trqFIdkKbmLAtsZ2I4&#10;HH3uPpUOtWFpc61p2uS39tHai4SaMuzDd5anI/TOfYDnNOv9Mg/4R628P3V7bC6mfzFOGVXyx5+X&#10;vk/jzSazZ/aobDRYL+0iuIFYSxsGIJbCjnB/vHjvuoAY+m2mm+M11aXVbYLeMJURgcsvzDg5xj5h&#10;g+1TaZo0GleMLi6uLq3Fxdb2WNGOWDnPIPA5B575qPxLoS67qNjbx3VuLuzhyYWBUEHgkHHqBxj1&#10;rUuEi1HWbeazvohNp7lJ4iGG8AfNn6ZyO2aAIrCSC21HUtPW7VLqdvkUOzeWSvH8IHYmq+nW6tZ6&#10;jocl9Eb54PKkZEYjphm5AGTk8duOTimWdlpt94suNbtrqOWOHDuquchtuN2McjB9etLpqxDW9R1i&#10;DUYHsNzPMpVh5fy9Rxz2OfrQBHBpsOo2V7pVlqKG6W5jncgEbQCAe3cg/nVk6DLY+FbS1upIFWzV&#10;zMyMfmXBBIO3IPfpx74zS6Np1vpC32rR3sDW80ZJlVT8pBz09OprS1q5srjw3J9puoUgmj5kZcqQ&#10;BuOB34BOKAJtO1KytdFTM2YrVREz444H054qRvEelrpqagbkfZpM7H2n5sdcCuXOlWel+G5rC91C&#10;3aO7maUHYWXbkAgf0p6aPDpvhzT/AA+LtEaJxKWSNiGQvwRgcHJH40AdbNq1lBaLdSTgQswUN6kn&#10;b/Pii41axtJYIp7mNHnOIwT96sTWNAutT0WzsvMhaeF1dpSWUHB9Oev88Vb1PSHvfsDKiq1s4c7Z&#10;mXgAjAIHvQBpTajawXUVtJJtllBKLg846/zpp1W0Gpf2fvb7TtDbNp6HOD+h/KsvUtHvb3WILlLi&#10;NbdEwYyDkNkHIP8A+rkCk/sF/wDhLTrAZPKaNVKZOdwDDPp0I49qANaHVLSe5a3jkzKrMpXHcYz+&#10;WR+dXKwLHQpbXXH1F5kO4yAIo/hYg/nkCt+gAooooAKKKKACiiigAooooAKKKKACiiigAooooAKK&#10;KKACiiigAooooAKO1FHagDx3wR/yWHxR/u23/ola9hHSvHvBH/JYfFH+7bf+iVr2EdKAOJ1L/ksm&#10;h/8AYLuf/Qkrb8U+eNDuTbHEwjYoemG2nFYmpf8AJZND/wCwXc/+hJXXXsJntZEHUjimtyoO0kcn&#10;4dkE/h2wl82WXzIFcvK25iSOcmr45uD7LVHTLFNCtodNVrh13MUMgBK55xkAAD0zVPVtYubPUray&#10;sbaOa4utxBkfaoCAZ+p+bgcdDXapJI4p0J+05e5v0Vm3mla/LOlxp99FBGEx5M1v5isc9ThlPoB+&#10;NQWo8SQXyR6olg9sVJMsCOjA9hhiRz9eMUlUTKlg6i21Nmiqg1GzN6bP7TGLoJvMW4bgPXFW++Kt&#10;O5zyi4uzCiiqzX1ujSqZOYf9Z8p+XvyfpQIs0YzUJurcSiMzKHIJAz9P8aZFf2szbY50LZwBnBJ5&#10;/wADRoFiG+0TTdShaK6tI3VuCVyrfmuDXP6p4E0u5kiFtZRRRnIkMbsjD0YdQfoR+NdRBdQXLusM&#10;gcrycfUj+hqbtWM6FOa1ihNI8r0W7/4RXxRLpV+wls3bEbuAfLbs3sexr12OOHcZkVNzgfOByw7c&#10;1xXi7QbG+tmzBIlzM2UuEUlUbAHzegPH5VkfDrXL838+hai8vmW6N5W5jwAeR74Oce1eNWw7oya6&#10;M7sLVs+SR6c0aPncinPqKjaN0dWjbgA5Qnr6fSsn7TefZ5iBNkhXXcvTcenQdMfhmozNqMdhcNI8&#10;jfvV2MEwz/MCcDsMccisuU9C5sFba+idWVZFPysD1+nrVX+z7e1SYSKGhlZQck5HzEgf99N29aWw&#10;Dz2r58xJldh5jD5s59xz1qeRyEVJhu24Ziik/p17UttEIVtOtHRUeEMofeAST82MZ/Ks7V7GzstG&#10;upooirRozxgOwG/btHGfYCtYTxkL84XceA3Bz9DWVrMn2m6sdOUN+9lEjkdNqfN/PFS5MHZImtIE&#10;s9KtbK1AKwBEOWPGPf1/Gp7i6ls4Hmmj3IANoi5bJOMc4H61M1tGYPJUbUA4xxgg5z9eKoamtxc2&#10;k9sbNZgTGQolK713DdgjkEY/GqQbDbbUkjhtlnsp4Lq4bCwuF3OwGSfvEYGO5q/Z3kV/bLPCTsYk&#10;cjBBHBH51yr6Dc3NyUmgmGmi7aWONZMSx/IACpzkDdk4Brf0C2nsdGgtrn76ZAJxkrk43Y6nHX3q&#10;pRQLcvxclz6uf8K5WBYrv4hGbTYykdtCyX0qcLI5+6vuR1romu4bfTpbt5UEKB3354xk45rG8EoI&#10;fDqXMrBZLyV7hixwTuJx+lZT1aM52lJROmFV3K27vKzbUbG7PQHsakaaJFBaRFBGQSwGak4Ipmw3&#10;cmQNy89BmnVE9vE/LRqWByDjkH2oiZssjg5U4BP8Q7GmBLiiiikAVUuzcm5s0t3VU80mfOMmPa3T&#10;P+1s6VbqosEh1Q3PnZiEPlrEPUtksfwwKaAt1E3/AB8p/ut/Spai63P0Tj86EDJRRRRSAKDRRQBh&#10;6LsePznHzz3UzqfxI/kKn0f/AI+tW/6/D/6AtQ6E4FrGgGcTz4x2UMf8RU2h/N/aMnd76Uf98kL/&#10;AOy1PYhdDVpjtsRj6Cn1BMEkkSFu53EfQ5H61SLHwRmKFEJyQOT71JRRQBFcf6k01GElzJx/q8Lu&#10;9yMkfyp05+Qf7wz+dFvuMCs6bXbkr6Gq6C6kvUVBMFMsIJ5BJXnrxU9ZWuyeXYu6sVlVWKMDyDRC&#10;PNJIJOyuahzRWPeNJFq0Vsskmy5QbACeCrZbHplTTo3aPVbcC6MkUvmfNuBDEHpx024I/Ctnh7dT&#10;L2xrUopBS1zmxTuoYpb6xZ5wjxSM8cef9YdjA/kGzVyqM4tjq1mJP+PgJK0Qyenyhj+oq9TYIr38&#10;hhsJ5liMrRoXVAMkkDIwPqK5rUIZR8P9pilNzOkcjoIyWLllZuAM5611tJimpWE0Q2hzaREdNtT1&#10;Hb8wIfUA/nUlKW40FFFFIAooooAKKKKACiiigAqJf9dL+FS96iT/AF0v4U0DJaKKKQBUNyQqI5Gc&#10;OoHHQkgZ/WpqhuiVtpGVSzBSQo7kc0ICYUlLUF3dwWNrJc3MixwxqWZmPAoYNpLUbeXtvp9rJdXU&#10;qxQxjLM3auWgtLrxhOLzUBLb6Kp/cWmSrTj+8+Oce1LaWs/i+9TUdRjaLSYWzaWrDHmn++/t6Ctm&#10;XVJJ5WtNJiSZ4/laZjiKI+nH3iPQVF76swf7x3exbZ7DR7NQTDbQIMKo4/ADvVT7bqd/zY2ot4T0&#10;mugQT9E6/mRUtppEcUwurqRru7/56yjhf91egFaX/wCqnZmtnaxzmn2f9qwQzapcS3MqyskkDYWN&#10;GGf4R1/HNdDHFHEgWONUUdAoxisS4kTR9cE8zrHZXeWZ2OFSUDH/AI8P5VMupXt9k6dZDyeiz3LF&#10;A3uBjJHvxRpZExsa5UMMEAj3qld6lZaeQkkg8xvuwxrudvoo5qD+z9Ruf+PzUiif887NPL/Njk/l&#10;irNnptrYA/Z4grH7znlm+pPJo3K1Zn3OpX+0N5SWUbnCtMDJIeM8IvsCetVnGmP5Lahe3l+ZkEiY&#10;Rym099sYwB9adrtlJNrml3Je6S1jinjkNtncGYIV6c4+U/p61lyrq/8AZZkZb9NWWwTymj/1cku5&#10;sBgB1HGc8Yb61pGCtqxHXW9jaWqgQW0UX+6gFWaap+UZ696dmotYtBSYqK4ure1iMlxPHDGOrSMF&#10;A/Oua1L4g6BYRny7k3cg6JCM/r0ockiJ1Yw+JmlrWNPli1lcAQfLcf7UR6n6jr+dc1qXxQ0yN3gs&#10;rae6J4D/AHV+o7msKa48Q/EC5CCM2elbs99pHuf4jXa6Z4c07R7Lyba3Rn2ndK6gux9c1vh8LUrO&#10;60R51TGSbtT2OTbxZ4y1x1i0rTvsqf8APTy8j/vp+KXb8RrH98twLkZ5jyjfoR/KvQU5jUjoQKdi&#10;u5ZZC2snc5nVqN35medT6n8QNWiNn9i+yq/DSrH5eB/vE8fhV/S/hxpsMQfU2ku5zy2HKqD+HJrt&#10;qK0pZfSg7y19RSblrJ3OE1/wDCsMV14ej+z3UJ3bBI3z9wQWPBqlLaeO/EKpZ37m1tgfnc7U3fXb&#10;yf5V6RRRPLqUpXWgotx2Zxun/DfSLdQ140t3J3y21fyHP610droWlWShbfT7eMD0jGfzq/S1008N&#10;SgvdiKyGLFGn3EVfoMU+ijNbWQxKji6yf7/+FV9S1W10q28+5fqdqRqNzyN/dUDkn2qKNdUvFf7O&#10;iW5ZcjehkKkgYzggcc5H0qXJI2p0Jz1SL0kscKlpJFRRkkscDjk1l6frC2eujTLaRJjJvkYI+4xD&#10;IOGB6ZLHHsK0NO8MSpI8uoXc15I+MmXbhRg8KoAA6n3962oNKtLeQukQDHknHWsZ1E9Dto01R3d7&#10;l1TkU4U0fSnCucAooooAKKKKACiiigCCTi4hb1JX9M/+y1PUE/BibuJB+vH9anoAKKKKACiiigAo&#10;oooAKKKKACuH8Jf8lF8cf9dLP/0W1dxXD+Ev+Si+OP8ArpZ/+i2oA7ivHdU/5L5Y/wDYNl/9GPXs&#10;VeO6p/yXyx/7Bsv/AKMegD2A9BXH6nptjPfXsralDbunD4jxy+B85zgnsPTJrsD0FclfW+ni91B5&#10;74IrAK4W3bCksrZY9GI28YwQCc0AdNaQtbWscLOG8sbVOOw6fjiuZ02x06Lxa01rexTzlJ96Hl1J&#10;MeQCOmOODz81dRCXaPcXRw2SpVcfLnjue35+1ctptnp0Pi55La5Ek5WYSLIMMGYocKcDoEPf19KA&#10;K3hi1sI9fv3t7y3kcebmNFKsoL/LyRyAABnnt7VB4UsI7az1rytSinkICu6o6ojBeSQ3BOcnIqx4&#10;dsrW18R3ZjuY3kYSgRorAqC+RnI7DAqr4WtLezsNZKatbXErxhmKSZCYBBYj3IJzigCXRdPij8MX&#10;sF1qdpNvuImeaOEAKPk2qygDrgfg1U9N0i0tvAcVsNTtjD9qLLOgLKz8j0yOfT0znFT6Ha248I3y&#10;z6nZzK9wjyTxRDCqNmAwwMD5ep7H2qvY6RDp/gE2013CkUFy0hl2M43BT24Pft6d+lAFjUtN06fw&#10;PZW1zqEZtVR8XDwsc8HB6Z/xqbV9P046TpPnX6QItgYoj8yhxiPkfgOh9R3qLUdKsrnwTZ2s14JL&#10;dA6+d5LMScNzxn/69Xta0ywfw/plneXUcTJClvEWJBZioXgdcd+nYelAEHiIabba9E9y8fmLbwlM&#10;+b8u1nIPygg554PpVqY2/wDwmauNSiWf5ALd0b5hg9+B7jrzj1FZ/ifTLW71aG3GoeVIbeKNOXJw&#10;PN5JAxg7v0PrVu90eKTxhHcvfIkreSyRY/uurdfU7CPxoAlt4IB45ku1miLSo0Qiw+dy9SMjb2PF&#10;PsBp82uSy2d8XZklaRGi2ksxAJztHTHqaZBY2q+LzPFqKNeIzedbsP4TuIx7jf8Ajx6VFoWkC01+&#10;7P2tXlVHDxhT8u7GO3tQBB4U0iO3GrwW2oWtz5nylVBzG20dQfXPP0FaOkeHxoGj3sN1cCWJwTyS&#10;AFyx7cj73b0qHQ0020bUrm0vYvtIjAlUfdUqoy204PPy5+grQu9SstT0K/EN0pWPEcr7SQrEA/1H&#10;0oAzvJjj8Hm1tL9E/fBDKu6bOWyVIOTyOP1pNTtbdfDdrDe3oihaSQllgY7gyvkAY4+Ut27VY8Ja&#10;LHZ6PPbStFcI0oztBwCFVSOR7VNdeGWvNCt9NmlVjb+ZsfB5BV1TP4MM+4oAw/EujxNp2mpLfpAU&#10;WUDcjYcvIjY6dunPr9a0NRtLea/04PewxMY4zEoByXVtwI46cd61dZ0R9T06K0imEXlEMCQTyOn4&#10;f/WpuoaPNetp0m1FktnDviVhn5SMDjnr1NAGhJqNrDexWcs6LcSqzIhPUDAP/oQpv9q2P9ofYPtM&#10;f2nvHnnOAcfXBBrPvNGvbrXEvBcR/Z1CgRsvK4OTj64HcdKa/h6Vtf8A7TNwpHniXZtxgbAuPc/K&#10;O9AGjb6xY3V9LZxThriIZdMHjkj+hp9lqdpqAH2aRnG3dzGy8Zx3HsawNH8LXWmeIrjUXmjlhmDY&#10;XJyhLMeBj/ax19etXtB0OXSXkkkZWeSNUcK2QducYGOOvrQBvAcCloHSigAooooAKKKKACiiigAo&#10;oooAKKKKACiiigAooooAKKKKACiiigAooooAKO1FHagDx3wR/wAlh8Uf7tt/6JWvYR0rx/wR/wAl&#10;h8U/7tt/6JWvYBQBxOpf8lk0P/sF3P8A6EldtXE6l/yWTQ/+wXc/+hJXbUAVbqyS5GScMOhrB03w&#10;jYQ6nNqjQo13I5/ekZYDpgHsOOldQelQ2vNvGf7y7j9TzVczsUpySsSqMcdqHQMMEAinUmKkk5zX&#10;PCOm6vE5ltkMuPlkAAdD6q3UHp0rL0j+07S2e31h4nMB2pcDKmVAPvMOx9e2a7boa4vxnrVotvLp&#10;kSefqNwjRwwKuWYnjPsozyTwK1pyd7F2jUVpo01dXUMpBU9COQax7nQVuZriZpSJHcsg7LlNh/HG&#10;avaXZDTtKtLMEHyIVjyO5AxVyuu1zyr2ehmSadKdQ+1oUJLA7WY/KR36c/TgVVh0GSC+tblLjPlg&#10;+YhAwTg4xx6mt2ilyoOZmbp9hPazbnZdpU5AYnBySMZ7fMa0qKKaQXuRTAM0an7pJyPwNeZahNP4&#10;T+Ii6pd/vbec7t0a7coRjH1GB9a9Nbm4QdgrH+X/ANemXNlbXsfl3VvFOn92RAw/WuXF4b28LLdB&#10;dp3RhJ8TPDrSbTJcKp/iMRxXS6dqtjq1uJ7G5jnT/ZPI+o7Vy2qaFodqsaf2RbLE7fvpiMCNfwO4&#10;k9gOPWuV1bS5/B13b67odw72UhGVyTwex9Qa8mrha1Fczd0dUMbNP39j1ueYQwtIQTgdB1NLHHsy&#10;2Mu33m9apaVfJq9pDqMOfImjBVD1U5OaW+1RLSVLeKJ7i7kGUhj649ST0HvWFz0lJNXLF5NbwWkk&#10;10VEKjLbhkVn6TbSzTPqlygjklXbFCBgRR9QPqeCfy7URaZc3k8dxqskbhDujto/9Wp7Ek8sR71r&#10;ip31BasOarWyESO0kYWbPLB92R6+30xVqoYsiafLbssCB6DaB/PP61a2GybtXMeJtTvDcwaLpEcc&#10;moToZCzt8sKj+I+tbep6lBpWnTXty2Iolz7sewHuaxPDlhchLzW9QXbe3wyqH/llGB8q/wCNK+qM&#10;6jbfKjCt/BF7caVDHfXc1xt2/wCjZVYdoXjgHJxx1/StuXR9QntLWExIhiL5VSFXGOMY5rp0AVFA&#10;6AU6r52mONNLY519NvHtLaJYWAjikUgso69Bwx9BzW/HvMalxhiORT6KlyuWkFRTRGRQUbY4OQw/&#10;kfapap3d48UAe1t3u3ZtqrGygA88sScAD8fpSQyXzJVYKYSwJ5ZSMD0681Guo2pleLzB5kf31HO0&#10;+hx0pHs3uLiGeWeZBHyIo3IUntnucenT2qpNeWaau3lWImvItsUkqKu9Q2OATyRjDEenr0qrCuaU&#10;VzBcRGWGaOSMZyyMCBj3qrpkUAjlu4JDIt2/nbs5BBGBj2xWW99p13vjitFVby4a0eVVAZ2RiGDA&#10;c4wGGTz34rolUKoVQAoGAB2oasC1A9KYP+PlvZQP51JUSf66X8KSGS0UUUgCq99crZ2E9y3SKMv+&#10;QqxWX4iRn8P3gUZITdj6EH+lJ7A9g0SCS3sVjkHzAAk+rH5m/UkfhTfD3GnzKfvC7uAx9T5rVctp&#10;dsUQdt3mcq46NnJ/PFU9O/cavqdr/Czi4Uem4YP6rn8aXYhdDWqCIiSWSTaQQSgJHXHX9f5U+Zyk&#10;ZZRuboo96cihUC+gqix1FFFAFW/DNbqiYDM6gZHHWrK8AAdO1VZR5sqMCcI4AGepzz/WrWap7ALV&#10;W6jineKGWPej7uO3SrIOaiJb7Uq7fl2k598ikm1qhOz0HeTHuQlASn3Se30pqWsKSeYkShueR79a&#10;lpaOaXcOVCUtFFIopPLb/wBsQxNGTciF2R/7q5GR+OB+VXapiZjrBg8o4EAfzO3LEY/SrlNiQUHp&#10;RQaQEdv/AMe0X+4P5VJUdv8A8e8X+4P5VJTe4BRRRSAKKKKACiiigAooooAKiX/XyfQVLUS/69/c&#10;CmgZLRRTZJEiQu7BVHJJOAKQDiaZJ/q2xjocVz1z4z08StBYRXGpTjjZaxlgD7t0qA2viPXhm8nG&#10;k2Z/5YQNumYe7dqXN2M3VT0jqaOoeI9P0e1T7VOjXBUbbeM7ndvQCs230jUNfuYr/X9sdsh3w6cv&#10;QejSHufatHR/Dul6RCskNrEJsHfO43MT65PSkeefWp5LezlMVgh2y3Cn5pD3VD6epqX5k2k9ZfcF&#10;zcSarM2n2BKW8Z23NyvAH+wvv6ntWtbW0VpAkECBI0GAootrWG0gSCCNUiQYVRU1VbqaKNgoo701&#10;3WNC7kKqjJJ7CmUZWtBJrnTLRwGEtyHIIyMICf54/Otb2rDtWbU9RbU9pFugENtn+IFgWf6HAx7C&#10;p/EOu2/h7SpL2f5mHEcY6u3YUr2VyOZK8majMqKWYhVHJJOBWDqXjTQdLBEt8kjj+CH5z+nFcHba&#10;b4k8cj7Ze3xtrBzlIwTgj2Xv9TXRad8PdEsiGnje7kHeU8fkK3pYetW1irLuzgnjm9IIz7n4oXF1&#10;KYdG0Z5W7NJlj/3yv+NQt4h8f3AzDpixj2hHH5mu9gtbe1jEdvDHEg6LGoUfpUuK7IZb/NI5pV6s&#10;nrI8vt774iTOzkug+Y/MqgDBx/WoEl8fXCTQyXskJAJJJAI44xgHsRXq/WjFa/2dT6ti9pO+rPMt&#10;L8B3eqyPLrOqXDupBZMEtyAfvN/hXV2HgjQbAhlshM453THdXRYpa2hg6MPs3M3q7jUVUUKqhVAw&#10;ABgClNLRXUlYZHB/x7x/7o/lUlRQf6lR6cflxUtMAooqKe4htYTNPKkUa9XdsAfjQBLRVUalZNF5&#10;ou4THt37g4xtxnP5c1Wg12xu3ZLR3uWUZPlISOoH3jx39aXMi1TnLZGlUN3dwWFs9xcyrFEgyWY4&#10;qjNb65qTpHbNHZQMBvcfPLnuAfuj681rw+G4t6vOzSY5w7F+c57nGc9D2rKVVI6IYR7zdjLtL261&#10;RFks7Zoomb706fMRkdF9CM8k/hUtt4UuJJvOvtQup25AV32oARjhVwOhrqYoEhXagwKkArB1Gzpi&#10;oQ+BGLD4bs4plmMaNIpJDFeecA89egH5VpRKI52QAYKg/wBKsYqHpdj3T+R/+vUNtg5OW5PRRRSE&#10;FFFFABRRRQAUUUUAFFFFAEFzxCW/ukH9anzUVwuYH+lOjOUU+ozQA+iiigAooooAKKKKACiiigAr&#10;h/CX/JRfHH/XSz/9FtXcVw/hL/kovjj/AK6Wf/otqAO4rx3VP+S+WP8A2DZf/Rj17FXjup/8l8sf&#10;+wbL/wCjHoA9gPQVx+qWlmb28lOqJbtkLKPsxIIJBwxBG7p26An1rqJb22iuRbvMqzFC4QnnaOpr&#10;lddt9Osy99cah9njvlKAxw5LggN82OTgDg9sn1oA6y2BWBQXVxjgquBt7fpXH2a6YPHpFrfhpjlp&#10;IGQk7tr5weg4P6Gty413T9Es4Be3LbXQtGwjPKgZ7d8VmyaTaaT4ps777cI2uJXBikXJkYoxGD2w&#10;A35mgCj4VbT7rxDqdxZXMcryPJvAVgQQxHf2wD7gnvV7S9Au9L0/UF1DUIXFxFgzKudvBycH61ka&#10;L4b03w3r9ylzqoaa9J+QFo2+diVAYHIOcjrW6/8AY0t7NpEF9MNQeNh5clzK+AMZOGYjvQBg6Bol&#10;nD4avoEvIHgZ0PmeWWPyk9VwOT6c9+vSnWthpl34CuIP7QBsxczF3khxtJLcAHuC2c98Va0u3sby&#10;xvtHttUeaScE+YyMSoB5yT9ePpSeHLGwXw1faFb6g8pG55JmiYEbu4z1OQaALDxWGleHNOt3uI/J&#10;SYsjiIspHPYfWm+IYtK/sPSYLi9aO3Qx+S5QknaAd2PXCkfVvpVae0tPEPhiKE3St9gkG6VonUY4&#10;PQ85IOPrmpL6GDUfDtncaXqL2q2gWBJQj5JYoAPXHT8/agCzrJgj1zTJptUSJxEqRhoi3mEspPQ4&#10;AO39falu4YW8c2k26ISNiMIxbLFUc+mOAxP4CoNYt7DUBp2r3N6qAGMRgoRuZSSR68/096NROmpq&#10;GneJZL8x5YSw5iJDRsmGz3B2k/jigC/Hc2B8YkLcRLceWYjD5jAnBznbjHr+VVtGMP8Awkd8w1OO&#10;aUvMwXbhlAbBU+oUjGec8dKqT2VlbeL7bVZr+MNKPMSPy2yVYMVP4YapLPRINH8WTXL6grPe+cUi&#10;ZSSN5LdfoMfhQAzS7TT5V1NLbVVmYWsiyPsI27wOcewUfXn0o0PSUTQdSEV/bzLNIpEyqSQY8KQw&#10;x6ocfXtUnhzR7LRNUu7UXEBu54iskaKwD4wcn/v4PzNXbG1SO11HRYL3Zds0km4F2KeY7MPvHtnH&#10;vigC1os9hpmh+f8AagbV3MgcoRjcc4/OrkniHTI7CK9N0pgl4Rhzn1/wrC0yyS+0OTTYr0eazLIz&#10;pAVGAcdD6lT+VPvfB8lzottYRXKxmG4aYEqSMF92Py4oA3pNaso1gYyEieNpUwv8K7cn2+8KvI4d&#10;VYZwRkVzU3hiS4sbC2eaJFt7Z4XCIcElo2BXpjGz9a6SNCkSKx3EAAnHWgB9FFFABRRRQAUUUUAF&#10;FFFABRRRQAUUUUAFFFFABRRRQAUUUUAFFFFABRRRQAUUUUAFFFFABR2ooPSgDx3wR/yWHxT/ALtt&#10;/wCiVr1Vbqc3ZjEBEQON5B5+leVeCf8AksHin/dtv/RK16kl6puHt2I80H5QFPT3OMdaEmxOyOX1&#10;E5+Meh/9gu5/9CSu4FeXwvr7fGDTP7YisFI0658gWrMcruX7xPfp0r0jzZVHzQn6hgaBjrkkW0uD&#10;g7Tj61IoAAAGMCqlxPmMK0cgywxlc9/apRdQj70gQ+j/AC/zoAsUUxZFbkOpHsafQA05ri7y5SXX&#10;WsoJ1jvkBlYNbM42ZI+9wBz712hrz6JxD8QL9Jztee0Tyc9wrNu/mK1pbhJtUpWNj7U6Xot2tpiG&#10;GRMoBTvwTnjp+tLb3YnnnhMbRvCwBB/iBGQw/X8qqXN9eNeyW1jBFJ5CBpTI5XJPRRx1xzn6UsM8&#10;GrwSRN50EyfLLGshjkQ/VSDj3HBrZVYt2PNsadFUo7iK0mhsGM7My5jlkBYN14LevHfr71drW4go&#10;oopgRLzcN7IP6/8A1qlqKP8A1sn1H8qloATrXJ/EGF28MzSpM6BSAycbXBPf/wCtXW965/xhYRap&#10;oUtm8hEpBlhRersoJxWGIV6Ul5BujJ8M3t9J4KtbLTLeQyAlXuHBVIwW7dCT9OBWzY6RdW+m3gbz&#10;nuZT89w8jb5gM9sjaMcdqzfhbqCT6BLZbv3tvKWI/wBluh/Ou77187Tl7p69BKVNMw7h7w2dqPLn&#10;ErSBm2ZYkbefXAyfatPT2d7GIuGDbcfOCD+IIFWqilmSEDcTljgKvJJ9hVuV0bpWJD7VXjtEiU7M&#10;CQ5zJjk/WpFlYylHQrxlT1zUGpXYsNLurs4/cxM4+oHFS9Ak7K5zMzN4l8VLpzSCWw0xhLPgYEkv&#10;8K/h1rrZuImHTIxXN+D7ExaBbSKXSWaMTSTYBLsxLc5HPUVv3CzmIBZEzuHVDz+tEV1M6a05nuyy&#10;PT2pahYzhhtWMgnnkg4oLzBgPJyvc7ulO1zS5NVf7bbm8+yCZTcbd5jByQPU+n41XLS37QTW14Et&#10;VYlwihjIQfu5PQZBBxz6Yq6kMcZYpGqlsbiBycevrQ1YZTiguruKZNREaxyZAihY/d924z+GKtQW&#10;8NtCsMEaRxqMKqDAAqWii4CVymoeHJptQ1GaCNDLdyQyR3O75oSuMj9M8dc811lFEZNA1c5BfDks&#10;eqW95jZefa3knuVcYmjJJC7fUAKOnGOM5NdfUDhGuY1P3lBcD9P61PTk7iSsFRR8ySH3xUpqKLGZ&#10;P980lsx3JaKKKQBUdwglt5I2GVZSCD9KkqOdxHBI56KpJz9KTB7GXo8gfSNMV/mbaR0/ugjPt0p0&#10;fHimb3tFz7/MaTQQy6XZqUIxAGJP+0c4/T9aTTmF3qd7qAP7oYt4m7MF+8f++sj8KXREdjSfc9wg&#10;BGxBlhjqe39f0qYdKhgAIaQHPmHd17dv0qarZaCo5pPLTgZZiFUe5qQ9KgL/ADyM/wAscY4YnA6c&#10;n6f/AF6QDJTHbxoWYLGrFmYn2JJrMtbRtcBvb55fsjsfItgxVdg4DNjkk9cdOajw/iC4jeQFdKDn&#10;YnQzkA/Mf9n271rX13HpunyTlchFARFHLHoFH1NJ66kb6lLQkELX9uhPkw3BWNSc7RtBwPzNaXzf&#10;ax027Dz3zkVX0m0ey0+OOUgzMTJKR03tyce1WMN9qBBO0IQRjvn/AOtRHYpLQmooopjCiiigCoJb&#10;j+1XiMY+zCEMH/28kEfkBVuqipcjVHdiv2UxAKOMh8nP6Yq3TYBQaKD0pAR2/wDx7xf7g/lUlR2/&#10;/HtF/uD+VSU3uAUUUUgCiiigAoopKBi0UVWvb61062a4vLiOCJerO2BSuJtIs1AzrHM7OwVQgyWO&#10;AOtc5/wlGoalxoejTzoeFubn93H9fUj6UxPDF3qdx5niLUHuuA32aH5Ih7EDk00+xi6l/gVye78W&#10;JLO1pods+p3Q4LR8RR/7z9Pypkfhm81Vll8RXzXK5yLOAlIV+uOW/GuitbS3s4FhtoUhjXoqAAVQ&#10;1HXrawLRor3NwOsUQzt92PRfxpKLbsJx61H/AJF6C2trGAR28UcESjgIoUCqD6x9pdotLtzduDgy&#10;fdiQ+7Hr9BmqXlveTuusNIzJsIs4uIwGyBnu/Q57cdK1Le/tNyQRjYm1ihwAuEOD9MGr9jU7WGpx&#10;2RS/slpX83Vrkzq7DMC5WIH3H8X48e1bUccccYSNFRB0VRgCqqXttfRzLbyLK0eCy9+RleD2I71J&#10;Y31tqVnHd2kolgkztcdDgkH9QanlsaJIs0UUlBYtYt4P7X1Maf1tLfD3ODw5PKp9O5/CtG/vIrCx&#10;muZnRUjQtlmwOBXl3/CY6ndx/wBm+HrZ3up2Mlxc7fmLsecf3QOmT2FS3rZHPWrRpr3jv9d17TdA&#10;tFe6mVSMFIU+8wHoP69K8+Z9R+ImvQySQSQaTB27Y789yelX9N8AyPKb/Xrprmc4PlbiR/wI967y&#10;GGOCJYoUVI1GAqjAFd9DAznZ1dF2PNrV5VdNkEUMcESRRIEjQBVVegFPpaK9pK2xgUb+7e0eBvl8&#10;pyysT2O0kfqMfjUUl3dxPBvWMiRkUAA85HJ9sU7VpdNWBI9Su4LdGYMpllVMlSDxnr2/OmTfYZ5I&#10;5Hv08uZkkRfNXDkdNv1PpVXRDUr3Rp9aWkFLSLCiiigAooooAih+4f8Aeb+ZqWqVzdCytJ5mKBUb&#10;q7BQM46k8d6pNZ6pfzfuNcaAgD5LeCMjOOeWDGoc0nY6KWHnVTceho317Bp1lJd3LlIYxliFJPXA&#10;AA5JyRwKpT2za4bZHtpFgjkE22TgsRgrlfTJOQfQVZk0O71ELFfsGgVw+1QUBKtlc4PPbjoTXT20&#10;CQRhFxx1PrWM6vY6qVGNL3pasopotoVXKdBz09KsxadbQgBIhx0q3RWPMzR1JvqIqBRgDFKBS0VJ&#10;IUUUUAFQPxdxf7rD+VT1BN/roP8AfP8A6CaAJ6KKKACiiigAooooAKKKKACiiigBrqGQqehGKjtj&#10;m3jP+zU1QWvEIX+6zL+RIoAnooooAKKKKACiiigAooooAK4fwn/yUXxz/wBdLP8A9FtXblgOpFec&#10;6DrWl6b8TPF9vfajaW01zLaCGOaZUaQ+WRhQTz1HT1oA9DEyMwUMNx7ZryHVP+S+WP8A2DZf/Rj1&#10;6rb2lqszTxfM5Jy27P4V5Vqn/Je7H/sGy/8Aox6BK56LrWlW9yXvLm5MEaR4dsdEGd3PupIqj4ot&#10;rPVbCJv7Rit0gAkVmHB35Vc+3Xiug1C0W+0+e1ZiqzRshYDkZGKwmh0y3tNUtXvHCK3mSyNGcRDI&#10;IUHGDj86Bmb4ss9OZNLtL65dGjAUYDMZBjBGeTzVvxK1lJq2lJc3z293BIHh2xFvmdXXI4xng9ew&#10;PrVvXvDza28NxDciN0TauRxg859c9MdKoaja6brnii1SK5X7VYsC8eOWADgDJU9CSetABqdk8njf&#10;T531S3RQq4tHjBZyucsD1H3h+VVn0qzX4iJfrqMAuRlPIdcEk84B7/LWjcQW+qeJLa7jvZIrm0Zk&#10;CiM8qD8w6YIOCM+3HSqGitFrniqXVbHUopYYT80BQhgCuB19x+hoAb4e0/TrLxJOLXU0mn2yLJFt&#10;2tkMQfrg5+oxVXwYlulxrCrqgu90Q3L5ZUR9efcHd29K0I/Dy6Br9z4hmuFa3xJI+1DuBc5IAA5G&#10;T60zR9MstN0+5u0ugUFqLSQKhDF1+XOM9Txgd+KAF8N26XFvqmnRaj58YdGD+SV2BuQvIwRgdvWr&#10;S6Hb6F4WnspLgLbpMsu85YgBlIGOv8IH0FVdHtYPC9lLcS6skgvfLWN9mRlFOe/JPI/AVd1/VLC9&#10;0SOI3Qgju0VlaSEnKk44HY/XsDQBn3+nW3/CGW8M2pxrGu8rcCMneWDYJA6Hn86h1uy06+8M6Ys9&#10;0zW6o6RO1qzMzbWAJGM56/WpNehgGjWOi3mpR285+ZHjjZlKAgAcfUVavNDa5s7LSYZyLi0IlEpj&#10;BXDN09hjI/KgButR29vdaU8t8YTHAI4wIXbcdy9QOg+Xvzz9am1aCF/F9hKZYxJGyDyyjnfkNjkc&#10;ccn8Kh1PTrPVdRsrSe/gW/tlUrEMAFlPOOMkHOPw+tSTpa6x4lDW12BNZOjzRPE2CEbpntzyPXHp&#10;QBO8ti/jKF1uF+0IJIDEGfkkI2cZ28BP1qvp0tufF10h1FJpsySCJocMi9MbsdB+o/Oq9nBpuoeI&#10;pdatNUhkW1LvLEqc8gdeecAdeKbo1rpn/CQ3+v294sjQiSO4UREMu5gQT+AOaAL/AIXWyS6uZre9&#10;SZ2UrJtBAIU5B59N9bcWs2M1rcXKTDyrbd5rEH5doyeK57RJLbT9MvdSlvQ9q5ZZFljI2vk9+Tgg&#10;/wBak0m2g0LQ7uad4pbe5fcGiLvw2AFJxn8fegDfj1ezlsHvkmBtkDFmHbHXimz65Y22mjUXnzak&#10;gb0Qv1OBwAT1IrBuUi0rwubSe/FsZ2YpMdzDltxB3Dgc4qtq0NmmhQ6Pc3kAmnkSaNxkj7wx065/&#10;D9KAOpn1mzt44HlkZVnUtGdjHIHJ4A461cilWaNXU5VgCDjFcrqVpbXItdNeVU+zx+RIozzvC4wc&#10;deB+ddRbI0UCRsclVAz60ATUUUUAFFFFABRRRQAUUUUAFFFFABRRRQAUUUUAFFFFABRRRQAUUUUA&#10;FFFFABRRRQAUHpRR2oA8d8E/8lh8U/7tt/6JWvTxpxF8bn+IvnrxjH6/5NeYeCP+Sw+KP922/wDR&#10;K17COlCdhNJnEaj/AMlj0P8A7Bdz/wChJXcVxGpf8lk0P/sF3P8A6EldvQMgl5lhX/az+QqYjioW&#10;5u0HopP8qnoAiNvCxyYkz67ab9lj7Ag+zGp6KAK/2c/wyyg+u7P865fxdcS6JYSahDiaQFF2SYUH&#10;LheoHHXNdf3rkvHtnc3+hPbWsXmSSPGACdvHmLk57YGTVweppTbT0KkRltvEDo3lk3Vsrnkj5kOD&#10;j14YflSapHLbyJqcUQ8234lCt/rIv4h06jqKfrHyQ2t4AN0Eykn0U/Kf51qMquhUgFSOh7itVG94&#10;/ceVK6euhSluJ2ltJIYS0LMfMPopU4I59cfnVvz077h/wE1jyaFcpEsdhq1zbIh+VMKwA9ORnFJH&#10;fanb6pb2t2sIjkyBIM4c8kbT1B/2T+dUqjWkkK1zZ8+LvIo+pxTwysuQQR7GqLT3c7zwQ20lvt+5&#10;cSbSp+gzk/jjvS2LR3EDGSS3uZY2KPJEmBkde5rW4WLMX8Z9WNS1XhhTyxgEZyeGIHX2qTyfR3H4&#10;1QiQ1QszDfub0xHfFJLApbsFcocfXbn8afeG5htybY+ZMSFRWxjJ9fp1p8jtbwPLLLGqIpZ2ZcAD&#10;uamTVtQOC8LqNJ+KN9YR8RTLIAo6DgOP5GvUc4GfSvL/AAOH1nxpqWtomY0DBS3AyxwP/HR+tehy&#10;SudzzEokZIZVYY/HIFfNRScm1tc9LBXVIoxa/HeX5sY43Q7GJl9MZ4Ax14PX09afp+sRTtNEkDgw&#10;qSWJyWx7/wCe9Sww2lpLFttJUZY1iQlN2AvTkZ/OmpawqrQxpOsbR7TI5PyjJ4GRWll2Ooktrl9S&#10;k3KTAFQEcZJLYPcenFM1zT5r/QLy1jnYySQlRkDk/l3qTT7Gy00MLdmw2N27nOO9XvNj/wCeifnU&#10;yV9kDV1YyfCl5HfeGbCRBtKRCJ19GXg/qM1qzf8ALP8A3xXM+HNtt4l1+xj/ANT5q3CAdAXHP65r&#10;pZSFkiJOBk5/Kohdipu8ES1TZp7m7ltzblLRUw0hbBcnso9MZyfyqFRFrkEcoaZbUSZC52+cAeCe&#10;5XIz7/StKnsWNhhjt4UhiRUjRQqqowAB0Ap9JRSGLRRRQAUUUZxQBChV7qTA+ZAFzjpnnH8qmqGB&#10;i6OxXBLtwfQHAP44qahgFctptjerq7zypOImkZjl8qMqQQB9a6mo4P8AV/8AAj/M1UZWTE1dmTH9&#10;qhe78yJyh3eWwBz0Hv8AWn6KLlFZLiN1IROWJOTitbvSE4GSeB1ob0CxHc3MVrbvNO4WNep+vA/W&#10;uY1LxHDqappmnrMz3MrQvKIyAAAWbae/AxkdM1D4hguvFVnJBahhp0MqM4XhrrD/ADBT2Awfqayx&#10;Z3EertDpVtcRC1ugYrjbvNujR4ZSCcsCegJ44PSiKTV2Zyk3sdNLerLY22nabKGubldu9RgxIOGY&#10;jtjGB71qrbw2tnDYRLtj2+Wqj+6Bz+nf1NZfhLQzoukkTFnu7h2lnkc5YkkkAn2B6VtKd87nBwnA&#10;J796nls7lxRKAFGB0FLRSZoKGTMwiOz7x4HHQ1iSn+2ro2MT50+A/wCkyL0mfrs+nr+VMIbxHfNt&#10;laPTrZmjYI2DO/GenRR098mr897a6YYbG2t2klI/d28CjIHqegA9zUt30IbuXGCq0KKAqqTgDoAA&#10;ay42GtaqsyZNhZsdrY4ll6ZHqF/n9KSa1v8AVZY470ra2xBJhhfc7jjhm4wPp+dbEMUdvCkMSBI0&#10;UKqqMACm9bAlckHSoVUfapG3Enaox6cn/P4VNUCBRdykEbtiA89ucU0WT0UUUAFFFFAFQQyjVnnM&#10;h8owKgj7BgxOfyOPwq3VWayjlvYLvcyyQ7h8p4ZSOQfUdD+FFpfJdiQLHJG8blHSRcEH+RGOc0wL&#10;VB6Umc0ppAR2/wDx7xf7g/lUlR2//HvF/uD+VSU3uAUUUUgCjNFVr6+ttOtJLq7mWKFBksx/zzRc&#10;G0ldjNS1Oz0m0a6vZljiHr1J9AO5rDHifUrpQ+n+G7uWM8h53EQP06motJs5vEGpf29qMbLbxnFh&#10;bSD7oH/LQj1PausAxU6sxXNPVaI5d9T8WXS+VBoVvaO3/Laa63qv4ACpLPwnG1wt7rVy2p3g5HmD&#10;ESf7q/410tFFu41SX2tRqqFGAOAOMdBWZc6tHDfNb20b3VztAMUWPl6/ePRfxqEvda3NKsMzW+nx&#10;uU8xOHmI4OD2XPGetX7Szt7FvJtoljjCDgDqcnk+pql5FavRFX7HqV+ub26FrGf+WFr1x7uefyAp&#10;1xpccWkvaWMCpux36nIJJPc1qCinB8ruNwTVmZ01jJNqltdg7VRCsiHq3dfyOfzrJ1yy1O80fVFS&#10;ALcS20iRsrgkDHCqPfvmunpCa1VeWxHsY3uctax308l9BFLJJYGOBhJcKVYk7vMQYGcYCfTJFWPB&#10;HmJ4YhjkgaApLMAjKVIHmsRwQOMEVpajq9hpMXm313HAvbceT9B1rh7v4nRCaaHSdPkupHfKM42j&#10;oB0HJ6e1ZyqK1mTOrCm/eZ6PniuX8ReOdL0KKREkW5vBwsSNwD/tHtXIvb+NfFf/AB8yixtG6rnY&#10;CPoOT+Nb2h+AtM0llmnzd3I53yD5QfZaunhq1XZWXdnJUxrekEc/b6L4g8bSi91i5e2sicpGBjI/&#10;2V/qa7zStGsdFtRBZQhB/E38TH1Jq+AB0pa9jD4SnR1Wr7nE7t3e5FP/AKpqkqOf/VNUvauqwBRR&#10;RTAxvEUiw2sAVMz3M8dorhclFdhuP5D9BWHqC3Vnq2pmORcJ9l+yWpiVhKo4I59G3HjGOpzXakZp&#10;O/ripcblJ2AdKWjtRTRLCiiigQZoprMFUsxCqOSTXN3ev3GozvYeH0E0gOJbtv8AVRf4monUUNwI&#10;9cuJ9Wu5/DtjsBlBN3MwyIkIxjHcmrXhptL0G6/szYtvdDnBG3zuPvKcDdVrRNJj0iCSESNNM53z&#10;TP8AekY5yTWhPawXSqs8KSBW3LuGSp9R6Gso0m7yluzow9b2bd9mVJtU1a91d7e3iSK0i2mSaQn5&#10;s87UA6/Un8Kt6JqEo1OewmmWSSEJuIBGcjg4PTkGkt7SG1UiFMZAySSScDAyTyagtoEj8VNOpbfJ&#10;bxKy5GDtd8HGc55+nSnKCUTrpV3Um4rY66lFIOlLXMMKKKKACikzS5oAKgueFQjqJF/U4/rU2ahu&#10;f9Qzf3SG/I5oAnopMimtLGnDOo+poAfRURuYR/y0U/Q5pPtUR6En6KaAJqKh+0j/AJ5y/wDfBo89&#10;+1vJ+a/40ATUZqDfOTxFGB7v/wDWo23B53RD2wT/AFoAnoqDypu82PotHkMfvTP+HFAE+eKggOGl&#10;TsH/AJgH+tH2ZOrM5PqXI/lUKWsH2mVTErZCt8w3evr9KALDXECHDTRg+hYU03UPZ8+6gkfpUixq&#10;gwqhR6AU7FAEJuB/DHIfotHmyHpAx/ECpsUtAEG64P8AyzQfVz/hSbLk9ZI1+iE/rmrFFAFfyJD1&#10;uJCPYAf0pfsy/wATOw9CxqeigCAW0XeMH/e5/nXB+HNOsbn4jeMnuLK2laCS0MbPErFP3bdCRx0H&#10;SvQ64fwn/wAlF8c/9dLP/wBFtQBu2U0/9puhYCAswVQR1H4D/wCt+Necap/yXux/7Bsv/ox69fC4&#10;x0ryDVP+S+WP/YNl/wDRj0PUSVj2A9BXH6ppulXV5etdXsqHOxhBGyncxXGSo+cggY9MmuvboK43&#10;VrHSZ729ee6CNwjgWwb5mI68fMwxweoyaBnW20bRwKjOXwOGIxx2H5VyVo+nQeOjEl9L9sl80NCI&#10;/lJIDfe9AFP4mustYzFbonmbwB8rEYOO36Vx9m9l/wAJqVF+5uRcsBD5RAJEb59sck59hQBq6bZR&#10;x65fzRTSqFASRCvBJLPnJ/3+AOwrJ8LaLpcE17Fb3DXMRRSyhjkYZscjH0/CtjS209tU1QWyqJXc&#10;E7Ydu3Cqpwe/I/OqHhm3srMahNbyudsapOZoiql1zkgehz0oAs6xpmnjw3qQxLaJJA0bSSMWxnpw&#10;xOeazCtiPCTuby3FtHfecJVUvwJd5BHXOARx29q0je6bqGg3n+kQx2Y2tLLHCUVRnJP6de1Yiafp&#10;o8ByW8l8slobgxu3lbiGICbcHvnBoAmvrLT7rwtpltcX+E3sPMWP/Wtzng1T1HR9PGl+HlutR2JF&#10;DshkMJ3y7lLAtzwcA59yanvLHTpPBVpEt2Y7UF4EYQ7eXbbjHbBPaneJbHS2tdItdRugvlxqY2e2&#10;3liBjnHTrk/TNAFnXbPTNQ1XThPfSxTCAKoSMscEhgemBna1aFzbQJ4qiY3oWV2jfyyGyQFZQM5w&#10;M59O1UdW+xw63pxk1LypYLeNUjERYuGdRnr0+X0pb97RPHcEjXUSzgRr5PlsS5JZRznGfnz07ZoA&#10;jNhbyfED7SuoKJk+UwGEqWI+bhs4PEi9qm0e1tY/FeoNBeBppUZ2Qc8E9enTPv8AnUdpbxN47mmj&#10;1BCVJL2/2c5JbIHzeo8v9BU+jadaweKb2dL/AM2Ub1eLZgDO3OPpxmgDL8P6TaWP9uGK+R1khdnd&#10;k+ZQeQxXGMde5z+FTaXb2SeF9atft9sI3JEswjJ8sMB1HXjPHofpVrQbCGWDVYYLtGhmVopGETK6&#10;naAOvYAnH1/OlpWi2tv4X1iOPUVktpGbzHaEnYFdi2RnkHn880AXLdrAeENQJvY57dpJAZirJtJ/&#10;Pp2+lWNUhVvCtt5d6IYo3Ql4yZQ4yOM4yM59OKo6ZZ6bZ+D7q2inj8mWUodqsBG5GDxnOe9T3DwX&#10;vhXTEt79oY5HXYwjZ94HJU5JIzjr24oAdrtrZppNgl7qAgijVgP3eFfIx6cAZqh4h0+2fUNOJ1GI&#10;FYI0WN0LK/zDBOK259BGsaPYKl2BEkZYbU2hww447Dmq2r+DZtQubSZLuIfZ4ljMckZZXwQeRn2o&#10;AfdWsEniUyvclZI5onVAnRioXGc9x7Hr9K6paxJ/D7z6z9vM6gLKsqDbyCFCnJz3H+c4rbUEdaAH&#10;UUUUAFFFFABRRRQAUUUUAFFFFABRRRQAUUUUAFFFFABRRRQAUUUUAFFFFABRRRQAUdqKO1AHjvgj&#10;/ksPij/dtv8A0StewjpXj3gj/ksPij/dtv8A0StewjpQBxOpf8lk0P8A7Bdz/wChJXb1xGpf8lk0&#10;P/sF3P8A6EldvQBAnN3IewVR/M/4VPUEHLzN6v8AyAH9KnoAKKKKAEJxmuA8R6jeap4it9DsrlrQ&#10;MjSXEwA3CMAgBM9WJ6nsPwrvzXMa1HbafPNqk1vu8mMt5ix7mC9wP8KunZvUuN7Pl36ETWCvpTWM&#10;kryBo/LMjnLHjqfem6Vctc6dG0oxMmYpR6Ovyt/LP40mm6tZarAslrcROSiu0ayAsgYZGQOlZsOp&#10;DTbq/t2trieU3DzEQheEKg7iWIAHX8q3bSkmjzJczb5tyTVrRbrV7aO4eTyZYnSPY5XZKOQeO+M/&#10;lU9pGmsaHEl4MyD5ZCOGWRTgkehyM1n6trds9pDdIkoe1aG5kVgAY0ckAkZ9M9M1dEo0zVH38Wd6&#10;wZJOyyYwQfqAD9ayatNt7MVhLa/uod1hMhnu4pFjDrwGRhkOfTgHPuKvJJZ2QjskeGIhfkiBA4x2&#10;H4Vn6jHcprlm9pcrAbiNoXZo9+dvzDAyP9rmtOWCIRu5RWl24Dkc8+/41tT7dhMjhv7fzRZrJvuE&#10;TLIo5H17Ckg1AuIo7iLybl3dRESTnaeSDjkY5B96u4A7cnrVeeFPPiuAq+anygn+6eo/z6VpqGhW&#10;S0vzHa+deASRzGSUqvDrzhfpg1zfxKnvItDhSDcIJJNs7L6dgfau2qOWKOaMxyosiHqrDINZV6bq&#10;U3FO1yXqeX6T4tm0/T4tL8NaW8kp5kllXczucZOB/Wul8M+NTqWpf2XrdssF/uwh24BI7YPQ10Vt&#10;Z21vL/o0UcUSrt2xqAGJIOTj6VwfxCUWHiPSNRgG2cnLEd9jKR/PFeNWwToU+fmvY3hXnCS10PVa&#10;Wkpa57nsITFNKqASVHAz0p9JQN7HJ+DYlvbS81u5CtJfzswB5CIvAH4AVteXJNqUXlhEsxGTlSQX&#10;bOOnYd8981xSSX+nXupaLp9q+o6RC3mSpHlHjy2WjVv4u+R9a7DRta07V8fYZAPKTa0LDayc9Cp9&#10;MUQlZHPTlH4eppiBRwrOMcD5yf50eU3/AD2k/T/CpKr3d9a2MRlu7mGBB/FI4UfrT5jd2W5Jsk/5&#10;6/8AjtAWYdHU/UVk2vizQr27W1g1CNpXOFBDAMfQEjBraxSUr7CjKMthn77/AKZ/rSbpf+ea/wDf&#10;f/1qlop3KsReZIOsLH/dI/xprzsiM3kPkDPJX/Gp6huQzoqKxUswGQO3U/pmi6ExsMu2BAysGAGQ&#10;EOKk89O+4fVSKkoobQyPz4v74qO2ljNvHh1+6D1qdiFUt2HNRxRjyIwyg4UDp7U9LCH+Yn95fzrC&#10;1C9Opzvp1o7+Qn/H1PECTj+4uO5zyewp2s3byTrpVip8+UDzpEAPkoe+egJ5x+dWBZW2m2yBI444&#10;lPzg/wB0KTgZ78dfrUq0nYltshluV0/T5ZLaLbKdttbx44yM7Rj2yc/Sr+m2C6fZrDuLyZLSSHku&#10;56k/jXPWepWurazcTiEi20/93Gpxh3J5b8B/M+orSi1m0miupI4pAsGDnfjePbmq5Lu4os2WIVSS&#10;eB3NMtw4hXzAN5GWx0z3qpEyXgG0uoDncBITwD7HvVvyiPuyOPxz/OhpIslrlvFfiCfT1Njb2dw7&#10;yoN0yFflUnB25PLdh7kV0nlt/wA9pPyX/CuTltbzWPF9neRnfp1q7xl2OCzKMZAA5G4kfgaSSvYm&#10;TdrIsrrlpo+nbLazlESzfZUwOs5H3cfXgn1/OtfStPNnC0s7eZeT/NNKe59B6AdAK5SHR72/1wW0&#10;br/Z1jqBuzKD9+Q/Ntx3wcj05rt9sv8Az0X/AL4/+vTlGL1TFHXUD/x8p/uN/MVJVciX7SnzocKf&#10;4cdx71J++9E/M0NF9SWokUfaZGA5KqP50v770T8zUEQk8+dh5ZJYAjd04H+NCQXLdFR7pR1Rfzo3&#10;y/8APMf99UreY7klFR75P+eY/wC+qTfJ/wA8x/30KLBclqteWz3FuywTGCbHySqASD9O49qk3yf8&#10;8vyaqGsaymjaebqeB2ywRETBLsTgCjZCckldlpLpElitZpU+1NHvwAQGxjJGf/11ZJ4NYOn61DrE&#10;8kEtjNb39qc+VKBuTIxuB+hPNaNtdzzWe+a1kilGQynoCPTPamlfUUZJrQtQf8e8Y/2R/KpKgikI&#10;iQCF+g9P8ajub+Czhaa5IhjUcvIwA/U0SVmO6Suy1n1oJ4zXKS+I77WP3Phy1Z1zh76ZMRp/u5+8&#10;aQeEjd4k1bUdSvZT12yiNPwCmo16GftG/hVy1qHilRctp+jQHUNQ6ME4ji93bp+FR2fhiW7uUvvE&#10;Fyb65U7kh6QxH2Xv9TWvp9haaVbLb2VkYYh2XBJ+pzk1c81v+eL/AKf40cj6iUG3eeo8DAwOMUtR&#10;+a3/ADyf8h/jUMl7FCxEnyEAEhiOh6d/rVcrNtC1VTUpjBpl1Kv3kiYj8qc14iSCN1ZXIzgkdPzr&#10;O1u+jOkXsQVt/lMuCO+OeaTi7Eyehe0uEQaVaxr0ES/yqf8A5eT/ALg/majt3ZLWJfKfhAO3+NHm&#10;t9pP7p/uD09T704xdhp6FmjNQSXAiiaSVGRFGWY4AA9+a871jxxf63df2Z4YibJ4M+OSPUdlHuaV&#10;tbLcyq1o01dnX654r0rw+h+2T7psfLBH8zn/AA/GuHn8YeJvE0pttCsmtojx5o+8B7seBVvRvAKp&#10;L9s1steXJOdhf5c+/c12kSeTGI4rdI0AwFUgAV2UsvqT1qOy/E86riqk9tEcRp/w6e4l+0a7fyXM&#10;p5ZFYnP1Y812On6Pp2lxhLKzihHqq8n6nqas7pP+eY/76pd0v/PMf99V6dLC0qS91HOhiBYX8vPD&#10;klQfXuB/Op6gcSPg+WAQcg5zikia5ORII9w7rnGK3AsUVHmb0T8zR++9E/WmATD90/0p68qPpUMg&#10;l8t+UHynsaVBLsX516f3f/r0wJqKj2y/89E/75/+vSbHPWY/8BAoAlpKZ5b/APPZ/wAh/hWXq2s2&#10;mkKBPPJJO/EdvEAZHPsAKmUlFXYjXqvc6hZ2alrm6hhA673AxXPw6bres5l1C9l0+3b7tpAfnx/t&#10;Mc8+wq7D4S0SEhjZrLIP+WkrF2P5msVUnP4V94bkM3jCxZvK02KfUZz0W3jO38WPH86QTeK7sArb&#10;WFip/wCejmRh+A4/WtyOztoV2xwog9FGKf5EX9wflR7Ocvil9wWOdPh25vmB1rV5LqIc/Z4gIoz9&#10;QOTW9bQWllAsFskUMS/dVMACpRFGOiD8qXy0/uj8q0hShHVDsQrLGJny46D+tP8APj/vj8KAAJ8A&#10;fw1LVgRecvo5+iH/AArNimuT4xUBZWtRaLgbcDfvbPX2xWt0GfSqEFxH/wAJWLbH7wWySZ29t7Dr&#10;n+lZ1Njpwn8U6oTPj/j3k/Nf8aXzJj0hA+r/AP1qkHSlxXGdRDvuD/yzjX33E/0pf9I9Y/yNTYFG&#10;KAIBHOTzKo+iUvkyHrO3/AVAqbFFAEP2cnrNKfxA/kKiuLVDA+DITtPWRv8AGrdMkGYmHqDQBClt&#10;bsqkxI2RnLDP86mWGJPuxqPoKbAcwof9kVLQAm1R0AFGKWigBMUYpaKAExS0UUAFFFFABUA4vPqn&#10;8j/9ep6gfi6iI7gigCeiiigAooooAKKKKACiiigArh/CX/JRfHH/AF0s/wD0W1dxXD+Ev+Si+OP+&#10;uln/AOi2oA7fFePap/yXyx/7Bsv/AKMevYq8d1T/AJL5Y/8AYNl/9GPQB7ARx+FcXrGn6Td3t5JP&#10;czF7fl/Ks2cIWxncVX5jgcenNdoegrlL4aXHqF5cXN9IgjIWQLbsByysQWA+f7o+gJoA6Syj2WcS&#10;+YXXb8pK4OO36Vx9hY6JJ41N5Bcu+prNIzAxuAEKFdo4x15z7Yrs4HLRBt4cN8ykDHynkfpXKaZb&#10;aU3iz7RZXUpmUTB42B+8CN/Pp868e3tQA/QoYP7cvJba4Vhht6FT8uZH+7z0JXPvwe9O03RIdHs9&#10;Tk+0TokqZcuuAuBycHqal0RbO11G7jikzO25AphIA2ySHOemPmx77amt7y1v7HUEQKiKGSU+Uy44&#10;wevXigDH0+HRB4avlgu5DYZCyqQd2OdwOecHJ59vaozFotz4N8uO5JtHvwWkYn53EmSOTnt69s0a&#10;Vpmnf2DqkNpdb7aVhliQwA3NwST746jGKiFlpdv4Hh23DpZz3BuInMYz84LLkZx39+nT0ALd82kQ&#10;eDbcXM7RWnmCRHVCvCuG5APcL+fNHiGHTNSOkyvdTxFlR4AsbPlDycn3UEEZqvfafpc3hDTrCa7Y&#10;2zh1jYxqxY7T79R+tSaobCDTtA869e3RbdUhxFk52Ag4zx9zv9KALGu6bZ3Wp6bJNqBiLGIooQ4b&#10;bk+vAP8ASr154Wju9fi1cyp5sTIVBjBwFOSM+/P51R1prS517SHeQCWILIP3D4IOSMkcAZB+n41v&#10;nU4LfU/sU1xmSUBkXaBtznjPvigDEtTaxeMrofbmFy8jEwtGdpHlx8bj3GRj6sKTREtY/FOoeXNE&#10;0soaVkEbDbkjPJ45Iz+NRW9ko8cPOtwcl5A0O3gnapPOfTb+VJoltp0Xi29lhu5pbgBxIrxELzjo&#10;enb+dAFjS5LMJrJhuiN6tK+0MTGNuAQCSOxxVTTfsDeG9Tik1NWURCG4nEOGAI5JHXJLH6HPpSaF&#10;HZyrrVpb3YeIxHzm8oh1LAqOvYbWwPeq+k6ZYweHdaihvkltiPMkfygwVQzORgEg8Z4/SgB5h0u7&#10;8K3ckWoOLY3SyNN5bZBXGQAPXH61ZOnW9p4QsIprpZbeD5WeOM/vFYbfqCd1M06302z8K31qsqCG&#10;SXY5ZSqq7gDI/MHjFP1G5tJPCOmvFeeTA8kYRovm3AnkNk8DnB9DQBunVLHQ9JtBdTERhAsblTgg&#10;D1+lOvfEmnWE0Mc82POUMhHIIJwKwNYGntpGlrdXk0cTxs0eyAkPkDggAkfe7VDrmlWsuo6XnUhE&#10;/kqkaOp2Pg7sk/gaAOsfWbSO9a0ZmEqsqn5TjLdOfxFXwc1y93aW3/CTwNLPIsrt58CiJiAVVVPz&#10;DjkHp0wTWt/blguqf2d54F1kjYRjJwDgZ6nBBoA06KybXxBYXuoS2UE2ZohlhjjqR1/A1Lp+rwak&#10;T5G7hQ3OOhyBwD7GgDRooooAKKKKACiiigAooooAKKKKACiiigAooooAKKKKACiiigAooooAKKKK&#10;ACjtRR2oA8d8Ef8AJYfFH+7bf+iVr2EdK8e8Ef8AJYfFH+7bf+iVr2EdKAOJ1L/ksmh/9gu5/wDQ&#10;krtu1cTqX/JZND/7Bdz/AOhJXZynbE59ATQBHbcwq394lvzNT1HCuIUAH8IqQ8CgApMj1Fcz4m1K&#10;/iiFvpbQ/amYKolY4/2jx1wOcVhw2/i2S9Rru+02O3XKssUbszjHB5PynPbkfWtIwbLcYxS55WPQ&#10;twPQg1FPDHNGUkAINcNNrl34f1iNLuJpLGWLEc0KM7GQdQ4A4znjHofWoxeeINe/0mznTT7U5G26&#10;gZ5G99uV29+ueKPZu5PNTS51LQtT+HbW18QQ3unOto0alJljjGJ0JztPbg85xnmqniq0Z4rWa33C&#10;SS5ht59pxvhaQBwfwJqxp2h3lrqIvLrWrq7byynlEKkZPrtA7VLdyjUNSt7GHLLbyLNOw6KV5Vfr&#10;uwfwrWWkbPc5MRUjOacTM8Vi6mtrmBbGZ7ZYA5eLA8xhyATnhR1x7/n0PlRXtgqTRq8UkYJUjINS&#10;XMYmtZYuzoV/MVV0SXzdDsnPUwJn645p29+z7HPfQbb6Rb21xHN5k8rRgiMSyFgmeuBVyXlVHq4x&#10;+dS1FJ9+MD1z+hrSMYx2ES1XumVTEzNgBs8d+2MfjUkrugURoGYngM2MfoajeKWWSMsYwitkrtJJ&#10;9OaoBxafKlY0245DPyP0oWJjIzyPkcbUHRf8alHSlpWAYkaR8IiqD1CjFedfFAFbrSZSPkXeCfxW&#10;vR65L4h6cb3w00yrlrZxJ+HQ1y46DnQaRL01O4RldQ6kFWGQfUU+uc8EaouqeFrN92ZYU8mQZ7rx&#10;/LFdFmvCi7q5AACA/3/vU5c0UxaxNX1GWScaVpc6DUGIMhwG8hOCWYfToPetvNYmkW8X9ta3exoA&#10;0k6RkjqdiLn9T+lDfQcuxe07TotNt/KjLOzHdJI5y0jepNZmr+HY9Rumu7SVrPUIgPLuIx1Pow/i&#10;HSt8VHH/AKyX/e/oKq2lglBNWZzf2TxjdDyJtQ061jAw00ETM7e4BOBU1p4N0yGUT3hm1C56+bdv&#10;v59l6CuipajlSJ9kuupyPjG3hlj0nTIIo0muL1NhVQCiryxGPautrlvE3m6frWma60LS2dqHjnCD&#10;LIG4349BXRWl5b39slzaypLC4yHQ5FJbsmFlN3LFFGaTNWbC1AQHugc58sdAe5//AFfrSXl7b2Fp&#10;JdXMgjhjBLMa5ePWta1tnOhaeLaCQ8315xkDgbV6mlexEppOx1/0orlW0/xZp4Fxb6rBqBH3reeE&#10;Rg/Qgn9asaf4x065kFtfE6ffA7Xt7jgg+x6EUc3clVVe0tDfn/495P8AdP8AKszVdW+zD7LZ4kvn&#10;GVXqIx/eb0Ht3pNZ1eO2ia2tx513KuFRRkLngM2OgqTStNWyQys8kk0nzSSPwXJ6kj/PSnq1oU3d&#10;2QaXpa2SCQyO8r5aRifvsepP+eMVB4hdjax2cLEXN0WhjAOOCPmP0A5/D3ra981i6a66nqlxqQ+a&#10;GH9xbnsQPvsPqePwpN9ED7IfZ+HbKxt0hj8z5F2g55+8GP6inJoVrDFKivKquAG5B4HbpWtUMzcK&#10;gXJc4+g7/pVczKsiDT7SK3WSSNmbzTu3N6dh0+p/GrtIqhVCqAABgAUtD1Gipqdz9i0y4uB95EJX&#10;3bt+tZYL6ToCxoB5wVbeAY+9IeM/99Ek/TNTeIiXtra2U4a4uUTP0O7+lE8e7xBp0LEssMLyDP8A&#10;e4UH68mob1Ie5oWFmlhZRW0fRAMn+8e5+pNWDS0h6U7aFrYjH/Hy3sgx+ZqQUwf8fL/7i/zNSVTB&#10;BUFvsPmunV5Du+o+X+lTk4qC1KtbIyjAb5umOSaXQCeiiigAooooBiZ5rk/Gl9p0+k3FmdQgjvoc&#10;TxIZBkMpyAav+LtSn0zw5cTWp2TMyRK/ZNzAZpNO8KaRaackElnBcsRukmlQM0jdc5PNQ7vQwqOU&#10;m4RMa+vI4LjQfFgBWCWIR3jKOiMvBP0atS58T6Zb3ckrataPaPAAqLIGZXBPQDnkEdem33reW2gF&#10;t9nESCHG3y9vy49MdK5XXtBsbC40/UrSC3t/Il2tGkYHmbsD9KavHYOSUL8pKviDVNVQRaHpcgQ8&#10;C8vF2IB6hepqW28HwSzrd61cy6ndDkCU4iQ/7Kf410i/dHpinU2tdSlTvrLUaiJGioihVUYCgYAp&#10;1FFM1CiiigArHv7X7TeyqlxAJXhVVjZ8Hgk5IxnHNbFcLaTXMF8jXRjuHbVJo3tzF88aFX+cHr90&#10;AehBx6VcBSZvPYLe6qL2K6hMkS7Si/OF5B5HfOOvHb3zT1nTLkWV/cFogrB2IB52447ew4/X1TSD&#10;a/8ACQwyWfz20mnhYdgK+UitnDg5OTnjOOh4rpJ4VuIJIX+66lT+Iom2lYm10Fu2+3jf+8gNH/Lw&#10;f93+tUNDuS1m1pNxcWh8qQHrgfdb6Ec1keONf/sLSJGibF1cL5cXt6t+AqFLS7FOooQ5mc54z165&#10;13Vk8NaOSV3YndTwx9M/3R3rq/D+gWugaetvAAZDzJKRy5/wrE8A6ANO0v8AtC4BN3d/Nlhyq9QP&#10;x6muwr1cDhuVe0nu/wAjxpzdSXMxaKKK9MgKKKKACojGwkZ0IyygfMM4x0qWikMgK3AjBEiNID/d&#10;2qR+ppWldcAxMc9SMYFTZoosBG5DQsR0Kk05P9Wv0qOFcQbCxbGRk/WnQnMKH2oAkoozUc00cELy&#10;yuqIgLMzHAAHek2krsRm69q/9k2QMSebeTt5dvEP4nP9BUOh6Amnqby7IuNTm+aWduSCf4V9AKp6&#10;JG+uas+v3CkW6AxWMbdl7v8AU109YQXtJc8tugBS0UV0gFFFFABRRRQBEeLhfdcVLUT/AOvj+h/p&#10;UtAxKzp7Ywa1HqkcTSOIfJYKeg3Bhx36nv8An20qKTV0aUqjpy5kQ2XjLT7q8+y7nSU52h42Qvjr&#10;t3AZ/CuhimjlXcjgiufmgjuIWimjV42BDKRkEGsm5uLvSNWsjFLvs7mQo6MDmM4Lbt3THG3B9Rg9&#10;q55UranbSqwqvlaszuqdVOG/t3VSZACR0q0GDAEHINYNNFuLW46iiikIKD0oooAhtf8Aj3T6VNUF&#10;t9xh6Ow/Wp6ACiiigAooooAKKKKACiiigAqvNxJCe+7H6GrFQXPEat3Dr/OgCeikHWloAKKKKACi&#10;iigAooooAK4fwl/yUXxx/wBdLP8A9FtXcVw/hL/kovjj/rpZ/wDotqAO4rx3VP8Akvlj/wBg2X/0&#10;Y9exV47qn/JfLH/sGy/+jHoA9gPSuL1qw0m5urx7q8mjKttfZCMZOGIJx8xGM+3NdoRwK4vWLHRp&#10;7u+a4u5UfG1zFCMrkgkbgMk8d+nPvQB1lmgS0jUSmVNvyOe69v0rmtG/sg+J5hYNK08a3Bl3ISNz&#10;NHnDdB93GPr6V0llGsVnEiSGSML8hP8Ad7fpXOWGnW9n4xlYXMrzOkr7WTAyxQ9c4wB2x/FQAmhz&#10;add65eSWVzKZDHiSIjA6ljn8ZRgDGKTRrWyig1hba9VoC7CQiIgxv/FkkkEcjApPDtpY2Wu6oLeZ&#10;zO5JdWiYCMYC4BJI52Z+lJoUFg51WPT76eTzsySIFyFLE8+54PSgCfw5b6Uum3UdlI01oAuQ3PY5&#10;5zzznjtVW4sNIfwJp9q18PscccarLGu7zGCY6DOD3xVjSorHTPD11PaTtHaOv35Yydo5BOMgnkk0&#10;GXTr7wgguZHaCArGkixMp3D5QdoJPfPWgDN1S10ybwhaw/bnNuqSQq6QcscEEFfUc/j6VJr2m6bP&#10;omlvdXRMEQRYSYQzOcbQcZH97n6Z9asappemP4ZscTmK0jkWQHyyxZmPXk5HJzTNWOk2GlaRplzd&#10;t+6hxE4jLbxs8rJ54/1maAGazLZWmr6VJPqDxSJEkUSpFuLEsDz82APlx079anvRbjx7aMZUFwVU&#10;CMwk7sB8Zbd1wWxx2qrrunWH9s6Ok188BgRGhj8ksGCtjGc8Z3L9PxrQuobBvGltK0rrdDCbdnBb&#10;aSpz9Aw/GgBsUFs/jQTJcf6QrvviaLg/IOQd3GAR2xyfwraO8DeKr5bfUZWEvml4HiICkOwJU59f&#10;btWimmofF0lwt0fOhRZ5Imj+UrJvRSDnqNjD8fpiloWmWFv4iupIL5pZijF4zGVGDgEg/UH8TQBD&#10;oVvp0Sau1lcOyz2waRzFyuN49eedxxjuexFSWcGkR6Bra28832WSMRy/KdwzGOme5DjAql4a0/S9&#10;2rfZbibcLYxSloCuAzMMjnnG0/nnPNQ6F/Y8vhjWzZ3cpiDIZd8f3SoUABc8n5OOe4oAuxxaRN4Q&#10;kkW9uPsUlyHaRssR82cd+OlQXul6W3gG0tmv5EtI0lj80xkkEKwYAdRgqf5U6K20uTwIIm1CR7Hz&#10;8mWRCSATkjGfetPVH0qXwe6wy+RZyiZAyxMSpw+87VIPUNntmgBdY07TyukSXspkggbYNsZbzMlc&#10;dOg45p+vS6dHd6d58qQ+S/mpuRugVhyR0A9/Sk8QW8b2mnvLqBgjV9m3yS6yFsAZBOePXPrVXxDa&#10;afut4ru/eHdbNCpEWVAKkFzjpgZ/SgCTUhbnxZAH1BgzlEEJj3BSoLdc8dB19qf9ltJvFckwupTc&#10;LcgsjINoIiUYH4befXP4UdXsrNvHFrcvfhLgzLtieEsp/d9M5GOgP1xWhBDaHxbPL9ozcrOQq+UR&#10;tzGmRuzgjgGgB2l+FX03X5tTFysqyhgUZOUyWPBz7/p71d0XQjpLvKZxI8iKjkIV3beFPU9BxW0v&#10;SnUAA6CiiigAooooAKKKKACiiigAooooAKKKKACiiigAooooAKKKKACiiigAooooAKO1FHagDx3w&#10;R/yWHxR/u23/AKJWvYR0rx7wR/yWHxR/u23/AKJWvYR0oA4nUv8Aksmh/wDYLuf/AEJK7C5/1DAd&#10;+BXH6l/yWTQ/+wXc/wDoSV2E/JjX+9IP05/pQBMBgYoPSlpMUAcH4vm1LRr221O1t5bq0hZ2uYIs&#10;BipH3hk849KnPiDTfsK3yTh7MqWa4j5RQMdT+NdjNbxzpscZBrMk8OaebKW1SBFilzvXHDZ4OQPW&#10;toVbFShTqtOe5l/2haM6xC4j8503rHn5yMddvWuRi1nVYrxraT908UO0m7m2AsFHIwDnk8c9RW2/&#10;hLSvD88V1b6cjvETJ5pdmdRtwcEkk8ADFVIZfE2uadHe21rp8UMyCSOGZGkbBGQGPABwfwqpSclu&#10;c8sNKPw6oz1v7i4spludbRTmMCOBiC3yISNxOcdc475q5o1zEmmyWkEqiQEgKjgF8E7mz16d/wAq&#10;u3OqwaHdpDqMTRwuOJktWEcWAOGYA8k5/wA4y9b/AEDX18iG7habPybSUlU4yCAcMKlRktU0Z1KU&#10;4OzRYZ7qTT55A0gkC7lJ/wB0Ebcf1rIs/tyaRbRwvIPKkmidkGcHzcLnP+cVu6RcS3OnRvM26UFk&#10;ZsY3YOM1FoHzaUJP+ek0sn4GRiP0q0+aUWuxhexF5t4tjDlpC6hnbqSdp6fjTL2S6W7tikxVVUMx&#10;zjBPc4FblRf8vB9l/rWyiHMY9xcXf29JYnl8oPHGBt+Uq20k/X+XNKlxetqKr+8EXmlQCvAGWz7f&#10;w+vfNWPtpubiO3MYEizNkbugTBz+OR+dP/tTFks/2WeVmmaIRQ4LEhiM8kAD5fWhxYlNPQrWNxLJ&#10;qbbmkKOZNoYnGMrjH69cVtVjL4hgNsJWtbpCVlkKMoyFjIDHg46sMAH+VasEyXEEc0ZyjqGU+oNC&#10;BklRyxJPC8Uqq6OpVlI4INPoptXVmSebnQ/E/hPUp5PD5M9nKc7eG/76U9/ephr3xCPH9mr/AN+Q&#10;P616HikrzpZZBu92kXGc47M8s1a98dLHF9ruXtzO/lxRQsqs5PoF5qHUPC+uaJpR1l9Vk+0KweRF&#10;cllJPXdnntXYakrT+ObNIwGkisJWAYZCseAf1Fauo2E+o+GprKbDXMtvtb/fx/jXPHAU2p7trYly&#10;k/ebZa8Mao+s+HLK+k/1rpiT/eBwT/WtOH+L/favKvCPjKPwxbPpGrW06BZSQ4XlfUEV6BpXiTR9&#10;SULa6hC8h58sna35HBrgjLSz3PWoV4SirvU2qKqXt/HYxBnUszZ2qO5AzjmmNqkIWHAbMrYQeoyA&#10;TkduRVcr3Om5cZVZSrKCCMEGucl8G2K3DXGnXN3psrcn7NKVUn/d6VqTavDGYto3rLGJFbcF+UkD&#10;v9a0Mgik46XIcYy3RyzQ+KdHffHPHrFqPvRyARzAexHBq5Y+LtKu5PJllazuh96C6Gxh9M9fwrdq&#10;pe6XYakuy9s4Zx/00QGptb4WTySj8LOY1qSHWfFNpY7xcWVrA11LEjZV342A4612ESLFEqKAAB2G&#10;KzrHRtO0pymnWUcPmMGlK5zx0HWtQU0rIdODWstwqlqGnWWoWzw3tvFLEw53qDj3zV2q8uyWdIWX&#10;cAN5GOM54/z7U7XLkk9GcR4fv9P8Otf6bqU629xHc5ikn4MkPG07u/fv0xXT3PiGyh8pbffeSzD9&#10;3HbAOT+OcAfjU19Z2l/Isc8EcuxlB3L+OP8A63uKw/DFrBpvijXbC2jVYUMcqADG3cDkD24paxsj&#10;BOUHy9C+2n6nqxP9ozLb2jdbWI5LD0Zv8PzrcjiSGNY4kVI0GFVRgAelOoosbpWFqGPLSu/GwfKv&#10;r706ViqEA4ZuAfelRNiKuSSBjJ700MfQaKQ0AY+pFJNf0eBwDhpJQCO6rgH/AMe/Snn/AJGpM97Q&#10;7f8AvrmodQKnUNLugME3JTOP4SjD+dTX37nXdMm7SCSA/iNw/wDQTUvcjY1qQ0tHeqNCNf8Aj4c/&#10;7IH86kqKP/WyfgP0qWmxIZKSsTsvUAkYoj/1SdjgU243CB9gBbHAPQ1KBgYA/Cl0AKKx9c1w6Ulv&#10;Fb25ur26fZBApxu9ST2ApNA1qbVlu47m1FtdWkvlSoH3DOM5BpX1sTzrm5TZppO0Enp3zSPIkaFp&#10;GCqBksTgCuS1TWJ/EZk0jQCzxudlzfKPkjXuFPc/ShsU5pDdTvZvFzz6Npca/YA226vXHy8HJVPU&#10;8da66CIQW8cKklY1CgnrgCobCwt9MsYrO0jCQxKFUD+dWqEuooQt7z3CsLxZbxz6IXcZaGaORD6E&#10;MK3axfE5DaUsGfnmmRVA6nnJ/QGh7Fy2Nlfuj6UtIv3RS02NBRRRQAUUUUAFN2Lu3BVz64p1JRcB&#10;AgU5AA+gpTR2qhrOrQaJpc1/ckbIxwvdm7AUOVtWJtRVzN8SXUWieXrm5Q0f7qWMtjzkPYe4PI/G&#10;uI0ezvPG2vnV9VBFlG2Y4j0OOij255NZ01rr/jOGbWbjdJbQt+7gU43KOoQfTvXo2h3unXllbnTd&#10;qQpHt8odY+nBHrXRg8P7SonPbt3PHr13VdlsawAAAAAA6AUtAor39jAKKKQnAyTgepouMWise/8A&#10;FGk6e/lSXQln7QwDe/5Dp+NUxrWuXx/4l+iGKM9Jb19n47etZSrwWl7+grnRmiud+weJ7r/X6vb2&#10;oP8ADbQBj+bZpP8AhGLx/wDXeI9Tb12ME/lU+1m9oiudHSF1BwWA/Gud/wCENs3/ANdqGpzH/buT&#10;/QU7/hCdDAy0M7HuWuZM/wDoVHPV/l/EepsSSQ22+beoU/eGeD702O/tI4EMl1CvHeQf41iHwh4f&#10;KN5Vo8zYOF+0yEZ/76x3qe28I6F5SO2mQs5HO7Lc/iaOat2Qali78T6NZxl3vYpHHSOI72Y+gArM&#10;+x6l4pZW1BHsdKyCttn95MP9r0HtW5b6Lplo4a2sLaJh0KRAEVfo9nOT996eQtRkcaRRrHGioijC&#10;qowAPQU+iit0raIoKKKKYgooooAKKKKAIpP9bGfcj9P/AK1S1FL9+L/f/oaloGFFFFAgpksSTIUk&#10;UMpp9FA02ndGPL4egeXz47q/SdSCjfbJcDGOCu7BHHPHNdBoN209oFcneo5BBHPQ8Hnrmq9ZFrBc&#10;aRrbSQy5tLtyxjKkmOXGTg/3SAfx+tY1IaaHdhqrm3Cb3O3FLUcUgkUMCDkdqkrkNdgooooAhg+9&#10;Kvo/8wD/AFqaoYuLiZfUhv0x/SpqACiiigAooooAKKKKACiiigAqG6/49ZT6KTU1I4DIQehFACL1&#10;/CnVDbHNtET1KDP5VNQAUUUUAFFFFABRRRQAVw/hL/kovjj/AK6Wf/otq7iuH8Jf8lF8cf8AXSz/&#10;APRbUAdxXjuqf8l8sf8AsGy/+jHr2KvHdU/5L5Y/9g2X/wBGPQB7AegritQstDbUr+aS9kilQnzC&#10;sRIVnKqecfMegHpk12F1cxWdrJczNtiiQu7YJwB1PFczc22jI93ftcTlJk3MI4ycByCScDP/ACz7&#10;9OfWgDpbWD7NbpCH3KgwpxjA7Dj2rlbOW1vfGEz2ckyXCM5mLxEqyjYpAbPHI47da1b/AMRWekvB&#10;FcNPM1wd0flx54J4GB+VYrDTfD3ixZZppXmuQdgKjO6Q8c5HAEb8Y7/SgBvhZbF9d1OS2mmMkoZn&#10;Vk2hAXLADk84lFXfDcWl2J1C4tLoy+WBFcE/30zlvbOelJp1jYaB4iljWf8A0vUCzoghxtACg4x2&#10;4B/GorKLS9O1W+0uPUZEuLxj+7JBBcjO7HXPXJ4Hb0oAfp9vYal4cubSyLur7fNdQuHPQkDdjOBi&#10;q9nDZ6b4FLtLK1vcAOHbJIDKBkBWyOnQHjntVnw5c6JZ3t1o9hcEzLuBibOQUJDc+5yfpUNtb6Xq&#10;Ph19Ht5Gjjt4x5zgKfMG3BYAE4zyeO4oAjvbi1bw3pQW6khQPhMp9/aDw24/j161Brn9kDTdIF7K&#10;0SS25jTEYVvmAYZAPy42EY96hNtpV74VuLFbi5S20q3JlmaPAdXQk4DH09R6Yqxd2+k6voEM73E5&#10;t9LUKQYNzblBXoOD36cdOaALGtiyu9R0tJZZFuEjVo8WxZNpIbn8UHTpx61Zv4LZvFlq5uzHcB0k&#10;MZTKsMFQCc8Hrj3xUWpxWaCx1mS9ljit4RGm2AsSQQx69iBj8evAqG+ubFL+18TTy+TEY8qjQksw&#10;XIGcHr8xx2oA0op4/wDhKn2SyC4bMMqlV2sqDcoHOeNxOcfxGq2j39jceIdRa3vGlkYMJomj4Qox&#10;T5TnpkE4981DfyafpniC01SS5ZmuGLKioMNuG0HJIwQP0J49LumeE49O1O5u0uMpcCT93t/vtnJP&#10;c+9AGVoDaNFa65Pb3TSwrGVuf3ZG3G4nBJwfvEfhVbR7TTIfDOty2k8rWmQ8rPb4bcgBJ9D0z+NX&#10;tI0bTtJvNQ0eK5DS3dugddoAUnzcY5z68Y9PWl0kaW0uqaHA8ivcB1kDRYGRlHIOfbv9e9AEP2DT&#10;U8ESWzXbvZxzks4j565IwOvWtTWIdPPhFooV8q0kXaPKjOQX4JwpHOWyfc1S01LJ9C1LTEcvFGjS&#10;FpYwSFYsDxuOSCp9OopDcWWreHTBbXT20Nj5cheNdqup5x17jrz3FAE3iI2wsdPmmvmhiUMdvls6&#10;SAgcnPp1GTVbxCultJaxXF86b7Xyo9kY24f5d3659KZPcaXq/hqK7+03BtbTKtsiHzllBwQvPGfX&#10;60uraVaXsFlqou5Y1gWO3VZISCzbwOVOO9AD9R02GXxlHeC5ZZYpY8owG1iUAx94E9j0NbsWhbdc&#10;k1IygsZC6DBBUFVUj3+6DWZff2etzbazNct5U0qSQBUPysExkkHuOOfXHet671a1sBAZS5E7BVKo&#10;WH1OO3+NAF8DFLWXc67bW2p29g6yGa4+4RjHQnnJz0Bpw1m3OoyWIV/NSQRnpgkoH45zjDDtQBpU&#10;UDpRQAUUUUAFFFFABRRRQAUUUUAFFFFABRRRQAUUUUAFFFFABRRRQAUUUUAFHaijtQB474I/5LD4&#10;o/3bb/0StewjpXj3gj/ksPij/dtv/RK17COlAHE6l/yWTQ/+wXc/+hJXYSc3MK+gZv6f1NcfqX/J&#10;ZND/AOwXc/8AoSV2HW7bPZBj8Sf/AK1AE9FFFABSUtFAEUsEcw2yKCKSK3jt4wkaBVHYCpqKLju7&#10;WK0trDMcugJ9a47xjb2ukxLq0dsGuYAFhZThsudgB9Rkjiu5rjfiFY3l5om6yVmnilimVAAd2yRW&#10;xz9PzqovoXTk9hpK6NoOGJLxx4GerOf8SataZbGz0y2tz96ONVP1xzXPSWurXN7b3FmyXZjBLpfl&#10;kUMQpVkCLzgFq0NP1m8k1I6bqWmm2nCF1lik8yJwMdDgEHkcEVvT+K70OGphakVext1EnMsh+g/r&#10;/WpKjh53t6uf04/pXQc1ipbWqLqV3dKSWfCYPQEDkj68flUFzb31p4dvorICW88uZoABj523MB+B&#10;NaWSkvI+Rh1z0NS0Nt6MSik7oxbu0mXT4tOS0MlobYoxSTDBxtCjtkH5snNOtdSWytIba8YG5hRE&#10;l2jA3fKDj/voVsVVlsLeV2kKYdmVmYdTgj/4kVFrbF37kEus28MhRg2Qyjpj73Q8/jUqX8b372oQ&#10;5RtpbIxnaG/rUN1olrdzGVy4clWyG7g5H65p66XGtyZzI5YvuIIGD2A6UK4e6X6Q0tJ9Kpsk5XTy&#10;q+LNfuJXHmRJGsbtwEQjOPzro7K3a1s44XlaV1GWkb+I9/oK5Tw1aSau2r3d+yt51wsbCLhW8vGQ&#10;PbPHuK7OufDK8L+bEtilf6XY6jEVvLSKYY/iXkfjXJ33w40+4iE2nzy2k/UZbcn+I/Ou3kIEbE+l&#10;JGMRoD/dqqmGpVFaSHa55lcW3jTRE2OX1C0QEYBL/KevT5h+FXLD4gaaEgi1TT7qOWDKoVfO0ZBx&#10;jg9VHX869EqrdabZXn/HzZwSn1dAT+dcE8ta/hysaQrVIbM4i88d6CsKJaxX0hjiEUa/KuMd8kE9&#10;hSL418X6goGmaGscRHys0TN/48SBXZwaLpdqwaHT7ZGHQiMZFXqSy6cvjn9xUsRVl1PO5PEnjzSR&#10;9rv7NZLZT86mNcAfVeRXX+H/ABjpviGILC5ju8c27fe/D1HvWqwDAggEHgg1wOueCXkm/tPQP9Eu&#10;0cnyQdoPup7VlXwE6a5qbuFPFTg9dUekRIwLs5BJPQdh2H+fWpK8vGrfESEbDaB9vG7ylOaQeOfF&#10;OkkSatpaSW+cMQu3H4jI/OuKXMt0/uO1Y2mek3t0tlZzXLAlYkLkA9h1/lWPba+s1oZTEYy8qqCj&#10;Ajk9cn6VNY6naeKNAe4tD8sqsjK3WNvQ+461e/s+0aIqIQocqxwcE45GTWkWrHSnzK6MxdVEenzX&#10;Ajd0ibcGZs7/AJN3Ufl7cVRbR9Wl1m81LS9Ris0ugqOJIfMbK5HGegrWh06J45YJYxskdl4PJULt&#10;5/WtOKJIU2RjC5Jx9Tk0TUWhOCluc0ur6/pB8vVdMN9EOl1Yrkkf7Sf4VqaT4g07WS6Wkx85Pvwy&#10;KVdfqDWrWJrfh6DUyLqKR7W/hBMdzD98cdD6j2rJJrYTjKOzuai7ZpmJGREcAn1xz/MfrU9cV9j1&#10;gFUuvFbRSEA7YrMDr689fX8KVrfV7a5KWnig3N1G2Bb3MICt3wWB470232F7VreJ2lRXDusJEYBk&#10;YgKD0z/nmuVXxje20rRaloNwnlkq8ls4lUY6nGM1qWXiLStSfzoNRgEaKQyOwUgn1BoTRSqxZZ1i&#10;2eXTGMK5lgIliA6krzj+n41FfZ1TRYbyzYNLHtuYfQkDO0/UZH41NDrmlXFx5EOoWzy/3VkGf/r1&#10;zOq6xP4fujpumNbTPeOWgV5f+Pcnltw/u9xSbVyZTitbnX2d1He2cVzEfkkUMP8AD8KnrzxdV17w&#10;tpsMmpRxT2ly3mefbrzEzAnDKR0zXRyapI9nayrOMyGU59VGcHj6CrjG+hUaienU3I/9bL9R/Kpa&#10;q2EnnwCXOd4Bz68datUS3NEQ3AYqoU4O9e3bPNTVBKu+4h+YjYS+PXjH9TWJ4l1C58y30XTX2317&#10;n94P+WMY+83+FJuxMpKKuyrPKurePrJbc749MikeeQdAzDaFz696o22qtoHiDXYJLC7uJ7q4WW3S&#10;GInzAR69BXVaRo9polilpaJwOXc/ec9yT3NPu9Rhs5kjkDfMu7IIwOQP5sKlQbMVTfxdTn49C1Lx&#10;BILjxFKYrfqmnQNhR/vt/F/KuntrWCzgWC2iSKJfuqgwBVVtUhSG1kZHBuCAFGMr8pOD9MEU6XUk&#10;juVg8tizKrbuMAMSP6VSgzSMVEvUUUUGg1yQpIGT2HrXO6YbvVbi41K/WJVh3xW0cZJA/vMSep4x&#10;njoa1tUtzNbJIrsr27iZdv8AFgHIP1BI/Wq+igDw1bEc7od2frk/1pdUS9Waq/cH0paRfuilqnuU&#10;gopDjqaytW8R6VojIt/eJE7jKpjLY+lS3ZXFKSirvQ1qK4W9+KOjW4P2aK4um7YXYPzP+FZJ8b+K&#10;9YONK0cQoej7C/6nApKV3aOpzyxlKPW56hXP614x0fQm8u5uPMn/AOeUXzMPr6VxjaL471UH7XqY&#10;gRv4fNx/6DWpovw90/T2E9+5vrjqdw+QH6d/xrop4WvU2jb1OeeOb0giVfinojKxMF0pA4BUHP61&#10;zoGq/EXVfMmLW2kwtlVxx/8AXb3rvW0DSHwW02146fuhV+ONIkCRoqIOAqjAFddPLZc37x3Ry1K9&#10;SorSZHaWkNlaRW1umyKJdqj2rE1PQXF8L/R5RaahgluPkm6cMPx610VRN/x8J/ut/SvTlSjJWMrG&#10;NpviWG4m+w6in2HUV4MMpwH91PcVtvLHEhaR1RR1ZjgCs7XbTT7nTZX1C3WaONSQMfNn2Pr0rK07&#10;wbZm3ik1My3c20Hy5pCyR+wGe1Y81WL5LXDUtXfiuzWX7NpyPqV2eiW3Kj6t0FV/7F1bWiH1q9MF&#10;uefsdmcD/gTdTW/a2dtZReXbW8cKeiKBVimqUpfxH8lsFijYaPYaWm2ztIovcDk/U1d7UtFbxio7&#10;AtBKKWimMi3u0pVFG0dXJ7+mKBD8xZ5GfPRWxgfTA/nSSKyP5wdtoHzJ2P8AhUqsHUMDkEZB9aQA&#10;FVV2qAAOgA6VHCf3X0LfzNS1FD9xv95v5mqAlooqreaha2AQ3MhXeSFAQsT+ABoCxaorO/tvT/Lh&#10;cTllmXdGVjY5GcZ4HH41oDkZoAWiiigQUUUUAFFFFAEU33VPo4/nUtRTfc/4Ep/UVLQMKKKKBBRR&#10;SUALUF1axXcRSQHvtZTtZSQRkEdDgn86fNNHbwvNK4SONS7MT0AGSazUu7rVowdKlWJXjykstuWy&#10;c9huXjGfzHPaplJLc2pUpzd4dC14Ze6s7u4sLm5NwI3/AHUjH5zGRkbuOoO4fQA966wVy2jaPqtv&#10;evPfXizs5B+WHywuPQbjXUCuOdr6HozVkr7jhRQKKgggXi8f3Rf0J/xqeoD/AMfif9c2/mKnoAKK&#10;KKACiiigAooooAKKKKACkPQ0tBoAgtseSPYkfrU9QW/WQejmp6ACiiigAooooAKKKKACuH8Jf8lF&#10;8cf9dLP/ANFtXcVw/hL/AJKL44/66Wf/AKLagDuK8d1T/kvlj/2DZf8A0Y9exV47qn/JfLH/ALBs&#10;v/ox6APWL61S9spbWQsqSoUYrjIB9Mg1zV4ulwwX1mt3exqJxLM0SBv+AcqRtHceneutPQVxeoWu&#10;kNqN9Kt3dRyocziGIMOSpYHg5Hyjr0596ANPWfD0WuJBMLl4yqbVO3KlSOuBg56d/wAKo31vp2te&#10;JraPc63Nkw/5ZMVOBJwSGHTk/X611NsCIFPmGQHlSQBwenQVztlZW48X3E8TyieMMZVMI2kPg5Bz&#10;nPygZ9sUAOkt7DWvEEV1FeSLcWRBUpxlcK2B/sndg/WiTR3tNfk1+TVW+zxBna32cbdmDzu/Hp2q&#10;to9hYx6ncRebNcEo0TxyRAKQCBuGO37sjnrip7GTRNT0y5mtbQW6mD5mwAwVl9j6GgDI0eHTRrFx&#10;4jtbqWWPBLxSRDdulkK8EEDG4EdK0PDGl2JsrqezuZniuYhETMOfujBGSeMEHFV9Ks9JbQbxdPnk&#10;aHEW4vGNoAkZ8AccZZh1o04aLpnhG0u7iI3FnIymJnjUMAUGMgHHRefegBp0Kw8PaVe2FxdzSrqs&#10;YtywThMIQDjPXn19BVk2umWWhrAZLpI9WkVlVo+ULksFwBwB09ai1ddCuNKsJmKW1pM7uq7F5O08&#10;88AjGc+1Gr3umQabobahcMmXSWPagTPysQCucL6fWgCLXrfTlsLXw9PfyLKux4yEBOC20DAI4Hv2&#10;9aluxpUM9p4dnuXdwhiI2gljK3OPQjJ/A0a5BYX2tWHm3F5G5EUqqkWVwpJBz+h69R61NqGn6dJ4&#10;vt5pblheAxugMYIADZAz15wfzoAZqVto+q61a6YbhkurZQYkYEqNhwOc9846547VsWGu215q9zYw&#10;yu0kQyQdu0Y4OMHPoapW62DeKcOzNeRvLsJwMZUEg85YYxj6GodGt9Mh8R309td+ZN84kDYO7kEl&#10;SD2zg/hQA5bmzv8AWZNXgunWWzh/exmMFWj+YgjnhuWwc9C3FUtJGkQajqniCG4Uoh/eIsQ+Qsck&#10;hgTnkkfUGm6B9guLXVUgvXNtJblpR5OyQBhgHOT0CnAx3qLSNM0+LQdVgt7yV7eRlLO8I4xI2QOe&#10;eQwx/OgCbTDp8enajq8N1M1pMhgdRFllIJOVwTx8xyPXHSrMGmWWkaJf3RvLmSK+KHmHJHCqBtA5&#10;z36VQ0mXTIvBV75UjCCSRlcmHbhioyQu78evWp9SvdPbwhZSPftbW3nlFkEZIbYxBBG7ODtI69xQ&#10;AT6bpuheG2shdOLW6ZXV1gJwFC54HXgdf0p+rPY2uk2mlPfFlMiTRTSw78DeCucFfpk+9R63PpI0&#10;3SYp7uZklR2hEMQIfOASRxgAsPzqLxDp9h/amnNLfSQzLAqxboC6sAw6gEck44oA0ryK2ksoNBlk&#10;XzLcxxh/IOCcDGBv+mevWr+q6A+oyWrreGJYkaNowmUYHvjPBHOM569Kq3UFqfFUayTn7QWE8Y8l&#10;iEKqFPzA9xx07mtj+04Bqn9nkP55Tf8Ad4I/yKAKd5oAu9dstU85Fa16IYs7uGHJz/tE9KeNDA1p&#10;9RaZSxm81BsOV/dqhGd3OQnpUkOvWM2pyWAdhPGCxDKQOM5x9MVDa+KNOvDdCJnzbQ+dICOdvP8A&#10;8TQBuDpRVKw1KDUA/k7spjdkYxmrtABRRRQAUUUUAFFFFABRRRQAUUUUAFFFFABRRRQAUUUUAFFF&#10;FABRRRQAUdqKO1AHjvgj/ksPij/dtv8A0StewjpXj3gj/ksPij/dtv8A0StewjpQBxOpf8lk0P8A&#10;7Bdz/wChJXYR8zzHtkD9K47Uv+SyaH/2C7n/ANCSuxt+VZv7zk/5/KgCeiiigAooooAKKKKAExzT&#10;XQOMEA/UU+igCFIEQkqig+oFU9S0qG/geN41+YYPvWlSGndlKTTujhNNv7z+39S0u+2sYlSeB1GA&#10;Y2yuPqCp59xWtB/qgfXLfmc/1qj4i0l49dstXgkmV7fcjpFtxJG2Mq27sCqnjnrV+DBgTBBGByDX&#10;ZTldHJiafLLmWzHOodGQ8AjFRB2gCIys68KHUdOO9T0VbOUQEEZByPUUtVi/2eU+Yx8tyApPO0/X&#10;tVnrRcAooopgFVr+1+2Wb25kaMPgMV64zkj8RkfjVmqt/f2+m2Ut3dSeXDGu5if8KmTSV2BzPg6/&#10;trKW78PysUvLe4kKq4x5i54I9eOa7CuU0+0vda1231y7thaW1up+zRNzI4IwGb069K6sdKww1+S3&#10;ToBHP/qH+hp4qOblAPVlH6ipa6QCiiigAooopWAin3+SwQ4Y4G70z3+tPCgDAHFJLH5iYyVOcgjs&#10;aas6EcsMg7SPf0pASdqovZ217aNbyJlUBiI/DB/D61aFwpkKbZMjHPltjn3xRDuYMzrtYnp7ChpP&#10;RgzzDQr9fBviS90vVWK2EvJwCR/snj24rXu/iczTPFpGlNNaoMF2yCR6gDpXWaloWmawVN/ZpOy8&#10;BiSG/MEVNY6ZZabB5NnbRwxnqFHX6nqa8f8As2fM0pWRpGvOEeWLMfw5430rWGgtsG0uFyPKkOQT&#10;7N3/AJ12Ga4TxH4Ks9Xk82zC2l4Rncgwrnjr/jWJY+MfEnh6L7JqenyXaJwkpzkgejD71c1ejUov&#10;3lddzqo4y2lQ9VzUVyzLAdoyzEKB7k1wdv8AFawztu9OuYT32kN/hU4+J+hyzxArdRIGy7NECMYO&#10;OASeuKw549zqWKpP7R0eo6I19eRXC3Aj8vGFC8Hg9eff8qbNoTSXU0wn4lIypHA4IOPwJxVvS9X0&#10;/WLfzrC6jnjHXaeR9R1FXq0U3bRmseWSujLg0ueG9NwZo8F2YgJg4PbOfWo38OaNqOLi50+3mkcl&#10;jIV5Jz3PGfxrZqFCsUpiAwGyw/Pn+dJvm3Bwi90Zk/hTQrmDyn0q1VR0McYQ/muDUum+HdK0jJsb&#10;KKJj1fG5vzPNalV7m9itTGr7mkkJCRqMs2OT+lJR7C5IrVIkmhjnhaGVFeNgVZSOCK5KK01vwqkk&#10;VlbR6jpKsWjj8zbNEp6qM8EelbkviCwjhMpd9qwrcSDYQY42JAZgcEdD78GtIMHUMpBBAIx70NMU&#10;oKW25Q0TU7fV9PF5bbgjscqwwykdQRWlmuRNhrOiapd3OjWsV5Z3T7ntWkCGOTuwJ9anF34xm+Ua&#10;bp1vn+N5y+38AOaTl3JjUaVmjekaOGczyEKu3buJ4GMn8K53wv8A8TTWdW10qWikkEFrI3eNeDj2&#10;J/rSv4Y1HVBjW9ZlliPW2tl8tD9T1NdDZRRw2iRQxCKOMbAgGAMcULV3BKUpJtWRYxVa5sIrqUPJ&#10;uyEKYDY4OD+eQKtUU7mxT/s6FkhE2ZmicuHkAJY8jn8zUcuj2805lJZTgBVXAUAdsY71oUU+ZhYQ&#10;DAApaKKQFLWLhLXRr2eRtqpCzE/hUemwLbaBbQr0S3X/ANBqXVoln0i7iZQweFxg9+DXGeLPEk+n&#10;eFNNgtgUub+IDPdVAGfxORSvZ3Mqk1C8mdBqnjLQ9Gbyrm8DTDgxxDew+uOlYUnxW0RWwlrfOPXY&#10;o/8AZqg8O+ArC3tY7nVYhc3bgMyOcqme2O5+tdMmh6VGu1NOtFHtCv8AhXZDAVprmbSPPeMqv4dj&#10;jX+I2tXtxJLpWj+ZaIcAspY/jjjP0rKW31Txj4st7u90pooF2rMCGC7R9a9SighgQRwxpGg6Ki4A&#10;qTvW8MsV05Suc86lSeknoZlr4d0ezYNb6bbKwwQxjBb8zzWmAAMAcUtFenGEY7IgKSloqrAJS0UU&#10;wCom/wCPhP8Adb+lS1n6neNZiMxp5k8mY4U/vMcfpwT+FTKXKrjRDfN9t1O3sF5SMief2APyj8T/&#10;ACrVqnpth9ihYyP5lzKd80h/ib/AdBV2opp6yfUAooorSwgooopgFFFFAwNQ2xUwAIMKpKAY9Dj+&#10;lSkgDnpTICTCpZSpPzFT2zzS6gSVFD91h/tt/Opaij4eX/f/AKCmBLWV4hkmj0pvs6OZpJEhVkXL&#10;IHYKzD0wCTWrRSYJnNauksDXH2H7VbzRWirbiIKY5Dk4XHU4/Ac10UO8wp5gAfaNwHr3p1LSSsNu&#10;4UUUVRIUUUUAFFFFAEc/+ok/3TUlRzDMLj1U09TuUH1GaBi0UUUAGayNVnuriWDT9Pco8kmJ5lx+&#10;6QDPH+0eAPxrWrP8OOZtX1CNYh9ninIjYJtB+UE/XDZGazqSsjpwsIyleXQtT+FReWrW9xPK8MgI&#10;kQzNhgTkg+3bHpxW7aWMdqgVVBIHXFWcc5p1cjk2dnO7W2ExRg0tFSTYKKKKAIJOLiE+uR+lT1BN&#10;w8Tf7eP0qegAooooAKKKKACiiigAooooAKQ9KWigCCL/AF831B/Sp6gXi7b3QfzNT0AFFFFABRRR&#10;QAUUUUAFcP4S/wCSi+OP+uln/wCi2ruK4fwl/wAlF8cf9dLP/wBFtQB3FeO6p/yXyx/7Bsv/AKMe&#10;vYq8d1T/AJL5Y/8AYNl/9GPQB7B2FcdqFroj3mpu95JGyK32gLHlcOV3Dp8xyq49O1dj2FcTqdvo&#10;El/ffaGu2YMVIiYph3K5wwI5yF6n1x3oA6+1Ty7ZFDl1xwSOcdhXLWl7o7eOJhH5g1CT9xtKRjO0&#10;MxbOd2MHH4V1drF5Vui72cAcFuoHYfhXJ2el6d/wmstzHDP9ujkeV5iRt2lMBBz0+bPTOR7UAW9N&#10;jsTr128Ek6TMGRk2EIcM5LE9OWLY6dKraFBZQafd2ov2YxQiJpHzkIowCOSAvXjiptMbT213Upbe&#10;aVZIRsmUgBO7kn8XJ7dqzNAOnzadq6W9xIUkQSSO64Kbh0684x1oA0tMTSNN0K8mhZ2tIx88Z5Zc&#10;DPr3znr6VTvYtIj8A2cUjzfYoPLiDKg3MwGzJH1OfwqHR5tPv/DGpi1vZhbzPslkMa5XICEYyfTP&#10;40ly2n6h4CdZLySS1WcrnygjDBPGCR9ck/4UAST2+l6n4PsYxdypbuphj+RQzbjsOR04zzUms2Wl&#10;TWWkwT3cjxpErW7JGG3fKQGP1BNRiK0Xwro8jzuscLkx4VdxAyeeccbfWoNag0pbDRGmuJTGlmog&#10;IUKXCqMcEg5O4HAyeKANLU4LZNd0gNcTiYwhIPLVSDghiTk9ML2Heo7uaz/4T2H95tukCLt8sYbI&#10;YDnd/tHtT9Y1HRbfVtHNwGknQK8WIx86uGReWIx6065sNPbxxDcM0wvdm4Zh3JgbeM+vJ+maAET7&#10;CfGiBLuQXY3yNEY/kPAUHPryQPxzTNDexbxHeW8V3PJInnlldSEG+UsQDnsCB9MVcig07/hKSspk&#10;e9iDSxMYyo/eEgjdjnAUY/CqmkJpcHii8aGSU3JEhcSRnDYb5iG6e35UAQ6JDpNtBqv2aWTK2irJ&#10;mMbggLtuByck7j1P8NR2w0WfRdZMV7MtoRGs7eWNy85PTrkkg/jSaK1i1rrSR3EjW/kO0y+XhiNo&#10;5BzyAM47c1LoXh+1fSNSsba5k8udxv8AMRTsO4ttwCQevSgCpYW2kL4HvFsr64Fn5zZkEeWz0OBV&#10;vU9Is28D2dvLdzPFAUZJI4txZs8Fh+PrWtZeF4LPQ7nTFMRS4yW/djaCRjIH4Zqa88Pm50e3sI7k&#10;2whZWBhXaGA6ggHoeaAMPVrLS7fQ9Mjv5yYY43VXSInOcHPtjHejxC2mGbTluLplkREaJ1jBU/MM&#10;EjI4JA/AGtu98Nx31la28txJiAMOFAD7hjkAVT1PwgL+5tLlbsxyW0SxqCuQcHPIBoAW+e2l8S27&#10;sime3PlglB8xcA92HTjt3q4NBc+IH1M3bNGxVhCy5CELjK+mep706XQUn1b7c0xDLIsqLt+6wXbn&#10;Oe4yPxNbIGO9AGHB4bjh1V7/AM93kcuTkdMjAA9hk/nVPS/CB01L2MXpkjuoGhO5eVJLHPX/AGv0&#10;rqaKAMzS9IGmGdllZ2mYO5PGWxjP6CtOiigAooooAKKKKACiiigAooooAKKKKACiiigAooooAKKK&#10;KACiiigAooooAKD0ooPSgDx3wT/yWHxT/u23/ola9XF/Ebr7OoYv3wM7fr6V5R4I/wCSw+KP922/&#10;9ErXrCmJjIRFgq3OVxk0ITOQ1I/8Xj0M/wDUKuf/AEJK7O1H+ixnuVyfqea8xbXv7V+K9g40+/tD&#10;Bpl0gFzDsLksvK+or0xbmFVC7toAwNwI/nQMsUUxJY5PuSI3+6wNPoAKKKKACiiigAooooAKaetO&#10;prHHJ6CgDkPHd/Jb6fHawoplu5Ft1ZuilzjJ+lS6ZYppul21lGxdYI1jDN1bAxk+5qn431LT47FW&#10;kjiuZEdSkTsBuO4AEDvgmtG3837NH5wUS7Ru29M+3tXVS2M8XF8kehLS0lLW5wCEZ7ZHeo4y6syO&#10;cjOUOO3oalpkkSSrtkUMOoz2NIB9FQrlJxGvMewk5PQ9BU1MAPSuY8RaJNc+Gbq2RWup95eH+8Bk&#10;kdeuMkfSunpO9ROHPFxYGboWpx6tpFvdLgOV2yIP4GHUVp1xc7z+FfENxfyoG0u/flYhzEwGd23v&#10;3ziuosNSs9Tg86yuI5k77T0+o7VlRn9iW6Ank5Ma+rj9Mn+lS1E/MsQ9y36Y/rUtdABRRRQIKKKj&#10;llWNckjJOFz3NAwll8tCcFj2VRkmmR24V/MZmZzg/Njg4x2FPiiWJcLnJOSSeSakpAFFFFMAoooo&#10;Aixm4+i/zP8A9akH7uTy9n7sjg9h7Uq/8fD/AO6v8zSzRtIgCOEcEEMVz0pMCCfTbG4U+faQOO++&#10;MVnjw1ok8B36dbsr/NnaBj6HtWipmuIjlUWNlIySST26cfzrmfHevNpelrp9rxdXY2jb/CnfH8q5&#10;q/s4Qc5oTsYnghYrX4hX1tpxZrLa4yDkADp+teriuY8E+Gk0DSFaVc3twA8rHqPRfw/nXT18/Ha/&#10;c9fC03CmkxahucrCzopZ0BZR6+1TUhGQRVHSAORkVga5pj3Wsaddsk0ltEkqSLCxBBYDBOOo4/lW&#10;3blvIUPjcOOKlpp2Bo41o78abb2V9p11ck24+0SRhS0oBO2MnOfTJ966+IYiX5dvy42+ntT6O1Ny&#10;uKxFD91j6salqKHiHJ9T/OuV1/4g6Vo2+G3P226HGyNvlB92/wAM1Mny7kTqRgryZ12aiOUkDg/I&#10;Thhjv615cg8a+LCZWnOn2rcgDMYx7dzSv4R8TWLqtlrpkkYZ2eYw/HnIq4060leMHY5Hjo30Wh6t&#10;260hOK8v2fEUDy/PGBxu3J/Oj/hFfF+ot5l9rhibsBK39OKSpVntBg8fHomeoUZry/8A4RbxlbDb&#10;Bru9f+uzA/qKQ+FfGN2Nlzrm1D285jx+AqvYV/5GH19fynol3rGm2H/H3qFtAfR5QDRYaxp+qb/s&#10;N7BcbPvCNwSPqK4S0+GFkp331/cXDnk7AFGfxyTUV94AubC5S78OXrwSqOUkc5/A/wBDVvCYhLmc&#10;SFjpX1joelvtKEPjaRg56YrxTxZLFcazBp+mXb3qQO3kqqj92WIJUEdQCPwrak8PeN9VX7PqGpiO&#10;A/e/e5z+C9a6XRPClh4etiYgZblsb53HPXt6CilhKtWSurIzr4n2q5UjVsrvOnwyXS/Z5CNrLLhT&#10;uHB7+xIq7UU9vDdRmO4hSVD1V1DCodlxBdQrCqNaYKup4ZD2I9R2x9Px99aHMW6KKKoQUUUUAFFF&#10;FABRRRQAGseMm68SSyHmO1Ty0Ho5wSfrjArXJxWRof7y2W7PW5aSYfQkbf0ArKes1EaNjFFFFagF&#10;FFFAgooooAKKKKBjJlLQuFIDEHGemaIm3xKxxkgdOnSoiVuXaPLbU6kZGT9f89anUBQAOgGBS6gL&#10;UUf35f8AfH8hUtRJ/rZR/tA/oKYEtFFGR60AFFGaKBBRRRQMKKKKBBRRRQAjfdP0pkX+pT/dFPPI&#10;IpkJzCvtxQMkooooAKxp73U9Gkle10+S6iZi5eN/mAJ6YOST34rZpO9TKPMjWlVdJ3RE/ieSCAyy&#10;WtwyKOSluzE846AZ9+nTmtXSdXt9XtluLaVXjYZBHeqFQeHkjhv7uKJVVfNckKAME4J7/WsJ00kd&#10;tKqq11a1jp6WkHNLXOMKKKKAILjgI3YOCamFRXP+oP1H8xUooAWiiigAooooAKKKKACiiigAoooo&#10;Agbi6iPYow/HiphUM/EkB7B+fyNTCgBaKKKACiiigAooozQAVw/hP/kovjn/AK6Wf/otq7iuH8J/&#10;8lF8c/8AXSz/APRbUAdvXj2qf8l7sf8AsGy/+jHr1SG1mS5Mr3BcZOEAIAH59a8r1T/kvlj/ANg2&#10;X/0Y9Akz2A9q4rU49AF/etLPdLIWMb+XswWcruAyOpwOvocd67U9K4rU7TQ7i/v3cXTzQEtJ5Cq2&#10;wtjd9c7R1/CgZ19qvlWyIruygfLvABA7DgDoOPWuPsZLdfHkqILoyGWQNmH5M+WDy2emBxx1NddZ&#10;xiK0jVWcqB8u/ggdh+FYdlNpk/i262RSm/jUoX2EKB357ngc/SgCrpX2SbXdV8h3jJXZcBlXkgH5&#10;wQ2QMHb0/gHNU9Jj060stZuYLm6cGJTJuReigjjAwTwRxxx+NXdMg0q313V5baaUy26nzkCY2b90&#10;px7/ADfyqpoP2GTQtTuA92LcQbZWmiVWwAWJGOpwe9AFbRbjR7bwzfvZySGFZFd49oLgk7wpUevT&#10;mrk0mkt4SkYwXa20ty/mIo+Z5DktwD0znj1HtTdOTSr3wvqQjedLV5VRndFGCERQR+AB+p/Cq6R6&#10;QPAs+65uDam4O6Qx7ZAw+Xpn0GaAJNQOnR+EbCCV3ihLlUMgC4ABGWy2Mc5PPNN1+HTtQstGk1C5&#10;uklkhaWJoYex28becEbhjnsaTUUsLjwhpxupZ3tnDRoViCnDAgZGeMfWna1e6TZW+g6hfxTSRrCd&#10;iFEJIIVvm+mBnHegCXVdO0+81TS/OmlbfbRxoFttygDJDZ/hPXrnoa1b5bceKrFmwJljYIfKyDkr&#10;3z14449aj1GazuNQ0kMuxiFliH2csBkHAJB46dMdqbqFtB/wl1u8lxMGmRCIyoKZRgRjngk47Hp2&#10;oAiT7HH4yZGu5xNIxYRtHlQwVeAemCHU9PXmoNLOlyeIrkQzztc7Lhm8wDkF+cdOMjPHrzU7Lpn/&#10;AAmAV57j7a0jOA6/KCFj+UH3Bj/75qhoEWnReJb0W15K0siTs8ciDnMnJBz6+3p0oAl8MaTZiLUb&#10;a0upCtzb/OHj5j35UHO4+h4rp9K0xNNEoV1YytvchSMtjGTknmsjwqlos0xt2dpGhjMpfHIywUkD&#10;oeCPwFdTxQAmBS4ozRQAYoxRketGaAEwKWiigAooooAKKKKACiiigAooooAKKKKACiiigAooooAK&#10;KKKACiiigAooooAKKKKACiiigAoPSig9KAPHfBP/ACWHxT/u23/ola9JNrN/agnI/dh8AEZP1B7C&#10;vNvBH/JYfFP+7bf+iVr1+mnYTVzhNZ5+MGgr66dP/wChof6V3gHHSuF1Vd/xk0D0XTbk/wDjy13Y&#10;6CkMjeCOT78aN9Rmm/ZYv4VK/wC6SP5VPRQBB9nPaWUf8Co8qYdJz+Kip6KAINtyDkNEfwI/rRun&#10;HWFSP9l+f1AqeigCDz2UjdBIB68H+RpftMfcOv1UipcUYoAjFzCf+WgH14psjpLDIqOpJU9DUxUH&#10;qBUbQRt96NT9RQF7Hm91p3hyLVpZdWg0+O8mcSAyvyUTo3ONvJ7V1MckcsSvG6ujDKspyCPan6j4&#10;a0y9ukd7SEyBWIJQe3H61heH7F9PhurH7Qpjindoo4yf3aMxYKc/Xj2rqpzT0RliocydRM3KWovL&#10;cfdlP4jNMll+zpvluI0TONz8D+dbHF1LGaKiBmxnCH8SKXfIOsYP0amIaxZpkCNjacv7jB4/PBqa&#10;qscgSeVBE4Jw5GR349fapvOX0f8A74P+FJASUVH58X98fnS+Yh/jX86YEdza295CYbqGOWPIO11B&#10;Gf8AGuU8Qx2fh3ULLVrMLbSGQRzxouFkjJGSccAjINdTeShLKaRZxCFXJlC7toHU4plmkU1ioM63&#10;aOPmkIHz+/HFYVaamvMLXHQXUF40cttKksZUncjZHarNc7N4Ts/tbS6dNNpspGSbZsKT7qeKT7N4&#10;qsxiK+sr5R0E6GNj+K8UvaTj8UfuFdnRilrmx4nubI7dY0e7th3miHnR/mOa1LDW9N1Mf6HeRSnu&#10;oOGH4HmqjWhLS+oXLspYROV+8AcZ9abEgVVJcyN13t/niiV/mWMfef26Dv8A596dGgijWNeijFa9&#10;Rj6KKKYgooooGFFFFAEScyyH0wv6f/Xp0jlUO0ZY9BnrTFbaZ2yBhup6dBSQKrAT5YmQBvm7D0x2&#10;pASoCFAJya4fx9o19cT2Wq2MRma14aMDJ65Bx6V3NGOaxr0VWg4SA4vTvihbGUW+r2MtpL0LpyPx&#10;B5H613FjqFpqUAms7iOaMj7yNnH1rM1LRdO1aIx3tpHL6NjDD6HqK4u88B6jpUpu/DmoSo68iJnw&#10;T+PQ/iK8ergq1PVe8vxOqnjJx0lqeoUV5enizxtCv2Z9GMk443+Qefy4/Kl+0/Ee+BZUW2U+0a4/&#10;PJrmjGbdlFnQ8dTt1PSolKSShmLAtuGewPb86fJIkUTSSMERQWZmOAB615XM3j/SG+2STicdCo2P&#10;kdemKj13xzBr3hCazlL2moB13RqCVlAPIz2HsfSpm5Q+JNAsbBpvqdfefETw7aOyC6edh18lCR+f&#10;SsK6+J8125h0TSJZXPAeXk/98rn+dP8ABPh/R7vw9b3k+nRyTsSGaYbskHqAeAK7KC0trRNtvBFE&#10;o7IgX+Vd1HAVKkVNysmcksXVl5Hnc/8AwnXiC3NnJGLe2f7xwIwQeoPfFdJ4f8E6doqJLLGLq8Ay&#10;ZZBkA/7IrooR+6X86kruo4GnTfM9X5mDblrJ3AVHGQ00pC+g3EdeOn9fxpZmZIiUwX7Z6UsZURqA&#10;ynjt3rsAfRRRVCCiiigApO9LWdq89zbWvnwSwxRRgtK0iliFAPQDvmk3YdrmhmmTf6o/UfzrB1LW&#10;r7TdHtXkjje+dovOA+7GrSKpPXr82B+dbs/+qP4fzpJ3HaxIOlUtUCvZGN7j7OjsqmTOMc/Uden4&#10;1e7VFPDHcQPDLGHjcYZT3FN7C6kgwAKM1h3eqPbW0dxOj2iwytFLGTkEYO0g9xnFSk3Q8hY7rzHb&#10;Y2VIwE/iJ9c9qaXUlys7GvSikpaQ0FFFFMAooooAoa1M0Gj3TIcSFNif7zfKP1NSwwrbJbQIMLHH&#10;sA9gB/hVXW/njtIR1kuYxj6Hd/Sr7/66P6kfpWS1qMZLRRRmtBBRSZqC5vILRUMsihpG2RpkAu3o&#10;M9+KLjSb0RYorJu9YlsY4557CQW7Ph2VtzRjjBKgc++M496lbULiSFpbSxeZdu5N7hN+QCMdcdT1&#10;xyKXPE2+rVf5TQqhfX8cNxDaKGknk+fylAyUBAJ54HXv74qKzXVNWn2XNpJYRAcBZwzOfcr0A46H&#10;mtew8LWlldT3PLzzffd3Z2+gLE4AzwBxWcqqRvDCpO9R/Ir206XEIkQEDpgjkdsVHdajZWIBuruC&#10;DPTzJAufzofwXbJevdQyTJJIxMgS4kVWz1yoOP061oxeGrBSrPBGzgk52DqeSfxqfbKw3hYXvzaG&#10;UNVs2QPHIZVYAjy1LZyCR/I1U0241e+aS4e0igidvkicMXCZIy3bJABx2rrk0y1jxtjHHT2p8Uax&#10;3EiqoA2r0/GpdZvY0jSpR6XOV/sLU9SuUe7vZIoUAIht8xru75PUjPbirU3hKK+wmoLHdxLyizgO&#10;FOTyMjrzj8K6jFGKzdRlxko/CrHG3HhqbTNMkSwd18sZgQysVUgkjj0z26U7TtS+1xIs9vNbXB4a&#10;KVcZIAzgjII9xXXlcjFY2q6M10A1s/lSryrL/CfXHQ/jVwqNbinCNZWejMs6vZAMVnV0U4Z05VeS&#10;OT0GMc+lXEdZFDIwZWGQQeDRo/hmKw0ZNPl/eKq7ctyWz1J+vNVJPCsGls1xpEEVvIR8wiQKr+zA&#10;cHnv1rRVjKWEg1aL1LlFZUuk6zcztcyXjxRxkGKGAbVJHdz1bnsMCm3er3OmeXJe6e/2U/6yeFt/&#10;lnOMlcZ2+4zj9atTTMXg6ijc2KKajrIoZGBUjII7inVocwlRQMpTbkZXqPSpc4GTXKW9odcj1cwK&#10;0a+cfslzG7IxIX724HOA5bjp1qZSsb0KHtbo6yisuLUfsNig1JZUeJAJJdhZWIxlsj3J4OD7U+31&#10;3S7tWaC9hcKQGweQT0yPwoUkyJ0akXZo0aKyJ/Emn283lOLxmwDujspnUgjI+ZVI7+taEV5BM5RJ&#10;BvGflPB44PBp3QnTmldonxWRoIl07WdSjdkbzbjzwwPRWH3SOxGP5Vqs4RSzMFVRksTgAVz+qXNp&#10;qNnbXum3cEk1tOsqFZAAy/dcE9/lYj8qipqjfCS5Z7b6HoKkHkU6qtg/mWkZJ5xirVcbOpqzsFFF&#10;JmkIjuf+PWX/AHD/ACp6/dFDgMjL6gimW7breNj1KigCWik3CmmaMdXX86AH0VEbmEdZF/Ok+1RH&#10;7u5v91Cf5UATUVD9oz92KVv+A4/nijzpT0t2H+8wH+NAE1Gag3zsf9Wi++7P9KNtwf4ox+BoAnzR&#10;mofKm/57/wDjlHkN3nk/T/CgAuTiIH0dT+tS5A71UubVPs7/ADSHjvI3+NSLbQEZ8pD6ErQA/wC0&#10;w/8APVPzpPtUPZifoDTxGg6KPyp2KAITcDtHKT/ukUebKelu/wCLAf1qbFLigCD/AEk/wRL77if6&#10;UBLg/elQf7q/41PRQBB5Dn707/hgV5ro/hu11f4n+K7m4uL1JLOW0ZPIuWjDZQn5gOGHA616jXD+&#10;E/8Akovjn/rpZ/8AotqAOitLw/b2tQnAJySxP9Ppx715nqn/ACXux/7Bsv8A6MevW1tY0k3gc5J6&#10;nqa8k1T/AJL3Y/8AYNl/9GPTYoppanrV3dRWVnJczkiKJC7EDPArmrmLRkkl1JnnYEB3VVyBuYMQ&#10;RjuYxkdse9dLeWsd7aS20ufLlQo204OD1rlr+40S2t9RtHlukQS7p2jwQS3BXnjHPQ/hyKQza1LW&#10;INF037ZOJpkZjtCLljkFgP0xWDNPpekNbeJXW6H2kyLsCKGywLc5x2T171vahpNvrGkpbGR0i25j&#10;I/3SAT9M5/Cucig0zW4W8MiOYC2Z3M2zA3A44IPU7yPwNAFp00zT0bWnmuYxqeyPC9WL4UE9iRnI&#10;9AOKhNro/hm0nsp3k8vUIyA4i5VQAoB7k/Nn8DVgxafr0B0h0kCWhBUgrghGGSAGJ45XP1qrcWtv&#10;4htoLuHUtQhSyhBPXdKFOck5GTle/egCCH+x/Ds50OS7mM94YCHaPggkhQfUHaQf96r0w0QtJ4fH&#10;nr5lwWlZUO1pWPIP559OBVe4srDxJqK6xHLcxvZvHlXCbX2s2AOcA53dTVxpNEEcfiiS2ISRFkAK&#10;AtnGQ3BPIHYdqAKrLpl21p4bBuT9nZ2EoUAfuyCQecnOccD1qKKHSvF2jRwKLuCOwgVUkZQuVMYP&#10;Hr0U/hTRFpOm3CeJ0muJPtLyBIwFUq0hAI+bHTBpsNzpPhSKCWNJpk1SJEhXaCUQJxu55FAGjNPY&#10;6jYjUTEdukr5u14ELMADgrzwCBkfhTrtLaS7l103F0IYfLR4CBtOGBBGTjk4yevFZ9yNO0fT5dNf&#10;zJodTiVERYlyu7IBJJ59s8DFaTiwgkbQZppi91L5mVUcchsd8AmgCEf2exfxIftOPOLFHKA8ALxz&#10;jB2r37CoY7Gx8N3cmqvczMl4JP3QUNlnYHAwevNXIk0yzD+HhK5a4d2BCbghyDt9jyOuKg1I6Z4p&#10;nfSPtE8TwxuSFTg4IwQfYhW/H8KALEDab4ZiF1JcSyC4iUsdvJVejY9gcfTHtWje+I7Kxvrazm8z&#10;zLhgqFVyBkE5PtxXPK2n+I7aeLzLovpltsZgU+YHcDwCeTs7+gqQ32l6laXOsTQXDQaf5cvlyKob&#10;dHnBBz6+/agDbfxFZx66mkbJTO3G4Y2jgkZ5zzg9uxqzb6vb3GpTWKrIJYupZcBvoe9ctb3ekaiX&#10;8Vxx3Ya3k2srJuY8DjAPbse3PrWtL9jsZm8QlWImRU2ra/OQTx796ANG31m2ubu6tUDrJb/eDLjI&#10;9R+dVrXxNaXem398kMwjslZpAdu4gIH4wfQistWsvDqtqEl5d3MN0ZGj3Ju27iCffAwMAelVZP7L&#10;0LTrrTPPkZdTj4kSLGwMgjH4YAPPvQB12n6hFqKu8SsAjbDuIPPccE1drnbK6s9Jv5rFRKzyTDkA&#10;YZ2AJxk575OBXQhs0ALRRRQAUUUUAFFFFABRRRQAUUUUAFFFFABRRRQAUUUUAFFFFABRRRQAUUUU&#10;AFFFFABR2oo7UAeO+CP+Sw+KP922/wDRK16+wJXg4PrXkHgj/ksPij/dtv8A0StewgcUAeY22m6j&#10;p3xg0z+0Nam1My6dctEZIUj8obl4G0c/jXpw6VxGpD/i8mh/9gu5/wDQkruB0oAKKKKACiiigAoo&#10;ooAKKKKACiiigCs4L3DL0xHj8z/9auNutK8UJfTfZL61FvKRtEttuaIexBGT9a7RObmU+mF/r/Wp&#10;sD0qoycdik1azVzibK318zvDfvCVQ/K8ERUygg9QSdpBx0rL1HwZaeQBqstzfs7He9zeMqqpPUDO&#10;0ED0Ar0rArP1fSbXWLJ7W7iWSJwQysuQRV+0bepUJQW0UZVvGkNvHFGWKIoClm3HHbnvUtc4mn3X&#10;hfW0trZJptJuFwUL5Fs453Ak/cI4I5wQPeugSVJVDRurhhkFTnIrpjJNHnVqUoS12GkqtyuRy6kZ&#10;+nOP5/lUtQDe9xu3JtXjGPmH45x+lT1SMQxTfLQ9VH5U6imBGYY26ov5VnSRo90bewKwzW7I8qBd&#10;oZG3cfoeR3FatUrMTvNPPcQpG5Yxrs6tGCduT+LH8aljJUiHnSfM/b+M0/ym/wCe0n6f4URffkPf&#10;dj9BUtMREUk6eYpHulZWoeGbDUTvmt4xMOksQMbj8Qa2qzdb1ePRtPa4Zd8rEJDGOruegFZ1FDlb&#10;mBj6RPfWGuzaNPdfbI0hEqSyD5kBONpNdLul/wCeYP8AwKsXw9pd3Zwy3V4Ee+vP3kzljlTjhMY6&#10;Dp1rcjj8uNUBJCjGTU0E1DUEJ5jjrEfwOaPNb/nk/wCn+NSUVuBH5y91f/vg/wCFHnp33Ae6kfzq&#10;SigCPz4v+eqf99ClEiN0dT9Dmn01kVuqg/UZoArPIqwSFuQz7SB7nFWgcjt+FUzGgjUrHGT5hOCO&#10;vNWfJj/uj8KQySkpnkx/3f1pPJXszD6MaYrEtFReUP77/wDfVHlt2lcfkf6UgJKKj8t/+ez/AJD/&#10;AAo2S9pPzWiwDbgqsYdhwjA9M96zZ/C2h3V4bubTYWmJyWxwT6kdDWhOJliPzKxPAAQ8n86kCzYG&#10;Xj/75P8AjUSpxn8SuFh0caRRrHGioi8BVGAKcelR/vh2Q/mKCZsH5E/76P8AhVpW0AWD/UJ/uj+V&#10;SVXhMogj+RPuj+I/4VJvk/55f+PUwJOtV2jETxGMIg3fMMYzUnmSf88j/wB9CorlpDbSDYy/KfmD&#10;DjjrSsBZoqPe4/5ZN6dRSeaf+eb/AJUJgS0VH5p/55v+VHmn/nm/5UwJKoavpx1SxFt5xhHmRuSB&#10;nIVgxH44q35p/wCeb/lSeb/sN+VJ6gZut6HHq9o0QMcMjOjNJ5e44RgwHUdxWjKNtvj0wOmPSl85&#10;e6t/3yaZNMhiP3h0/gPrRYdyxRio/OT/AGv++TR5yf7f/fJpiCaCKePy5UV0yDhhxwcis650zF9H&#10;cRiLyQAJIiCDx0IIPYdsYrQ85P8Ab/74NHnJ/tf98GlqFkOSRJV3owZT0KnINPrLnto4LVl09fsz&#10;GWOR9kZAIDqWGAO6gj8a0POT/b/75P8AhQgJKKj85P8Ab/75NHnJ/t/98mmBJRUXnJ/t/wDfJo85&#10;P9r/AL5NJgUL397rmnw9kDzH8AAP51ff/WRf739DWXYSrd6ndX/IhCiCH5TyFOWb8+P+A1oyTJ5k&#10;X3vvf3T6Gsqet5dwGahqEOm2puJw7DIVUjXczsegAHc1Xhvr64gDf2c0Dt0EkgJXkdcZ5wSce3vU&#10;OoahG1/bWMIka53CVsISETkZbkdeQOvNdXauFto90bbgP7hpVJtHdRow5Oeauzl7fwveoMyalfTp&#10;Kp85JJAQ59Rx8ox2XFalt4SsYtR+3Ohe4P8AGzMxXPXGTx+FbnnekUn/AHzR55/55SflWDm2dPPb&#10;4VYa1nBIgVowVHapEt4o1wigCm+ef+eUn5Ueef8AnjL+VRdkcz7kgRR0FPqDznPSF/xwKPNl/wCe&#10;B/76FAifFFQ+bL/zwP8A30KPNl/54H/voUATVAOLt/dF/maN85/5Zr+Lf/WqLdP9qHyR/c/vn1Ht&#10;QBcoqHNxjlY/++j/AIUYuD/HGP8AgJP9aAJqQ1FtuP8AnrH/AN8H/Gk2zk8yqPon/wBegCaiofKk&#10;P/Lw/wCS/wCFL5Un/PxJ+S/4UASbRioZ7aK4Qo65FL5BPWWQ/wDAsUfZ1/vyf99mgadjAu/Ds4Vj&#10;p929tITkMmCOuTlWyDnv0PvVSOHW7VCtz9nuGB4ZUMfGOM8nnNdX9miPUE/Umj7LD/c/U1oqjQ24&#10;y+OKZxV3Hrd150X2azFpJlPmZiwX+90x74/Wuk0eJYrV/MCht5ySMZrS+zw/88k/KooYIvOm/dJw&#10;w/hHoKUpuW4e7GPLBWI5FsXPzmLP1ANQmz04tkck/wB05rTCgDAAxS4qbsFOS6mcsFmo2iGQ+5jb&#10;P8qzNZ0O31KyaJIZ0bqrp8rKRyCD2INdJikIBoUncanJPc4P7Hqt9ph0y/i8zzEMU8yZQyKcjgdi&#10;Vxn6muhh0dEjQtbKGUY+UgYHp06cCtsADtS4qpVGxRlyK0FYqxLLGgRI41Udixp+bg94x7gE1Pii&#10;oJ9SDbP/AM9U/BP/AK9HlSHrcSfgF/wqeigCH7Pn70srf8Cx/LFQ2tuht0BLnHy4Lk9OKuHpUNtw&#10;jL3Dt/PNAALWAf8ALNfyp4hiHSNfyp9FACBQOgApcUUUAJilxRRQAmKWiigAooooAZKC0TAdSDSQ&#10;HMKH2FPNRWv/AB7qvdflP1FAE1FFFABRRRQAUUUUAFcP4S/5KL44/wCuln/6Lau4rh/CX/JRfHH/&#10;AF0s/wD0W1AHcV47qn/JfLH/ALBsv/ox69irx3VP+S+WP/YNl/8ARj0AewdhXD6tD4ekv703DXXm&#10;IxD+VswGbBbHr90fe9Diu49K4vWrXR1vrtbyC7yylyUVSCGI3Y+uzv8A3TjFAHW2UaLZxeXI8kZX&#10;KMxGdp5A4rkdNbTLfxxNFE9w1wzSJ84BXewDE5zxgKQMDvXW2IRLOIROzRbcpu7Keg/AVzNpbaY3&#10;jKWdEnF0HZg+MIz7SrKfUgHP4igBmjSWbeILoQGQFxIJleIAMQxzg54HPTHbk1Do9zpkWm6mlvPJ&#10;5MNuPNYIF2rz0ySPXtTfDH2CfXbuS2+0ecBI0nmKoHJU4GOf4xUfh650e7i1SG1FzHttkW4YlS5x&#10;uBPf5s5zxQBe0S80uzsdR1Cz3mENHEE8zdubtgk9SXx6ZHtUgu9ObwZbSpM32S2VFBcL+8CDAyCc&#10;HI56+lZdh/ZkPhbUZLWS4MLTJMzsu7Lb88Ac9ufpxU73NsfB0293hja6CL9nhCHIYdBk8AjnnsRQ&#10;Aa7P4fsfDemrctPHYuxWPymBOcZ5IPWmazNpSWWkec7mOW1McWFC7RgYOCcg9h9cUa3Z6bqXg7TX&#10;1C5meJdvktEioSW+UEqc9AfWofE76HZ2uk293NciKKFDEVAYsFdCM+/yigCTX7TSDrGlx3k92kqQ&#10;RbBGgIZVLDn0+9+lW763tT43s5/tMkdzHIqqGZdpDI3GDzyBj1BIo1O40yHxJp1xNbS3MvkRogEY&#10;ON5IUt78N0Hal1KbTx4wgWWW5iu45YmUKFKPu+QZB5I+bHtnPagBwOlN40VPPuPtvzSENgp1Axx9&#10;APX5cHtS6LcaXP4hvLeMSPeRLIpmOMbS+SODyeRye2KtWy2D+JnDpO91CXeN2TgbsA4I6jsM+lRa&#10;Tb2MHii8ELz+eAxcS7SHyc5Hfj/CgCpo40qGPWXtWmO63DThhuOMNgg9ORnjHXJ71FYHSU8NasAl&#10;w9rImZUZVRmViflHPA528+lJpbaf5Gs26XEvkGKQyRyQ4LfKuTnPYEAD60W8mm33h/WoQXeESRh1&#10;QAMPlQgDkjGf1JoANPfS4PCeqJBJLLaGZ1YmLeQSBngHn61f1OC3fwpbEPOsMboy+TGULcgYK5Bw&#10;cnoaXQtFsB4fu7KwIFvNI6neN+DjBxzWhd6CLvSYLH7QYhC6srQrtBA7EZ6EZzz3oAydeTTY9IsG&#10;vJrlolV9pjAIbI5JC+2eB/8AXrO8RwaUL/TpZLqVHSBFjfy8rt3DBbkdfrXT3nhyC+tLa3lnkxAG&#10;xjADFhySKq6l4Siv7m1uUvJIpLaNY0+XIIBByelAEVyLP/hJD5pbzhPG0YI6PtAyuCM8deOhPYmu&#10;pWsiXQoZtU+3PLJuEiyKoAwrBduR35Ax+JrXHBoAdRRRQAUUUUAFFFFABRRRQAUUUUAFFFFABRRR&#10;QAUUUUAFFFFABRRRQAUUUUAFFFFABR2oo7UAeO+CP+Sw+KP922/9ErXsI6V494I/5LD4o/3bb/0S&#10;tewjpQBxOpf8lk0P/sF3P/oSV29cRqX/ACWTQ/8AsF3P/oSV29ABRRRQAUUUUAFFFFABRRRQAUUU&#10;hoAhh5eVvV8flU9QW3MO7uzEn86noAKSlooAr3NpFdACRc4rk9X8LXUWopqejTCC6VfLKuC0cif3&#10;WXPH1GPxrtKKpSaKUtLPY4SyOr2d1K2s/ZWDlEja2hZSST3BJ4GcZrXEiMCQ6kDgkGty4tY7iMq4&#10;69x1FclJ8O9HPmk2omViXEcsjugY8khSSASfQVtGr3MpYenP4dGamaKxYLe+0PSns4Iprx7dP3Jm&#10;lG6Tn7uccY6ZOarPr+rWgaO88PTvcMQIvsjiWNs9mYgFcepGPetVURzywlVPRHREjnNUtLjiSzLQ&#10;TGWKSR5FOcgZPQewqnqd/cy2ggstOjvpHbypo3k2ony5ySRyPoO4qvpfiNJbqXTrnTJ7G6toi8kY&#10;XfGFGMFWXg5zwOvB4p8yuJ4eqlrE3YejN3LH+eP6USShGVQCzN0AH6/rWO3iSytb62s5orpftLKI&#10;phCxjLOTtBYdD9a2EJaaQlSAMKCe/c/59qd7mUoShuhoSYqweUbuxRcY/MmucmiGpeOLe3kJdNOh&#10;M7bu7tgD9AK6mubtx9j8e3qPz9ttUkjP+4SCP1zWFdfCntchs6WiiiugYUVWv52tbCedFDMiFguM&#10;59qzbPV5p7ZnkjRWUopBB7kg/wCfehuw0rm3RWOurSyWIn2oreaiEY6AhSf51oWUzT2yu33uc8e9&#10;CYmrFijtRSE4Un0pgVoiokiy21ivA/vVaqFIw1ugI5xwe49xToXZ4UZ02uR8y+h70thklFFFMRl6&#10;/Nf22kTXOnGPzoVL7HXIYDqPrRpV8194ehvnnQtJD5hcJgKcc8exrTIDAqQCD1BrgLdprKW98JJu&#10;DT3ANu392B+WP4AEfU1y1ZOE733/ADPVwdGOIoOCS5ou9/Lr9x1Xh+4vbzTRdXsiMZSTGFTbhM8E&#10;89+tavamxRrFEkaAKiKFAHYU+t4K0bM8+tNTqOUVZXIYwzSO74OGwoA6D1/Gpqrlltnd3JCuwOew&#10;OMfh0qcEEcVSMhaa5wjH0Bp1RznEEh/2T/KmAsQxEg9FFPpAOKQsFBLEADkk9qQajqhulD2sqkEh&#10;lIOOuD1qmurxzzTpbRm4SBlSRoyOGPJHPXA54plprkVxMIZrS8s2b7puI9qnnH3gSAfYkGlzI1dC&#10;olexppIkiB0YMp6EU7NZt3qlnp17DDPNHF54O1T1Y5GMD05P6VbhvLedisUqswGcd8ZI/mDQmiOS&#10;Vr2J6KKKZIUUUUwCo5/9UfqP51JUc/8Aq/xH86AJKKKKACiiigCC9tUvrG4tJCQk8bRNjrhhg0tt&#10;NHLEQkokMZ8t2Ax8w61L+NYcmqQafqD2FpZy3NxK3msIcYUserk8LUt2LhCUtIm7Rmsu8m1c2cq2&#10;lnCLllIjZ5TtUkkAn5cnAwcfh71HKL7RLIXV1NNdxxxky7gAx75UADn2Pap9ojdYSo02bFZ+sTyR&#10;2PlQnE1w4hQ+hbqfwGTVm3vLa7jV7eeOVW6bGB/l9RWdqxle9077NGJZopTIVY4UKVK5P/fXH0pV&#10;X7rsYRpylJRS1NK2gjtLWOCMYSNQo/CodQvbewiS4upBHEr4yfUggAe5NQ2+ja60onk1Ilef3SQq&#10;q+3v+tTHQJrm+s5b2VpBFISinAXO3qQOpGDg9s0vaRSsjpWElf3noO0a0Fzq82pGMqzqsYJXB2Ln&#10;APPqzH8fauqFRQwJAm1FAFS1zSld3OhtaJbIWiiipEFFFFABRRRQAUUUUAFQn/j7H+4f5ipqgbi6&#10;Q+qkUAT0UUUAFFFFABRRRQAUUUUAFFFFABUMfF1KPUK38x/SpqgX/j8f/cX+bUAT0UUUAFFFFABR&#10;RRQAUUUUAFFFFABUMH35v9/+gqaoIuLmYfSgCeiiigAooooAKKKKACiiigAooooADUFtwJF9JG/X&#10;n+tTmoYeJ519SG/TH9KAJqKKKACiiigAooooAK4fwl/yUXxx/wBdLP8A9FtXcVw/hL/kovjj/rpZ&#10;/wDotqAO4rx3VP8Akvlj/wBg2X/0Y9exV47qn/JfLH/sGy/+jGoA9h6iuY1dtO869iu7e8GdkryR&#10;4PogxjkZ5/Wt261CCxz55Yfu2kGBnIXqB71geJtV0nRCq3yzs2qPtAQZ5QDH0Gdo/EmgDoreFbeI&#10;RIWKL03HoPT6CuU0uW0u/Gdy1uk0dwvmGVjGu18bV47jr+OOa0LnxRp+m6fYXMzSst+QYQQM/NyF&#10;/XiqhtbDRPEUd4PtEz3UcrBRg4ZinOPU4IH4+tAB4eh0+DW9Sa1jkWSVmZmYKA2AqnbjnGRj65qr&#10;oFtpqWupXlq92Fmg+cHA4BY8Ed8k1qWljptlqE1yL+BGnUiaJtgyxJJz6dentVCwWzstQl0SMzfv&#10;gIN6gAKNhbI4xjt9SKAF0uHTLrSb2GziuYbcMnAYA5BP3Tk9wTUEdrp0HgRZ4POFs0i3iq6IxJY7&#10;sEdMc1qaKunWWr31tah0ZtqDcxYOUGWIJ937/hUdlNpWpaGumJcFLe3iiUSP8u5Ao2Nn39KAKOt/&#10;YofCVuXuZ/IQmWIwRqudvzD5emOMYqDX7fS9R03T7nUzc+bNbiNNgQt8xBJxzzxnj0qz4h07SX8L&#10;GBrxporRTtEUis+G+X9M1TnTSde8MtPE9wsGn4VNrgkt2OT9etAF3X7PR472wnunn3RiHyhGASoQ&#10;thvX+LB/CrD3GlWXjAl45DdXYRM+WNqnjBz1znbz/hTdWhsL+wj1Kb7SSgWNAcJvHr6YOc8+g9Kl&#10;vZNKWW01SffL5kkbwo6EFTuWPdyM8FwcGgCNLyxfx0YhE320R7C3lx4xyc5+9/Diq+hz2g8S6jFE&#10;96X3zOwldSgO/B285xxkemakvTpema3Z6oVuJZ7hSyMuCNrH3Ix94fgT70zzNN0bxcYRFdvd3mcb&#10;UXZ87Ekg5475+negCj4buNJ1d9TtrVLuMi3kSQykHIZsEgjv8o/KptFtdPj8M37wz3KwTJFOyts3&#10;R/KuMY/3e9T6bbadpXim5srSK4PnxiOYh1wG+ZuudwOCPzFSWdxp1zrOpaJF9qEkqbWdpNwAXsCS&#10;T/F3+lAEuna3pmn+H572382S2Wb5hgKctg55wMHOfxqzceLLO10iLUWglMUs0sSqCmcpvyeuP4D+&#10;lc/pFrpsmi6rpsX2kRW5892JTLhRt4weM7D1q3psul6r4auYlWeSC0Es/C/OfM8w/KMDn5mA+lAG&#10;9qWvRaba29xJBK8c2AGQjCkkYBOfc/kafcazDbXFpC0E5N0RhlXIXIJwffis+8ex13w6ZytwIYdx&#10;CoNrblyOM8f/AK6gv5bO50/S72Zd6xzAKWiQsrBGyTngDHagDauNXt7TUoLGRXBlUkPj5QQVABPq&#10;c/pUTeILVda/sxklEu7Zv2/Lu2hsfk1Qx6ZFqt5DrCXNxGsqKRHnggcjj3/HNTt4et21b+0fMk80&#10;yiQgnjIXbgenAH5UAR2PiS0vtWm06NHEkYJ3HocEj/2WpdJ1uDVmZYopEZUV2DY4znHQ+2aq6b4U&#10;g0zWp9ShuHLz7t6MBg5JP/sx/SrWl6HHpbFkk3sUCMxGCwHTPrjoKANcdKKKKACiiigAooooAKKK&#10;KACiiigAooooAKKKKACiiigAooooAKKKKACiiigAo7UUdqAPHfBH/JYfFH+7bf8Aola9hHSvHvBH&#10;/JYfFH+7bf8Aola9hHSgDidS/wCSyaH/ANgu5/8AQkrt64jUv+SyaH/2C7n/ANCSu3oAKKKKACii&#10;igAooooAKKKKACmvwpPoKdUVyxW3kYdQpI/KgAthi2j91BqWkRQqKo6AYFLQAUUUUAFFFFABikxS&#10;0UAMMaseQPypr20Un3kU/UVLRQNNogis4Yc7EAz+NVL21gihkmEY3Y61pVn6yN2mTf7pqot3LhJ8&#10;y1ONttHlvr+31K6upxHEmba2ZEHlMRhmPBycZx6ZNb6IEHGfck5JrD8GPJL4SsGmd3nCFZi7ZPmA&#10;kMD9CCK3q7IpWPNrzlObuJXNeKw9jNp2uRjiylKzAd43wD+VdMa5vxu7Dw68fSKWRI5XxnYhPJrP&#10;Efw2zFnRIweNWHRgCKdUcGz7PH5bBk2jaQc5GKyNU8Qx2dwLKyga91B+kEZ+6PVj2FW6ijG7C5tF&#10;Q6kMAQeCKb5Ue0LsXA7Y9K50QeLroBpL3T7LPO2OEuR/31mkYeLrJSwfT79V5IKmNz9O1Z+268rD&#10;mOge2gkwGiQ4OR8vQ+tPiijhTZEiovXCjArCsvFdnLOLW/jk067/AOedyNoP0boa31IIyDkVdOcZ&#10;6xYXuLTZP9U30NOpkxxC/wBK1GCf6tfpTGgG/wAxCysOwYgfkOKkUYUD2qney3TSC0sXijuGXd5k&#10;qFwnIx8oIznnvxSbsXCDnLlRZjm3O8bLtdecZ6j1FSVmW3h7VIYpLg3nmX7sSZGiGzoAF2ZztHXG&#10;7qSc80httasY2uLu9Sc8Hyktwi4BycfMTnHqTWaqI6p4N/YZqVAbK2N4LswJ9oCbBLj5tvpmqMXi&#10;XSJ5CkV4HZQS22NsADrzjFaBuYfKaTzU2L1OelV7rOblqR0V1fQlorEGuXEF1H9ss3+yTICk0KM2&#10;xsnIcYyBjBzjHXNaUuoWcFstxNdwRwMoYSvIFUg98nimpJhUozg9UWetRRhlnkAI2YBCjseSaWC4&#10;guoVmt5o5YmGQ8bhlI+o/GkiVt0kjMTuYFR6Af5/Wj0M7NPUmqOf/j3k/wB0/wAqkqG6JFrLt67T&#10;j8qY0ruxL0FYd5q9hqQudLtt11IybXKRl4lz2ZsFQcZODU2iaTf6pbCbVb1bgsqny0hMSIcHopO4&#10;nnufwFdPZ6Ra2kYVY1454GBn6VhKr0PQp4aNN803r2RW0TRrSxswIreONW/hVAo+uBVy60yC4jwV&#10;A79OPyq6oAHHFLXPd3NXNt3MCy8M2lpdvcld0rKELlmYkDoMk9Kytcs2ttd024hZAiSFSjNtyGBG&#10;R6kY6e9dnWPrWnTXarJA22VOVPOAR0JAIyPbNXGWuo1LmvF9StRWVpt/dAzW2q+THcRE7ZEGxJkw&#10;PmAJJGMjIycfjTofEGmTXYtVuCJWYqgkjZA5H91iAG6dq61JHmSozi2mjUopMilqjMKim+5+I/nU&#10;h9qzLnXNKju1s21C3+0lwpiEgLDnuB0pXHFN6JGpRUcM0dxEk0Lq8bjKspyCKju723sYGmuJNiqM&#10;8Akn6Acnt+dF7BZ3tYjvtUstNVWvLmOHccKGPLH0A6mo49VW5jD2tvPIpAILoYwc57Ng9vTvUOnG&#10;bWL9Lv7C9vGgKIZk+dlPfGfl+hGfpXXx2sMYwsa59axlVs7HdHDQjFOe5ydpY65qMxa7aG3tj0ih&#10;3buoOS/B/ACujsdItrNAFRcjpgYAq+FCjgUorCU3I2UklaKshvlr6Co57WO5jMco3KanoqLiTa1M&#10;GTwzZLGRBEiHduwq7eeOePoPyqto/huWy1GW9u7ua6mkAXdLtBCjOAAoA7k109JVc7tYr2jEVQKi&#10;mH72D/fP/oJqYVFN/rIP98/+gtUkEtLQOlFABRRRQAUUUUAFFFFABRRRQAVBL/x8Rf8AAv5VPUMv&#10;/HxD/wAC/lQBNRRRQAUUUUAFFFFABRRRQAUUUUAFQdLxfeM/oR/jU9QNxdxn/YYfqP8ACgCeiiig&#10;AooooAKKKKACiiigAooooAKgXi7YeqA/rU56VAeLxD/eQ/of/r0AT0UUUAFFFFABRRRQAUUUUAFF&#10;FFACGoV4vH/2kBH4E/41PUD/AC3SH1UigCcciigUUAFFFFABRRRQAVw/hL/kovjj/rpZ/wDotq7i&#10;uH8Jf8lF8cf9dLP/ANFtQB3FeO6p/wAl8sf+wbL/AOjHr2KvHdU/5L5Y/wDYNl/9GPQB6rqFnb3U&#10;cT3CM/kSCZApwcryPr9K5/xDBo+uWkV3drO62TqyPEhJBcDHH4qTnpj611Z5AFczczWOmwXenGxu&#10;mgUefIU+bgtnPXIHB/KgDL8TXWi6LBpOkXy3MzKoWAocEkYUcjGDz17Vd1y80c32kW128rSz4EJz&#10;8xG0t16joufwq9rXhjT/ABKbS5uPMR4gGjdMZHIbuCO361mwvp+ua3DYtBdo+nbjHMWC/dGzjvzu&#10;zx3UdsUAat1d2FvqiWT2AllkUMHVVJOTjvyeOTUY0u0GuDU11BPM3NlDtxg7Rgf98jnnqagt5bDX&#10;dXMuyZZbQZDDIDgOwHPp8hP/AALHY07Sb7SdWtJryHS4oxEN+WhUE5XI5xQBFoup2174hvBB5yeY&#10;PNZHhA6AJncCePl6cGsfwjqeh3E11DYi6m8m1HmJcKuMR8DgDGa19Gg0w3Emr2kMkOyPyijMoTdv&#10;bd83rnrzjpVLTNO0TTtKfWbIPAt7blFRWDEBxux3GeKAL/2rSda0a/D24t4I41aVo1wSv3sDgHPG&#10;Kbaw6VbeH7tRCLaOR1EtsF4jfgBeOozjnoc1WWbTNB0Ys1zNJaagGAZgMx4Q7jkDnp6U+5ubdfDl&#10;kt1JO0N1tnV41RTGFw4B7Y45P680ARas2kxeB/NJn+xKC5IUuQwHIwfU8elJr8unQ6TpLym5aEoq&#10;xGEBd2WjKk7ge6qfzpmsTaJpkFjoF3Ld7bgfu3ABz5m4c4GDjn9K0L4acs9n4eL3SELsiKEHAwSA&#10;SfQKfyoAp6/baVL/AGPHeSXcbTRCCHYCMDHJbjH4fSptXu9Mh8V2FrLDObtgoWRWwMbgBn8f5mkn&#10;fTtV1mDRJUuPOs12hsgHCgfNnt1U0kCabr/iMXLreQ3Nt9zfwDtJ59ucGgDYl8PRya7HqyXMqTI5&#10;Zk6qw2hcfkKz9Nj08eJrx4ftQuYw+/zASGBYk4P1yPyrQ07W7W7GotCZnFtKwZT83QA/L9ewPvVf&#10;TXtbmS71qON1Y74pI2hCt8jMvX8DQBm+HJNDu7rU4LO2nhkuUZ5BJn7hwD1PqT+tGkXOn6ZomsXk&#10;KXCQW8bNIJsEfIGBA78bcH3NSaWulWFhLq9sk/zIY2T5SyliDg49MD9arSy6FD4UlZIZfK1IPAwO&#10;N4OSMDPHDHGP50AOku9Mh8G3pMkwtI59haGIq5Yv6DryR+FNnurBPClrcObnyPtbDaw2njepyDn5&#10;cAnvVh5dKtNGWCJZFt9RV7veGX5MMnH5sAK0pvDNpe6IunSyTeS0jzHhQSX3ZHA6fOaAIRr1nomj&#10;6WfIl8q5PlRICMrwSBzjjir1z4jtbZrHfHMVu8bWCZC8Z5xn0psnhy0nh02GQs6WD748gEnjAB9u&#10;f0FWNR0qK/8AsxYqot33oDGGGcEd+3NAC3esR2d/b2rxOfOBIkBAVcYHOT3zUR1+EeIDpGz94FVi&#10;+7jkEgfXj9RTL3QIb3U4r57idGjTZ5akbTz1xjg9R+NOOhW/9vnWfNlE/liPYAu0gZ/2c5+b17UA&#10;OtNcju9TexWPbIpfq3OFIBPT1YVrVk2uhW9tqT3wllaZmY87cANyR0zjODWtQAUUUUAFFFFABRRR&#10;QAUUUUAFFFFABRRRQAUUUUAFFFFABRRRQAUUUUAFHaijtQB474I/5LD4o/3bb/0StewjpXj3gj/k&#10;sPij/dtv/RK17COlAHE6l/yWTQ/+wXc/+hJXb1xGpf8AJZND/wCwXc/+hJXb0AFFFFABRRRQAUUU&#10;UAFFFFABUF1zCV7MVU/QkCp6guPvRL6v/IE/0oAnHSigdKKACiiigAooooAKKKKACiiigAqpqKGS&#10;xlQdSMfrVuoLjlFX+84FNAnZ3OJ0yKLRL46QZtzztLcr5jfOzMxZgAABjJz1rcrA8b29xaXlpqOm&#10;rIdSWQRxqqbldXIDB/8AZwM57YreGcc4zjnFddOV0c+MhZqa6i1FPBHcwPBMgeNwVZWHBBqSlq2r&#10;qxyHLL4a1W0RrTT9caHT26I8W5419FbNbGlaNaaRC0dshLtzJK5y7n1J71oUVnGjGLuKwtFFFbAV&#10;b7T7TUYDBeW8c0fo4zj6elYZ0PU9IPmaHfF4R/y5XRLJj0VuorpqSsZ0Yyd+vcDC0/xRbz3AstQi&#10;bT7/AP54zdGP+y3Q1szf6l/pUGoaXZ6pbmC8t0lTtkcr7g9q5yePVvC8bSpK+o6SnLI5/fQj2PcV&#10;ClUp6S1XcNTrvaufubq5n1Gyv9OWSSJXMUoDjZJGWA3jnqDz9A3tVuS2vdes1iidra3lAJaF/nKk&#10;9M4+XIx05Ga6bTNKt9Os47aOJAkYCqoXhQOgFOdRWPRoUfZPnnv0Ldq5kt0ZhhiOadLEkq7XUEGn&#10;qAowKWuY0b1uil/Ztt2T9axtU8GabqoxOhIPUBmGfrgjP410tLinzMpVJLqZ6aZCtsITyR/EBzVJ&#10;fC+nGcTSQRSSKSVdowSMnJwTW7iko5mHtJdzjfENqdHUXdpCzjIEqRjlkzg8DqQMkU+LVbKSFHid&#10;yrD5R5bA9+MY9jXVywpMu11DD3qD+zrbP+qH51pGrZakThCq7z3OTt9XurpiyaRcJBjIeV1Qt9Fz&#10;kfjio7uLWdRnC2syWduPlOYxI7ndjPXAGMEdTzyK7hYURdqoAPQCo7hAsQwB99f/AEIU3WYlTox1&#10;SK2k2H2C28r2AAzmtGkFLWTdym23dhRRRSEFIRx0paKAM+50m1uiTJGDu4ORkGmzaPbzW7QsoIYE&#10;HcMgg9iK0aKakylUkupyt74OhukyJ7hGUHb5UzpjP0NMGjaq1uLU3kiqF2+aqAPjAGc5IznJzjv7&#10;V1uKMGq52gck/iSOUt/DV5a7sajdyhiDiWXdjnnHHer1tosNrbJGV5LjkcEn1Pqfet3FQzjiP/fF&#10;HOw57KyVjmL3wrPLcebbX91btkk+TJgNng5ByOgrSs/D8MG1pWMkg/iY5boAeT64FbQFLS52U6j3&#10;QyOGOJQqKAB6CpMUUVJncKKKKACiiigAooooAKhn+/CfR/6Ef1qaopz/AKv/AHxQBKOlFFFABRRR&#10;QAUUUUAFFFFABRRRQAVBLxNCfcj9KnqCf78X/XT+hoAnooooAKKKKACiiigAooooAKKKKACoZeJ4&#10;f94/yNTVBNxJCfR/6EUAT0UUUAFFFFABRRRQAUUUUAFFFFAAaryfLcQnscr+mf6VYqGfiSA9g/8A&#10;7KaAJRS0gpaACiiigAooooAKKKKACiiigAqGbiWFv9oj8xU1Q3PCxt/dcf4f1oAlFLSDpS0AFFFF&#10;ABRRRQAVw/hL/kovjj/rpZ/+i2ruK4fwl/yUXxx/10s//RbUAdxXjuqf8l8sf+wbL/6MevYq8d1T&#10;/kvlj/2DZf8A0Y9AHsB6VymtPaLLepdWt4FBjuJZY5VA44X+LgcZweuK6mR/LjL7S20E4HU1zl/c&#10;adPYXl15V5LG5RpfIIBIKD1IGNvUf1oAv6hqUei6FLqMiyTJGofBYAnceBk9Bkge1YlimmWiP4nS&#10;OcFxIDE2GIZmXJzj/Z9ehNTeJprJNCjsZ4pZILpGZfmOVxhgOh5yQBT7hLLTtMt9ITzvImUySSZ3&#10;MiZH/szLwO2fSgCC+1G18LzB0jmn+2KcksECAM7Z5x3c/gKgll0rwldfZIbaVzdwLuAcAKgwnXgd&#10;6t62mm6hqNvY3M063O3yxLHkbdw6Y9wfwqDV4dJ1jxPBp80U6XMClVZVXYcqeOfQGgDVsDo2j+dE&#10;mpW6u7EurzqMEszdM8fex+A9KqTrp0kdr4fklmRbdYxHIMHeApAycd+efWp7DX7LUdZuNLjspFmt&#10;yRIzhcAjHvz1H59qz9O1K21PUrzUVjuYpbRS4VnXbImGXHHbIz9RQBWtV0nWbmLQJIZ3SyaZQzuP&#10;mYFkbPQ8cHj19qtQ2NjrUaaYEmUWUElqXIRwUyqgkkdTt4/GqGi3OkSfavEcKMph+YoTnl2fnO3j&#10;75/IVdsruwhsr3WhbTxv5ogZEf5iCVwR0yctnnnrjrQBoa74YtNUngvZJJo3tAGQR424XdgYP1P6&#10;VjEabrDXHiExXSzWrRSrCsgJZU+ZSQOgbg9+K04/F9nJ4atdUihnmiuJPJVMfOTkgnnGelUrjU9J&#10;8O6HDvt51trxXRsld6rHHtx15yE/WgCS+vdM0zyPEJt5d08mxgrKCSeMknr09agOpaZodvY6vHFM&#10;r6jbvJHCpGBlfNxn17Z96fdLp1toul6XMboW9yFeMqRmIEjauRg9/wBDVrW7DSrg2Gl31pLMixss&#10;cwcAR5AXnnPfv6UAQW01p4eiE0f2qdNVPnEbI/kzgHoBxyPbk1M0Wm6cJNDLyqLxi0jxqqFTLJwA&#10;VHq+B6Cq2pWel6tr8GhzRurW1swRkl6KcDGMZzgjv05qxFBZatr4JEqTRNgAP2glwCRt7snrQBWY&#10;2sN2PDEqXcqvIubgyAE4UHsPpVBm0zVtXbwqYbmL7HcNKsoZcE5EnTHTnH0rsJNCt5NXTUyWFwvI&#10;4HoBzx6L+p9aZH4bs4da/tWLetySxc5zv3AA5/IfkKAOc02aw1w/YXM3/Eut5YmJ2nzF3ryRjg/I&#10;CK2tG8T2mp6dLNBFMfs8RkKnBLYyMDnrkEVY0/w1a6bcXU8TSM90CJdxyGyfT2yR+NWtO0iDS9MW&#10;xtgBGobkgHqSf5mgCG11uK70iTUI4ZNqbgYzjOVJGP0qNvEEI0cagIpCN2xowRuVvQ09dAhGjzaa&#10;ZGEUpJLIApGST1HuaT/hHrdtLXT5ZJniDh8hsHgfyoAqXXi21ttJtL8QyulxnCYwwxwf/HiB+NT3&#10;PiS3tUtneGUrPD5qkY45AA57ksKjvvCNlf2Vvau8ipA7Om3HVmDf0qabw5b3Edukzu4hhMOMDDDI&#10;OT7/ACigDaHQZFLSKMKB6CloAKKKKACiiigAooooAKKKKACiiigAooooAKKKKACiiigAooooAKKK&#10;KACjtRR2oA8d8Ef8lh8Uf7tt/wCiVr2EdK8e8Ef8lh8Uf7tt/wCiVr2EdKAOJ1L/AJLJof8A2C7n&#10;/wBCSu3riNS/5LJof/YLuf8A0JK7egAooooAKKKKACiiigAooooAKgk/4+Yh7ManqE83YHon9aAJ&#10;h0ooooAKKKKACiiigAooooAKKKKACoJuXiH+3mp6gl/4+Ifqf5UAYviy6Sy0W4umCkxRs2GOAcDp&#10;/KqmmNI2mWrSxiNzEpKAk7eBxzzWh4m0eDV9Ilt5y4RgMlTgggggg+xANY+iPcf2dGt5fQ3c2WAk&#10;RdpYA45Hc+uBXTRZGJUnSVtjS70tJS10HnhRRRQIKKKKACiikoAWsnWWt7yzksPtADSOscixv84B&#10;Iz0zjitVjgZrK0PQ7WS/bUjAFkupTIzY+YArwORkcAZHrWdSVkdeFpKUuaWyOn0i0S0sIo4xhQoA&#10;HoPStDFNVQoCgYAp1cbd2dUnd3CiiikIKKKKACiiigAooooAKhuf9Wo9XX+eamqGf78P+/8A0NAE&#10;opaQUtABRRRQAUUUUAFFFFABRRRQAVDcdI/98VNUNx/yz/3xQBKOlLSDpS0AFFFFABRRRQAUUUUA&#10;FFFFABUFz9xf99f5ip6huR+7X/fT/wBCFAEw6UUUUAFFFFABRRRQAUUUUAFFFFABUE/34v8AroP5&#10;Gp6guOAh9HH+H9aAJ6KKKACiiigAooooAKKKKACiiigAqCfpH/vj+dT1Bcj91n+6wP60AT0UgpaA&#10;CiiigAooooAKKKKACiiigAqG5/1Q9nT/ANCFTVDdf8esh9BmgCUUtIKWgAooooAKKKKACiiigAoo&#10;ooAKhuv+Pdm/u4b8jn+lTVHMnmQun95SKAHjpS0yFt8KOOjKD+dPoAKKKKACiiigArh/CX/JRfHH&#10;/XSz/wDRbV3FcP4S/wCSi+OP+uln/wCi2oA7ivHdU/5L5Y/9g2X/ANGPXsVeO6p/yXyx/wCwbL/6&#10;MegD2AjIwe4rlNR/s6zt7mxltrqK3hYXJaKQfM5bgYznJOTjGOPpXVntXKa5cabHNeQ3+ntLHLsa&#10;RmkG05+RT/s8An8DQBp6lokGtxWzySyKIsMmMHnIOTxz90VlPqVpeeILXT0kuY7i3Jt1m2oQzEMz&#10;cHkcQnnHeuotYkitkEZJTGRlt3B56+lYVrLpjeLLuOO3AvI1TJ+X/b+Yd8/MwNAFO2+xax4llldZ&#10;45YHZj+8BU+W5TpjPOM9e1JaQ6VcajPrD/aIpreRpSDypTOM9P8AZ6dR+NJ4eFqPEN6Y/tCyDzfN&#10;MjoQxEz88AEZLMR049al057SWw1OOSe6WBt7FSijapZuVIUck54OSOKAJLO502OK+12NZwYQTOin&#10;2yTjjcSCP0xVKK60nTfD17qcVvOIJpCkwMmSvbjk5Ge+M806CLS38NagsYuZImmQyxlhuyCmADjo&#10;QF/Oi0TSIfDE/wC6lMEty5EbsWIk5I6j2zzntQBCDY6X4VElpZ3MkN4/ywCQE53FgQSMc8Dn0+tL&#10;q09jo+hxWgHrLhTRyJcOl3MJlBIDKwIfHK8j5fyGPSna1Po0fhzTknM4s3k3owfBUqC3PB9DxUeo&#10;HTB4e0mW9gvJ4zBuRgAzLhd4zxjPHpjjB44oAS7i03R4NM0FYpJIWIlSQ7f3e5to4AxjLGmatFo9&#10;/qtl4bvrZ5TbACN/M2g7hgZA57Z/DnrVrXtT0iz1zSEvYrkzMEEbKCB824DcB6EZ+tLfNpsXjS3d&#10;ra4a8ZlRZVYBeSvYjPGP1NADhfW15rdroaRuBaYMcpAOdmQScjsQAf8AeFMt7jTtb8TuwW6iuYdy&#10;MQ6lGEUhHY8ZIz+lRW1zo3/CwGtwtyNRUSfOfuEMQcdPY4/H8NLQZbGDUb+0giZJPtErFmZTu53H&#10;AHQZegBNL+xalrl1q8YuI7uFTAyOFAK4B7jr0HXtUemS2EEF7rAhuQ9s08joShbaXZzjB6HqAT+t&#10;NspbT7DrdwIbsD5/OjIQFvkH3SoB6etV9COmXXh3UbeIXrQxJ5UqTuFbaAQACMdQOT78mgDXHiq1&#10;/sp71opEEcwhdG4IYn1/Klj8UwS6RZaiISI7nOdz4EYAJJJ9sVgzNpT+E2mliljt5rqI7TKgO7K7&#10;Tk8AHjrzzTftGmWnhjREX7ZPbu7C3CCNmZQrcHAxjAx/OgDubS4F3Zw3KrtWVA4HoCM1NXKzeJ7f&#10;RtH0xhbSuk9v5ipkZRflABwMdXAq1qniu30q6ggngkJmgMw2kZAHUYz1oA6CisuXWVi1qLTjBITI&#10;pYSDGOMcfrQ2tRprQ0142VmXKyEjBPp164oA1KKxIPEkEusS6c0MiOgJD8EHGc/oKr2Pi6C+W8KQ&#10;MPs1v55Ochh82QD/AMBoA6Ois3TNWTUvOCxlDEQrgnOCRnFaVABRRRQAUUUUAFFFFABRRRQAUUUU&#10;AFFFFABRRRQAUUUUAFFFFABRRRQAUdqKD0oA8d8Ef8lh8Uf7tt/6JWvXDcRLIEMqBicBdwyTXkfg&#10;n/ksPij/AHbb/wBErXqscFt58k68yA/M2ent9KBM5TUT/wAXj0L/ALBdz/6EldxXmi+IdI1n4w6U&#10;2najb3K2+nXMcpjfOxtycGvSVdGHysD9DQMdRRkUUAFFGaMj1oAKKKKACiiigAqBDm6k9lXH61Ma&#10;hh/1kx/28foKAJ6KKKACiiigAooooAKKKKACiiigAqBv+PtB/sN/MVPUA5vH9kX9Sf8ACgCR0Doy&#10;sMgjBrmtZ8J2Oosk8qyM8IYJtkZSASM9D7CuoopptFRk0edabDr+i6Y51WeK6SHATarbzEvUk/xO&#10;R+tSQeLLWRoftFpe2kU5AimniwjZ6ZIPGffFd5NBHMu11DCsjXNDg1LTXtTBG6MMFWGQe4/WtY1W&#10;KVKjUaurMiFFYsusHTNUttP1CLyY5YsLdEhUMgGSuCeOORVpNYs7mNXs5Bdq2cG3IYDBAPOcDqO/&#10;rXQpqxwyoTjLlsaFFY8es3C3XlXmlXMEZ3bJVKyKwHPO3kcDjIp1xrRt1X/iW38pf7gijBz6ZO7A&#10;z7mjnQfVqv8AKa1JWbJqN35PmRaZMzKoZonkRW6dAQSCfxA+tMttWurtWVNMninQkOk5CqODghhk&#10;MOO3rRzor6rW090drolm05rW2uTBdTECNlPzdRn3xjgkdM5ra0axisbO0t4U2RxjCL6Kq7R/OsWG&#10;01fUdXSSVY7azhJCojb2lPqxIG0ewz9e1daBtuYV9I2H6rXPVlc66cHTpcr3JxS0UViAUUUUAFFF&#10;FABRRRQAUUUUAFQzf6yH/f8A6Gpj0qCXmaEf7RP6UATClpBS0AFFFFABRRRQAUUUUAFFFFABUNx/&#10;yz/3xU1Qz/8ALP8A3xQBKOlLSDpS0AFFFFABRRRQAUUUUAFFFFABUVz/AKtf99P/AEIVLUNz/q1/&#10;30/9CFAE1FA6UUAFFFFABRRRQAUUUUAFFFFABUNz/qh/vr/6EKmqG5/1X/Al/mKAJqKB0ooAKKKK&#10;ACiiigAooooAKKKKACobr/j3b8P51NUVyM27+wJoAkFLTUOVB9qdQAUUUUAFFFFABRRRQAUUUUAF&#10;RzrugdfVTUlNkG5CPUUAJEd0St6gGn1FbkGBMegFS0AFFFFABRRRQAUUUUAFFFFABSMM0tIaAIrX&#10;/j2Qf3fl/Lipqgt+Fdf7rkf1/rU9ABRRRQAUUUUAFcP4S/5KL44/66Wf/otq7jNcN4T/AOSi+Of+&#10;ulp/6LagDua8d1T/AJL5Y/8AYNl/9GPXqkIvDckykCLJAUck+5P9K8r1T/kvlj/2DZf/AEY9Akev&#10;SNsjL4J2qTgd65y/uNNl0+8uzHcNE5R5mSTZn5B3z029RXSkZA4rkdUu9N0uKXTZbG8SHf5m6ORM&#10;OXJ4+9nn5uDgYB9qBlrVvEtt4bjtEeN3hmRnDM/3QOcdD6/hULXFna6vZ6j5UxnvoBJhZMdBwuO/&#10;+sP0IHtWpdaJYaqlvLcQq4jiKxqwDBcgc4PGa53+0dM1DxFb+HZbdhLbsYo8uSSiITn7vHIHGcnA&#10;9KALkFvbaL4ijZftbvdqd+UBG5nZuy+rnODgcZp9s1kL680b7RcOs7FOVUbXbzGYDAHZTyc9qjji&#10;s9V8Ti4MEguLIkB8Iy7QWUEk8jJDUlg2lz6nd6mPPSS2lMzc7lI2svpwfnbjryKAG6T9ie7v9Hgh&#10;nEJl3PK8gblQoxj6j9PequjvpepWV7pSx3SQWEhmJaQZ/iGAeuOvXmrNq1hE994jt/tBlijdZoNw&#10;wxJL9T0+8OabazWGk6JcasbO7SORRFJBJIGJAyAc59KAKsc+lX3hVpbi0mNvpzYEbyglg4AySPZ6&#10;bPb6brPhi0vT9tjh0w+SkcTqGbhRliRzxg1J5+mWHhBJbfTZjFqDs3kI4DBuW6+xGPyqS81LT9B0&#10;q3tIo3NvqSmVWkbOA3zHjB7ZP4UAR+Jl027sNN1uaO7LgrsMZX5cKx5yCByTyO+Kl1NtNMuleJz9&#10;pZhIfLTzFAyVK9D16dvXNT6sLGK30/SbuFZYgEdHLBSoJ2dl9/aoLzUbGLWrXw3PaSbEcFJRIVBZ&#10;jk4wvpu79MjvQBDqB0nS/FtlqLtKLu7h8wqJUKnLgd/9/sei1euNU0+w8XQ2i29ybhlC7w37seYf&#10;fv8AKKryXGm6t4nhsWtHjNs72ySJKAPk2t069RjFTW+oW+s6/OvkTxNaNnzA6lTsP59Se1ADLe7s&#10;U8SX+ieUWN2f3jEKA+V+bAC9uOp/iFGjXGknU9Q0W2ilR3ZllJIIO3I7ev8A9aoNLvbHUNU1LXBD&#10;JHPYRMx/fAghuSOgxxGp7/eHoKvaHqenrZ6vqFrbTBg7SyKSuXOWGFwcdQ3X60AO0yPStRtrjTor&#10;SSFLOYOQzDLMADnP40lobGTQhAqyQx6WXYCVxkqoddxzngjJ6U+zuLZtKv8AV4FkkW43F4wFUkgb&#10;cA8dgKqrJZaF4ae5jS6kimR0ETFSV2ozEHt0UjPP0oAr7NN1jwrY3UkNx5ECC3jjVxuwWTBPHUbB&#10;0resLWy1Wa21pUbckbQx7sEMobGffpx7GsG8u9L0Tw5aWaC4ktXJePna/wAjqMdPU1rrqVroptrK&#10;CHEUu103MV+Z3wFAAPc5/OgDTudJiudSt75nPmwAhBsU9cdyM9v1qFdDgTXJNUWacSy7d0e75MqM&#10;Dj6VYk1AosrfZJmWNtrMCmP55q8tAGTDoFpBqDXqGQysXJLNnO7j/H86qWHhKy0wXawTz7LmEwup&#10;28AljkcdfmNdHRQBn6fpsWneZ5TMTIQXJA5IHXgVoUUUAFFFFABRRRQAUUUUAFFFFABRRRQAUUUU&#10;AFFFFABRRRQAUUUUAFFFFABQelFB6UAeO+Cf+Sw+KP8Adtv/AEStelgyDUSBJMIt+CMJtz6eteae&#10;Cf8AksPij/dtv/RK16+FFAmjhb22hh+MWiCKGNN2mXJO1QMncldubaFvvRIT7rXDeKW1HS/iDo+t&#10;22i32pWsVjPA4tEDFWYqRn8qs/8ACeaj/wBCR4h/78r/AI0DOv8Askf8O5f91yo/Q0fZ27Tyj8Qf&#10;6VyH/Ceaj/0JHiH/AL8r/jR/wnmo/wDQkeIf+/K/40Adf5U46TA/VaMXI5PlH8xXIf8ACeaj/wBC&#10;R4h/78r/AI0f8J5qP/QkeIf+/K/40Adf5k4PzQg/7rj+uKBcEffhlUfTP8s1yH/Ceaj/ANCR4h/7&#10;8r/jSf8ACd6j/wBCR4h/78r/AI0Adj9qi7ll/wB5SP50ouYW6SL+dcb/AMJ3qP8A0JHiH/vyv+NI&#10;fHN+33vA3iA/WBf8aAO1Dq/3WB+hplt/qifV2/8AQjXDz+ObiKF5pvA+upHGpZmMKgAAZJ61X03x&#10;5Je6bb3Vn4N8QSwSxhkliQAOD3GGoA9FyKM1wf8Awmmoj7ng7xMv/bNT/Mml/wCE31Yfd8H+If8A&#10;gVuh/kRQB3maK4P/AITvWR/zJeut9bcD/wBmpf8AhPtZHJ8Da6fpGo/rQB3dFcQvj3UiMt4G8QA+&#10;nlKf61X/AOFmyjUhpx8I66LwxecIfKXdszjdjPTNAHf0VxP/AAnuo/8AQkeIf+/K/wCNH/Ceaj/0&#10;JHiH/vyv+NAHbUVxP/Ceaj/0JHiH/vyv+NH/AAnmo/8AQkeIf+/K/wCNAHbVDHzczN6YX9M/1rj/&#10;APhPNR/6EjxD/wB+V/xqlYfEqa+kvDaeEddm8mcxShIlOxwBlTz16fnQB6HRXE/8J5qP/QkeIf8A&#10;vyv+NH/Ceaj/ANCR4h/78r/jQB2poxXFf8J5qP8A0JHiH/vyv+NH/Ceaj/0JHiH/AL8r/jQB0ep6&#10;HZatsF5bxTBWDBZEDDPrz3qrZeGLOxufNgghj6nKLg8kE/ngflWN/wAJ5qP/AEJHiH/vyv8AjR/w&#10;nmo/9CR4h/78r/jT5mWqkkrXOve1ikxvjU/hSi1hGMRJx04rj/8AhPNR/wChI8Q/9+V/xo/4TzUf&#10;+hI8Q/8Aflf8aVybs7LyIx0jX8qRbeJWyI0B9QK47/hPNR/6EjxD/wB+V/xo/wCE81H/AKEjxD/3&#10;5X/Gi4XZ2m3HQVF1vB/sp/M//WrkP+E81H/oSPEP/flf8apRfEqWXWJ7KPwjrjXcMSNJCIl3KpJw&#10;Tz3oEeh0VxP/AAnmo/8AQkeIf+/K/wCNH/Ceaj/0JHiH/vyv+NAHbUVxP/Ceaj/0JHiH/vyv+NH/&#10;AAnmo/8AQkeIf+/K/wCNAHbUVxP/AAnmo/8AQkeIf+/K/wCNH/Ceaj/0JHiH/vyv+NAHbUVxP/Ce&#10;aj/0JHiH/vyv+NH/AAnmo/8AQkeIf+/K/wCNAHbUVxP/AAnmo/8AQkeIf+/K/wCNH/Ceaj/0JHiH&#10;/vyv+NAHbVA//HxF/wAC/pXIf8J5qP8A0JHiH/vyv+NUpviVNHq1tZSeEddW7ljeSOExLudRjJHP&#10;QZH50Aeh0VxP/Ce6j/0JHiH/AL8r/jR/wnmo/wDQkeIf+/K/40AdtRXE/wDCeaj/ANCR4h/78r/j&#10;R/wnmo/9CR4h/wC/K/40AdtRXE/8J5qP/QkeIf8Avyv+NH/Ceaj/ANCR4h/78r/jQB21FcT/AMJ5&#10;qP8A0JHiH/vyv+NH/Ceaj/0JHiH/AL8r/jQB21FcT/wnmo/9CR4h/wC/K/40f8J5qP8A0JHiH/vy&#10;v+NAHbVDP1i/3xXH/wDCeaj/ANCR4h/78r/jVK++JU1pPZw3PhHXYZLiby4VeJQZGwTgc9cCgD0I&#10;dKWuJ/4TzUf+hI8Q/wDflf8AGj/hPNR/6EjxD/35X/GgDtqK4n/hPNR/6EjxD/35X/Gj/hPNR/6E&#10;jxD/AN+V/wAaAO2orif+E81H/oSPEP8A35X/ABo/4TzUf+hI8Q/9+V/xoA7aiuJ/4TzUf+hI8Q/9&#10;+V/xo/4TzUf+hI8Q/wDflf8AGgDtqK4n/hPNR/6EjxD/AN+V/wAaP+E81H/oSPEP/flf8aAO2qG5&#10;/wBWv++n/oQrj/8AhPNR/wChI8Q/9+V/xqlqnxKm0+1Sa98I67bxGVEDSRKAWLDA696APQx0orif&#10;+E81H/oSPEP/AH5X/Gj/AITzUf8AoSPEP/flf8aAO2orif8AhPNR/wChI8Q/9+V/xo/4TzUf+hI8&#10;Q/8Aflf8aAO2orif+E81H/oSPEP/AH5X/Gj/AITzUf8AoSPEP/flf8aAO2orif8AhPNR/wChI8Q/&#10;9+V/xo/4TzUf+hI8Q/8Aflf8aAO2orif+E81H/oSPEP/AH5X/Gj/AITzUf8AoSPEP/flf8aAO2qG&#10;5/1DH0wfyOa4/wD4TzUf+hI8Q/8Aflf8ap6r8SJ7DTLi6vPCGu29vGh3yyRKFXPHPPqaAPQqK4hP&#10;H9+6Ky+CfEBVhkEQrz+tL/wnmo/9CR4h/wC/K/40AdtRXE/8J5qP/QkeIf8Avyv+NH/Ceaj/ANCR&#10;4h/78r/jQB21FcT/AMJ5qP8A0JHiH/vyv+NH/Ceaj/0JHiH/AL8r/jQB21FcT/wnmo/9CR4h/wC/&#10;K/40f8J5qP8A0JHiH/vyv+NAHbUVxP8Awnmo/wDQkeIf+/K/40f8J5qP/QkeIf8Avyv+NAHbVHP/&#10;AMe8n+6f5Vxv/Ceaj/0JHiH/AL8r/jUc/wAQL2G3kkm8FeIEiRSzsYVwAByetAHcR/6tfoKdXAad&#10;8Rrm9023urXwfr08EsYZJEiUhh6jmrP/AAnmo/8AQkeIf+/K/wCNAHbUVxP/AAnmo/8AQkeIf+/K&#10;/wCNH/Ceaj/0JHiH/vyv+NAHbUVxP/Ceaj/0JHiH/vyv+NH/AAnmo/8AQkeIf+/K/wCNAHbUVxP/&#10;AAnmo/8AQkeIf+/K/wCNH/Ceaj/0JHiH/vyv+NAHbUVxP/Ceaj/0JHiH/vyv+NH/AAnmo/8AQkeI&#10;f+/K/wCNAHbUHpXE/wDCeaj/ANCR4h/78r/jR/wnmo/9CR4gH/bFf8aAOwtf+Pdf896mrzzTfiVN&#10;fRTNZ+EddnWKZ43McSnawPKnnqKu/wDCeaj/ANCR4h/78r/jQB21FcT/AMJ5qP8A0JHiH/vyv+NH&#10;/Ceaj/0JHiH/AL8r/jQB21FcT/wnmo/9CR4h/wC/K/402T4g30MTyyeCtfREUszGJcAD8aAO4org&#10;rP4k3Go2cV5Z+Dtentpl3RyJEpDD1HNSN4+1b+HwLr/1Ma/40AdzmkzXCf8ACeayf+ZJ1we/kg/1&#10;o/4TnWO/g7X8e1sv/wAVQB3maQnmuE/4TXVD18IeJf8AvxHR/wAJnfHr4K8TE/7v/wBlQB2kR2yz&#10;L2zn8xUhmjHV1/OvOo/iDu1aawXwdrbXaRrI8PlLuVScAnnoavjxteDp4E1//vwv+NAHaG6gH/LQ&#10;H6c0fak7LIf+2bf4Vx//AAneof8AQj+If+/K/wCNH/Cd6j/0JHiH/vyv+NAHXmaQ9Ld/xK/40ZuD&#10;/wAs0H1fP9K4/wD4TvUf+hI8Q/8Aflf8aX/hPNR/6EjxD/35X/GgDr9tweC8Y+gJrzXR9M1W8+KH&#10;iuWy1t7KKCW0M8SwI4nGw8EnkdD09a2/+E81H/oSPEP/AH5X/GofAqajc+JvFWrXmk3enQ3z2/kp&#10;dKAx2IwPT6igDrba7Yzm3eOZmBOXZQBj868s1T/kvdj/ANg2X/0Y9erx2EcVx5yk78kk+ue1eUap&#10;/wAl7sf+wbL/AOjHpsSv1PYh0rOvNFs73zvOjY+cyuxDkHIG0Y9OK0R0opDIYLdbeIRITsXpk5wP&#10;T6VmxeHLCHUxqKRAXXmtMZMDcSVK4z6YJ49a2KKAM2DRraDUJL5QRM67cg4GMk/jksTzVWy8M2tl&#10;bXkEbvsuiS/QEfQ1uUUAY8Ph20gsLqyVpWhuTmQM3sBgYHTAqK28LWkGk/2Y0kstsGBAc9OMfjW7&#10;RQBjyeHbSXS4dPfc0ULK0ZzgjBz2x6Yov/DljqK24mVwLfb5e1z8u0gjn8MVsUUAZF94ft9Qlhlm&#10;kkEkO3YykfwnIzkfnT5NEt5NVj1ElvPRtw6Y+6y4/Jj+NalFAGInhq1j1v8AtVXk87cX2lsrkqF7&#10;89BS2nhy2stRuLyGWYGfd5iFsg5x689vWtqigDDs/C9lYwXsULSYvE2y7mzn5QucdM1etdNjs7D7&#10;JB8q4OWxySSSSfxJP41eooAxn8O20ujf2ZJJIYQ4cFSFIIOR096dJ4etJ7CK0mMkkcbl+XPJOc5x&#10;2IJGPeteigDntR8IWWpW9tDK8o8hXCkEfxsrE/moqzceH7e6likmkkYxRhAOMcHIbp1BrYooAoya&#10;aHEgFxMqyNuKgrj+XtV0DFLRQAUUUUAFFFFABRRRQAUUUUAFFFFABRRRQAUUUUAFFFFABRRRQAUU&#10;UUAFFFFABRRRQAUdqKQ9DQB494I/5LD4o/3bb/0StewivALPxZp/hD4p+I7nUVm2zLb+XsiZg2Il&#10;zyoPrXXD45+HB/yyuP8AvzL/APEUAeo4BowK8u/4Xp4c/wCeVx/35l/+N0f8L08Of88rj/vzL/8A&#10;G6APUcUYry7/AIXp4c/55XH/AH5l/wDjdH/C9PDn/PK4/wC/Mv8A8boA9RxRivLv+F6eHP8Anlcf&#10;9+Zf/jdH/C9PDn/PK4/78y//ABugD1HFGK8u/wCF6eHP+eVx/wB+Zf8A43R/wvTw5/zyuP8AvzL/&#10;APG6APUcUjDg4615f/wvTw5/zyuP+/Mv/wAboPxz8Nn/AJZXH/fmX/43QB27Xr3m+zmijeOWPaxG&#10;cENuXH/jvP1qW1to9D0O1s7WFY4rcRwpGCSFGQvc5OM1wP8Awu/wzkHyJ8jofJl/+N0N8cfDTDDQ&#10;zkehhl/+N02yUmenwsZIUc4yRzipMCvLR8cvDYGBDcADsIZf/jdL/wAL08Of88rj/vzL/wDG6RSP&#10;UsUYry3/AIXp4c/55XH/AH5l/wDjdH/C8/Dn/PK4/wC/Mv8A8boA9EvLxraaNVVWDEA88jOcfyqn&#10;aWMN3qcOuNbot0bXyd+TkKTnbjpiuFPxx8NMQTDcEjv5Mv8A8boX44+GlXasM4HoIZf/AI3TFZ3P&#10;R4rt3vpLd1C7RlT/AHhxVzFeWj44+GwciGfP/XGX/wCN0v8AwvTw5/zyuP8AvzL/APG6TBHqOKQ9&#10;a8v/AOF6eHP+eVx/35l/+N0f8Lz8Of8APK4/78y//G6Bnd3epT2srgIkihsYXOQME5P5CnaZpkGl&#10;JfSW8CRG6uGupNpJ3OQASc/QVwB+OHhk9YJz3/1Mv/xul/4Xl4bIx5Vxj/rjL/8AG6dyUmekWNw1&#10;zbrI4AJAOB24q1ivLF+OHhpBhYZwPaGX/wCN07/henhz/nlcf9+Zf/jdIpHqOKMV5d/wvTw5/wA8&#10;rj/vzL/8bo/4Xp4c/wCeVx/35l/+N0Aeo4oxXl3/AAvTw5/zyuP+/Mv/AMbo/wCF6eHP+eVx/wB+&#10;Zf8A43QB6jijFeXf8L08Of8APK4/78y//G6P+F6eHP8Anlcf9+Zf/jdAHqOKK8u/4Xp4c/55XH/f&#10;mX/43R/wvPw5/wA87j/vzL/8boA7y+1SS1uxCsO5Tt+fsNzY/T/OKZp1hA2pza0LdEubqBI3cEks&#10;FzgemOf1rhD8b/DLHJgnJ6ZMMv8A8bpR8cvDgGBFcYH/AExl/wDjdO+hKi77no9ncvcPKHAAViBg&#10;dcEj+lW8V5Yvxw8MoSVgnBPXEMvP/kOnf8Lz8Of88rj/AL8y/wDxukNHqOKMV5d/wvTw5/zyuP8A&#10;vzL/APG6P+F6eHP+eVx/35l/+N0DPUcUYry7/henhz/nlcf9+Zf/AI3R/wAL08Of88rj/vzL/wDG&#10;6APUcUYry7/henhz/nlcf9+Zf/jdH/C9PDn/ADyuP+/Mv/xugD1HFGK8u/4Xp4c/55XH/fmX/wCN&#10;0f8AC9PDn/PK4/78y/8AxugD0G/v5LSWJFjDB92STjGCOvoOetVorGG/1e21ea3j+0WySQxyhjkK&#10;xH4c4BrhT8cPDLdYJz9YZf8A43Qnxv8ADMahUgnVR2EMoH/ounfQmzuekR3TvfSQlQETo2OvAP8A&#10;WrYFeWf8Lv8ADIbd5E2718iXP/ounf8AC8/Dn/PK4/78y/8AxukUeo4oxXl3/C9PDn/PK4/78y//&#10;ABuj/henhz/nlcf9+Zf/AI3QB6jijFeXf8L08Of88rj/AL8y/wDxuj/henhz/nlcf9+Zf/jdAHqO&#10;KMV5d/wvTw5/zyuP+/Mv/wAbo/4Xp4c/55XH/fmX/wCN0Aeo4oI4ry7/AIXp4c/55XH/AH5l/wDj&#10;dH/C9PDn/PK4/wC/Mv8A8boA9E1G8eyiR0j8zJOR6AAnNUJrSHWru2muLZGbT7rzYWYkFW2fe+uG&#10;NcQ3xw8NOMNBOR7wy/8AxugfHDw0pJWCcE9cQy8/+Q6dxWdz0d7p1v0gAGwrkk/jVsdK8tPxv8Ml&#10;gxgnLDofJlz/AOi6d/wvPw5/zyuP+/Mv/wAbpBY9RxRivLv+F6eHP+eVx/35l/8AjdH/AAvTw5/z&#10;yuP+/Mv/AMboGeo4oxXl3/C9PDn/ADyuP+/Mv/xuj/henhz/AJ5XH/fmX/43QB6jijFeXf8AC9PD&#10;n/PK4/78y/8Axuj/AIXp4c/55XH/AH5l/wDjdAHqOKMV5d/wvTw5/wA8rj/vzL/8bo/4Xp4c/wCe&#10;Vx/35l/+N0AekX1w9tCHjTexIAUdTWLOsHiew+zXlojRK8cwR2I5Vsg5GO4zXIN8cfDTjDQ3BHoY&#10;Zf8A43SD44eGlJIgnGfSGX/43TurWsS077no8908dxFGoBVs7iR06f41cxXljfG/wyxBaCckdMwy&#10;8f8AkOnf8Lz8Of8APK4/78y//G6Q0eo4oxXl3/C9PDn/ADyuP+/Mv/xuj/henhz/AJ5XH/fmX/43&#10;QM9RxRivLv8Ahenhz/nlcf8AfmX/AON0f8L08Of88rj/AL8y/wDxugD1HFGK8u/4Xp4c/wCeVx/3&#10;5l/+N0f8L08Of88rj/vzL/8AG6APUcUYry7/AIXp4c/55XH/AH5l/wDjdH/C9PDn/PK4/wC/Mv8A&#10;8boA9Ju5zbW8koG4qM4rDvCniOxutKvLNWt50KOrkgHocHHOf85rkT8cvDbdYrgj/rjL/wDG6QfG&#10;/wANKeIJx24hl/8AjdO6tsS029z0a4la0jt44kGC2zHXACk/0q2pyAa8ub43+GXxvgnbHIzDKf8A&#10;2nTh8c/Dn/PK4/78y/8Axul0H1PUcUYry7/henhz/nlcf9+Zf/jdH/C9PDn/ADyuP+/Mv/xugZ6j&#10;ijFeXf8AC9PDn/PK4/78y/8Axuj/AIXp4c/55XH/AH5l/wDjdAHqOKMV5d/wvTw5/wA8rj/vzL/8&#10;bo/4Xp4c/wCeVx/35l/+N0Aeo4oxXl3/AAvTw5/zyuP+/Mv/AMbo/wCF6eHP+eVx/wB+Zf8A43QB&#10;6e52oxHJAzWGuqNqHmWctsuyRRGwJ+8GDAgfTHNcZ/wvLw5/zyuP+/Mv/wAbpo+N/hlcYgnGOmIZ&#10;eP8AyHTTS3RLTezO/tbaPQtDtbO1hSOOBY4Y4wSQoyFHXk9a0IXMkYY4yRzivMG+OPhpxhoZyPQw&#10;y/8AxulX45eGlGFhuAPQQy//ABugaPUsUYry7/henhz/AJ5XH/fmX/43R/wvTw5/zyuP+/Mv/wAb&#10;pDPUcUYry7/henhz/nlcf9+Zf/jdH/C9PDn/ADyuP+/Mv/xugD1HFGK8u/4Xp4c/55XH/fmX/wCN&#10;0f8AC9PDn/PK4/78y/8AxugD1HFGK8u/4Xp4c/55XH/fmX/43R/wvTw5/wA8rj/vzL/8boA9QbhS&#10;ayH1aUTSxCJdyHA3NjPJGM/QZ9s1w3/C8/Dn/PK4/wC/Mv8A8bqM/G3wu33raY855gk6/wDfummS&#10;03sd/Yafb6HY3ptoEj8yWS5cKThmPJPP0rQtZWmi3PgNnBAGK8zPxy8NkYMNwR/1xl/+N0i/HHw0&#10;gwsM4HoIZf8A43QOx6nijFeXf8L08Of88rj/AL8y/wDxuj/henhz/nlcf9+Zf/jdIZ6g52oW9PWs&#10;g3r3Ze0kiQrIWjbBOCNuf1zXDH45+HD/AMsrj/vzL/8AG6YPjf4ZGMW8wx0/cS8f+Q6aE1c9As7V&#10;ND0O3tLKBVit1CJECSAvpk81ft5fPto5f76hvzrzI/HHw2esNwf+2Mv/AMboHxz8NjgRXH/fmX/4&#10;3SCx6nSYry7/AIXp4c/55XH/AH5l/wDjdH/C9PDn/PK4/wC/Mv8A8boGeoVn3WoPb3qW4hZwwBBX&#10;k9/8P1rz/wD4Xn4c/wCeVx/35l/+N00/HDw0TkwTk9M+TL/8boQnfod3p9hBLqR1vyEW5ubWON5F&#10;JyVHIGPxq5a3TzSSqwACsyj3wxH9K85Hxx8NqAFhuAB0Ahl/+N0g+N/hlWLCCcE9SIZef/IdO4WZ&#10;6nijFeXf8Lz8Of8APK4/78y//G6P+F6eHP8Anlcf9+Zf/jdIZ6jijFeXf8L08Of88rj/AL8y/wDx&#10;uj/henhz/nlcf9+Zf/jdAHqOKMV5d/wvTw5/zyuP+/Mv/wAbo/4Xp4c/55XH/fmX/wCN0AepYrx3&#10;VP8Akvlj/wBg2X/0Y9aH/C8/Dh/5ZXH/AH5l/wDjdcxpviKz8VfGWy1HT1m8ldPkRy8bLhtzHHIG&#10;eooA95HSikHSloAKKKKACiiigAooooAKKKKACiiigAooooAKKKKACiiigAooooAKKKKACiiigAoo&#10;ooAKKKKACiiigAooooAKKKKACiiigAooooAKKKKACiiigAooooAKKKKACg9KKKAKP9k2Wf8AUf8A&#10;j5/xpf7Jsv8Anj/4+3+NXaKAKX9k2X/PH/x9v8aP7Jsv+eP/AI+3+NXaKAKX9k2X/PH/AMfb/Gj+&#10;ybL/AJ4/+Pt/jV2igCl/ZNl/zx/8fb/Gj+ybL/nj/wCPt/jV2igCl/ZNl/zx/wDH2/xo/smy/wCe&#10;P/j7f41dooApf2TZf88f/H2/xo/smy/54/8Aj7f41dooApf2TZf88f8Ax9v8aP7Jsv8Anj/4+3+N&#10;XaKAKX9k2X/PH/x9v8aP7Jsv+eP/AI+3+NXaKAKX9k2X/PH/AMfb/Gj+ybL/AJ4/+Pt/jV2igCl/&#10;ZNl/zx/8fb/Gj+ybL/nj/wCPt/jV2igCl/ZNl/zx/wDH2/xo/smy/wCeP/j7f41dooApf2TZf88f&#10;/H2/xo/smy/54/8Aj7f41dooApf2TZf88f8Ax9v8aP7Jsv8Anj/4+3+NXaKAKX9k2X/PH/x9v8aP&#10;7Jsv+eP/AI+3+NXaKAKX9k2X/PH/AMfb/Gj+ybL/AJ4/+Pt/jV2igCl/ZNl/zx/8fb/Gj+ybL/nj&#10;/wCPt/jV2igCl/ZNl/zx/wDH2/xo/smy/wCeP/j7f41dooApf2TZf88f/H2/xo/smy/54/8Aj7f4&#10;1dooApf2TZf88f8Ax9v8aP7Jsv8Anj/4+3+NXaKAKX9k2X/PH/x9v8aP7Jsv+eP/AI+3+NXaKAKX&#10;9k2X/PH/AMfb/Gj+ybL/AJ4/+Pt/jV2igCl/ZNl/zx/8fb/Gj+ybL/nj/wCPt/jV2igCl/ZNl/zx&#10;/wDH2/xo/smy/wCeP/j7f41dooApf2TZf88f/H2/xo/smy/54/8Aj7f41dooApf2TZf88f8Ax9v8&#10;aP7Jsv8Anj/4+3+NXaKAKX9k2X/PH/x9v8aP7Jsv+eP/AI+3+NXaKAKX9k2X/PH/AMfb/Gj+ybL/&#10;AJ4/+Pt/jV2igCl/ZNl/zx/8fb/Gj+ybL/nj/wCPt/jV2igCl/ZNl/zx/wDH2/xo/smy/wCeP/j7&#10;f41dooApf2TZf88f/H2/xo/smy/54/8Aj7f41dooApf2TZf88f8Ax9v8aP7Jsv8Anj/4+3+NXaKA&#10;KX9k2X/PH/x9v8aP7Jsv+eP/AI+3+NXaKAKX9k2X/PH/AMfb/Gj+ybL/AJ4/+Pt/jV2igCl/ZNl/&#10;zx/8fb/Gj+ybL/nj/wCPt/jV2igCl/ZNl/zx/wDH2/xo/smy/wCeP/j7f41dooApf2TZf88f/H2/&#10;xo/smy/54/8Aj7f41dooApf2TZf88f8Ax9v8aP7Jsv8Anj/4+3+NXaKAKX9k2X/PH/x9v8aP7Jsv&#10;+eP/AI+3+NXaKAKX9k2X/PH/AMfb/Gj+ybL/AJ4/+Pt/jV2igCl/ZNl/zx/8fb/Gj+ybL/nj/wCP&#10;t/jV2igCl/ZNl/zx/wDH2/xo/smy/wCeP/j7f41dooApf2TZf88f/H2/xo/smy/54/8Aj7f41doo&#10;Apf2TZf88f8Ax9v8aP7Jsv8Anj/4+3+NXaKAKX9k2X/PH/x9v8aP7Jsv+eP/AI+3+NXaKAKX9k2X&#10;/PH/AMfb/Gj+ybL/AJ4/+Pt/jV2igCl/ZNl/zx/8fb/Gj+ybL/nj/wCPt/jV2igCl/ZNl/zx/wDH&#10;2/xo/smy/wCeP/j7f41dooApf2TZf88f/H2/xo/smy/54/8Aj7f41dooApf2TZf88f8Ax9v8aP7J&#10;sv8Anj/4+3+NXaKAKX9k2X/PH/x9v8aP7Jsv+eP/AI+3+NXaKAKX9k2X/PH/AMfb/Gj+ybL/AJ4/&#10;+Pt/jV2igCl/ZNl/zx/8fb/Gj+ybL/nj/wCPt/jV2igCl/ZNl/zx/wDH2/xo/smy/wCeP/j7f41d&#10;ooApf2TZf88f/H2/xo/smy/54/8Aj7f41dooApf2TZf88f8Ax9v8aP7Jsv8Anj/4+3+NXaKAKX9k&#10;2X/PH/x9v8aP7Jsv+eP/AI+3+NXaKAKX9k2X/PH/AMfb/Gj+ybL/AJ4/+Pt/jV2igCl/ZNl/zx/8&#10;fb/Gj+ybL/nj/wCPt/jV2igCl/ZNl/zx/wDH2/xo/smy/wCeP/j7f41dooApf2TZf88f/H2/xo/s&#10;my/54/8Aj7f41dooApf2TZf88f8Ax9v8aP7Jsv8Anj/4+3+NXaKAKX9k2X/PH/x9v8aP7Jsv+eP/&#10;AI+3+NXaKAKX9k2X/PH/AMfb/Gj+ybL/AJ4/+Pt/jV2igCl/ZNl/zx/8fb/Gj+ybL/nj/wCPt/jV&#10;2igCl/ZNl/zx/wDH2/xo/smy/wCeP/j7f41dooApf2TZf88f/H2/xo/su0UgpDyD/fP+NXaKAEUY&#10;pa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WGCzG7QA&#10;AAAiAQAAGQAAAGRycy9fcmVscy9lMm9Eb2MueG1sLnJlbHOFj8sKwjAQRfeC/xBmb9O6EJGmbkRw&#10;K/UDhmSaRpsHSRT79wbcKAgu517uOUy7f9qJPSgm452ApqqBkZNeGacFXPrjagssZXQKJ+9IwEwJ&#10;9t1y0Z5pwlxGaTQhsUJxScCYc9hxnuRIFlPlA7nSDD5azOWMmgeUN9TE13W94fGTAd0Xk52UgHhS&#10;DbB+DsX8n+2HwUg6eHm35PIPBTe2uAsQo6YswJIy+A6b6hpIA+9a/vVZ9wJQSwMEFAAAAAgAh07i&#10;QNk5N4cTAQAASAIAABMAAABbQ29udGVudF9UeXBlc10ueG1slZJNTsMwEIX3SNzB8hbFDl0ghJp0&#10;QQoSC6hQOYBlTxKX+EceE9rb46StBFVaiaU98715b+z5Yms60kNA7WxBb1lOCVjplLZNQT/WT9k9&#10;JRiFVaJzFgq6A6SL8vpqvt55QJJoiwVtY/QPnKNswQhkzoNNldoFI2I6hoZ7IT9FA3yW53dcOhvB&#10;xiwOGrScV1CLry6S5TZd751sPDSUPO4bh1kF1WYQGAt8knlZPU8ibOMbOo0E6PCEEd53WoqYFsJ7&#10;q07CZIcgLJFjD7ba401Ke2bCUPmb4/eAA/eWXiBoBWQlQnwVJqXlKiBX7tsG6NllkcGlwczVtZbA&#10;qoBVwt6hP7o6pw4zVzn5X/HlSB21+fgPyh9QSwECFAAUAAAACACHTuJA2Tk3hxMBAABIAgAAEwAA&#10;AAAAAAABACAAAACONwMAW0NvbnRlbnRfVHlwZXNdLnhtbFBLAQIUAAoAAAAAAIdO4kAAAAAAAAAA&#10;AAAAAAAGAAAAAAAAAAAAEAAAAF01AwBfcmVscy9QSwECFAAUAAAACACHTuJAihRmPNEAAACUAQAA&#10;CwAAAAAAAAABACAAAACBNQMAX3JlbHMvLnJlbHNQSwECFAAKAAAAAACHTuJAAAAAAAAAAAAAAAAA&#10;BAAAAAAAAAAAABAAAAAAAAAAZHJzL1BLAQIUAAoAAAAAAIdO4kAAAAAAAAAAAAAAAAAKAAAAAAAA&#10;AAAAEAAAAHs2AwBkcnMvX3JlbHMvUEsBAhQAFAAAAAgAh07iQFhgsxu0AAAAIgEAABkAAAAAAAAA&#10;AQAgAAAAozYDAGRycy9fcmVscy9lMm9Eb2MueG1sLnJlbHNQSwECFAAUAAAACACHTuJA8q5bBNcA&#10;AAAFAQAADwAAAAAAAAABACAAAAAiAAAAZHJzL2Rvd25yZXYueG1sUEsBAhQAFAAAAAgAh07iQKsY&#10;3CSnBAAAowwAAA4AAAAAAAAAAQAgAAAAJgEAAGRycy9lMm9Eb2MueG1sUEsBAhQACgAAAAAAh07i&#10;QAAAAAAAAAAAAAAAAAoAAAAAAAAAAAAQAAAA+QUAAGRycy9tZWRpYS9QSwECFAAUAAAACACHTuJA&#10;H0vdvQkvAwDrLgMAFQAAAAAAAAABACAAAAAhBgAAZHJzL21lZGlhL2ltYWdlMS5qcGVnUEsFBgAA&#10;AAAKAAoAUwIAANI4AwAAAA==&#10;">
                <o:lock v:ext="edit" aspectratio="f"/>
                <v:shape id="_x0000_s1026" o:spid="_x0000_s1026" o:spt="75" alt="C:/Users/Administrator/AppData/Local/Temp/picturecompress_20211118172920/output_1.jpgoutput_1" type="#_x0000_t75" style="position:absolute;left:0;top:0;height:3904615;width:5614670;" filled="f" o:preferrelative="t" stroked="f" coordsize="21600,21600" o:gfxdata="UEsDBAoAAAAAAIdO4kAAAAAAAAAAAAAAAAAEAAAAZHJzL1BLAwQUAAAACACHTuJAqBLAwMAAAADc&#10;AAAADwAAAGRycy9kb3ducmV2LnhtbEWPT2vCQBTE70K/w/IKvUjdtaAkMRsPBWkPHmxsi94e2WcS&#10;m30bsuuffvtuQfA4zMxvmHx5tZ040+BbxxqmEwWCuHKm5VrD53b1nIDwAdlg55g0/JKHZfEwyjEz&#10;7sIfdC5DLSKEfYYamhD6TEpfNWTRT1xPHL2DGyyGKIdamgEvEW47+aLUXFpsOS402NNrQ9VPebIa&#10;Vsn32y7Z+ON6Z9LZ2Jbzff+FWj89TtUCRKBruIdv7XejIVUp/J+JR0AW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EsDA&#10;wAAAANwAAAAPAAAAAAAAAAEAIAAAACIAAABkcnMvZG93bnJldi54bWxQSwECFAAUAAAACACHTuJA&#10;My8FnjsAAAA5AAAAEAAAAAAAAAABACAAAAAPAQAAZHJzL3NoYXBleG1sLnhtbFBLBQYAAAAABgAG&#10;AFsBAAC5AwAAAAA=&#10;">
                  <v:fill on="f" focussize="0,0"/>
                  <v:stroke on="f"/>
                  <v:imagedata r:id="rId90" cropleft="3687f" croptop="2789f" o:title=""/>
                  <o:lock v:ext="edit" aspectratio="t"/>
                </v:shape>
                <v:shape id="星形: 五角 912" o:spid="_x0000_s1026" style="position:absolute;left:2414388;top:1053193;height:118110;width:118110;v-text-anchor:middle;" fillcolor="#FF0000" filled="t" stroked="t" coordsize="118110,118110" o:gfxdata="UEsDBAoAAAAAAIdO4kAAAAAAAAAAAAAAAAAEAAAAZHJzL1BLAwQUAAAACACHTuJAWrl3ysAAAADc&#10;AAAADwAAAGRycy9kb3ducmV2LnhtbEWPT2vCQBTE7wW/w/KEXopuIlg1uslBKig9tFXx/Mi+/MHs&#10;25hdo/bTdwuFHoeZ+Q2zyu6mET11rrasIB5HIIhzq2suFRwPm9EchPPIGhvLpOBBDrJ08LTCRNsb&#10;f1G/96UIEHYJKqi8bxMpXV6RQTe2LXHwCtsZ9EF2pdQd3gLcNHISRa/SYM1hocKW1hXl5/3VKMDv&#10;zY4+dp+nS3uZvb/kRf8mp4VSz8M4WoLwdPf/4b/2VitYxBP4PROOgEx/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uXfK&#10;wAAAANwAAAAPAAAAAAAAAAEAIAAAACIAAABkcnMvZG93bnJldi54bWxQSwECFAAUAAAACACHTuJA&#10;My8FnjsAAAA5AAAAEAAAAAAAAAABACAAAAAPAQAAZHJzL3NoYXBleG1sLnhtbFBLBQYAAAAABgAG&#10;AFsBAAC5AwAAAAA=&#10;" path="m0,45113l45114,45114,59055,0,72995,45114,118109,45113,81611,72995,95552,118109,59055,90227,22557,118109,36498,72995xe">
                  <v:path o:connectlocs="59055,0;0,45113;22557,118109;95552,118109;118109,45113" o:connectangles="247,164,82,82,0"/>
                  <v:fill on="t" focussize="0,0"/>
                  <v:stroke weight="1pt" color="#FF0000 [3204]" miterlimit="8" joinstyle="miter"/>
                  <v:imagedata o:title=""/>
                  <o:lock v:ext="edit" aspectratio="f"/>
                </v:shape>
                <v:shape id="对话气泡: 矩形 913" o:spid="_x0000_s1026" o:spt="61" type="#_x0000_t61" style="position:absolute;left:2254250;top:616858;height:321945;width:655320;v-text-anchor:middle;" fillcolor="#156082 [3204]" filled="t" stroked="t" coordsize="21600,21600" o:gfxdata="UEsDBAoAAAAAAIdO4kAAAAAAAAAAAAAAAAAEAAAAZHJzL1BLAwQUAAAACACHTuJAB6YAXr4AAADc&#10;AAAADwAAAGRycy9kb3ducmV2LnhtbEWPQWvCQBSE74L/YXlCb7pJQ0Wjq4il0GOb5OLtkX1m02bf&#10;huzWpP313ULB4zAz3zD742Q7caPBt44VpKsEBHHtdMuNgqp8WW5A+ICssXNMCr7Jw/Ewn+0x127k&#10;d7oVoRERwj5HBSaEPpfS14Ys+pXriaN3dYPFEOXQSD3gGOG2k49JspYWW44LBns6G6o/iy+rQBvW&#10;dSarn6p73rydLu2HbJ5KpR4WabIDEWgK9/B/+1Ur2KYZ/J2JR0Ae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6YAXr4A&#10;AADcAAAADwAAAAAAAAABACAAAAAiAAAAZHJzL2Rvd25yZXYueG1sUEsBAhQAFAAAAAgAh07iQDMv&#10;BZ47AAAAOQAAABAAAAAAAAAAAQAgAAAADQEAAGRycy9zaGFwZXhtbC54bWxQSwUGAAAAAAYABgBb&#10;AQAAtwMAAAAA&#10;" adj="7216,32596">
                  <v:fill on="t" focussize="0,0"/>
                  <v:stroke weight="1pt" color="#042433 [3204]" miterlimit="8" joinstyle="miter"/>
                  <v:imagedata o:title=""/>
                  <o:lock v:ext="edit" aspectratio="f"/>
                  <v:textbox>
                    <w:txbxContent>
                      <w:p w14:paraId="61F60A6A">
                        <w:pPr>
                          <w:jc w:val="center"/>
                          <w:rPr>
                            <w:sz w:val="24"/>
                            <w:szCs w:val="24"/>
                          </w:rPr>
                        </w:pPr>
                        <w:r>
                          <w:rPr>
                            <w:rFonts w:hint="eastAsia"/>
                            <w:sz w:val="24"/>
                            <w:szCs w:val="24"/>
                          </w:rPr>
                          <w:t>项目区</w:t>
                        </w:r>
                      </w:p>
                    </w:txbxContent>
                  </v:textbox>
                </v:shape>
                <w10:wrap type="none"/>
                <w10:anchorlock/>
              </v:group>
            </w:pict>
          </mc:Fallback>
        </mc:AlternateContent>
      </w:r>
    </w:p>
    <w:p w14:paraId="196ED338">
      <w:pPr>
        <w:pStyle w:val="19"/>
        <w:spacing w:after="0" w:line="360" w:lineRule="auto"/>
        <w:jc w:val="center"/>
        <w:rPr>
          <w:rFonts w:hint="eastAsia" w:ascii="黑体" w:hAnsi="黑体" w:eastAsia="黑体" w:cs="黑体"/>
          <w:color w:val="auto"/>
          <w:szCs w:val="21"/>
        </w:rPr>
      </w:pPr>
      <w:r>
        <w:rPr>
          <w:rFonts w:hint="eastAsia" w:ascii="黑体" w:hAnsi="黑体" w:eastAsia="黑体" w:cs="黑体"/>
          <w:color w:val="auto"/>
          <w:szCs w:val="21"/>
        </w:rPr>
        <w:t>图4.3-6  项目在生态功能区划图中位置示意图</w:t>
      </w:r>
    </w:p>
    <w:p w14:paraId="4BA9BC59">
      <w:pPr>
        <w:widowControl/>
        <w:spacing w:line="480" w:lineRule="exact"/>
        <w:ind w:firstLine="456" w:firstLineChars="200"/>
        <w:jc w:val="left"/>
        <w:rPr>
          <w:rFonts w:hint="eastAsia" w:ascii="宋体" w:hAnsi="宋体" w:cs="宋体"/>
          <w:snapToGrid w:val="0"/>
          <w:color w:val="auto"/>
          <w:spacing w:val="-6"/>
          <w:kern w:val="0"/>
          <w:sz w:val="24"/>
          <w:szCs w:val="24"/>
        </w:rPr>
      </w:pPr>
      <w:r>
        <w:rPr>
          <w:rFonts w:hint="eastAsia" w:ascii="宋体" w:hAnsi="宋体" w:cs="宋体"/>
          <w:snapToGrid w:val="0"/>
          <w:color w:val="auto"/>
          <w:spacing w:val="-6"/>
          <w:kern w:val="0"/>
          <w:sz w:val="24"/>
          <w:szCs w:val="24"/>
        </w:rPr>
        <w:t>②</w:t>
      </w:r>
      <w:r>
        <w:rPr>
          <w:rFonts w:ascii="宋体" w:hAnsi="宋体" w:cs="宋体"/>
          <w:snapToGrid w:val="0"/>
          <w:color w:val="auto"/>
          <w:spacing w:val="-6"/>
          <w:kern w:val="0"/>
          <w:sz w:val="24"/>
          <w:szCs w:val="24"/>
        </w:rPr>
        <w:t>生态系统结构和特征</w:t>
      </w:r>
    </w:p>
    <w:p w14:paraId="49AB743A">
      <w:pPr>
        <w:widowControl/>
        <w:spacing w:line="480" w:lineRule="exact"/>
        <w:ind w:firstLine="456" w:firstLineChars="200"/>
        <w:jc w:val="left"/>
        <w:rPr>
          <w:rFonts w:hint="eastAsia" w:ascii="宋体" w:hAnsi="宋体" w:cs="宋体"/>
          <w:snapToGrid w:val="0"/>
          <w:color w:val="auto"/>
          <w:kern w:val="0"/>
          <w:sz w:val="24"/>
          <w:szCs w:val="24"/>
        </w:rPr>
      </w:pPr>
      <w:r>
        <w:rPr>
          <w:rFonts w:hint="eastAsia" w:ascii="宋体" w:hAnsi="宋体" w:cs="宋体"/>
          <w:snapToGrid w:val="0"/>
          <w:color w:val="auto"/>
          <w:spacing w:val="-6"/>
          <w:kern w:val="0"/>
          <w:sz w:val="24"/>
          <w:szCs w:val="24"/>
        </w:rPr>
        <w:t>项目区生态系统为沙漠生态系统，以沙地为主，地表植被稀疏，生态系统结构简单。环境水分稀少是该生态系统的最基本环境特征。在气候上，评价区处于干旱地区，且降水随着季节不同分配不均匀。由于降水稀少和蒸散强烈，少量天然降水远不能满足沙生植物生长发育所需要的水分，只有耐干旱的沙生植物才能得以生存，由此形成沙漠生态景观。工程区内的生态环境十分脆弱，生态系统类型单一、稳定性较差、结构简单、环境异质性较低，系统受扰动后自我恢复的能力差。</w:t>
      </w:r>
    </w:p>
    <w:p w14:paraId="5196C35D">
      <w:pPr>
        <w:pStyle w:val="86"/>
        <w:ind w:firstLine="480"/>
        <w:rPr>
          <w:rFonts w:hint="eastAsia"/>
          <w:color w:val="auto"/>
        </w:rPr>
      </w:pPr>
      <w:bookmarkStart w:id="614" w:name="_Hlk177302255"/>
      <w:r>
        <w:rPr>
          <w:rFonts w:hint="eastAsia"/>
          <w:color w:val="auto"/>
        </w:rPr>
        <w:t>（</w:t>
      </w:r>
      <w:r>
        <w:rPr>
          <w:color w:val="auto"/>
        </w:rPr>
        <w:t>2</w:t>
      </w:r>
      <w:r>
        <w:rPr>
          <w:rFonts w:hint="eastAsia"/>
          <w:color w:val="auto"/>
        </w:rPr>
        <w:t>）土地利用现状与评价</w:t>
      </w:r>
    </w:p>
    <w:p w14:paraId="1FD1AF03">
      <w:pPr>
        <w:pStyle w:val="86"/>
        <w:ind w:firstLine="480"/>
        <w:rPr>
          <w:rFonts w:hint="eastAsia"/>
          <w:color w:val="auto"/>
        </w:rPr>
      </w:pPr>
      <w:r>
        <w:rPr>
          <w:rFonts w:hint="eastAsia"/>
          <w:color w:val="auto"/>
        </w:rPr>
        <w:t>参照全国土地利用现状调查技术规程、全国土地利用现状分类系统，通过现场踏勘及收集资料绘制土地利用类型示意图，井场的土地利用类型为</w:t>
      </w:r>
      <w:bookmarkStart w:id="615" w:name="OLE_LINK66"/>
      <w:r>
        <w:rPr>
          <w:rFonts w:hint="eastAsia"/>
          <w:color w:val="auto"/>
        </w:rPr>
        <w:t>灌木林地</w:t>
      </w:r>
      <w:bookmarkEnd w:id="615"/>
      <w:r>
        <w:rPr>
          <w:rFonts w:hint="eastAsia"/>
          <w:color w:val="auto"/>
        </w:rPr>
        <w:t>，单井采油管线的土地利用类型为灌木林地，详见图</w:t>
      </w:r>
      <w:r>
        <w:rPr>
          <w:color w:val="auto"/>
        </w:rPr>
        <w:t>4</w:t>
      </w:r>
      <w:r>
        <w:rPr>
          <w:rFonts w:hint="eastAsia"/>
          <w:color w:val="auto"/>
        </w:rPr>
        <w:t>.3-7</w:t>
      </w:r>
      <w:r>
        <w:rPr>
          <w:color w:val="auto"/>
        </w:rPr>
        <w:t>。</w:t>
      </w:r>
    </w:p>
    <w:bookmarkEnd w:id="612"/>
    <w:bookmarkEnd w:id="614"/>
    <w:p w14:paraId="4A33D2F7">
      <w:pPr>
        <w:pStyle w:val="86"/>
        <w:ind w:firstLine="480"/>
        <w:rPr>
          <w:rFonts w:hint="eastAsia"/>
          <w:color w:val="auto"/>
        </w:rPr>
      </w:pPr>
      <w:bookmarkStart w:id="616" w:name="_Hlk177302261"/>
      <w:r>
        <w:rPr>
          <w:rFonts w:hint="eastAsia"/>
          <w:color w:val="auto"/>
        </w:rPr>
        <w:t>（</w:t>
      </w:r>
      <w:r>
        <w:rPr>
          <w:color w:val="auto"/>
        </w:rPr>
        <w:t>3</w:t>
      </w:r>
      <w:r>
        <w:rPr>
          <w:rFonts w:hint="eastAsia"/>
          <w:color w:val="auto"/>
        </w:rPr>
        <w:t>）植物现状调查与评价</w:t>
      </w:r>
    </w:p>
    <w:p w14:paraId="41313582">
      <w:pPr>
        <w:pStyle w:val="86"/>
        <w:ind w:firstLine="480"/>
        <w:rPr>
          <w:rFonts w:hint="eastAsia"/>
          <w:color w:val="auto"/>
        </w:rPr>
      </w:pPr>
      <w:bookmarkStart w:id="617" w:name="_Hlk3978320"/>
      <w:bookmarkStart w:id="618" w:name="_Hlk91195853"/>
      <w:r>
        <w:rPr>
          <w:rFonts w:hint="eastAsia"/>
          <w:color w:val="auto"/>
        </w:rPr>
        <w:t>①植被类型</w:t>
      </w:r>
    </w:p>
    <w:p w14:paraId="17DE85A9">
      <w:pPr>
        <w:pStyle w:val="86"/>
        <w:ind w:firstLine="480"/>
        <w:rPr>
          <w:rFonts w:hint="eastAsia"/>
          <w:color w:val="auto"/>
        </w:rPr>
      </w:pPr>
      <w:r>
        <w:rPr>
          <w:rFonts w:hint="eastAsia"/>
          <w:color w:val="auto"/>
        </w:rPr>
        <w:t>评价区主要植被类型为白梭梭荒漠，按中国植被自然地理区划划分，项目所在区域属于北方植物界</w:t>
      </w:r>
      <w:r>
        <w:rPr>
          <w:color w:val="auto"/>
        </w:rPr>
        <w:t>—</w:t>
      </w:r>
      <w:r>
        <w:rPr>
          <w:rFonts w:hint="eastAsia"/>
          <w:color w:val="auto"/>
        </w:rPr>
        <w:t>新疆荒漠区</w:t>
      </w:r>
      <w:r>
        <w:rPr>
          <w:color w:val="auto"/>
        </w:rPr>
        <w:t>—</w:t>
      </w:r>
      <w:r>
        <w:rPr>
          <w:rFonts w:hint="eastAsia"/>
          <w:color w:val="auto"/>
        </w:rPr>
        <w:t>北疆荒漠亚区</w:t>
      </w:r>
      <w:r>
        <w:rPr>
          <w:color w:val="auto"/>
        </w:rPr>
        <w:t>—</w:t>
      </w:r>
      <w:r>
        <w:rPr>
          <w:rFonts w:hint="eastAsia"/>
          <w:color w:val="auto"/>
        </w:rPr>
        <w:t>准噶尔荒漠省</w:t>
      </w:r>
      <w:r>
        <w:rPr>
          <w:color w:val="auto"/>
        </w:rPr>
        <w:t>—</w:t>
      </w:r>
      <w:r>
        <w:rPr>
          <w:rFonts w:hint="eastAsia"/>
          <w:color w:val="auto"/>
        </w:rPr>
        <w:t>准噶尔荒漠亚省</w:t>
      </w:r>
      <w:r>
        <w:rPr>
          <w:color w:val="auto"/>
        </w:rPr>
        <w:t>—</w:t>
      </w:r>
      <w:r>
        <w:rPr>
          <w:rFonts w:hint="eastAsia"/>
          <w:color w:val="auto"/>
        </w:rPr>
        <w:t>古尔班通古特州。该区生态环境条件较差，区域内植被组成简单、类型单一、分布稀疏，评价区主要植被类型为</w:t>
      </w:r>
      <w:bookmarkStart w:id="619" w:name="_Hlk177511951"/>
      <w:r>
        <w:rPr>
          <w:rFonts w:ascii="Times New Roman" w:hAnsi="Times New Roman" w:cs="Times New Roman"/>
          <w:color w:val="auto"/>
          <w:kern w:val="0"/>
        </w:rPr>
        <w:t>梭</w:t>
      </w:r>
      <w:r>
        <w:rPr>
          <w:rFonts w:hint="eastAsia" w:cs="宋体"/>
          <w:color w:val="auto"/>
          <w:kern w:val="0"/>
        </w:rPr>
        <w:t>梭+白梭梭群系、</w:t>
      </w:r>
      <w:r>
        <w:rPr>
          <w:rFonts w:hint="eastAsia" w:cs="Times New Roman"/>
          <w:color w:val="auto"/>
          <w:kern w:val="0"/>
        </w:rPr>
        <w:t>白梭梭+沙拐枣+三芒草群系</w:t>
      </w:r>
      <w:bookmarkEnd w:id="619"/>
      <w:r>
        <w:rPr>
          <w:rFonts w:hint="eastAsia"/>
          <w:color w:val="auto"/>
        </w:rPr>
        <w:t>，主要植被见表4.3-</w:t>
      </w:r>
      <w:r>
        <w:rPr>
          <w:color w:val="auto"/>
        </w:rPr>
        <w:t>1</w:t>
      </w:r>
      <w:r>
        <w:rPr>
          <w:rFonts w:hint="eastAsia"/>
          <w:color w:val="auto"/>
        </w:rPr>
        <w:t>4，植被类型见图4.3-8</w:t>
      </w:r>
      <w:r>
        <w:rPr>
          <w:color w:val="auto"/>
        </w:rPr>
        <w:t>。</w:t>
      </w:r>
      <w:bookmarkStart w:id="620" w:name="_Hlk177511923"/>
    </w:p>
    <w:p w14:paraId="4EBA582B">
      <w:pPr>
        <w:pStyle w:val="86"/>
        <w:ind w:firstLine="480"/>
        <w:rPr>
          <w:rFonts w:hint="eastAsia"/>
          <w:color w:val="auto"/>
        </w:rPr>
      </w:pPr>
      <w:r>
        <w:rPr>
          <w:rFonts w:hint="eastAsia"/>
          <w:color w:val="auto"/>
        </w:rPr>
        <w:t>井场内基本无植被分布，单井采油管线沿线植被主要为梭梭、白梭梭等植被。</w:t>
      </w:r>
      <w:bookmarkEnd w:id="620"/>
      <w:r>
        <w:rPr>
          <w:rFonts w:hint="eastAsia"/>
          <w:color w:val="auto"/>
        </w:rPr>
        <w:t>项目区植被覆盖率约为5%～10%。根据现场调查，</w:t>
      </w:r>
      <w:bookmarkStart w:id="621" w:name="_Hlk177512017"/>
      <w:r>
        <w:rPr>
          <w:rFonts w:hint="eastAsia"/>
          <w:color w:val="auto"/>
        </w:rPr>
        <w:t>评价范围内无《国家重点保护野生植物名录》和《新疆维吾尔自治区重点保护野生植物名录》中所列受保护植物。</w:t>
      </w:r>
      <w:bookmarkEnd w:id="621"/>
      <w:r>
        <w:rPr>
          <w:rFonts w:hint="eastAsia"/>
          <w:color w:val="auto"/>
        </w:rPr>
        <w:t>井场及单井采油管线沿线无保护植物分布。</w:t>
      </w:r>
      <w:bookmarkEnd w:id="616"/>
    </w:p>
    <w:p w14:paraId="5DD5572A">
      <w:pPr>
        <w:pStyle w:val="86"/>
        <w:ind w:firstLine="480"/>
        <w:rPr>
          <w:rFonts w:hint="eastAsia"/>
          <w:color w:val="auto"/>
        </w:rPr>
      </w:pPr>
    </w:p>
    <w:p w14:paraId="5C7DD586">
      <w:pPr>
        <w:pStyle w:val="86"/>
        <w:ind w:firstLine="480"/>
        <w:rPr>
          <w:rFonts w:hint="eastAsia"/>
          <w:color w:val="auto"/>
        </w:rPr>
      </w:pPr>
    </w:p>
    <w:p w14:paraId="62756BC4">
      <w:pPr>
        <w:pStyle w:val="86"/>
        <w:ind w:firstLine="480"/>
        <w:rPr>
          <w:rFonts w:hint="eastAsia"/>
          <w:color w:val="auto"/>
        </w:rPr>
        <w:sectPr>
          <w:headerReference r:id="rId18" w:type="default"/>
          <w:pgSz w:w="11906" w:h="16838"/>
          <w:pgMar w:top="1418" w:right="1588" w:bottom="1418" w:left="1588" w:header="1020" w:footer="1020" w:gutter="0"/>
          <w:cols w:space="720" w:num="1"/>
          <w:docGrid w:type="lines" w:linePitch="312" w:charSpace="0"/>
        </w:sectPr>
      </w:pPr>
    </w:p>
    <w:p w14:paraId="4DB4223B">
      <w:pPr>
        <w:pStyle w:val="19"/>
        <w:spacing w:after="0" w:line="360" w:lineRule="auto"/>
        <w:jc w:val="center"/>
        <w:rPr>
          <w:rFonts w:hint="eastAsia" w:ascii="黑体" w:hAnsi="黑体" w:eastAsia="黑体" w:cs="黑体"/>
          <w:color w:val="auto"/>
          <w:szCs w:val="21"/>
        </w:rPr>
      </w:pPr>
      <w:r>
        <w:rPr>
          <w:color w:val="auto"/>
        </w:rPr>
        <w:drawing>
          <wp:inline distT="0" distB="0" distL="0" distR="0">
            <wp:extent cx="6978015" cy="5080635"/>
            <wp:effectExtent l="0" t="0" r="0" b="5715"/>
            <wp:docPr id="207628518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85189" name="图片 1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6981566" cy="5082902"/>
                    </a:xfrm>
                    <a:prstGeom prst="rect">
                      <a:avLst/>
                    </a:prstGeom>
                    <a:noFill/>
                    <a:ln>
                      <a:noFill/>
                    </a:ln>
                  </pic:spPr>
                </pic:pic>
              </a:graphicData>
            </a:graphic>
          </wp:inline>
        </w:drawing>
      </w:r>
    </w:p>
    <w:p w14:paraId="12921E15">
      <w:pPr>
        <w:pStyle w:val="19"/>
        <w:spacing w:after="0" w:line="360" w:lineRule="auto"/>
        <w:jc w:val="center"/>
        <w:rPr>
          <w:rFonts w:hint="eastAsia" w:ascii="黑体" w:hAnsi="黑体" w:eastAsia="黑体" w:cs="黑体"/>
          <w:color w:val="auto"/>
          <w:szCs w:val="21"/>
        </w:rPr>
      </w:pPr>
      <w:r>
        <w:rPr>
          <w:rFonts w:hint="eastAsia" w:ascii="黑体" w:hAnsi="黑体" w:eastAsia="黑体" w:cs="黑体"/>
          <w:color w:val="auto"/>
          <w:szCs w:val="21"/>
        </w:rPr>
        <w:t>图</w:t>
      </w:r>
      <w:r>
        <w:rPr>
          <w:rFonts w:ascii="黑体" w:hAnsi="黑体" w:eastAsia="黑体" w:cs="黑体"/>
          <w:color w:val="auto"/>
          <w:szCs w:val="21"/>
        </w:rPr>
        <w:t>4.3</w:t>
      </w:r>
      <w:r>
        <w:rPr>
          <w:rFonts w:hint="eastAsia" w:ascii="黑体" w:hAnsi="黑体" w:eastAsia="黑体" w:cs="黑体"/>
          <w:color w:val="auto"/>
          <w:szCs w:val="21"/>
        </w:rPr>
        <w:t>-7</w:t>
      </w:r>
      <w:r>
        <w:rPr>
          <w:rFonts w:ascii="黑体" w:hAnsi="黑体" w:eastAsia="黑体" w:cs="黑体"/>
          <w:color w:val="auto"/>
          <w:szCs w:val="21"/>
        </w:rPr>
        <w:t xml:space="preserve">  </w:t>
      </w:r>
      <w:r>
        <w:rPr>
          <w:rFonts w:hint="eastAsia" w:ascii="黑体" w:hAnsi="黑体" w:eastAsia="黑体" w:cs="黑体"/>
          <w:color w:val="auto"/>
          <w:szCs w:val="21"/>
        </w:rPr>
        <w:t>土地利用类型示意图</w:t>
      </w:r>
    </w:p>
    <w:p w14:paraId="0A98CDA5">
      <w:pPr>
        <w:pStyle w:val="19"/>
        <w:spacing w:after="0" w:line="360" w:lineRule="auto"/>
        <w:jc w:val="center"/>
        <w:rPr>
          <w:rFonts w:hint="eastAsia" w:ascii="黑体" w:hAnsi="黑体" w:eastAsia="黑体" w:cs="黑体"/>
          <w:color w:val="auto"/>
          <w:szCs w:val="21"/>
        </w:rPr>
      </w:pPr>
      <w:r>
        <w:rPr>
          <w:color w:val="auto"/>
        </w:rPr>
        <w:drawing>
          <wp:inline distT="0" distB="0" distL="0" distR="0">
            <wp:extent cx="6837045" cy="5095240"/>
            <wp:effectExtent l="0" t="0" r="1905" b="0"/>
            <wp:docPr id="10602163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216327" name="图片 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6839682" cy="5097356"/>
                    </a:xfrm>
                    <a:prstGeom prst="rect">
                      <a:avLst/>
                    </a:prstGeom>
                    <a:noFill/>
                    <a:ln>
                      <a:noFill/>
                    </a:ln>
                  </pic:spPr>
                </pic:pic>
              </a:graphicData>
            </a:graphic>
          </wp:inline>
        </w:drawing>
      </w:r>
    </w:p>
    <w:p w14:paraId="2315E765">
      <w:pPr>
        <w:pStyle w:val="19"/>
        <w:spacing w:after="0" w:line="360" w:lineRule="auto"/>
        <w:jc w:val="center"/>
        <w:rPr>
          <w:rFonts w:hint="eastAsia" w:ascii="黑体" w:hAnsi="黑体" w:eastAsia="黑体" w:cs="黑体"/>
          <w:color w:val="auto"/>
          <w:szCs w:val="21"/>
        </w:rPr>
      </w:pPr>
      <w:r>
        <w:rPr>
          <w:rFonts w:hint="eastAsia" w:ascii="黑体" w:hAnsi="黑体" w:eastAsia="黑体" w:cs="黑体"/>
          <w:color w:val="auto"/>
          <w:szCs w:val="21"/>
        </w:rPr>
        <w:t>图4</w:t>
      </w:r>
      <w:r>
        <w:rPr>
          <w:rFonts w:ascii="黑体" w:hAnsi="黑体" w:eastAsia="黑体" w:cs="黑体"/>
          <w:color w:val="auto"/>
          <w:szCs w:val="21"/>
        </w:rPr>
        <w:t>.3</w:t>
      </w:r>
      <w:r>
        <w:rPr>
          <w:rFonts w:hint="eastAsia" w:ascii="黑体" w:hAnsi="黑体" w:eastAsia="黑体" w:cs="黑体"/>
          <w:color w:val="auto"/>
          <w:szCs w:val="21"/>
        </w:rPr>
        <w:t>-8</w:t>
      </w:r>
      <w:r>
        <w:rPr>
          <w:rFonts w:ascii="黑体" w:hAnsi="黑体" w:eastAsia="黑体" w:cs="黑体"/>
          <w:color w:val="auto"/>
          <w:szCs w:val="21"/>
        </w:rPr>
        <w:t xml:space="preserve">  </w:t>
      </w:r>
      <w:r>
        <w:rPr>
          <w:rFonts w:hint="eastAsia" w:ascii="黑体" w:hAnsi="黑体" w:eastAsia="黑体" w:cs="黑体"/>
          <w:color w:val="auto"/>
          <w:szCs w:val="21"/>
        </w:rPr>
        <w:t>植被类型示意图</w:t>
      </w:r>
    </w:p>
    <w:p w14:paraId="1A5AC6DD">
      <w:pPr>
        <w:pStyle w:val="86"/>
        <w:ind w:firstLine="480"/>
        <w:rPr>
          <w:rFonts w:hint="eastAsia"/>
          <w:color w:val="auto"/>
        </w:rPr>
        <w:sectPr>
          <w:headerReference r:id="rId19" w:type="default"/>
          <w:footerReference r:id="rId20" w:type="default"/>
          <w:pgSz w:w="16838" w:h="11906" w:orient="landscape"/>
          <w:pgMar w:top="1588" w:right="1418" w:bottom="1588" w:left="1418" w:header="1020" w:footer="1020" w:gutter="0"/>
          <w:cols w:space="720" w:num="1"/>
          <w:docGrid w:type="lines" w:linePitch="312" w:charSpace="0"/>
        </w:sectPr>
      </w:pPr>
    </w:p>
    <w:p w14:paraId="278BD677">
      <w:pPr>
        <w:pStyle w:val="19"/>
        <w:spacing w:after="0" w:line="500" w:lineRule="exact"/>
        <w:jc w:val="center"/>
        <w:rPr>
          <w:rFonts w:hint="eastAsia" w:ascii="黑体" w:hAnsi="黑体" w:eastAsia="黑体" w:cs="黑体"/>
          <w:color w:val="auto"/>
          <w:szCs w:val="21"/>
        </w:rPr>
      </w:pPr>
      <w:r>
        <w:rPr>
          <w:rFonts w:ascii="黑体" w:hAnsi="黑体" w:eastAsia="黑体" w:cs="黑体"/>
          <w:color w:val="auto"/>
          <w:szCs w:val="21"/>
        </w:rPr>
        <w:t>表</w:t>
      </w:r>
      <w:r>
        <w:rPr>
          <w:rFonts w:hint="eastAsia" w:ascii="黑体" w:hAnsi="黑体" w:eastAsia="黑体" w:cs="黑体"/>
          <w:color w:val="auto"/>
          <w:szCs w:val="21"/>
        </w:rPr>
        <w:t>4.3</w:t>
      </w:r>
      <w:r>
        <w:rPr>
          <w:rFonts w:ascii="黑体" w:hAnsi="黑体" w:eastAsia="黑体" w:cs="黑体"/>
          <w:color w:val="auto"/>
          <w:szCs w:val="21"/>
        </w:rPr>
        <w:t>-1</w:t>
      </w:r>
      <w:r>
        <w:rPr>
          <w:rFonts w:hint="eastAsia" w:ascii="黑体" w:hAnsi="黑体" w:eastAsia="黑体" w:cs="黑体"/>
          <w:color w:val="auto"/>
          <w:szCs w:val="21"/>
        </w:rPr>
        <w:t>4</w:t>
      </w:r>
      <w:r>
        <w:rPr>
          <w:rFonts w:ascii="黑体" w:hAnsi="黑体" w:eastAsia="黑体" w:cs="黑体"/>
          <w:color w:val="auto"/>
          <w:szCs w:val="21"/>
        </w:rPr>
        <w:t xml:space="preserve">  </w:t>
      </w:r>
      <w:r>
        <w:rPr>
          <w:rFonts w:hint="eastAsia" w:ascii="黑体" w:hAnsi="黑体" w:eastAsia="黑体" w:cs="黑体"/>
          <w:color w:val="auto"/>
          <w:szCs w:val="21"/>
        </w:rPr>
        <w:t>区域</w:t>
      </w:r>
      <w:r>
        <w:rPr>
          <w:rFonts w:ascii="黑体" w:hAnsi="黑体" w:eastAsia="黑体" w:cs="黑体"/>
          <w:color w:val="auto"/>
          <w:szCs w:val="21"/>
        </w:rPr>
        <w:t>主要植物种类及分布</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0"/>
        <w:gridCol w:w="1526"/>
        <w:gridCol w:w="4847"/>
        <w:gridCol w:w="707"/>
        <w:gridCol w:w="791"/>
      </w:tblGrid>
      <w:tr w14:paraId="2525C1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Merge w:val="restart"/>
            <w:vAlign w:val="center"/>
          </w:tcPr>
          <w:p w14:paraId="3AAF6654">
            <w:pPr>
              <w:spacing w:line="240" w:lineRule="exact"/>
              <w:jc w:val="center"/>
              <w:rPr>
                <w:rFonts w:hint="eastAsia" w:ascii="宋体" w:hAnsi="宋体" w:cs="Arial"/>
                <w:color w:val="auto"/>
                <w:szCs w:val="21"/>
              </w:rPr>
            </w:pPr>
            <w:r>
              <w:rPr>
                <w:rFonts w:ascii="宋体" w:hAnsi="宋体" w:cs="Arial"/>
                <w:color w:val="auto"/>
                <w:szCs w:val="21"/>
              </w:rPr>
              <w:t>序号</w:t>
            </w:r>
          </w:p>
        </w:tc>
        <w:tc>
          <w:tcPr>
            <w:tcW w:w="1526" w:type="dxa"/>
            <w:vMerge w:val="restart"/>
            <w:vAlign w:val="center"/>
          </w:tcPr>
          <w:p w14:paraId="75F568D9">
            <w:pPr>
              <w:spacing w:line="240" w:lineRule="exact"/>
              <w:jc w:val="center"/>
              <w:rPr>
                <w:rFonts w:hint="eastAsia" w:ascii="宋体" w:hAnsi="宋体" w:cs="Arial"/>
                <w:color w:val="auto"/>
                <w:szCs w:val="21"/>
              </w:rPr>
            </w:pPr>
            <w:r>
              <w:rPr>
                <w:rFonts w:ascii="宋体" w:hAnsi="宋体" w:cs="Arial"/>
                <w:color w:val="auto"/>
                <w:szCs w:val="21"/>
              </w:rPr>
              <w:t>中  文  名</w:t>
            </w:r>
          </w:p>
        </w:tc>
        <w:tc>
          <w:tcPr>
            <w:tcW w:w="4847" w:type="dxa"/>
            <w:vMerge w:val="restart"/>
            <w:vAlign w:val="center"/>
          </w:tcPr>
          <w:p w14:paraId="62C43FD8">
            <w:pPr>
              <w:spacing w:line="240" w:lineRule="exact"/>
              <w:jc w:val="center"/>
              <w:rPr>
                <w:rFonts w:hint="eastAsia" w:ascii="宋体" w:hAnsi="宋体" w:cs="Arial"/>
                <w:color w:val="auto"/>
                <w:szCs w:val="21"/>
              </w:rPr>
            </w:pPr>
            <w:r>
              <w:rPr>
                <w:rFonts w:ascii="宋体" w:hAnsi="宋体" w:cs="Arial"/>
                <w:color w:val="auto"/>
                <w:szCs w:val="21"/>
              </w:rPr>
              <w:t>学    名</w:t>
            </w:r>
          </w:p>
        </w:tc>
        <w:tc>
          <w:tcPr>
            <w:tcW w:w="1498" w:type="dxa"/>
            <w:gridSpan w:val="2"/>
            <w:vAlign w:val="center"/>
          </w:tcPr>
          <w:p w14:paraId="1DD23AC8">
            <w:pPr>
              <w:spacing w:line="240" w:lineRule="exact"/>
              <w:jc w:val="center"/>
              <w:rPr>
                <w:rFonts w:hint="eastAsia" w:ascii="宋体" w:hAnsi="宋体" w:cs="Arial"/>
                <w:color w:val="auto"/>
                <w:szCs w:val="21"/>
              </w:rPr>
            </w:pPr>
            <w:r>
              <w:rPr>
                <w:rFonts w:ascii="宋体" w:hAnsi="宋体" w:cs="Arial"/>
                <w:color w:val="auto"/>
                <w:szCs w:val="21"/>
              </w:rPr>
              <w:t>分    布</w:t>
            </w:r>
          </w:p>
        </w:tc>
      </w:tr>
      <w:tr w14:paraId="16D17F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Merge w:val="continue"/>
            <w:vAlign w:val="center"/>
          </w:tcPr>
          <w:p w14:paraId="346C0AFB">
            <w:pPr>
              <w:spacing w:line="240" w:lineRule="exact"/>
              <w:jc w:val="center"/>
              <w:rPr>
                <w:rFonts w:hint="eastAsia" w:ascii="宋体" w:hAnsi="宋体" w:cs="Arial"/>
                <w:color w:val="auto"/>
                <w:szCs w:val="21"/>
              </w:rPr>
            </w:pPr>
          </w:p>
        </w:tc>
        <w:tc>
          <w:tcPr>
            <w:tcW w:w="1526" w:type="dxa"/>
            <w:vMerge w:val="continue"/>
            <w:vAlign w:val="center"/>
          </w:tcPr>
          <w:p w14:paraId="2FEE114E">
            <w:pPr>
              <w:spacing w:line="240" w:lineRule="exact"/>
              <w:jc w:val="center"/>
              <w:rPr>
                <w:rFonts w:hint="eastAsia" w:ascii="宋体" w:hAnsi="宋体" w:cs="Arial"/>
                <w:color w:val="auto"/>
                <w:szCs w:val="21"/>
              </w:rPr>
            </w:pPr>
          </w:p>
        </w:tc>
        <w:tc>
          <w:tcPr>
            <w:tcW w:w="4847" w:type="dxa"/>
            <w:vMerge w:val="continue"/>
            <w:vAlign w:val="center"/>
          </w:tcPr>
          <w:p w14:paraId="5B1ABA2C">
            <w:pPr>
              <w:spacing w:line="240" w:lineRule="exact"/>
              <w:jc w:val="center"/>
              <w:rPr>
                <w:rFonts w:hint="eastAsia" w:ascii="宋体" w:hAnsi="宋体" w:cs="Arial"/>
                <w:color w:val="auto"/>
                <w:szCs w:val="21"/>
              </w:rPr>
            </w:pPr>
          </w:p>
        </w:tc>
        <w:tc>
          <w:tcPr>
            <w:tcW w:w="707" w:type="dxa"/>
            <w:vAlign w:val="center"/>
          </w:tcPr>
          <w:p w14:paraId="2B6505D9">
            <w:pPr>
              <w:spacing w:line="240" w:lineRule="exact"/>
              <w:jc w:val="center"/>
              <w:rPr>
                <w:rFonts w:hint="eastAsia" w:ascii="宋体" w:hAnsi="宋体" w:cs="Arial"/>
                <w:color w:val="auto"/>
                <w:szCs w:val="21"/>
              </w:rPr>
            </w:pPr>
            <w:r>
              <w:rPr>
                <w:rFonts w:ascii="宋体" w:hAnsi="宋体" w:cs="Arial"/>
                <w:color w:val="auto"/>
                <w:szCs w:val="21"/>
              </w:rPr>
              <w:t>沙丘</w:t>
            </w:r>
          </w:p>
        </w:tc>
        <w:tc>
          <w:tcPr>
            <w:tcW w:w="791" w:type="dxa"/>
            <w:vAlign w:val="center"/>
          </w:tcPr>
          <w:p w14:paraId="5D9E23D5">
            <w:pPr>
              <w:spacing w:line="240" w:lineRule="exact"/>
              <w:jc w:val="center"/>
              <w:rPr>
                <w:rFonts w:hint="eastAsia" w:ascii="宋体" w:hAnsi="宋体" w:cs="Arial"/>
                <w:color w:val="auto"/>
                <w:szCs w:val="21"/>
              </w:rPr>
            </w:pPr>
            <w:r>
              <w:rPr>
                <w:rFonts w:ascii="宋体" w:hAnsi="宋体" w:cs="Arial"/>
                <w:color w:val="auto"/>
                <w:szCs w:val="21"/>
              </w:rPr>
              <w:t>丘间</w:t>
            </w:r>
          </w:p>
        </w:tc>
      </w:tr>
      <w:tr w14:paraId="6D8C11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7E189C31">
            <w:pPr>
              <w:spacing w:line="240" w:lineRule="exact"/>
              <w:jc w:val="center"/>
              <w:rPr>
                <w:rFonts w:hint="eastAsia" w:ascii="宋体" w:hAnsi="宋体" w:cs="Arial"/>
                <w:color w:val="auto"/>
                <w:szCs w:val="21"/>
              </w:rPr>
            </w:pPr>
            <w:r>
              <w:rPr>
                <w:rFonts w:ascii="宋体" w:hAnsi="宋体" w:cs="Arial"/>
                <w:color w:val="auto"/>
                <w:szCs w:val="21"/>
              </w:rPr>
              <w:t>一、</w:t>
            </w:r>
          </w:p>
        </w:tc>
        <w:tc>
          <w:tcPr>
            <w:tcW w:w="1526" w:type="dxa"/>
            <w:vAlign w:val="center"/>
          </w:tcPr>
          <w:p w14:paraId="112D09ED">
            <w:pPr>
              <w:spacing w:line="240" w:lineRule="exact"/>
              <w:jc w:val="center"/>
              <w:rPr>
                <w:rFonts w:hint="eastAsia" w:ascii="宋体" w:hAnsi="宋体" w:cs="Arial"/>
                <w:color w:val="auto"/>
                <w:szCs w:val="21"/>
              </w:rPr>
            </w:pPr>
            <w:r>
              <w:rPr>
                <w:rFonts w:ascii="宋体" w:hAnsi="宋体" w:cs="Arial"/>
                <w:color w:val="auto"/>
                <w:szCs w:val="21"/>
              </w:rPr>
              <w:t>禾本科</w:t>
            </w:r>
          </w:p>
        </w:tc>
        <w:tc>
          <w:tcPr>
            <w:tcW w:w="4847" w:type="dxa"/>
            <w:vAlign w:val="center"/>
          </w:tcPr>
          <w:p w14:paraId="07E281F9">
            <w:pPr>
              <w:spacing w:line="240" w:lineRule="exact"/>
              <w:jc w:val="center"/>
              <w:rPr>
                <w:rFonts w:hint="eastAsia" w:ascii="宋体" w:hAnsi="宋体" w:cs="Arial"/>
                <w:i/>
                <w:color w:val="auto"/>
                <w:szCs w:val="21"/>
              </w:rPr>
            </w:pPr>
            <w:r>
              <w:rPr>
                <w:rFonts w:ascii="宋体" w:hAnsi="宋体" w:cs="Arial"/>
                <w:i/>
                <w:color w:val="auto"/>
                <w:szCs w:val="21"/>
              </w:rPr>
              <w:t>Gramineae</w:t>
            </w:r>
          </w:p>
        </w:tc>
        <w:tc>
          <w:tcPr>
            <w:tcW w:w="707" w:type="dxa"/>
            <w:vAlign w:val="center"/>
          </w:tcPr>
          <w:p w14:paraId="17A0DBC4">
            <w:pPr>
              <w:spacing w:line="240" w:lineRule="exact"/>
              <w:jc w:val="center"/>
              <w:rPr>
                <w:rFonts w:hint="eastAsia" w:ascii="宋体" w:hAnsi="宋体" w:cs="Arial"/>
                <w:color w:val="auto"/>
                <w:szCs w:val="21"/>
              </w:rPr>
            </w:pPr>
          </w:p>
        </w:tc>
        <w:tc>
          <w:tcPr>
            <w:tcW w:w="791" w:type="dxa"/>
            <w:vAlign w:val="center"/>
          </w:tcPr>
          <w:p w14:paraId="111BAB6C">
            <w:pPr>
              <w:spacing w:line="240" w:lineRule="exact"/>
              <w:jc w:val="center"/>
              <w:rPr>
                <w:rFonts w:hint="eastAsia" w:ascii="宋体" w:hAnsi="宋体" w:cs="Arial"/>
                <w:color w:val="auto"/>
                <w:szCs w:val="21"/>
              </w:rPr>
            </w:pPr>
          </w:p>
        </w:tc>
      </w:tr>
      <w:tr w14:paraId="21B2A9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3177BA47">
            <w:pPr>
              <w:spacing w:line="240" w:lineRule="exact"/>
              <w:jc w:val="center"/>
              <w:rPr>
                <w:rFonts w:hint="eastAsia" w:ascii="宋体" w:hAnsi="宋体" w:cs="Arial"/>
                <w:color w:val="auto"/>
                <w:szCs w:val="21"/>
              </w:rPr>
            </w:pPr>
            <w:r>
              <w:rPr>
                <w:rFonts w:ascii="宋体" w:hAnsi="宋体" w:cs="Arial"/>
                <w:color w:val="auto"/>
                <w:szCs w:val="21"/>
              </w:rPr>
              <w:t>1</w:t>
            </w:r>
          </w:p>
        </w:tc>
        <w:tc>
          <w:tcPr>
            <w:tcW w:w="1526" w:type="dxa"/>
            <w:vAlign w:val="center"/>
          </w:tcPr>
          <w:p w14:paraId="59320E6F">
            <w:pPr>
              <w:spacing w:line="240" w:lineRule="exact"/>
              <w:jc w:val="center"/>
              <w:rPr>
                <w:rFonts w:hint="eastAsia" w:ascii="宋体" w:hAnsi="宋体" w:cs="Arial"/>
                <w:color w:val="auto"/>
                <w:szCs w:val="21"/>
              </w:rPr>
            </w:pPr>
            <w:r>
              <w:rPr>
                <w:rFonts w:ascii="宋体" w:hAnsi="宋体" w:cs="Arial"/>
                <w:color w:val="auto"/>
                <w:szCs w:val="21"/>
              </w:rPr>
              <w:t>东方旱麦草</w:t>
            </w:r>
          </w:p>
        </w:tc>
        <w:tc>
          <w:tcPr>
            <w:tcW w:w="4847" w:type="dxa"/>
            <w:vAlign w:val="center"/>
          </w:tcPr>
          <w:p w14:paraId="70608D97">
            <w:pPr>
              <w:spacing w:line="240" w:lineRule="exact"/>
              <w:jc w:val="center"/>
              <w:rPr>
                <w:rFonts w:hint="eastAsia" w:ascii="宋体" w:hAnsi="宋体" w:cs="Arial"/>
                <w:i/>
                <w:color w:val="auto"/>
                <w:szCs w:val="21"/>
              </w:rPr>
            </w:pPr>
            <w:r>
              <w:rPr>
                <w:rFonts w:ascii="宋体" w:hAnsi="宋体" w:cs="Arial"/>
                <w:i/>
                <w:color w:val="auto"/>
                <w:szCs w:val="21"/>
              </w:rPr>
              <w:t>Eremopyrum orientale</w:t>
            </w:r>
          </w:p>
        </w:tc>
        <w:tc>
          <w:tcPr>
            <w:tcW w:w="707" w:type="dxa"/>
            <w:vAlign w:val="center"/>
          </w:tcPr>
          <w:p w14:paraId="4324CED2">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761F1698">
            <w:pPr>
              <w:spacing w:line="240" w:lineRule="exact"/>
              <w:jc w:val="center"/>
              <w:rPr>
                <w:rFonts w:hint="eastAsia" w:ascii="宋体" w:hAnsi="宋体" w:cs="Arial"/>
                <w:color w:val="auto"/>
                <w:szCs w:val="21"/>
              </w:rPr>
            </w:pPr>
          </w:p>
        </w:tc>
      </w:tr>
      <w:tr w14:paraId="650C97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5E2DA15E">
            <w:pPr>
              <w:spacing w:line="240" w:lineRule="exact"/>
              <w:jc w:val="center"/>
              <w:rPr>
                <w:rFonts w:hint="eastAsia" w:ascii="宋体" w:hAnsi="宋体" w:cs="Arial"/>
                <w:color w:val="auto"/>
                <w:szCs w:val="21"/>
              </w:rPr>
            </w:pPr>
            <w:r>
              <w:rPr>
                <w:rFonts w:ascii="宋体" w:hAnsi="宋体" w:cs="Arial"/>
                <w:color w:val="auto"/>
                <w:szCs w:val="21"/>
              </w:rPr>
              <w:t>2</w:t>
            </w:r>
          </w:p>
        </w:tc>
        <w:tc>
          <w:tcPr>
            <w:tcW w:w="1526" w:type="dxa"/>
            <w:vAlign w:val="center"/>
          </w:tcPr>
          <w:p w14:paraId="17947CCD">
            <w:pPr>
              <w:spacing w:line="240" w:lineRule="exact"/>
              <w:jc w:val="center"/>
              <w:rPr>
                <w:rFonts w:hint="eastAsia" w:ascii="宋体" w:hAnsi="宋体" w:cs="Arial"/>
                <w:color w:val="auto"/>
                <w:szCs w:val="21"/>
              </w:rPr>
            </w:pPr>
            <w:r>
              <w:rPr>
                <w:rFonts w:ascii="宋体" w:hAnsi="宋体" w:cs="Arial"/>
                <w:color w:val="auto"/>
                <w:szCs w:val="21"/>
              </w:rPr>
              <w:t>羽状三芒草</w:t>
            </w:r>
          </w:p>
        </w:tc>
        <w:tc>
          <w:tcPr>
            <w:tcW w:w="4847" w:type="dxa"/>
            <w:vAlign w:val="center"/>
          </w:tcPr>
          <w:p w14:paraId="36847C4C">
            <w:pPr>
              <w:spacing w:line="240" w:lineRule="exact"/>
              <w:jc w:val="center"/>
              <w:rPr>
                <w:rFonts w:hint="eastAsia" w:ascii="宋体" w:hAnsi="宋体" w:cs="Arial"/>
                <w:i/>
                <w:color w:val="auto"/>
                <w:szCs w:val="21"/>
              </w:rPr>
            </w:pPr>
            <w:r>
              <w:rPr>
                <w:rFonts w:ascii="宋体" w:hAnsi="宋体" w:cs="Arial"/>
                <w:i/>
                <w:color w:val="auto"/>
                <w:szCs w:val="21"/>
              </w:rPr>
              <w:t>Aristida pennata</w:t>
            </w:r>
          </w:p>
        </w:tc>
        <w:tc>
          <w:tcPr>
            <w:tcW w:w="707" w:type="dxa"/>
            <w:vAlign w:val="center"/>
          </w:tcPr>
          <w:p w14:paraId="13A12F74">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29A61F54">
            <w:pPr>
              <w:spacing w:line="240" w:lineRule="exact"/>
              <w:jc w:val="center"/>
              <w:rPr>
                <w:rFonts w:hint="eastAsia" w:ascii="宋体" w:hAnsi="宋体" w:cs="Arial"/>
                <w:color w:val="auto"/>
                <w:szCs w:val="21"/>
              </w:rPr>
            </w:pPr>
          </w:p>
        </w:tc>
      </w:tr>
      <w:tr w14:paraId="4C8841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2F0DCC7D">
            <w:pPr>
              <w:spacing w:line="240" w:lineRule="exact"/>
              <w:jc w:val="center"/>
              <w:rPr>
                <w:rFonts w:hint="eastAsia" w:ascii="宋体" w:hAnsi="宋体" w:cs="Arial"/>
                <w:color w:val="auto"/>
                <w:szCs w:val="21"/>
              </w:rPr>
            </w:pPr>
            <w:r>
              <w:rPr>
                <w:rFonts w:ascii="宋体" w:hAnsi="宋体" w:cs="Arial"/>
                <w:color w:val="auto"/>
                <w:szCs w:val="21"/>
              </w:rPr>
              <w:t>3</w:t>
            </w:r>
          </w:p>
        </w:tc>
        <w:tc>
          <w:tcPr>
            <w:tcW w:w="1526" w:type="dxa"/>
            <w:vAlign w:val="center"/>
          </w:tcPr>
          <w:p w14:paraId="3F6A9D8B">
            <w:pPr>
              <w:spacing w:line="240" w:lineRule="exact"/>
              <w:jc w:val="center"/>
              <w:rPr>
                <w:rFonts w:hint="eastAsia" w:ascii="宋体" w:hAnsi="宋体" w:cs="Arial"/>
                <w:color w:val="auto"/>
                <w:szCs w:val="21"/>
              </w:rPr>
            </w:pPr>
            <w:r>
              <w:rPr>
                <w:rFonts w:ascii="宋体" w:hAnsi="宋体" w:cs="Arial"/>
                <w:color w:val="auto"/>
                <w:szCs w:val="21"/>
              </w:rPr>
              <w:t>施母草</w:t>
            </w:r>
          </w:p>
        </w:tc>
        <w:tc>
          <w:tcPr>
            <w:tcW w:w="4847" w:type="dxa"/>
            <w:vAlign w:val="center"/>
          </w:tcPr>
          <w:p w14:paraId="782AB7EE">
            <w:pPr>
              <w:spacing w:line="240" w:lineRule="exact"/>
              <w:jc w:val="center"/>
              <w:rPr>
                <w:rFonts w:hint="eastAsia" w:ascii="宋体" w:hAnsi="宋体" w:cs="Arial"/>
                <w:i/>
                <w:color w:val="auto"/>
                <w:szCs w:val="21"/>
              </w:rPr>
            </w:pPr>
            <w:r>
              <w:rPr>
                <w:rFonts w:ascii="宋体" w:hAnsi="宋体" w:cs="Arial"/>
                <w:i/>
                <w:color w:val="auto"/>
                <w:szCs w:val="21"/>
              </w:rPr>
              <w:t>Schismus arabicus</w:t>
            </w:r>
          </w:p>
        </w:tc>
        <w:tc>
          <w:tcPr>
            <w:tcW w:w="707" w:type="dxa"/>
            <w:vAlign w:val="center"/>
          </w:tcPr>
          <w:p w14:paraId="19DF2EE2">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22164CAD">
            <w:pPr>
              <w:spacing w:line="240" w:lineRule="exact"/>
              <w:jc w:val="center"/>
              <w:rPr>
                <w:rFonts w:hint="eastAsia" w:ascii="宋体" w:hAnsi="宋体" w:cs="Arial"/>
                <w:color w:val="auto"/>
                <w:szCs w:val="21"/>
              </w:rPr>
            </w:pPr>
          </w:p>
        </w:tc>
      </w:tr>
      <w:tr w14:paraId="7404A7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224B24A5">
            <w:pPr>
              <w:spacing w:line="240" w:lineRule="exact"/>
              <w:jc w:val="center"/>
              <w:rPr>
                <w:rFonts w:hint="eastAsia" w:ascii="宋体" w:hAnsi="宋体" w:cs="Arial"/>
                <w:color w:val="auto"/>
                <w:szCs w:val="21"/>
              </w:rPr>
            </w:pPr>
          </w:p>
        </w:tc>
        <w:tc>
          <w:tcPr>
            <w:tcW w:w="1526" w:type="dxa"/>
            <w:vAlign w:val="center"/>
          </w:tcPr>
          <w:p w14:paraId="37C98F48">
            <w:pPr>
              <w:spacing w:line="240" w:lineRule="exact"/>
              <w:jc w:val="center"/>
              <w:rPr>
                <w:rFonts w:hint="eastAsia" w:ascii="宋体" w:hAnsi="宋体" w:cs="Arial"/>
                <w:color w:val="auto"/>
                <w:szCs w:val="21"/>
              </w:rPr>
            </w:pPr>
            <w:r>
              <w:rPr>
                <w:rFonts w:ascii="宋体" w:hAnsi="宋体" w:cs="Arial"/>
                <w:color w:val="auto"/>
                <w:szCs w:val="21"/>
              </w:rPr>
              <w:t>二、蓼科</w:t>
            </w:r>
          </w:p>
        </w:tc>
        <w:tc>
          <w:tcPr>
            <w:tcW w:w="4847" w:type="dxa"/>
            <w:vAlign w:val="center"/>
          </w:tcPr>
          <w:p w14:paraId="4A8A7F9E">
            <w:pPr>
              <w:spacing w:line="240" w:lineRule="exact"/>
              <w:jc w:val="center"/>
              <w:rPr>
                <w:rFonts w:hint="eastAsia" w:ascii="宋体" w:hAnsi="宋体" w:cs="Arial"/>
                <w:i/>
                <w:color w:val="auto"/>
                <w:szCs w:val="21"/>
              </w:rPr>
            </w:pPr>
            <w:r>
              <w:rPr>
                <w:rFonts w:ascii="宋体" w:hAnsi="宋体" w:cs="Arial"/>
                <w:i/>
                <w:color w:val="auto"/>
                <w:szCs w:val="21"/>
              </w:rPr>
              <w:t>Ploygonaceae</w:t>
            </w:r>
          </w:p>
        </w:tc>
        <w:tc>
          <w:tcPr>
            <w:tcW w:w="707" w:type="dxa"/>
            <w:vAlign w:val="center"/>
          </w:tcPr>
          <w:p w14:paraId="3E4EAEA9">
            <w:pPr>
              <w:spacing w:line="240" w:lineRule="exact"/>
              <w:jc w:val="center"/>
              <w:rPr>
                <w:rFonts w:hint="eastAsia" w:ascii="宋体" w:hAnsi="宋体" w:cs="Arial"/>
                <w:color w:val="auto"/>
                <w:szCs w:val="21"/>
              </w:rPr>
            </w:pPr>
          </w:p>
        </w:tc>
        <w:tc>
          <w:tcPr>
            <w:tcW w:w="791" w:type="dxa"/>
            <w:vAlign w:val="center"/>
          </w:tcPr>
          <w:p w14:paraId="6B8F5033">
            <w:pPr>
              <w:spacing w:line="240" w:lineRule="exact"/>
              <w:jc w:val="center"/>
              <w:rPr>
                <w:rFonts w:hint="eastAsia" w:ascii="宋体" w:hAnsi="宋体" w:cs="Arial"/>
                <w:color w:val="auto"/>
                <w:szCs w:val="21"/>
              </w:rPr>
            </w:pPr>
          </w:p>
        </w:tc>
      </w:tr>
      <w:tr w14:paraId="36B26A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7193B2C1">
            <w:pPr>
              <w:spacing w:line="240" w:lineRule="exact"/>
              <w:jc w:val="center"/>
              <w:rPr>
                <w:rFonts w:hint="eastAsia" w:ascii="宋体" w:hAnsi="宋体" w:cs="Arial"/>
                <w:color w:val="auto"/>
                <w:szCs w:val="21"/>
              </w:rPr>
            </w:pPr>
            <w:r>
              <w:rPr>
                <w:rFonts w:ascii="宋体" w:hAnsi="宋体" w:cs="Arial"/>
                <w:color w:val="auto"/>
                <w:szCs w:val="21"/>
              </w:rPr>
              <w:t>4</w:t>
            </w:r>
          </w:p>
        </w:tc>
        <w:tc>
          <w:tcPr>
            <w:tcW w:w="1526" w:type="dxa"/>
            <w:vAlign w:val="center"/>
          </w:tcPr>
          <w:p w14:paraId="4A3D7858">
            <w:pPr>
              <w:spacing w:line="240" w:lineRule="exact"/>
              <w:jc w:val="center"/>
              <w:rPr>
                <w:rFonts w:hint="eastAsia" w:ascii="宋体" w:hAnsi="宋体" w:cs="Arial"/>
                <w:color w:val="auto"/>
                <w:szCs w:val="21"/>
              </w:rPr>
            </w:pPr>
            <w:r>
              <w:rPr>
                <w:rFonts w:ascii="宋体" w:hAnsi="宋体" w:cs="Arial"/>
                <w:color w:val="auto"/>
                <w:szCs w:val="21"/>
              </w:rPr>
              <w:t>白杆沙拐枣</w:t>
            </w:r>
          </w:p>
        </w:tc>
        <w:tc>
          <w:tcPr>
            <w:tcW w:w="4847" w:type="dxa"/>
            <w:vAlign w:val="center"/>
          </w:tcPr>
          <w:p w14:paraId="333EA6E7">
            <w:pPr>
              <w:spacing w:line="240" w:lineRule="exact"/>
              <w:jc w:val="center"/>
              <w:rPr>
                <w:rFonts w:hint="eastAsia" w:ascii="宋体" w:hAnsi="宋体" w:cs="Arial"/>
                <w:i/>
                <w:color w:val="auto"/>
                <w:szCs w:val="21"/>
              </w:rPr>
            </w:pPr>
            <w:r>
              <w:rPr>
                <w:rFonts w:ascii="宋体" w:hAnsi="宋体" w:cs="Arial"/>
                <w:i/>
                <w:color w:val="auto"/>
                <w:szCs w:val="21"/>
              </w:rPr>
              <w:t>Calligonum leucocladum</w:t>
            </w:r>
          </w:p>
        </w:tc>
        <w:tc>
          <w:tcPr>
            <w:tcW w:w="707" w:type="dxa"/>
            <w:vAlign w:val="center"/>
          </w:tcPr>
          <w:p w14:paraId="0595CB15">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5E9C8BF7">
            <w:pPr>
              <w:spacing w:line="240" w:lineRule="exact"/>
              <w:jc w:val="center"/>
              <w:rPr>
                <w:rFonts w:hint="eastAsia" w:ascii="宋体" w:hAnsi="宋体" w:cs="Arial"/>
                <w:color w:val="auto"/>
                <w:szCs w:val="21"/>
              </w:rPr>
            </w:pPr>
          </w:p>
        </w:tc>
      </w:tr>
      <w:tr w14:paraId="56E62F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75A9E6C8">
            <w:pPr>
              <w:spacing w:line="240" w:lineRule="exact"/>
              <w:jc w:val="center"/>
              <w:rPr>
                <w:rFonts w:hint="eastAsia" w:ascii="宋体" w:hAnsi="宋体" w:cs="Arial"/>
                <w:color w:val="auto"/>
                <w:szCs w:val="21"/>
              </w:rPr>
            </w:pPr>
          </w:p>
        </w:tc>
        <w:tc>
          <w:tcPr>
            <w:tcW w:w="1526" w:type="dxa"/>
            <w:vAlign w:val="center"/>
          </w:tcPr>
          <w:p w14:paraId="12078B48">
            <w:pPr>
              <w:spacing w:line="240" w:lineRule="exact"/>
              <w:jc w:val="center"/>
              <w:rPr>
                <w:rFonts w:hint="eastAsia" w:ascii="宋体" w:hAnsi="宋体" w:cs="Arial"/>
                <w:color w:val="auto"/>
                <w:szCs w:val="21"/>
              </w:rPr>
            </w:pPr>
            <w:r>
              <w:rPr>
                <w:rFonts w:ascii="宋体" w:hAnsi="宋体" w:cs="Arial"/>
                <w:color w:val="auto"/>
                <w:szCs w:val="21"/>
              </w:rPr>
              <w:t>三、藜科</w:t>
            </w:r>
          </w:p>
        </w:tc>
        <w:tc>
          <w:tcPr>
            <w:tcW w:w="4847" w:type="dxa"/>
            <w:vAlign w:val="center"/>
          </w:tcPr>
          <w:p w14:paraId="4677101D">
            <w:pPr>
              <w:spacing w:line="240" w:lineRule="exact"/>
              <w:jc w:val="center"/>
              <w:rPr>
                <w:rFonts w:hint="eastAsia" w:ascii="宋体" w:hAnsi="宋体" w:cs="Arial"/>
                <w:i/>
                <w:color w:val="auto"/>
                <w:szCs w:val="21"/>
              </w:rPr>
            </w:pPr>
            <w:r>
              <w:rPr>
                <w:rFonts w:ascii="宋体" w:hAnsi="宋体" w:cs="Arial"/>
                <w:i/>
                <w:color w:val="auto"/>
                <w:szCs w:val="21"/>
              </w:rPr>
              <w:t>Chenopodiaceae</w:t>
            </w:r>
          </w:p>
        </w:tc>
        <w:tc>
          <w:tcPr>
            <w:tcW w:w="707" w:type="dxa"/>
            <w:vAlign w:val="center"/>
          </w:tcPr>
          <w:p w14:paraId="60B202E6">
            <w:pPr>
              <w:spacing w:line="240" w:lineRule="exact"/>
              <w:jc w:val="center"/>
              <w:rPr>
                <w:rFonts w:hint="eastAsia" w:ascii="宋体" w:hAnsi="宋体" w:cs="Arial"/>
                <w:color w:val="auto"/>
                <w:szCs w:val="21"/>
              </w:rPr>
            </w:pPr>
          </w:p>
        </w:tc>
        <w:tc>
          <w:tcPr>
            <w:tcW w:w="791" w:type="dxa"/>
            <w:vAlign w:val="center"/>
          </w:tcPr>
          <w:p w14:paraId="28260DA5">
            <w:pPr>
              <w:spacing w:line="240" w:lineRule="exact"/>
              <w:jc w:val="center"/>
              <w:rPr>
                <w:rFonts w:hint="eastAsia" w:ascii="宋体" w:hAnsi="宋体" w:cs="Arial"/>
                <w:color w:val="auto"/>
                <w:szCs w:val="21"/>
              </w:rPr>
            </w:pPr>
          </w:p>
        </w:tc>
      </w:tr>
      <w:tr w14:paraId="0DE98B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57B878E5">
            <w:pPr>
              <w:spacing w:line="240" w:lineRule="exact"/>
              <w:jc w:val="center"/>
              <w:rPr>
                <w:rFonts w:hint="eastAsia" w:ascii="宋体" w:hAnsi="宋体" w:cs="Arial"/>
                <w:color w:val="auto"/>
                <w:szCs w:val="21"/>
              </w:rPr>
            </w:pPr>
            <w:r>
              <w:rPr>
                <w:rFonts w:ascii="宋体" w:hAnsi="宋体" w:cs="Arial"/>
                <w:color w:val="auto"/>
                <w:szCs w:val="21"/>
              </w:rPr>
              <w:t>5</w:t>
            </w:r>
          </w:p>
        </w:tc>
        <w:tc>
          <w:tcPr>
            <w:tcW w:w="1526" w:type="dxa"/>
            <w:vAlign w:val="center"/>
          </w:tcPr>
          <w:p w14:paraId="5B02C2A8">
            <w:pPr>
              <w:spacing w:line="240" w:lineRule="exact"/>
              <w:jc w:val="center"/>
              <w:rPr>
                <w:rFonts w:hint="eastAsia" w:ascii="宋体" w:hAnsi="宋体" w:cs="Arial"/>
                <w:color w:val="auto"/>
                <w:szCs w:val="21"/>
              </w:rPr>
            </w:pPr>
            <w:r>
              <w:rPr>
                <w:rFonts w:ascii="宋体" w:hAnsi="宋体" w:cs="Arial"/>
                <w:color w:val="auto"/>
                <w:szCs w:val="21"/>
              </w:rPr>
              <w:t>沙米</w:t>
            </w:r>
          </w:p>
        </w:tc>
        <w:tc>
          <w:tcPr>
            <w:tcW w:w="4847" w:type="dxa"/>
            <w:vAlign w:val="center"/>
          </w:tcPr>
          <w:p w14:paraId="13F27C3A">
            <w:pPr>
              <w:spacing w:line="240" w:lineRule="exact"/>
              <w:jc w:val="center"/>
              <w:rPr>
                <w:rFonts w:hint="eastAsia" w:ascii="宋体" w:hAnsi="宋体" w:cs="Arial"/>
                <w:i/>
                <w:color w:val="auto"/>
                <w:szCs w:val="21"/>
              </w:rPr>
            </w:pPr>
            <w:r>
              <w:rPr>
                <w:rFonts w:ascii="宋体" w:hAnsi="宋体" w:cs="Arial"/>
                <w:i/>
                <w:color w:val="auto"/>
                <w:szCs w:val="21"/>
              </w:rPr>
              <w:t>Agriophyllum arenarium</w:t>
            </w:r>
          </w:p>
        </w:tc>
        <w:tc>
          <w:tcPr>
            <w:tcW w:w="707" w:type="dxa"/>
            <w:vAlign w:val="center"/>
          </w:tcPr>
          <w:p w14:paraId="589484B3">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54B3B9BE">
            <w:pPr>
              <w:spacing w:line="240" w:lineRule="exact"/>
              <w:jc w:val="center"/>
              <w:rPr>
                <w:rFonts w:hint="eastAsia" w:ascii="宋体" w:hAnsi="宋体" w:cs="Arial"/>
                <w:color w:val="auto"/>
                <w:szCs w:val="21"/>
              </w:rPr>
            </w:pPr>
          </w:p>
        </w:tc>
      </w:tr>
      <w:tr w14:paraId="10A531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539514E1">
            <w:pPr>
              <w:spacing w:line="240" w:lineRule="exact"/>
              <w:jc w:val="center"/>
              <w:rPr>
                <w:rFonts w:hint="eastAsia" w:ascii="宋体" w:hAnsi="宋体" w:cs="Arial"/>
                <w:color w:val="auto"/>
                <w:szCs w:val="21"/>
              </w:rPr>
            </w:pPr>
            <w:r>
              <w:rPr>
                <w:rFonts w:ascii="宋体" w:hAnsi="宋体" w:cs="Arial"/>
                <w:color w:val="auto"/>
                <w:szCs w:val="21"/>
              </w:rPr>
              <w:t>6</w:t>
            </w:r>
          </w:p>
        </w:tc>
        <w:tc>
          <w:tcPr>
            <w:tcW w:w="1526" w:type="dxa"/>
            <w:vAlign w:val="center"/>
          </w:tcPr>
          <w:p w14:paraId="194ED342">
            <w:pPr>
              <w:spacing w:line="240" w:lineRule="exact"/>
              <w:jc w:val="center"/>
              <w:rPr>
                <w:rFonts w:hint="eastAsia" w:ascii="宋体" w:hAnsi="宋体" w:cs="Arial"/>
                <w:color w:val="auto"/>
                <w:szCs w:val="21"/>
              </w:rPr>
            </w:pPr>
            <w:r>
              <w:rPr>
                <w:rFonts w:ascii="宋体" w:hAnsi="宋体" w:cs="Arial"/>
                <w:color w:val="auto"/>
                <w:szCs w:val="21"/>
              </w:rPr>
              <w:t>白梭梭</w:t>
            </w:r>
          </w:p>
        </w:tc>
        <w:tc>
          <w:tcPr>
            <w:tcW w:w="4847" w:type="dxa"/>
            <w:vAlign w:val="center"/>
          </w:tcPr>
          <w:p w14:paraId="000B4473">
            <w:pPr>
              <w:spacing w:line="240" w:lineRule="exact"/>
              <w:jc w:val="center"/>
              <w:rPr>
                <w:rFonts w:hint="eastAsia" w:ascii="宋体" w:hAnsi="宋体" w:cs="Arial"/>
                <w:i/>
                <w:color w:val="auto"/>
                <w:szCs w:val="21"/>
              </w:rPr>
            </w:pPr>
            <w:r>
              <w:rPr>
                <w:rFonts w:ascii="宋体" w:hAnsi="宋体" w:cs="Arial"/>
                <w:i/>
                <w:color w:val="auto"/>
                <w:szCs w:val="21"/>
              </w:rPr>
              <w:t>Haloxylon persicum</w:t>
            </w:r>
          </w:p>
        </w:tc>
        <w:tc>
          <w:tcPr>
            <w:tcW w:w="707" w:type="dxa"/>
            <w:vAlign w:val="center"/>
          </w:tcPr>
          <w:p w14:paraId="4B4DAF77">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7E515134">
            <w:pPr>
              <w:spacing w:line="240" w:lineRule="exact"/>
              <w:jc w:val="center"/>
              <w:rPr>
                <w:rFonts w:hint="eastAsia" w:ascii="宋体" w:hAnsi="宋体" w:cs="Arial"/>
                <w:color w:val="auto"/>
                <w:szCs w:val="21"/>
              </w:rPr>
            </w:pPr>
            <w:r>
              <w:rPr>
                <w:rFonts w:ascii="宋体" w:hAnsi="宋体" w:cs="Arial"/>
                <w:color w:val="auto"/>
                <w:szCs w:val="21"/>
              </w:rPr>
              <w:t>-</w:t>
            </w:r>
          </w:p>
        </w:tc>
      </w:tr>
      <w:tr w14:paraId="00E9BB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2C716D89">
            <w:pPr>
              <w:spacing w:line="240" w:lineRule="exact"/>
              <w:jc w:val="center"/>
              <w:rPr>
                <w:rFonts w:hint="eastAsia" w:ascii="宋体" w:hAnsi="宋体" w:cs="Arial"/>
                <w:color w:val="auto"/>
                <w:szCs w:val="21"/>
              </w:rPr>
            </w:pPr>
            <w:r>
              <w:rPr>
                <w:rFonts w:ascii="宋体" w:hAnsi="宋体" w:cs="Arial"/>
                <w:color w:val="auto"/>
                <w:szCs w:val="21"/>
              </w:rPr>
              <w:t>7</w:t>
            </w:r>
          </w:p>
        </w:tc>
        <w:tc>
          <w:tcPr>
            <w:tcW w:w="1526" w:type="dxa"/>
            <w:vAlign w:val="center"/>
          </w:tcPr>
          <w:p w14:paraId="1683E6C1">
            <w:pPr>
              <w:spacing w:line="240" w:lineRule="exact"/>
              <w:jc w:val="center"/>
              <w:rPr>
                <w:rFonts w:hint="eastAsia" w:ascii="宋体" w:hAnsi="宋体" w:cs="Arial"/>
                <w:color w:val="auto"/>
                <w:szCs w:val="21"/>
              </w:rPr>
            </w:pPr>
            <w:r>
              <w:rPr>
                <w:rFonts w:ascii="宋体" w:hAnsi="宋体" w:cs="Arial"/>
                <w:color w:val="auto"/>
                <w:szCs w:val="21"/>
              </w:rPr>
              <w:t>梭梭</w:t>
            </w:r>
          </w:p>
        </w:tc>
        <w:tc>
          <w:tcPr>
            <w:tcW w:w="4847" w:type="dxa"/>
            <w:vAlign w:val="center"/>
          </w:tcPr>
          <w:p w14:paraId="5D38469D">
            <w:pPr>
              <w:spacing w:line="240" w:lineRule="exact"/>
              <w:jc w:val="center"/>
              <w:rPr>
                <w:rFonts w:hint="eastAsia" w:ascii="宋体" w:hAnsi="宋体" w:cs="Arial"/>
                <w:i/>
                <w:color w:val="auto"/>
                <w:szCs w:val="21"/>
              </w:rPr>
            </w:pPr>
            <w:r>
              <w:rPr>
                <w:rFonts w:ascii="宋体" w:hAnsi="宋体" w:cs="Arial"/>
                <w:i/>
                <w:color w:val="auto"/>
                <w:szCs w:val="21"/>
              </w:rPr>
              <w:t>Haloxylon ammodendron</w:t>
            </w:r>
          </w:p>
        </w:tc>
        <w:tc>
          <w:tcPr>
            <w:tcW w:w="707" w:type="dxa"/>
            <w:vAlign w:val="center"/>
          </w:tcPr>
          <w:p w14:paraId="52F9E055">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571FFAEA">
            <w:pPr>
              <w:spacing w:line="240" w:lineRule="exact"/>
              <w:jc w:val="center"/>
              <w:rPr>
                <w:rFonts w:hint="eastAsia" w:ascii="宋体" w:hAnsi="宋体" w:cs="Arial"/>
                <w:color w:val="auto"/>
                <w:szCs w:val="21"/>
              </w:rPr>
            </w:pPr>
            <w:r>
              <w:rPr>
                <w:rFonts w:ascii="宋体" w:hAnsi="宋体" w:cs="Arial"/>
                <w:color w:val="auto"/>
                <w:szCs w:val="21"/>
              </w:rPr>
              <w:t>++</w:t>
            </w:r>
          </w:p>
        </w:tc>
      </w:tr>
      <w:tr w14:paraId="56621D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21C24539">
            <w:pPr>
              <w:spacing w:line="240" w:lineRule="exact"/>
              <w:jc w:val="center"/>
              <w:rPr>
                <w:rFonts w:hint="eastAsia" w:ascii="宋体" w:hAnsi="宋体" w:cs="Arial"/>
                <w:color w:val="auto"/>
                <w:szCs w:val="21"/>
              </w:rPr>
            </w:pPr>
            <w:r>
              <w:rPr>
                <w:rFonts w:ascii="宋体" w:hAnsi="宋体" w:cs="Arial"/>
                <w:color w:val="auto"/>
                <w:szCs w:val="21"/>
              </w:rPr>
              <w:t>8</w:t>
            </w:r>
          </w:p>
        </w:tc>
        <w:tc>
          <w:tcPr>
            <w:tcW w:w="1526" w:type="dxa"/>
            <w:vAlign w:val="center"/>
          </w:tcPr>
          <w:p w14:paraId="34E6588D">
            <w:pPr>
              <w:spacing w:line="240" w:lineRule="exact"/>
              <w:jc w:val="center"/>
              <w:rPr>
                <w:rFonts w:hint="eastAsia" w:ascii="宋体" w:hAnsi="宋体" w:cs="Arial"/>
                <w:color w:val="auto"/>
                <w:szCs w:val="21"/>
              </w:rPr>
            </w:pPr>
            <w:r>
              <w:rPr>
                <w:rFonts w:ascii="宋体" w:hAnsi="宋体" w:cs="Arial"/>
                <w:color w:val="auto"/>
                <w:szCs w:val="21"/>
              </w:rPr>
              <w:t>猪毛菜</w:t>
            </w:r>
          </w:p>
        </w:tc>
        <w:tc>
          <w:tcPr>
            <w:tcW w:w="4847" w:type="dxa"/>
            <w:vAlign w:val="center"/>
          </w:tcPr>
          <w:p w14:paraId="03DFEB16">
            <w:pPr>
              <w:spacing w:line="240" w:lineRule="exact"/>
              <w:jc w:val="center"/>
              <w:rPr>
                <w:rFonts w:hint="eastAsia" w:ascii="宋体" w:hAnsi="宋体" w:cs="Arial"/>
                <w:i/>
                <w:color w:val="auto"/>
                <w:szCs w:val="21"/>
              </w:rPr>
            </w:pPr>
            <w:r>
              <w:rPr>
                <w:rFonts w:ascii="宋体" w:hAnsi="宋体" w:cs="Arial"/>
                <w:i/>
                <w:color w:val="auto"/>
                <w:szCs w:val="21"/>
              </w:rPr>
              <w:t>Salsola collina</w:t>
            </w:r>
          </w:p>
        </w:tc>
        <w:tc>
          <w:tcPr>
            <w:tcW w:w="707" w:type="dxa"/>
            <w:vAlign w:val="center"/>
          </w:tcPr>
          <w:p w14:paraId="404A5C42">
            <w:pPr>
              <w:spacing w:line="240" w:lineRule="exact"/>
              <w:jc w:val="center"/>
              <w:rPr>
                <w:rFonts w:hint="eastAsia" w:ascii="宋体" w:hAnsi="宋体" w:cs="Arial"/>
                <w:color w:val="auto"/>
                <w:szCs w:val="21"/>
              </w:rPr>
            </w:pPr>
          </w:p>
        </w:tc>
        <w:tc>
          <w:tcPr>
            <w:tcW w:w="791" w:type="dxa"/>
            <w:vAlign w:val="center"/>
          </w:tcPr>
          <w:p w14:paraId="7FC22714">
            <w:pPr>
              <w:spacing w:line="240" w:lineRule="exact"/>
              <w:jc w:val="center"/>
              <w:rPr>
                <w:rFonts w:hint="eastAsia" w:ascii="宋体" w:hAnsi="宋体" w:cs="Arial"/>
                <w:color w:val="auto"/>
                <w:szCs w:val="21"/>
              </w:rPr>
            </w:pPr>
            <w:r>
              <w:rPr>
                <w:rFonts w:ascii="宋体" w:hAnsi="宋体" w:cs="Arial"/>
                <w:color w:val="auto"/>
                <w:szCs w:val="21"/>
              </w:rPr>
              <w:t>+</w:t>
            </w:r>
          </w:p>
        </w:tc>
      </w:tr>
      <w:tr w14:paraId="6B1352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0D0D05E7">
            <w:pPr>
              <w:spacing w:line="240" w:lineRule="exact"/>
              <w:jc w:val="center"/>
              <w:rPr>
                <w:rFonts w:hint="eastAsia" w:ascii="宋体" w:hAnsi="宋体" w:cs="Arial"/>
                <w:color w:val="auto"/>
                <w:szCs w:val="21"/>
              </w:rPr>
            </w:pPr>
            <w:r>
              <w:rPr>
                <w:rFonts w:ascii="宋体" w:hAnsi="宋体" w:cs="Arial"/>
                <w:color w:val="auto"/>
                <w:szCs w:val="21"/>
              </w:rPr>
              <w:t>9</w:t>
            </w:r>
          </w:p>
        </w:tc>
        <w:tc>
          <w:tcPr>
            <w:tcW w:w="1526" w:type="dxa"/>
            <w:vAlign w:val="center"/>
          </w:tcPr>
          <w:p w14:paraId="47A81A3A">
            <w:pPr>
              <w:spacing w:line="240" w:lineRule="exact"/>
              <w:jc w:val="center"/>
              <w:rPr>
                <w:rFonts w:hint="eastAsia" w:ascii="宋体" w:hAnsi="宋体" w:cs="Arial"/>
                <w:color w:val="auto"/>
                <w:szCs w:val="21"/>
              </w:rPr>
            </w:pPr>
            <w:r>
              <w:rPr>
                <w:rFonts w:ascii="宋体" w:hAnsi="宋体" w:cs="Arial"/>
                <w:color w:val="auto"/>
                <w:szCs w:val="21"/>
              </w:rPr>
              <w:t>散枝梯翅蓬</w:t>
            </w:r>
          </w:p>
        </w:tc>
        <w:tc>
          <w:tcPr>
            <w:tcW w:w="4847" w:type="dxa"/>
            <w:vAlign w:val="center"/>
          </w:tcPr>
          <w:p w14:paraId="1702FC76">
            <w:pPr>
              <w:spacing w:line="240" w:lineRule="exact"/>
              <w:jc w:val="center"/>
              <w:rPr>
                <w:rFonts w:hint="eastAsia" w:ascii="宋体" w:hAnsi="宋体" w:cs="Arial"/>
                <w:i/>
                <w:color w:val="auto"/>
                <w:szCs w:val="21"/>
              </w:rPr>
            </w:pPr>
            <w:r>
              <w:rPr>
                <w:rFonts w:ascii="宋体" w:hAnsi="宋体" w:cs="Arial"/>
                <w:i/>
                <w:color w:val="auto"/>
                <w:szCs w:val="21"/>
              </w:rPr>
              <w:t>Salsola brachiata</w:t>
            </w:r>
          </w:p>
        </w:tc>
        <w:tc>
          <w:tcPr>
            <w:tcW w:w="707" w:type="dxa"/>
            <w:vAlign w:val="center"/>
          </w:tcPr>
          <w:p w14:paraId="689C0917">
            <w:pPr>
              <w:spacing w:line="240" w:lineRule="exact"/>
              <w:jc w:val="center"/>
              <w:rPr>
                <w:rFonts w:hint="eastAsia" w:ascii="宋体" w:hAnsi="宋体" w:cs="Arial"/>
                <w:color w:val="auto"/>
                <w:szCs w:val="21"/>
              </w:rPr>
            </w:pPr>
          </w:p>
        </w:tc>
        <w:tc>
          <w:tcPr>
            <w:tcW w:w="791" w:type="dxa"/>
            <w:vAlign w:val="center"/>
          </w:tcPr>
          <w:p w14:paraId="4515A979">
            <w:pPr>
              <w:spacing w:line="240" w:lineRule="exact"/>
              <w:jc w:val="center"/>
              <w:rPr>
                <w:rFonts w:hint="eastAsia" w:ascii="宋体" w:hAnsi="宋体" w:cs="Arial"/>
                <w:color w:val="auto"/>
                <w:szCs w:val="21"/>
              </w:rPr>
            </w:pPr>
            <w:r>
              <w:rPr>
                <w:rFonts w:ascii="宋体" w:hAnsi="宋体" w:cs="Arial"/>
                <w:color w:val="auto"/>
                <w:szCs w:val="21"/>
              </w:rPr>
              <w:t>+</w:t>
            </w:r>
          </w:p>
        </w:tc>
      </w:tr>
      <w:tr w14:paraId="4DFB36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5F617BB4">
            <w:pPr>
              <w:spacing w:line="240" w:lineRule="exact"/>
              <w:jc w:val="center"/>
              <w:rPr>
                <w:rFonts w:hint="eastAsia" w:ascii="宋体" w:hAnsi="宋体" w:cs="Arial"/>
                <w:color w:val="auto"/>
                <w:szCs w:val="21"/>
              </w:rPr>
            </w:pPr>
            <w:r>
              <w:rPr>
                <w:rFonts w:ascii="宋体" w:hAnsi="宋体" w:cs="Arial"/>
                <w:color w:val="auto"/>
                <w:szCs w:val="21"/>
              </w:rPr>
              <w:t>10</w:t>
            </w:r>
          </w:p>
        </w:tc>
        <w:tc>
          <w:tcPr>
            <w:tcW w:w="1526" w:type="dxa"/>
            <w:vAlign w:val="center"/>
          </w:tcPr>
          <w:p w14:paraId="39D3A359">
            <w:pPr>
              <w:spacing w:line="240" w:lineRule="exact"/>
              <w:jc w:val="center"/>
              <w:rPr>
                <w:rFonts w:hint="eastAsia" w:ascii="宋体" w:hAnsi="宋体" w:cs="Arial"/>
                <w:color w:val="auto"/>
                <w:szCs w:val="21"/>
              </w:rPr>
            </w:pPr>
            <w:r>
              <w:rPr>
                <w:rFonts w:ascii="宋体" w:hAnsi="宋体" w:cs="Arial"/>
                <w:color w:val="auto"/>
                <w:szCs w:val="21"/>
              </w:rPr>
              <w:t>刺蓬</w:t>
            </w:r>
          </w:p>
        </w:tc>
        <w:tc>
          <w:tcPr>
            <w:tcW w:w="4847" w:type="dxa"/>
            <w:vAlign w:val="center"/>
          </w:tcPr>
          <w:p w14:paraId="072E69F2">
            <w:pPr>
              <w:spacing w:line="240" w:lineRule="exact"/>
              <w:jc w:val="center"/>
              <w:rPr>
                <w:rFonts w:hint="eastAsia" w:ascii="宋体" w:hAnsi="宋体" w:cs="Arial"/>
                <w:i/>
                <w:color w:val="auto"/>
                <w:szCs w:val="21"/>
              </w:rPr>
            </w:pPr>
            <w:r>
              <w:rPr>
                <w:rFonts w:ascii="宋体" w:hAnsi="宋体" w:cs="Arial"/>
                <w:i/>
                <w:color w:val="auto"/>
                <w:szCs w:val="21"/>
              </w:rPr>
              <w:t>Salsola pestifer</w:t>
            </w:r>
          </w:p>
        </w:tc>
        <w:tc>
          <w:tcPr>
            <w:tcW w:w="707" w:type="dxa"/>
            <w:vAlign w:val="center"/>
          </w:tcPr>
          <w:p w14:paraId="1AA32FE0">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01705861">
            <w:pPr>
              <w:spacing w:line="240" w:lineRule="exact"/>
              <w:jc w:val="center"/>
              <w:rPr>
                <w:rFonts w:hint="eastAsia" w:ascii="宋体" w:hAnsi="宋体" w:cs="Arial"/>
                <w:color w:val="auto"/>
                <w:szCs w:val="21"/>
              </w:rPr>
            </w:pPr>
          </w:p>
        </w:tc>
      </w:tr>
      <w:tr w14:paraId="7DD21A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39785E46">
            <w:pPr>
              <w:spacing w:line="240" w:lineRule="exact"/>
              <w:jc w:val="center"/>
              <w:rPr>
                <w:rFonts w:hint="eastAsia" w:ascii="宋体" w:hAnsi="宋体" w:cs="Arial"/>
                <w:color w:val="auto"/>
                <w:szCs w:val="21"/>
              </w:rPr>
            </w:pPr>
            <w:r>
              <w:rPr>
                <w:rFonts w:ascii="宋体" w:hAnsi="宋体" w:cs="Arial"/>
                <w:color w:val="auto"/>
                <w:szCs w:val="21"/>
              </w:rPr>
              <w:t>11</w:t>
            </w:r>
          </w:p>
        </w:tc>
        <w:tc>
          <w:tcPr>
            <w:tcW w:w="1526" w:type="dxa"/>
            <w:vAlign w:val="center"/>
          </w:tcPr>
          <w:p w14:paraId="59C57FBD">
            <w:pPr>
              <w:spacing w:line="240" w:lineRule="exact"/>
              <w:jc w:val="center"/>
              <w:rPr>
                <w:rFonts w:hint="eastAsia" w:ascii="宋体" w:hAnsi="宋体" w:cs="Arial"/>
                <w:color w:val="auto"/>
                <w:szCs w:val="21"/>
              </w:rPr>
            </w:pPr>
            <w:r>
              <w:rPr>
                <w:rFonts w:ascii="宋体" w:hAnsi="宋体" w:cs="Arial"/>
                <w:color w:val="auto"/>
                <w:szCs w:val="21"/>
              </w:rPr>
              <w:t>犁苞滨藜</w:t>
            </w:r>
          </w:p>
        </w:tc>
        <w:tc>
          <w:tcPr>
            <w:tcW w:w="4847" w:type="dxa"/>
            <w:vAlign w:val="center"/>
          </w:tcPr>
          <w:p w14:paraId="08C26D79">
            <w:pPr>
              <w:spacing w:line="240" w:lineRule="exact"/>
              <w:jc w:val="center"/>
              <w:rPr>
                <w:rFonts w:hint="eastAsia" w:ascii="宋体" w:hAnsi="宋体" w:cs="Arial"/>
                <w:i/>
                <w:color w:val="auto"/>
                <w:szCs w:val="21"/>
              </w:rPr>
            </w:pPr>
            <w:r>
              <w:rPr>
                <w:rFonts w:ascii="宋体" w:hAnsi="宋体" w:cs="Arial"/>
                <w:i/>
                <w:color w:val="auto"/>
                <w:szCs w:val="21"/>
              </w:rPr>
              <w:t>Atriplex patens dimorphotegria</w:t>
            </w:r>
          </w:p>
        </w:tc>
        <w:tc>
          <w:tcPr>
            <w:tcW w:w="707" w:type="dxa"/>
            <w:vAlign w:val="center"/>
          </w:tcPr>
          <w:p w14:paraId="25EE7F72">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499BECA4">
            <w:pPr>
              <w:spacing w:line="240" w:lineRule="exact"/>
              <w:jc w:val="center"/>
              <w:rPr>
                <w:rFonts w:hint="eastAsia" w:ascii="宋体" w:hAnsi="宋体" w:cs="Arial"/>
                <w:color w:val="auto"/>
                <w:szCs w:val="21"/>
              </w:rPr>
            </w:pPr>
            <w:r>
              <w:rPr>
                <w:rFonts w:ascii="宋体" w:hAnsi="宋体" w:cs="Arial"/>
                <w:color w:val="auto"/>
                <w:szCs w:val="21"/>
              </w:rPr>
              <w:t>++</w:t>
            </w:r>
          </w:p>
        </w:tc>
      </w:tr>
      <w:tr w14:paraId="2192E6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004439CD">
            <w:pPr>
              <w:spacing w:line="240" w:lineRule="exact"/>
              <w:jc w:val="center"/>
              <w:rPr>
                <w:rFonts w:hint="eastAsia" w:ascii="宋体" w:hAnsi="宋体" w:cs="Arial"/>
                <w:color w:val="auto"/>
                <w:szCs w:val="21"/>
              </w:rPr>
            </w:pPr>
            <w:r>
              <w:rPr>
                <w:rFonts w:ascii="宋体" w:hAnsi="宋体" w:cs="Arial"/>
                <w:color w:val="auto"/>
                <w:szCs w:val="21"/>
              </w:rPr>
              <w:t>12</w:t>
            </w:r>
          </w:p>
        </w:tc>
        <w:tc>
          <w:tcPr>
            <w:tcW w:w="1526" w:type="dxa"/>
            <w:vAlign w:val="center"/>
          </w:tcPr>
          <w:p w14:paraId="546A1928">
            <w:pPr>
              <w:spacing w:line="240" w:lineRule="exact"/>
              <w:jc w:val="center"/>
              <w:rPr>
                <w:rFonts w:hint="eastAsia" w:ascii="宋体" w:hAnsi="宋体" w:cs="Arial"/>
                <w:color w:val="auto"/>
                <w:szCs w:val="21"/>
              </w:rPr>
            </w:pPr>
            <w:r>
              <w:rPr>
                <w:rFonts w:ascii="宋体" w:hAnsi="宋体" w:cs="Arial"/>
                <w:color w:val="auto"/>
                <w:szCs w:val="21"/>
              </w:rPr>
              <w:t>雾滨藜</w:t>
            </w:r>
          </w:p>
        </w:tc>
        <w:tc>
          <w:tcPr>
            <w:tcW w:w="4847" w:type="dxa"/>
            <w:vAlign w:val="center"/>
          </w:tcPr>
          <w:p w14:paraId="0553E968">
            <w:pPr>
              <w:spacing w:line="240" w:lineRule="exact"/>
              <w:jc w:val="center"/>
              <w:rPr>
                <w:rFonts w:hint="eastAsia" w:ascii="宋体" w:hAnsi="宋体" w:cs="Arial"/>
                <w:i/>
                <w:color w:val="auto"/>
                <w:szCs w:val="21"/>
              </w:rPr>
            </w:pPr>
            <w:r>
              <w:rPr>
                <w:rFonts w:ascii="宋体" w:hAnsi="宋体" w:cs="Arial"/>
                <w:i/>
                <w:color w:val="auto"/>
                <w:szCs w:val="21"/>
              </w:rPr>
              <w:t>Bassia dasyphylla</w:t>
            </w:r>
          </w:p>
        </w:tc>
        <w:tc>
          <w:tcPr>
            <w:tcW w:w="707" w:type="dxa"/>
            <w:vAlign w:val="center"/>
          </w:tcPr>
          <w:p w14:paraId="7F2DDC6C">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1D6E0A6E">
            <w:pPr>
              <w:spacing w:line="240" w:lineRule="exact"/>
              <w:jc w:val="center"/>
              <w:rPr>
                <w:rFonts w:hint="eastAsia" w:ascii="宋体" w:hAnsi="宋体" w:cs="Arial"/>
                <w:color w:val="auto"/>
                <w:szCs w:val="21"/>
              </w:rPr>
            </w:pPr>
            <w:r>
              <w:rPr>
                <w:rFonts w:ascii="宋体" w:hAnsi="宋体" w:cs="Arial"/>
                <w:color w:val="auto"/>
                <w:szCs w:val="21"/>
              </w:rPr>
              <w:t>+</w:t>
            </w:r>
          </w:p>
        </w:tc>
      </w:tr>
      <w:tr w14:paraId="5789A8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1BA9E2A2">
            <w:pPr>
              <w:spacing w:line="240" w:lineRule="exact"/>
              <w:jc w:val="center"/>
              <w:rPr>
                <w:rFonts w:hint="eastAsia" w:ascii="宋体" w:hAnsi="宋体" w:cs="Arial"/>
                <w:color w:val="auto"/>
                <w:szCs w:val="21"/>
              </w:rPr>
            </w:pPr>
            <w:r>
              <w:rPr>
                <w:rFonts w:ascii="宋体" w:hAnsi="宋体" w:cs="Arial"/>
                <w:color w:val="auto"/>
                <w:szCs w:val="21"/>
              </w:rPr>
              <w:t>13</w:t>
            </w:r>
          </w:p>
        </w:tc>
        <w:tc>
          <w:tcPr>
            <w:tcW w:w="1526" w:type="dxa"/>
            <w:vAlign w:val="center"/>
          </w:tcPr>
          <w:p w14:paraId="5F6826C2">
            <w:pPr>
              <w:spacing w:line="240" w:lineRule="exact"/>
              <w:jc w:val="center"/>
              <w:rPr>
                <w:rFonts w:hint="eastAsia" w:ascii="宋体" w:hAnsi="宋体" w:cs="Arial"/>
                <w:color w:val="auto"/>
                <w:szCs w:val="21"/>
              </w:rPr>
            </w:pPr>
            <w:r>
              <w:rPr>
                <w:rFonts w:ascii="宋体" w:hAnsi="宋体" w:cs="Arial"/>
                <w:color w:val="auto"/>
                <w:szCs w:val="21"/>
              </w:rPr>
              <w:t>倒披针叶虫实</w:t>
            </w:r>
          </w:p>
        </w:tc>
        <w:tc>
          <w:tcPr>
            <w:tcW w:w="4847" w:type="dxa"/>
            <w:vAlign w:val="center"/>
          </w:tcPr>
          <w:p w14:paraId="39A3CC60">
            <w:pPr>
              <w:spacing w:line="240" w:lineRule="exact"/>
              <w:jc w:val="center"/>
              <w:rPr>
                <w:rFonts w:hint="eastAsia" w:ascii="宋体" w:hAnsi="宋体" w:cs="Arial"/>
                <w:i/>
                <w:color w:val="auto"/>
                <w:szCs w:val="21"/>
              </w:rPr>
            </w:pPr>
            <w:r>
              <w:rPr>
                <w:rFonts w:ascii="宋体" w:hAnsi="宋体" w:cs="Arial"/>
                <w:i/>
                <w:color w:val="auto"/>
                <w:szCs w:val="21"/>
              </w:rPr>
              <w:t>Corispermum lehmannianum</w:t>
            </w:r>
          </w:p>
        </w:tc>
        <w:tc>
          <w:tcPr>
            <w:tcW w:w="707" w:type="dxa"/>
            <w:vAlign w:val="center"/>
          </w:tcPr>
          <w:p w14:paraId="5BE447EE">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5FA8531F">
            <w:pPr>
              <w:spacing w:line="240" w:lineRule="exact"/>
              <w:jc w:val="center"/>
              <w:rPr>
                <w:rFonts w:hint="eastAsia" w:ascii="宋体" w:hAnsi="宋体" w:cs="Arial"/>
                <w:color w:val="auto"/>
                <w:szCs w:val="21"/>
              </w:rPr>
            </w:pPr>
            <w:r>
              <w:rPr>
                <w:rFonts w:ascii="宋体" w:hAnsi="宋体" w:cs="Arial"/>
                <w:color w:val="auto"/>
                <w:szCs w:val="21"/>
              </w:rPr>
              <w:t>-</w:t>
            </w:r>
          </w:p>
        </w:tc>
      </w:tr>
      <w:tr w14:paraId="12D6E4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5700C1C1">
            <w:pPr>
              <w:spacing w:line="240" w:lineRule="exact"/>
              <w:jc w:val="center"/>
              <w:rPr>
                <w:rFonts w:hint="eastAsia" w:ascii="宋体" w:hAnsi="宋体" w:cs="Arial"/>
                <w:color w:val="auto"/>
                <w:szCs w:val="21"/>
              </w:rPr>
            </w:pPr>
            <w:r>
              <w:rPr>
                <w:rFonts w:ascii="宋体" w:hAnsi="宋体" w:cs="Arial"/>
                <w:color w:val="auto"/>
                <w:szCs w:val="21"/>
              </w:rPr>
              <w:t>14</w:t>
            </w:r>
          </w:p>
        </w:tc>
        <w:tc>
          <w:tcPr>
            <w:tcW w:w="1526" w:type="dxa"/>
            <w:vAlign w:val="center"/>
          </w:tcPr>
          <w:p w14:paraId="5315EA72">
            <w:pPr>
              <w:spacing w:line="240" w:lineRule="exact"/>
              <w:jc w:val="center"/>
              <w:rPr>
                <w:rFonts w:hint="eastAsia" w:ascii="宋体" w:hAnsi="宋体" w:cs="Arial"/>
                <w:color w:val="auto"/>
                <w:szCs w:val="21"/>
              </w:rPr>
            </w:pPr>
            <w:r>
              <w:rPr>
                <w:rFonts w:ascii="宋体" w:hAnsi="宋体" w:cs="Arial"/>
                <w:color w:val="auto"/>
                <w:szCs w:val="21"/>
              </w:rPr>
              <w:t>角果藜</w:t>
            </w:r>
          </w:p>
        </w:tc>
        <w:tc>
          <w:tcPr>
            <w:tcW w:w="4847" w:type="dxa"/>
            <w:vAlign w:val="center"/>
          </w:tcPr>
          <w:p w14:paraId="0ACFEF62">
            <w:pPr>
              <w:spacing w:line="240" w:lineRule="exact"/>
              <w:jc w:val="center"/>
              <w:rPr>
                <w:rFonts w:hint="eastAsia" w:ascii="宋体" w:hAnsi="宋体" w:cs="Arial"/>
                <w:i/>
                <w:color w:val="auto"/>
                <w:szCs w:val="21"/>
              </w:rPr>
            </w:pPr>
            <w:r>
              <w:rPr>
                <w:rFonts w:ascii="宋体" w:hAnsi="宋体" w:cs="Arial"/>
                <w:i/>
                <w:color w:val="auto"/>
                <w:szCs w:val="21"/>
              </w:rPr>
              <w:t>Ceratocarpus arenarius</w:t>
            </w:r>
          </w:p>
        </w:tc>
        <w:tc>
          <w:tcPr>
            <w:tcW w:w="707" w:type="dxa"/>
            <w:vAlign w:val="center"/>
          </w:tcPr>
          <w:p w14:paraId="661F3F84">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57D49EA4">
            <w:pPr>
              <w:spacing w:line="240" w:lineRule="exact"/>
              <w:jc w:val="center"/>
              <w:rPr>
                <w:rFonts w:hint="eastAsia" w:ascii="宋体" w:hAnsi="宋体" w:cs="Arial"/>
                <w:color w:val="auto"/>
                <w:szCs w:val="21"/>
              </w:rPr>
            </w:pPr>
            <w:r>
              <w:rPr>
                <w:rFonts w:ascii="宋体" w:hAnsi="宋体" w:cs="Arial"/>
                <w:color w:val="auto"/>
                <w:szCs w:val="21"/>
              </w:rPr>
              <w:t>+</w:t>
            </w:r>
          </w:p>
        </w:tc>
      </w:tr>
      <w:tr w14:paraId="33F9C1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5914638A">
            <w:pPr>
              <w:spacing w:line="240" w:lineRule="exact"/>
              <w:jc w:val="center"/>
              <w:rPr>
                <w:rFonts w:hint="eastAsia" w:ascii="宋体" w:hAnsi="宋体" w:cs="Arial"/>
                <w:color w:val="auto"/>
                <w:szCs w:val="21"/>
              </w:rPr>
            </w:pPr>
            <w:r>
              <w:rPr>
                <w:rFonts w:ascii="宋体" w:hAnsi="宋体" w:cs="Arial"/>
                <w:color w:val="auto"/>
                <w:szCs w:val="21"/>
              </w:rPr>
              <w:t>15</w:t>
            </w:r>
          </w:p>
        </w:tc>
        <w:tc>
          <w:tcPr>
            <w:tcW w:w="1526" w:type="dxa"/>
            <w:vAlign w:val="center"/>
          </w:tcPr>
          <w:p w14:paraId="7E3B8184">
            <w:pPr>
              <w:spacing w:line="240" w:lineRule="exact"/>
              <w:jc w:val="center"/>
              <w:rPr>
                <w:rFonts w:hint="eastAsia" w:ascii="宋体" w:hAnsi="宋体" w:cs="Arial"/>
                <w:color w:val="auto"/>
                <w:szCs w:val="21"/>
              </w:rPr>
            </w:pPr>
            <w:r>
              <w:rPr>
                <w:rFonts w:ascii="宋体" w:hAnsi="宋体" w:cs="Arial"/>
                <w:color w:val="auto"/>
                <w:szCs w:val="21"/>
              </w:rPr>
              <w:t>对节刺</w:t>
            </w:r>
          </w:p>
        </w:tc>
        <w:tc>
          <w:tcPr>
            <w:tcW w:w="4847" w:type="dxa"/>
            <w:vAlign w:val="center"/>
          </w:tcPr>
          <w:p w14:paraId="4BE4A3BB">
            <w:pPr>
              <w:spacing w:line="240" w:lineRule="exact"/>
              <w:jc w:val="center"/>
              <w:rPr>
                <w:rFonts w:hint="eastAsia" w:ascii="宋体" w:hAnsi="宋体" w:cs="Arial"/>
                <w:i/>
                <w:color w:val="auto"/>
                <w:szCs w:val="21"/>
              </w:rPr>
            </w:pPr>
            <w:r>
              <w:rPr>
                <w:rFonts w:ascii="宋体" w:hAnsi="宋体" w:cs="Arial"/>
                <w:i/>
                <w:color w:val="auto"/>
                <w:szCs w:val="21"/>
              </w:rPr>
              <w:t>Horaninowia ulicina</w:t>
            </w:r>
          </w:p>
        </w:tc>
        <w:tc>
          <w:tcPr>
            <w:tcW w:w="707" w:type="dxa"/>
            <w:vAlign w:val="center"/>
          </w:tcPr>
          <w:p w14:paraId="1D6A23AA">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0BE6E55C">
            <w:pPr>
              <w:spacing w:line="240" w:lineRule="exact"/>
              <w:jc w:val="center"/>
              <w:rPr>
                <w:rFonts w:hint="eastAsia" w:ascii="宋体" w:hAnsi="宋体" w:cs="Arial"/>
                <w:color w:val="auto"/>
                <w:szCs w:val="21"/>
              </w:rPr>
            </w:pPr>
          </w:p>
        </w:tc>
      </w:tr>
      <w:tr w14:paraId="343A8C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0F824059">
            <w:pPr>
              <w:spacing w:line="240" w:lineRule="exact"/>
              <w:jc w:val="center"/>
              <w:rPr>
                <w:rFonts w:hint="eastAsia" w:ascii="宋体" w:hAnsi="宋体" w:cs="Arial"/>
                <w:color w:val="auto"/>
                <w:szCs w:val="21"/>
              </w:rPr>
            </w:pPr>
            <w:r>
              <w:rPr>
                <w:rFonts w:ascii="宋体" w:hAnsi="宋体" w:cs="Arial"/>
                <w:color w:val="auto"/>
                <w:szCs w:val="21"/>
              </w:rPr>
              <w:t>16</w:t>
            </w:r>
          </w:p>
        </w:tc>
        <w:tc>
          <w:tcPr>
            <w:tcW w:w="1526" w:type="dxa"/>
            <w:vAlign w:val="center"/>
          </w:tcPr>
          <w:p w14:paraId="12EB43D1">
            <w:pPr>
              <w:spacing w:line="240" w:lineRule="exact"/>
              <w:jc w:val="center"/>
              <w:rPr>
                <w:rFonts w:hint="eastAsia" w:ascii="宋体" w:hAnsi="宋体" w:cs="Arial"/>
                <w:color w:val="auto"/>
                <w:szCs w:val="21"/>
              </w:rPr>
            </w:pPr>
            <w:r>
              <w:rPr>
                <w:rFonts w:ascii="宋体" w:hAnsi="宋体" w:cs="Arial"/>
                <w:color w:val="auto"/>
                <w:szCs w:val="21"/>
              </w:rPr>
              <w:t>叉毛蓬</w:t>
            </w:r>
          </w:p>
        </w:tc>
        <w:tc>
          <w:tcPr>
            <w:tcW w:w="4847" w:type="dxa"/>
            <w:vAlign w:val="center"/>
          </w:tcPr>
          <w:p w14:paraId="66956637">
            <w:pPr>
              <w:spacing w:line="240" w:lineRule="exact"/>
              <w:jc w:val="center"/>
              <w:rPr>
                <w:rFonts w:hint="eastAsia" w:ascii="宋体" w:hAnsi="宋体" w:cs="Arial"/>
                <w:i/>
                <w:color w:val="auto"/>
                <w:szCs w:val="21"/>
              </w:rPr>
            </w:pPr>
            <w:r>
              <w:rPr>
                <w:rFonts w:ascii="宋体" w:hAnsi="宋体" w:cs="Arial"/>
                <w:i/>
                <w:color w:val="auto"/>
                <w:szCs w:val="21"/>
              </w:rPr>
              <w:t>Petrosimomia sibirica</w:t>
            </w:r>
          </w:p>
        </w:tc>
        <w:tc>
          <w:tcPr>
            <w:tcW w:w="707" w:type="dxa"/>
            <w:vAlign w:val="center"/>
          </w:tcPr>
          <w:p w14:paraId="0C7F3C27">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0833546D">
            <w:pPr>
              <w:spacing w:line="240" w:lineRule="exact"/>
              <w:jc w:val="center"/>
              <w:rPr>
                <w:rFonts w:hint="eastAsia" w:ascii="宋体" w:hAnsi="宋体" w:cs="Arial"/>
                <w:color w:val="auto"/>
                <w:szCs w:val="21"/>
              </w:rPr>
            </w:pPr>
          </w:p>
        </w:tc>
      </w:tr>
      <w:tr w14:paraId="02103D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45206520">
            <w:pPr>
              <w:spacing w:line="240" w:lineRule="exact"/>
              <w:jc w:val="center"/>
              <w:rPr>
                <w:rFonts w:hint="eastAsia" w:ascii="宋体" w:hAnsi="宋体" w:cs="Arial"/>
                <w:color w:val="auto"/>
                <w:szCs w:val="21"/>
              </w:rPr>
            </w:pPr>
            <w:r>
              <w:rPr>
                <w:rFonts w:ascii="宋体" w:hAnsi="宋体" w:cs="Arial"/>
                <w:color w:val="auto"/>
                <w:szCs w:val="21"/>
              </w:rPr>
              <w:t>17</w:t>
            </w:r>
          </w:p>
        </w:tc>
        <w:tc>
          <w:tcPr>
            <w:tcW w:w="1526" w:type="dxa"/>
            <w:vAlign w:val="center"/>
          </w:tcPr>
          <w:p w14:paraId="06D4611C">
            <w:pPr>
              <w:spacing w:line="240" w:lineRule="exact"/>
              <w:jc w:val="center"/>
              <w:rPr>
                <w:rFonts w:hint="eastAsia" w:ascii="宋体" w:hAnsi="宋体" w:cs="Arial"/>
                <w:color w:val="auto"/>
                <w:szCs w:val="21"/>
              </w:rPr>
            </w:pPr>
            <w:r>
              <w:rPr>
                <w:rFonts w:ascii="宋体" w:hAnsi="宋体" w:cs="Arial"/>
                <w:color w:val="auto"/>
                <w:szCs w:val="21"/>
              </w:rPr>
              <w:t>角果碱蓬</w:t>
            </w:r>
          </w:p>
        </w:tc>
        <w:tc>
          <w:tcPr>
            <w:tcW w:w="4847" w:type="dxa"/>
            <w:vAlign w:val="center"/>
          </w:tcPr>
          <w:p w14:paraId="1C9E128A">
            <w:pPr>
              <w:spacing w:line="240" w:lineRule="exact"/>
              <w:jc w:val="center"/>
              <w:rPr>
                <w:rFonts w:hint="eastAsia" w:ascii="宋体" w:hAnsi="宋体" w:cs="Arial"/>
                <w:i/>
                <w:color w:val="auto"/>
                <w:szCs w:val="21"/>
              </w:rPr>
            </w:pPr>
            <w:r>
              <w:rPr>
                <w:rFonts w:ascii="宋体" w:hAnsi="宋体" w:cs="Arial"/>
                <w:i/>
                <w:color w:val="auto"/>
                <w:szCs w:val="21"/>
              </w:rPr>
              <w:t>Suaeda Comiculata</w:t>
            </w:r>
          </w:p>
        </w:tc>
        <w:tc>
          <w:tcPr>
            <w:tcW w:w="707" w:type="dxa"/>
            <w:vAlign w:val="center"/>
          </w:tcPr>
          <w:p w14:paraId="773A07C7">
            <w:pPr>
              <w:spacing w:line="240" w:lineRule="exact"/>
              <w:jc w:val="center"/>
              <w:rPr>
                <w:rFonts w:hint="eastAsia" w:ascii="宋体" w:hAnsi="宋体" w:cs="Arial"/>
                <w:color w:val="auto"/>
                <w:szCs w:val="21"/>
              </w:rPr>
            </w:pPr>
          </w:p>
        </w:tc>
        <w:tc>
          <w:tcPr>
            <w:tcW w:w="791" w:type="dxa"/>
            <w:vAlign w:val="center"/>
          </w:tcPr>
          <w:p w14:paraId="084960B9">
            <w:pPr>
              <w:spacing w:line="240" w:lineRule="exact"/>
              <w:jc w:val="center"/>
              <w:rPr>
                <w:rFonts w:hint="eastAsia" w:ascii="宋体" w:hAnsi="宋体" w:cs="Arial"/>
                <w:color w:val="auto"/>
                <w:szCs w:val="21"/>
              </w:rPr>
            </w:pPr>
            <w:r>
              <w:rPr>
                <w:rFonts w:ascii="宋体" w:hAnsi="宋体" w:cs="Arial"/>
                <w:color w:val="auto"/>
                <w:szCs w:val="21"/>
              </w:rPr>
              <w:t>+</w:t>
            </w:r>
          </w:p>
        </w:tc>
      </w:tr>
      <w:tr w14:paraId="489EC4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441041A1">
            <w:pPr>
              <w:spacing w:line="240" w:lineRule="exact"/>
              <w:jc w:val="center"/>
              <w:rPr>
                <w:rFonts w:hint="eastAsia" w:ascii="宋体" w:hAnsi="宋体" w:cs="Arial"/>
                <w:color w:val="auto"/>
                <w:szCs w:val="21"/>
              </w:rPr>
            </w:pPr>
            <w:r>
              <w:rPr>
                <w:rFonts w:ascii="宋体" w:hAnsi="宋体" w:cs="Arial"/>
                <w:color w:val="auto"/>
                <w:szCs w:val="21"/>
              </w:rPr>
              <w:t>18</w:t>
            </w:r>
          </w:p>
        </w:tc>
        <w:tc>
          <w:tcPr>
            <w:tcW w:w="1526" w:type="dxa"/>
            <w:vAlign w:val="center"/>
          </w:tcPr>
          <w:p w14:paraId="3EB29395">
            <w:pPr>
              <w:spacing w:line="240" w:lineRule="exact"/>
              <w:jc w:val="center"/>
              <w:rPr>
                <w:rFonts w:hint="eastAsia" w:ascii="宋体" w:hAnsi="宋体" w:cs="Arial"/>
                <w:color w:val="auto"/>
                <w:szCs w:val="21"/>
              </w:rPr>
            </w:pPr>
            <w:r>
              <w:rPr>
                <w:rFonts w:ascii="宋体" w:hAnsi="宋体" w:cs="Arial"/>
                <w:color w:val="auto"/>
                <w:szCs w:val="21"/>
              </w:rPr>
              <w:t>囊果碱蓬</w:t>
            </w:r>
          </w:p>
        </w:tc>
        <w:tc>
          <w:tcPr>
            <w:tcW w:w="4847" w:type="dxa"/>
            <w:vAlign w:val="center"/>
          </w:tcPr>
          <w:p w14:paraId="63D4A0A8">
            <w:pPr>
              <w:spacing w:line="240" w:lineRule="exact"/>
              <w:jc w:val="center"/>
              <w:rPr>
                <w:rFonts w:hint="eastAsia" w:ascii="宋体" w:hAnsi="宋体" w:cs="Arial"/>
                <w:i/>
                <w:color w:val="auto"/>
                <w:szCs w:val="21"/>
              </w:rPr>
            </w:pPr>
            <w:r>
              <w:rPr>
                <w:rFonts w:ascii="宋体" w:hAnsi="宋体" w:cs="Arial"/>
                <w:i/>
                <w:color w:val="auto"/>
                <w:szCs w:val="21"/>
              </w:rPr>
              <w:t>Suaeda physophora</w:t>
            </w:r>
          </w:p>
        </w:tc>
        <w:tc>
          <w:tcPr>
            <w:tcW w:w="707" w:type="dxa"/>
            <w:vAlign w:val="center"/>
          </w:tcPr>
          <w:p w14:paraId="6F242B97">
            <w:pPr>
              <w:spacing w:line="240" w:lineRule="exact"/>
              <w:jc w:val="center"/>
              <w:rPr>
                <w:rFonts w:hint="eastAsia" w:ascii="宋体" w:hAnsi="宋体" w:cs="Arial"/>
                <w:color w:val="auto"/>
                <w:szCs w:val="21"/>
              </w:rPr>
            </w:pPr>
          </w:p>
        </w:tc>
        <w:tc>
          <w:tcPr>
            <w:tcW w:w="791" w:type="dxa"/>
            <w:vAlign w:val="center"/>
          </w:tcPr>
          <w:p w14:paraId="59A92289">
            <w:pPr>
              <w:spacing w:line="240" w:lineRule="exact"/>
              <w:jc w:val="center"/>
              <w:rPr>
                <w:rFonts w:hint="eastAsia" w:ascii="宋体" w:hAnsi="宋体" w:cs="Arial"/>
                <w:color w:val="auto"/>
                <w:szCs w:val="21"/>
              </w:rPr>
            </w:pPr>
            <w:r>
              <w:rPr>
                <w:rFonts w:ascii="宋体" w:hAnsi="宋体" w:cs="Arial"/>
                <w:color w:val="auto"/>
                <w:szCs w:val="21"/>
              </w:rPr>
              <w:t>+</w:t>
            </w:r>
          </w:p>
        </w:tc>
      </w:tr>
      <w:tr w14:paraId="530BAC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0DD7D29B">
            <w:pPr>
              <w:spacing w:line="240" w:lineRule="exact"/>
              <w:jc w:val="center"/>
              <w:rPr>
                <w:rFonts w:hint="eastAsia" w:ascii="宋体" w:hAnsi="宋体" w:cs="Arial"/>
                <w:color w:val="auto"/>
                <w:szCs w:val="21"/>
              </w:rPr>
            </w:pPr>
            <w:r>
              <w:rPr>
                <w:rFonts w:ascii="宋体" w:hAnsi="宋体" w:cs="Arial"/>
                <w:color w:val="auto"/>
                <w:szCs w:val="21"/>
              </w:rPr>
              <w:t>四、</w:t>
            </w:r>
          </w:p>
        </w:tc>
        <w:tc>
          <w:tcPr>
            <w:tcW w:w="1526" w:type="dxa"/>
            <w:vAlign w:val="center"/>
          </w:tcPr>
          <w:p w14:paraId="2BB72DE5">
            <w:pPr>
              <w:spacing w:line="240" w:lineRule="exact"/>
              <w:jc w:val="center"/>
              <w:rPr>
                <w:rFonts w:hint="eastAsia" w:ascii="宋体" w:hAnsi="宋体" w:cs="Arial"/>
                <w:color w:val="auto"/>
                <w:szCs w:val="21"/>
              </w:rPr>
            </w:pPr>
            <w:r>
              <w:rPr>
                <w:rFonts w:ascii="宋体" w:hAnsi="宋体" w:cs="Arial"/>
                <w:color w:val="auto"/>
                <w:szCs w:val="21"/>
              </w:rPr>
              <w:t>十字花科</w:t>
            </w:r>
          </w:p>
        </w:tc>
        <w:tc>
          <w:tcPr>
            <w:tcW w:w="4847" w:type="dxa"/>
            <w:vAlign w:val="center"/>
          </w:tcPr>
          <w:p w14:paraId="2D687CC4">
            <w:pPr>
              <w:spacing w:line="240" w:lineRule="exact"/>
              <w:jc w:val="center"/>
              <w:rPr>
                <w:rFonts w:hint="eastAsia" w:ascii="宋体" w:hAnsi="宋体" w:cs="Arial"/>
                <w:i/>
                <w:color w:val="auto"/>
                <w:szCs w:val="21"/>
              </w:rPr>
            </w:pPr>
            <w:r>
              <w:rPr>
                <w:rFonts w:ascii="宋体" w:hAnsi="宋体" w:cs="Arial"/>
                <w:i/>
                <w:color w:val="auto"/>
                <w:szCs w:val="21"/>
              </w:rPr>
              <w:t>Cruciferae</w:t>
            </w:r>
          </w:p>
        </w:tc>
        <w:tc>
          <w:tcPr>
            <w:tcW w:w="707" w:type="dxa"/>
            <w:vAlign w:val="center"/>
          </w:tcPr>
          <w:p w14:paraId="1C872520">
            <w:pPr>
              <w:spacing w:line="240" w:lineRule="exact"/>
              <w:jc w:val="center"/>
              <w:rPr>
                <w:rFonts w:hint="eastAsia" w:ascii="宋体" w:hAnsi="宋体" w:cs="Arial"/>
                <w:color w:val="auto"/>
                <w:szCs w:val="21"/>
              </w:rPr>
            </w:pPr>
          </w:p>
        </w:tc>
        <w:tc>
          <w:tcPr>
            <w:tcW w:w="791" w:type="dxa"/>
            <w:vAlign w:val="center"/>
          </w:tcPr>
          <w:p w14:paraId="07A7FFC4">
            <w:pPr>
              <w:spacing w:line="240" w:lineRule="exact"/>
              <w:jc w:val="center"/>
              <w:rPr>
                <w:rFonts w:hint="eastAsia" w:ascii="宋体" w:hAnsi="宋体" w:cs="Arial"/>
                <w:color w:val="auto"/>
                <w:szCs w:val="21"/>
              </w:rPr>
            </w:pPr>
          </w:p>
        </w:tc>
      </w:tr>
      <w:tr w14:paraId="795278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01D5B671">
            <w:pPr>
              <w:spacing w:line="240" w:lineRule="exact"/>
              <w:jc w:val="center"/>
              <w:rPr>
                <w:rFonts w:hint="eastAsia" w:ascii="宋体" w:hAnsi="宋体" w:cs="Arial"/>
                <w:color w:val="auto"/>
                <w:szCs w:val="21"/>
              </w:rPr>
            </w:pPr>
            <w:r>
              <w:rPr>
                <w:rFonts w:ascii="宋体" w:hAnsi="宋体" w:cs="Arial"/>
                <w:color w:val="auto"/>
                <w:szCs w:val="21"/>
              </w:rPr>
              <w:t>19</w:t>
            </w:r>
          </w:p>
        </w:tc>
        <w:tc>
          <w:tcPr>
            <w:tcW w:w="1526" w:type="dxa"/>
            <w:vAlign w:val="center"/>
          </w:tcPr>
          <w:p w14:paraId="7EC4B67C">
            <w:pPr>
              <w:spacing w:line="240" w:lineRule="exact"/>
              <w:jc w:val="center"/>
              <w:rPr>
                <w:rFonts w:hint="eastAsia" w:ascii="宋体" w:hAnsi="宋体" w:cs="Arial"/>
                <w:color w:val="auto"/>
                <w:szCs w:val="21"/>
              </w:rPr>
            </w:pPr>
            <w:r>
              <w:rPr>
                <w:rFonts w:ascii="宋体" w:hAnsi="宋体" w:cs="Arial"/>
                <w:color w:val="auto"/>
                <w:szCs w:val="21"/>
              </w:rPr>
              <w:t>螺喙荠</w:t>
            </w:r>
          </w:p>
        </w:tc>
        <w:tc>
          <w:tcPr>
            <w:tcW w:w="4847" w:type="dxa"/>
            <w:vAlign w:val="center"/>
          </w:tcPr>
          <w:p w14:paraId="5B999E0C">
            <w:pPr>
              <w:spacing w:line="240" w:lineRule="exact"/>
              <w:jc w:val="center"/>
              <w:rPr>
                <w:rFonts w:hint="eastAsia" w:ascii="宋体" w:hAnsi="宋体" w:cs="Arial"/>
                <w:i/>
                <w:color w:val="auto"/>
                <w:szCs w:val="21"/>
              </w:rPr>
            </w:pPr>
            <w:r>
              <w:rPr>
                <w:rFonts w:ascii="宋体" w:hAnsi="宋体" w:cs="Arial"/>
                <w:i/>
                <w:color w:val="auto"/>
                <w:szCs w:val="21"/>
              </w:rPr>
              <w:t>Spirorrhynchus sabulosus</w:t>
            </w:r>
          </w:p>
        </w:tc>
        <w:tc>
          <w:tcPr>
            <w:tcW w:w="707" w:type="dxa"/>
            <w:vAlign w:val="center"/>
          </w:tcPr>
          <w:p w14:paraId="2F510B9A">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5336D33C">
            <w:pPr>
              <w:spacing w:line="240" w:lineRule="exact"/>
              <w:jc w:val="center"/>
              <w:rPr>
                <w:rFonts w:hint="eastAsia" w:ascii="宋体" w:hAnsi="宋体" w:cs="Arial"/>
                <w:color w:val="auto"/>
                <w:szCs w:val="21"/>
              </w:rPr>
            </w:pPr>
            <w:r>
              <w:rPr>
                <w:rFonts w:ascii="宋体" w:hAnsi="宋体" w:cs="Arial"/>
                <w:color w:val="auto"/>
                <w:szCs w:val="21"/>
              </w:rPr>
              <w:t>+</w:t>
            </w:r>
          </w:p>
        </w:tc>
      </w:tr>
      <w:tr w14:paraId="3D6E9A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6BF0CEF9">
            <w:pPr>
              <w:spacing w:line="240" w:lineRule="exact"/>
              <w:jc w:val="center"/>
              <w:rPr>
                <w:rFonts w:hint="eastAsia" w:ascii="宋体" w:hAnsi="宋体" w:cs="Arial"/>
                <w:color w:val="auto"/>
                <w:szCs w:val="21"/>
              </w:rPr>
            </w:pPr>
            <w:r>
              <w:rPr>
                <w:rFonts w:ascii="宋体" w:hAnsi="宋体" w:cs="Arial"/>
                <w:color w:val="auto"/>
                <w:szCs w:val="21"/>
              </w:rPr>
              <w:t>20</w:t>
            </w:r>
          </w:p>
        </w:tc>
        <w:tc>
          <w:tcPr>
            <w:tcW w:w="1526" w:type="dxa"/>
            <w:vAlign w:val="center"/>
          </w:tcPr>
          <w:p w14:paraId="10410E63">
            <w:pPr>
              <w:spacing w:line="240" w:lineRule="exact"/>
              <w:jc w:val="center"/>
              <w:rPr>
                <w:rFonts w:hint="eastAsia" w:ascii="宋体" w:hAnsi="宋体" w:cs="Arial"/>
                <w:color w:val="auto"/>
                <w:szCs w:val="21"/>
              </w:rPr>
            </w:pPr>
            <w:r>
              <w:rPr>
                <w:rFonts w:ascii="宋体" w:hAnsi="宋体" w:cs="Arial"/>
                <w:color w:val="auto"/>
                <w:szCs w:val="21"/>
              </w:rPr>
              <w:t>四齿芥</w:t>
            </w:r>
          </w:p>
        </w:tc>
        <w:tc>
          <w:tcPr>
            <w:tcW w:w="4847" w:type="dxa"/>
            <w:vAlign w:val="center"/>
          </w:tcPr>
          <w:p w14:paraId="2AD19D0B">
            <w:pPr>
              <w:spacing w:line="240" w:lineRule="exact"/>
              <w:jc w:val="center"/>
              <w:rPr>
                <w:rFonts w:hint="eastAsia" w:ascii="宋体" w:hAnsi="宋体" w:cs="Arial"/>
                <w:i/>
                <w:color w:val="auto"/>
                <w:szCs w:val="21"/>
              </w:rPr>
            </w:pPr>
            <w:r>
              <w:rPr>
                <w:rFonts w:ascii="宋体" w:hAnsi="宋体" w:cs="Arial"/>
                <w:i/>
                <w:color w:val="auto"/>
                <w:szCs w:val="21"/>
              </w:rPr>
              <w:t>Tetracme quadricornis</w:t>
            </w:r>
          </w:p>
        </w:tc>
        <w:tc>
          <w:tcPr>
            <w:tcW w:w="707" w:type="dxa"/>
            <w:vAlign w:val="center"/>
          </w:tcPr>
          <w:p w14:paraId="468287DC">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18A2ED19">
            <w:pPr>
              <w:spacing w:line="240" w:lineRule="exact"/>
              <w:jc w:val="center"/>
              <w:rPr>
                <w:rFonts w:hint="eastAsia" w:ascii="宋体" w:hAnsi="宋体" w:cs="Arial"/>
                <w:color w:val="auto"/>
                <w:szCs w:val="21"/>
              </w:rPr>
            </w:pPr>
            <w:r>
              <w:rPr>
                <w:rFonts w:ascii="宋体" w:hAnsi="宋体" w:cs="Arial"/>
                <w:color w:val="auto"/>
                <w:szCs w:val="21"/>
              </w:rPr>
              <w:t>++</w:t>
            </w:r>
          </w:p>
        </w:tc>
      </w:tr>
      <w:tr w14:paraId="178C21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57230525">
            <w:pPr>
              <w:spacing w:line="240" w:lineRule="exact"/>
              <w:jc w:val="center"/>
              <w:rPr>
                <w:rFonts w:hint="eastAsia" w:ascii="宋体" w:hAnsi="宋体" w:cs="Arial"/>
                <w:color w:val="auto"/>
                <w:szCs w:val="21"/>
              </w:rPr>
            </w:pPr>
            <w:r>
              <w:rPr>
                <w:rFonts w:ascii="宋体" w:hAnsi="宋体" w:cs="Arial"/>
                <w:color w:val="auto"/>
                <w:szCs w:val="21"/>
              </w:rPr>
              <w:t>21</w:t>
            </w:r>
          </w:p>
        </w:tc>
        <w:tc>
          <w:tcPr>
            <w:tcW w:w="1526" w:type="dxa"/>
            <w:vAlign w:val="center"/>
          </w:tcPr>
          <w:p w14:paraId="75892F9C">
            <w:pPr>
              <w:spacing w:line="240" w:lineRule="exact"/>
              <w:jc w:val="center"/>
              <w:rPr>
                <w:rFonts w:hint="eastAsia" w:ascii="宋体" w:hAnsi="宋体" w:cs="Arial"/>
                <w:color w:val="auto"/>
                <w:szCs w:val="21"/>
              </w:rPr>
            </w:pPr>
            <w:r>
              <w:rPr>
                <w:rFonts w:ascii="宋体" w:hAnsi="宋体" w:cs="Arial"/>
                <w:color w:val="auto"/>
                <w:szCs w:val="21"/>
              </w:rPr>
              <w:t>灰白糖芥</w:t>
            </w:r>
          </w:p>
        </w:tc>
        <w:tc>
          <w:tcPr>
            <w:tcW w:w="4847" w:type="dxa"/>
            <w:vAlign w:val="center"/>
          </w:tcPr>
          <w:p w14:paraId="2AF46557">
            <w:pPr>
              <w:spacing w:line="240" w:lineRule="exact"/>
              <w:jc w:val="center"/>
              <w:rPr>
                <w:rFonts w:hint="eastAsia" w:ascii="宋体" w:hAnsi="宋体" w:cs="Arial"/>
                <w:i/>
                <w:color w:val="auto"/>
                <w:szCs w:val="21"/>
              </w:rPr>
            </w:pPr>
            <w:r>
              <w:rPr>
                <w:rFonts w:ascii="宋体" w:hAnsi="宋体" w:cs="Arial"/>
                <w:i/>
                <w:color w:val="auto"/>
                <w:szCs w:val="21"/>
              </w:rPr>
              <w:t>Ergsimum cheiranthides</w:t>
            </w:r>
          </w:p>
        </w:tc>
        <w:tc>
          <w:tcPr>
            <w:tcW w:w="707" w:type="dxa"/>
            <w:vAlign w:val="center"/>
          </w:tcPr>
          <w:p w14:paraId="7CE08335">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4C1688D5">
            <w:pPr>
              <w:spacing w:line="240" w:lineRule="exact"/>
              <w:jc w:val="center"/>
              <w:rPr>
                <w:rFonts w:hint="eastAsia" w:ascii="宋体" w:hAnsi="宋体" w:cs="Arial"/>
                <w:color w:val="auto"/>
                <w:szCs w:val="21"/>
              </w:rPr>
            </w:pPr>
            <w:r>
              <w:rPr>
                <w:rFonts w:ascii="宋体" w:hAnsi="宋体" w:cs="Arial"/>
                <w:color w:val="auto"/>
                <w:szCs w:val="21"/>
              </w:rPr>
              <w:t>+</w:t>
            </w:r>
          </w:p>
        </w:tc>
      </w:tr>
      <w:tr w14:paraId="6C4694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75EF2330">
            <w:pPr>
              <w:spacing w:line="240" w:lineRule="exact"/>
              <w:jc w:val="center"/>
              <w:rPr>
                <w:rFonts w:hint="eastAsia" w:ascii="宋体" w:hAnsi="宋体" w:cs="Arial"/>
                <w:color w:val="auto"/>
                <w:szCs w:val="21"/>
              </w:rPr>
            </w:pPr>
            <w:r>
              <w:rPr>
                <w:rFonts w:ascii="宋体" w:hAnsi="宋体" w:cs="Arial"/>
                <w:color w:val="auto"/>
                <w:szCs w:val="21"/>
              </w:rPr>
              <w:t>22</w:t>
            </w:r>
          </w:p>
        </w:tc>
        <w:tc>
          <w:tcPr>
            <w:tcW w:w="1526" w:type="dxa"/>
            <w:vAlign w:val="center"/>
          </w:tcPr>
          <w:p w14:paraId="7225DEE5">
            <w:pPr>
              <w:spacing w:line="240" w:lineRule="exact"/>
              <w:jc w:val="center"/>
              <w:rPr>
                <w:rFonts w:hint="eastAsia" w:ascii="宋体" w:hAnsi="宋体" w:cs="Arial"/>
                <w:color w:val="auto"/>
                <w:szCs w:val="21"/>
              </w:rPr>
            </w:pPr>
            <w:r>
              <w:rPr>
                <w:rFonts w:ascii="宋体" w:hAnsi="宋体" w:cs="Arial"/>
                <w:color w:val="auto"/>
                <w:szCs w:val="21"/>
              </w:rPr>
              <w:t>荒漠庭荠</w:t>
            </w:r>
          </w:p>
        </w:tc>
        <w:tc>
          <w:tcPr>
            <w:tcW w:w="4847" w:type="dxa"/>
            <w:vAlign w:val="center"/>
          </w:tcPr>
          <w:p w14:paraId="31E4FE23">
            <w:pPr>
              <w:spacing w:line="240" w:lineRule="exact"/>
              <w:jc w:val="center"/>
              <w:rPr>
                <w:rFonts w:hint="eastAsia" w:ascii="宋体" w:hAnsi="宋体" w:cs="Arial"/>
                <w:i/>
                <w:color w:val="auto"/>
                <w:szCs w:val="21"/>
              </w:rPr>
            </w:pPr>
            <w:r>
              <w:rPr>
                <w:rFonts w:ascii="宋体" w:hAnsi="宋体" w:cs="Arial"/>
                <w:i/>
                <w:color w:val="auto"/>
                <w:szCs w:val="21"/>
              </w:rPr>
              <w:t>Alyssum desertorum</w:t>
            </w:r>
          </w:p>
        </w:tc>
        <w:tc>
          <w:tcPr>
            <w:tcW w:w="707" w:type="dxa"/>
            <w:vAlign w:val="center"/>
          </w:tcPr>
          <w:p w14:paraId="38F663CD">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5F5F7634">
            <w:pPr>
              <w:spacing w:line="240" w:lineRule="exact"/>
              <w:jc w:val="center"/>
              <w:rPr>
                <w:rFonts w:hint="eastAsia" w:ascii="宋体" w:hAnsi="宋体" w:cs="Arial"/>
                <w:color w:val="auto"/>
                <w:szCs w:val="21"/>
              </w:rPr>
            </w:pPr>
          </w:p>
        </w:tc>
      </w:tr>
      <w:tr w14:paraId="455764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6AC3F291">
            <w:pPr>
              <w:spacing w:line="240" w:lineRule="exact"/>
              <w:jc w:val="center"/>
              <w:rPr>
                <w:rFonts w:hint="eastAsia" w:ascii="宋体" w:hAnsi="宋体" w:cs="Arial"/>
                <w:color w:val="auto"/>
                <w:szCs w:val="21"/>
              </w:rPr>
            </w:pPr>
            <w:r>
              <w:rPr>
                <w:rFonts w:ascii="宋体" w:hAnsi="宋体" w:cs="Arial"/>
                <w:color w:val="auto"/>
                <w:szCs w:val="21"/>
              </w:rPr>
              <w:t>23</w:t>
            </w:r>
          </w:p>
        </w:tc>
        <w:tc>
          <w:tcPr>
            <w:tcW w:w="1526" w:type="dxa"/>
            <w:vAlign w:val="center"/>
          </w:tcPr>
          <w:p w14:paraId="7A3D869B">
            <w:pPr>
              <w:spacing w:line="240" w:lineRule="exact"/>
              <w:jc w:val="center"/>
              <w:rPr>
                <w:rFonts w:hint="eastAsia" w:ascii="宋体" w:hAnsi="宋体" w:cs="Arial"/>
                <w:color w:val="auto"/>
                <w:szCs w:val="21"/>
              </w:rPr>
            </w:pPr>
            <w:r>
              <w:rPr>
                <w:rFonts w:ascii="宋体" w:hAnsi="宋体" w:cs="Arial"/>
                <w:color w:val="auto"/>
                <w:szCs w:val="21"/>
              </w:rPr>
              <w:t>卷果涩芥</w:t>
            </w:r>
          </w:p>
        </w:tc>
        <w:tc>
          <w:tcPr>
            <w:tcW w:w="4847" w:type="dxa"/>
            <w:vAlign w:val="center"/>
          </w:tcPr>
          <w:p w14:paraId="2561D1A9">
            <w:pPr>
              <w:spacing w:line="240" w:lineRule="exact"/>
              <w:jc w:val="center"/>
              <w:rPr>
                <w:rFonts w:hint="eastAsia" w:ascii="宋体" w:hAnsi="宋体" w:cs="Arial"/>
                <w:i/>
                <w:color w:val="auto"/>
                <w:szCs w:val="21"/>
              </w:rPr>
            </w:pPr>
            <w:r>
              <w:rPr>
                <w:rFonts w:ascii="宋体" w:hAnsi="宋体" w:cs="Arial"/>
                <w:i/>
                <w:color w:val="auto"/>
                <w:szCs w:val="21"/>
              </w:rPr>
              <w:t>Malclomia scorpioides</w:t>
            </w:r>
          </w:p>
        </w:tc>
        <w:tc>
          <w:tcPr>
            <w:tcW w:w="707" w:type="dxa"/>
            <w:vAlign w:val="center"/>
          </w:tcPr>
          <w:p w14:paraId="34B502DB">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1F3B69D2">
            <w:pPr>
              <w:spacing w:line="240" w:lineRule="exact"/>
              <w:jc w:val="center"/>
              <w:rPr>
                <w:rFonts w:hint="eastAsia" w:ascii="宋体" w:hAnsi="宋体" w:cs="Arial"/>
                <w:color w:val="auto"/>
                <w:szCs w:val="21"/>
              </w:rPr>
            </w:pPr>
            <w:r>
              <w:rPr>
                <w:rFonts w:ascii="宋体" w:hAnsi="宋体" w:cs="Arial"/>
                <w:color w:val="auto"/>
                <w:szCs w:val="21"/>
              </w:rPr>
              <w:t>+</w:t>
            </w:r>
          </w:p>
        </w:tc>
      </w:tr>
      <w:tr w14:paraId="704686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44A7DF82">
            <w:pPr>
              <w:spacing w:line="240" w:lineRule="exact"/>
              <w:jc w:val="center"/>
              <w:rPr>
                <w:rFonts w:hint="eastAsia" w:ascii="宋体" w:hAnsi="宋体" w:cs="Arial"/>
                <w:color w:val="auto"/>
                <w:szCs w:val="21"/>
              </w:rPr>
            </w:pPr>
            <w:r>
              <w:rPr>
                <w:rFonts w:ascii="宋体" w:hAnsi="宋体" w:cs="Arial"/>
                <w:color w:val="auto"/>
                <w:szCs w:val="21"/>
              </w:rPr>
              <w:t>五、</w:t>
            </w:r>
          </w:p>
        </w:tc>
        <w:tc>
          <w:tcPr>
            <w:tcW w:w="1526" w:type="dxa"/>
            <w:vAlign w:val="center"/>
          </w:tcPr>
          <w:p w14:paraId="7736628D">
            <w:pPr>
              <w:spacing w:line="240" w:lineRule="exact"/>
              <w:jc w:val="center"/>
              <w:rPr>
                <w:rFonts w:hint="eastAsia" w:ascii="宋体" w:hAnsi="宋体" w:cs="Arial"/>
                <w:color w:val="auto"/>
                <w:szCs w:val="21"/>
              </w:rPr>
            </w:pPr>
            <w:r>
              <w:rPr>
                <w:rFonts w:ascii="宋体" w:hAnsi="宋体" w:cs="Arial"/>
                <w:color w:val="auto"/>
                <w:szCs w:val="21"/>
              </w:rPr>
              <w:t>蒺藜科</w:t>
            </w:r>
          </w:p>
        </w:tc>
        <w:tc>
          <w:tcPr>
            <w:tcW w:w="4847" w:type="dxa"/>
            <w:vAlign w:val="center"/>
          </w:tcPr>
          <w:p w14:paraId="7C6FC3BD">
            <w:pPr>
              <w:spacing w:line="240" w:lineRule="exact"/>
              <w:jc w:val="center"/>
              <w:rPr>
                <w:rFonts w:hint="eastAsia" w:ascii="宋体" w:hAnsi="宋体" w:cs="Arial"/>
                <w:i/>
                <w:color w:val="auto"/>
                <w:szCs w:val="21"/>
              </w:rPr>
            </w:pPr>
            <w:r>
              <w:rPr>
                <w:rFonts w:ascii="宋体" w:hAnsi="宋体" w:cs="Arial"/>
                <w:i/>
                <w:color w:val="auto"/>
                <w:szCs w:val="21"/>
              </w:rPr>
              <w:t>Zygophyllaceae</w:t>
            </w:r>
          </w:p>
        </w:tc>
        <w:tc>
          <w:tcPr>
            <w:tcW w:w="707" w:type="dxa"/>
            <w:vAlign w:val="center"/>
          </w:tcPr>
          <w:p w14:paraId="66B52810">
            <w:pPr>
              <w:spacing w:line="240" w:lineRule="exact"/>
              <w:jc w:val="center"/>
              <w:rPr>
                <w:rFonts w:hint="eastAsia" w:ascii="宋体" w:hAnsi="宋体" w:cs="Arial"/>
                <w:color w:val="auto"/>
                <w:szCs w:val="21"/>
              </w:rPr>
            </w:pPr>
          </w:p>
        </w:tc>
        <w:tc>
          <w:tcPr>
            <w:tcW w:w="791" w:type="dxa"/>
            <w:vAlign w:val="center"/>
          </w:tcPr>
          <w:p w14:paraId="4ECED823">
            <w:pPr>
              <w:spacing w:line="240" w:lineRule="exact"/>
              <w:jc w:val="center"/>
              <w:rPr>
                <w:rFonts w:hint="eastAsia" w:ascii="宋体" w:hAnsi="宋体" w:cs="Arial"/>
                <w:color w:val="auto"/>
                <w:szCs w:val="21"/>
              </w:rPr>
            </w:pPr>
          </w:p>
        </w:tc>
      </w:tr>
      <w:tr w14:paraId="3B1C89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5CB199F0">
            <w:pPr>
              <w:spacing w:line="240" w:lineRule="exact"/>
              <w:jc w:val="center"/>
              <w:rPr>
                <w:rFonts w:hint="eastAsia" w:ascii="宋体" w:hAnsi="宋体" w:cs="Arial"/>
                <w:color w:val="auto"/>
                <w:szCs w:val="21"/>
              </w:rPr>
            </w:pPr>
            <w:r>
              <w:rPr>
                <w:rFonts w:ascii="宋体" w:hAnsi="宋体" w:cs="Arial"/>
                <w:color w:val="auto"/>
                <w:szCs w:val="21"/>
              </w:rPr>
              <w:t>24</w:t>
            </w:r>
          </w:p>
        </w:tc>
        <w:tc>
          <w:tcPr>
            <w:tcW w:w="1526" w:type="dxa"/>
            <w:vAlign w:val="center"/>
          </w:tcPr>
          <w:p w14:paraId="246B868C">
            <w:pPr>
              <w:spacing w:line="240" w:lineRule="exact"/>
              <w:jc w:val="center"/>
              <w:rPr>
                <w:rFonts w:hint="eastAsia" w:ascii="宋体" w:hAnsi="宋体" w:cs="Arial"/>
                <w:color w:val="auto"/>
                <w:szCs w:val="21"/>
              </w:rPr>
            </w:pPr>
            <w:r>
              <w:rPr>
                <w:rFonts w:ascii="宋体" w:hAnsi="宋体" w:cs="Arial"/>
                <w:color w:val="auto"/>
                <w:szCs w:val="21"/>
              </w:rPr>
              <w:t>西伯利亚白刺</w:t>
            </w:r>
          </w:p>
        </w:tc>
        <w:tc>
          <w:tcPr>
            <w:tcW w:w="4847" w:type="dxa"/>
            <w:vAlign w:val="center"/>
          </w:tcPr>
          <w:p w14:paraId="4C157416">
            <w:pPr>
              <w:spacing w:line="240" w:lineRule="exact"/>
              <w:jc w:val="center"/>
              <w:rPr>
                <w:rFonts w:hint="eastAsia" w:ascii="宋体" w:hAnsi="宋体" w:cs="Arial"/>
                <w:i/>
                <w:color w:val="auto"/>
                <w:szCs w:val="21"/>
              </w:rPr>
            </w:pPr>
            <w:r>
              <w:rPr>
                <w:rFonts w:ascii="宋体" w:hAnsi="宋体" w:cs="Arial"/>
                <w:i/>
                <w:color w:val="auto"/>
                <w:szCs w:val="21"/>
              </w:rPr>
              <w:t>Nitraria sibirica</w:t>
            </w:r>
          </w:p>
        </w:tc>
        <w:tc>
          <w:tcPr>
            <w:tcW w:w="707" w:type="dxa"/>
            <w:vAlign w:val="center"/>
          </w:tcPr>
          <w:p w14:paraId="6E1357EA">
            <w:pPr>
              <w:spacing w:line="240" w:lineRule="exact"/>
              <w:jc w:val="center"/>
              <w:rPr>
                <w:rFonts w:hint="eastAsia" w:ascii="宋体" w:hAnsi="宋体" w:cs="Arial"/>
                <w:color w:val="auto"/>
                <w:szCs w:val="21"/>
              </w:rPr>
            </w:pPr>
          </w:p>
        </w:tc>
        <w:tc>
          <w:tcPr>
            <w:tcW w:w="791" w:type="dxa"/>
            <w:vAlign w:val="center"/>
          </w:tcPr>
          <w:p w14:paraId="7720A9BC">
            <w:pPr>
              <w:spacing w:line="240" w:lineRule="exact"/>
              <w:jc w:val="center"/>
              <w:rPr>
                <w:rFonts w:hint="eastAsia" w:ascii="宋体" w:hAnsi="宋体" w:cs="Arial"/>
                <w:color w:val="auto"/>
                <w:szCs w:val="21"/>
              </w:rPr>
            </w:pPr>
            <w:r>
              <w:rPr>
                <w:rFonts w:ascii="宋体" w:hAnsi="宋体" w:cs="Arial"/>
                <w:color w:val="auto"/>
                <w:szCs w:val="21"/>
              </w:rPr>
              <w:t>+</w:t>
            </w:r>
          </w:p>
        </w:tc>
      </w:tr>
      <w:tr w14:paraId="074D70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50DBBAB2">
            <w:pPr>
              <w:spacing w:line="240" w:lineRule="exact"/>
              <w:jc w:val="center"/>
              <w:rPr>
                <w:rFonts w:hint="eastAsia" w:ascii="宋体" w:hAnsi="宋体" w:cs="Arial"/>
                <w:color w:val="auto"/>
                <w:szCs w:val="21"/>
              </w:rPr>
            </w:pPr>
            <w:r>
              <w:rPr>
                <w:rFonts w:ascii="宋体" w:hAnsi="宋体" w:cs="Arial"/>
                <w:color w:val="auto"/>
                <w:szCs w:val="21"/>
              </w:rPr>
              <w:t>六、</w:t>
            </w:r>
          </w:p>
        </w:tc>
        <w:tc>
          <w:tcPr>
            <w:tcW w:w="1526" w:type="dxa"/>
            <w:vAlign w:val="center"/>
          </w:tcPr>
          <w:p w14:paraId="1896259E">
            <w:pPr>
              <w:spacing w:line="240" w:lineRule="exact"/>
              <w:jc w:val="center"/>
              <w:rPr>
                <w:rFonts w:hint="eastAsia" w:ascii="宋体" w:hAnsi="宋体" w:cs="Arial"/>
                <w:color w:val="auto"/>
                <w:szCs w:val="21"/>
              </w:rPr>
            </w:pPr>
            <w:r>
              <w:rPr>
                <w:rFonts w:ascii="宋体" w:hAnsi="宋体" w:cs="Arial"/>
                <w:color w:val="auto"/>
                <w:szCs w:val="21"/>
              </w:rPr>
              <w:t>柽柳科</w:t>
            </w:r>
          </w:p>
        </w:tc>
        <w:tc>
          <w:tcPr>
            <w:tcW w:w="4847" w:type="dxa"/>
            <w:vAlign w:val="center"/>
          </w:tcPr>
          <w:p w14:paraId="532DE7E7">
            <w:pPr>
              <w:spacing w:line="240" w:lineRule="exact"/>
              <w:jc w:val="center"/>
              <w:rPr>
                <w:rFonts w:hint="eastAsia" w:ascii="宋体" w:hAnsi="宋体" w:cs="Arial"/>
                <w:i/>
                <w:color w:val="auto"/>
                <w:szCs w:val="21"/>
              </w:rPr>
            </w:pPr>
            <w:r>
              <w:rPr>
                <w:rFonts w:ascii="宋体" w:hAnsi="宋体" w:cs="Arial"/>
                <w:i/>
                <w:color w:val="auto"/>
                <w:szCs w:val="21"/>
              </w:rPr>
              <w:t>Tamaricaceae</w:t>
            </w:r>
          </w:p>
        </w:tc>
        <w:tc>
          <w:tcPr>
            <w:tcW w:w="707" w:type="dxa"/>
            <w:vAlign w:val="center"/>
          </w:tcPr>
          <w:p w14:paraId="23266A07">
            <w:pPr>
              <w:spacing w:line="240" w:lineRule="exact"/>
              <w:jc w:val="center"/>
              <w:rPr>
                <w:rFonts w:hint="eastAsia" w:ascii="宋体" w:hAnsi="宋体" w:cs="Arial"/>
                <w:color w:val="auto"/>
                <w:szCs w:val="21"/>
              </w:rPr>
            </w:pPr>
          </w:p>
        </w:tc>
        <w:tc>
          <w:tcPr>
            <w:tcW w:w="791" w:type="dxa"/>
            <w:vAlign w:val="center"/>
          </w:tcPr>
          <w:p w14:paraId="13BE519B">
            <w:pPr>
              <w:spacing w:line="240" w:lineRule="exact"/>
              <w:jc w:val="center"/>
              <w:rPr>
                <w:rFonts w:hint="eastAsia" w:ascii="宋体" w:hAnsi="宋体" w:cs="Arial"/>
                <w:color w:val="auto"/>
                <w:szCs w:val="21"/>
              </w:rPr>
            </w:pPr>
          </w:p>
        </w:tc>
      </w:tr>
      <w:tr w14:paraId="7B27A2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40E51D0F">
            <w:pPr>
              <w:spacing w:line="240" w:lineRule="exact"/>
              <w:jc w:val="center"/>
              <w:rPr>
                <w:rFonts w:hint="eastAsia" w:ascii="宋体" w:hAnsi="宋体" w:cs="Arial"/>
                <w:color w:val="auto"/>
                <w:szCs w:val="21"/>
              </w:rPr>
            </w:pPr>
            <w:r>
              <w:rPr>
                <w:rFonts w:ascii="宋体" w:hAnsi="宋体" w:cs="Arial"/>
                <w:color w:val="auto"/>
                <w:szCs w:val="21"/>
              </w:rPr>
              <w:t>25</w:t>
            </w:r>
          </w:p>
        </w:tc>
        <w:tc>
          <w:tcPr>
            <w:tcW w:w="1526" w:type="dxa"/>
            <w:vAlign w:val="center"/>
          </w:tcPr>
          <w:p w14:paraId="309897E0">
            <w:pPr>
              <w:spacing w:line="240" w:lineRule="exact"/>
              <w:jc w:val="center"/>
              <w:rPr>
                <w:rFonts w:hint="eastAsia" w:ascii="宋体" w:hAnsi="宋体" w:cs="Arial"/>
                <w:color w:val="auto"/>
                <w:szCs w:val="21"/>
              </w:rPr>
            </w:pPr>
            <w:r>
              <w:rPr>
                <w:rFonts w:ascii="宋体" w:hAnsi="宋体" w:cs="Arial"/>
                <w:color w:val="auto"/>
                <w:szCs w:val="21"/>
              </w:rPr>
              <w:t>琵琶柴</w:t>
            </w:r>
          </w:p>
        </w:tc>
        <w:tc>
          <w:tcPr>
            <w:tcW w:w="4847" w:type="dxa"/>
            <w:vAlign w:val="center"/>
          </w:tcPr>
          <w:p w14:paraId="69073487">
            <w:pPr>
              <w:spacing w:line="240" w:lineRule="exact"/>
              <w:jc w:val="center"/>
              <w:rPr>
                <w:rFonts w:hint="eastAsia" w:ascii="宋体" w:hAnsi="宋体" w:cs="Arial"/>
                <w:i/>
                <w:color w:val="auto"/>
                <w:szCs w:val="21"/>
              </w:rPr>
            </w:pPr>
            <w:r>
              <w:rPr>
                <w:rFonts w:ascii="宋体" w:hAnsi="宋体" w:cs="Arial"/>
                <w:i/>
                <w:color w:val="auto"/>
                <w:szCs w:val="21"/>
              </w:rPr>
              <w:t>Reaumuria soongorica</w:t>
            </w:r>
          </w:p>
        </w:tc>
        <w:tc>
          <w:tcPr>
            <w:tcW w:w="707" w:type="dxa"/>
            <w:vAlign w:val="center"/>
          </w:tcPr>
          <w:p w14:paraId="54771C2C">
            <w:pPr>
              <w:spacing w:line="240" w:lineRule="exact"/>
              <w:jc w:val="center"/>
              <w:rPr>
                <w:rFonts w:hint="eastAsia" w:ascii="宋体" w:hAnsi="宋体" w:cs="Arial"/>
                <w:color w:val="auto"/>
                <w:szCs w:val="21"/>
              </w:rPr>
            </w:pPr>
          </w:p>
        </w:tc>
        <w:tc>
          <w:tcPr>
            <w:tcW w:w="791" w:type="dxa"/>
            <w:vAlign w:val="center"/>
          </w:tcPr>
          <w:p w14:paraId="7880AADC">
            <w:pPr>
              <w:spacing w:line="240" w:lineRule="exact"/>
              <w:jc w:val="center"/>
              <w:rPr>
                <w:rFonts w:hint="eastAsia" w:ascii="宋体" w:hAnsi="宋体" w:cs="Arial"/>
                <w:color w:val="auto"/>
                <w:szCs w:val="21"/>
              </w:rPr>
            </w:pPr>
            <w:r>
              <w:rPr>
                <w:rFonts w:ascii="宋体" w:hAnsi="宋体" w:cs="Arial"/>
                <w:color w:val="auto"/>
                <w:szCs w:val="21"/>
              </w:rPr>
              <w:t>+</w:t>
            </w:r>
          </w:p>
        </w:tc>
      </w:tr>
      <w:tr w14:paraId="2CF99C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3A9E3785">
            <w:pPr>
              <w:spacing w:line="240" w:lineRule="exact"/>
              <w:jc w:val="center"/>
              <w:rPr>
                <w:rFonts w:hint="eastAsia" w:ascii="宋体" w:hAnsi="宋体" w:cs="Arial"/>
                <w:color w:val="auto"/>
                <w:szCs w:val="21"/>
              </w:rPr>
            </w:pPr>
            <w:r>
              <w:rPr>
                <w:rFonts w:ascii="宋体" w:hAnsi="宋体" w:cs="Arial"/>
                <w:color w:val="auto"/>
                <w:szCs w:val="21"/>
              </w:rPr>
              <w:t>26</w:t>
            </w:r>
          </w:p>
        </w:tc>
        <w:tc>
          <w:tcPr>
            <w:tcW w:w="1526" w:type="dxa"/>
            <w:vAlign w:val="center"/>
          </w:tcPr>
          <w:p w14:paraId="62C4AC13">
            <w:pPr>
              <w:spacing w:line="240" w:lineRule="exact"/>
              <w:jc w:val="center"/>
              <w:rPr>
                <w:rFonts w:hint="eastAsia" w:ascii="宋体" w:hAnsi="宋体" w:cs="Arial"/>
                <w:color w:val="auto"/>
                <w:szCs w:val="21"/>
              </w:rPr>
            </w:pPr>
            <w:r>
              <w:rPr>
                <w:rFonts w:ascii="宋体" w:hAnsi="宋体" w:cs="Arial"/>
                <w:color w:val="auto"/>
                <w:szCs w:val="21"/>
              </w:rPr>
              <w:t>细穗柽柳</w:t>
            </w:r>
          </w:p>
        </w:tc>
        <w:tc>
          <w:tcPr>
            <w:tcW w:w="4847" w:type="dxa"/>
            <w:vAlign w:val="center"/>
          </w:tcPr>
          <w:p w14:paraId="2E0A4F09">
            <w:pPr>
              <w:spacing w:line="240" w:lineRule="exact"/>
              <w:jc w:val="center"/>
              <w:rPr>
                <w:rFonts w:hint="eastAsia" w:ascii="宋体" w:hAnsi="宋体" w:cs="Arial"/>
                <w:i/>
                <w:color w:val="auto"/>
                <w:szCs w:val="21"/>
              </w:rPr>
            </w:pPr>
            <w:r>
              <w:rPr>
                <w:rFonts w:ascii="宋体" w:hAnsi="宋体" w:cs="Arial"/>
                <w:i/>
                <w:color w:val="auto"/>
                <w:szCs w:val="21"/>
              </w:rPr>
              <w:t>Tamarix leptostachys</w:t>
            </w:r>
          </w:p>
        </w:tc>
        <w:tc>
          <w:tcPr>
            <w:tcW w:w="707" w:type="dxa"/>
            <w:vAlign w:val="center"/>
          </w:tcPr>
          <w:p w14:paraId="5C86E8F4">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3EA3CCEE">
            <w:pPr>
              <w:spacing w:line="240" w:lineRule="exact"/>
              <w:jc w:val="center"/>
              <w:rPr>
                <w:rFonts w:hint="eastAsia" w:ascii="宋体" w:hAnsi="宋体" w:cs="Arial"/>
                <w:color w:val="auto"/>
                <w:szCs w:val="21"/>
              </w:rPr>
            </w:pPr>
            <w:r>
              <w:rPr>
                <w:rFonts w:ascii="宋体" w:hAnsi="宋体" w:cs="Arial"/>
                <w:color w:val="auto"/>
                <w:szCs w:val="21"/>
              </w:rPr>
              <w:t>++</w:t>
            </w:r>
          </w:p>
        </w:tc>
      </w:tr>
      <w:tr w14:paraId="75DB88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7EFD81D9">
            <w:pPr>
              <w:spacing w:line="240" w:lineRule="exact"/>
              <w:jc w:val="center"/>
              <w:rPr>
                <w:rFonts w:hint="eastAsia" w:ascii="宋体" w:hAnsi="宋体" w:cs="Arial"/>
                <w:color w:val="auto"/>
                <w:szCs w:val="21"/>
              </w:rPr>
            </w:pPr>
            <w:r>
              <w:rPr>
                <w:rFonts w:ascii="宋体" w:hAnsi="宋体" w:cs="Arial"/>
                <w:color w:val="auto"/>
                <w:szCs w:val="21"/>
              </w:rPr>
              <w:t>27</w:t>
            </w:r>
          </w:p>
        </w:tc>
        <w:tc>
          <w:tcPr>
            <w:tcW w:w="1526" w:type="dxa"/>
            <w:vAlign w:val="center"/>
          </w:tcPr>
          <w:p w14:paraId="5E6B6794">
            <w:pPr>
              <w:spacing w:line="240" w:lineRule="exact"/>
              <w:jc w:val="center"/>
              <w:rPr>
                <w:rFonts w:hint="eastAsia" w:ascii="宋体" w:hAnsi="宋体" w:cs="Arial"/>
                <w:color w:val="auto"/>
                <w:szCs w:val="21"/>
              </w:rPr>
            </w:pPr>
            <w:r>
              <w:rPr>
                <w:rFonts w:ascii="宋体" w:hAnsi="宋体" w:cs="Arial"/>
                <w:color w:val="auto"/>
                <w:szCs w:val="21"/>
              </w:rPr>
              <w:t>多枝柽柳</w:t>
            </w:r>
          </w:p>
        </w:tc>
        <w:tc>
          <w:tcPr>
            <w:tcW w:w="4847" w:type="dxa"/>
            <w:vAlign w:val="center"/>
          </w:tcPr>
          <w:p w14:paraId="59717B72">
            <w:pPr>
              <w:spacing w:line="240" w:lineRule="exact"/>
              <w:jc w:val="center"/>
              <w:rPr>
                <w:rFonts w:hint="eastAsia" w:ascii="宋体" w:hAnsi="宋体" w:cs="Arial"/>
                <w:i/>
                <w:color w:val="auto"/>
                <w:szCs w:val="21"/>
              </w:rPr>
            </w:pPr>
            <w:r>
              <w:rPr>
                <w:rFonts w:ascii="宋体" w:hAnsi="宋体" w:cs="Arial"/>
                <w:i/>
                <w:color w:val="auto"/>
                <w:szCs w:val="21"/>
              </w:rPr>
              <w:t>Tamarix ramosissima</w:t>
            </w:r>
          </w:p>
        </w:tc>
        <w:tc>
          <w:tcPr>
            <w:tcW w:w="707" w:type="dxa"/>
            <w:vAlign w:val="center"/>
          </w:tcPr>
          <w:p w14:paraId="7199A6B8">
            <w:pPr>
              <w:spacing w:line="240" w:lineRule="exact"/>
              <w:jc w:val="center"/>
              <w:rPr>
                <w:rFonts w:hint="eastAsia" w:ascii="宋体" w:hAnsi="宋体" w:cs="Arial"/>
                <w:color w:val="auto"/>
                <w:szCs w:val="21"/>
              </w:rPr>
            </w:pPr>
          </w:p>
        </w:tc>
        <w:tc>
          <w:tcPr>
            <w:tcW w:w="791" w:type="dxa"/>
            <w:vAlign w:val="center"/>
          </w:tcPr>
          <w:p w14:paraId="2E9DC6AC">
            <w:pPr>
              <w:spacing w:line="240" w:lineRule="exact"/>
              <w:jc w:val="center"/>
              <w:rPr>
                <w:rFonts w:hint="eastAsia" w:ascii="宋体" w:hAnsi="宋体" w:cs="Arial"/>
                <w:color w:val="auto"/>
                <w:szCs w:val="21"/>
              </w:rPr>
            </w:pPr>
            <w:r>
              <w:rPr>
                <w:rFonts w:ascii="宋体" w:hAnsi="宋体" w:cs="Arial"/>
                <w:color w:val="auto"/>
                <w:szCs w:val="21"/>
              </w:rPr>
              <w:t>+</w:t>
            </w:r>
          </w:p>
        </w:tc>
      </w:tr>
      <w:tr w14:paraId="5AC61C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021561A8">
            <w:pPr>
              <w:widowControl/>
              <w:jc w:val="left"/>
              <w:rPr>
                <w:rFonts w:hint="eastAsia" w:ascii="等线" w:hAnsi="等线" w:eastAsia="等线" w:cs="宋体"/>
                <w:color w:val="auto"/>
                <w:szCs w:val="21"/>
              </w:rPr>
            </w:pPr>
          </w:p>
        </w:tc>
        <w:tc>
          <w:tcPr>
            <w:tcW w:w="1526" w:type="dxa"/>
            <w:vAlign w:val="center"/>
          </w:tcPr>
          <w:p w14:paraId="09502381">
            <w:pPr>
              <w:spacing w:line="240" w:lineRule="exact"/>
              <w:jc w:val="center"/>
              <w:rPr>
                <w:rFonts w:hint="eastAsia" w:ascii="宋体" w:hAnsi="宋体" w:cs="Arial"/>
                <w:color w:val="auto"/>
                <w:szCs w:val="21"/>
              </w:rPr>
            </w:pPr>
            <w:r>
              <w:rPr>
                <w:rFonts w:ascii="宋体" w:hAnsi="宋体" w:cs="Arial"/>
                <w:color w:val="auto"/>
                <w:szCs w:val="21"/>
              </w:rPr>
              <w:t>七、茄科</w:t>
            </w:r>
          </w:p>
        </w:tc>
        <w:tc>
          <w:tcPr>
            <w:tcW w:w="4847" w:type="dxa"/>
            <w:vAlign w:val="center"/>
          </w:tcPr>
          <w:p w14:paraId="626ECB8E">
            <w:pPr>
              <w:spacing w:line="240" w:lineRule="exact"/>
              <w:jc w:val="center"/>
              <w:rPr>
                <w:rFonts w:hint="eastAsia" w:ascii="宋体" w:hAnsi="宋体" w:cs="Arial"/>
                <w:i/>
                <w:color w:val="auto"/>
                <w:szCs w:val="21"/>
              </w:rPr>
            </w:pPr>
            <w:r>
              <w:rPr>
                <w:rFonts w:ascii="宋体" w:hAnsi="宋体" w:cs="Arial"/>
                <w:i/>
                <w:color w:val="auto"/>
                <w:szCs w:val="21"/>
              </w:rPr>
              <w:t>Solanaceae</w:t>
            </w:r>
          </w:p>
        </w:tc>
        <w:tc>
          <w:tcPr>
            <w:tcW w:w="707" w:type="dxa"/>
            <w:vAlign w:val="center"/>
          </w:tcPr>
          <w:p w14:paraId="4F83E031">
            <w:pPr>
              <w:spacing w:line="240" w:lineRule="exact"/>
              <w:jc w:val="center"/>
              <w:rPr>
                <w:rFonts w:hint="eastAsia" w:ascii="宋体" w:hAnsi="宋体" w:cs="Arial"/>
                <w:color w:val="auto"/>
                <w:szCs w:val="21"/>
              </w:rPr>
            </w:pPr>
          </w:p>
        </w:tc>
        <w:tc>
          <w:tcPr>
            <w:tcW w:w="791" w:type="dxa"/>
            <w:vAlign w:val="center"/>
          </w:tcPr>
          <w:p w14:paraId="113C8BA6">
            <w:pPr>
              <w:spacing w:line="240" w:lineRule="exact"/>
              <w:jc w:val="center"/>
              <w:rPr>
                <w:rFonts w:hint="eastAsia" w:ascii="宋体" w:hAnsi="宋体" w:cs="Arial"/>
                <w:color w:val="auto"/>
                <w:szCs w:val="21"/>
              </w:rPr>
            </w:pPr>
          </w:p>
        </w:tc>
      </w:tr>
      <w:tr w14:paraId="15F3B2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7D43E362">
            <w:pPr>
              <w:spacing w:line="240" w:lineRule="exact"/>
              <w:jc w:val="center"/>
              <w:rPr>
                <w:rFonts w:hint="eastAsia" w:ascii="宋体" w:hAnsi="宋体" w:cs="Arial"/>
                <w:color w:val="auto"/>
                <w:szCs w:val="21"/>
              </w:rPr>
            </w:pPr>
            <w:r>
              <w:rPr>
                <w:rFonts w:ascii="宋体" w:hAnsi="宋体" w:cs="Arial"/>
                <w:color w:val="auto"/>
                <w:szCs w:val="21"/>
              </w:rPr>
              <w:t>28</w:t>
            </w:r>
          </w:p>
        </w:tc>
        <w:tc>
          <w:tcPr>
            <w:tcW w:w="1526" w:type="dxa"/>
            <w:vAlign w:val="center"/>
          </w:tcPr>
          <w:p w14:paraId="30772395">
            <w:pPr>
              <w:spacing w:line="240" w:lineRule="exact"/>
              <w:jc w:val="center"/>
              <w:rPr>
                <w:rFonts w:hint="eastAsia" w:ascii="宋体" w:hAnsi="宋体" w:cs="Arial"/>
                <w:color w:val="auto"/>
                <w:szCs w:val="21"/>
              </w:rPr>
            </w:pPr>
            <w:r>
              <w:rPr>
                <w:rFonts w:ascii="宋体" w:hAnsi="宋体" w:cs="Arial"/>
                <w:color w:val="auto"/>
                <w:szCs w:val="21"/>
              </w:rPr>
              <w:t>黑刺</w:t>
            </w:r>
          </w:p>
        </w:tc>
        <w:tc>
          <w:tcPr>
            <w:tcW w:w="4847" w:type="dxa"/>
            <w:vAlign w:val="center"/>
          </w:tcPr>
          <w:p w14:paraId="659CE411">
            <w:pPr>
              <w:spacing w:line="240" w:lineRule="exact"/>
              <w:jc w:val="center"/>
              <w:rPr>
                <w:rFonts w:hint="eastAsia" w:ascii="宋体" w:hAnsi="宋体" w:cs="Arial"/>
                <w:i/>
                <w:color w:val="auto"/>
                <w:szCs w:val="21"/>
              </w:rPr>
            </w:pPr>
            <w:r>
              <w:rPr>
                <w:rFonts w:ascii="宋体" w:hAnsi="宋体" w:cs="Arial"/>
                <w:i/>
                <w:color w:val="auto"/>
                <w:szCs w:val="21"/>
              </w:rPr>
              <w:t>Lycium ruthenicum</w:t>
            </w:r>
          </w:p>
        </w:tc>
        <w:tc>
          <w:tcPr>
            <w:tcW w:w="707" w:type="dxa"/>
            <w:vAlign w:val="center"/>
          </w:tcPr>
          <w:p w14:paraId="4EE65151">
            <w:pPr>
              <w:spacing w:line="240" w:lineRule="exact"/>
              <w:jc w:val="center"/>
              <w:rPr>
                <w:rFonts w:hint="eastAsia" w:ascii="宋体" w:hAnsi="宋体" w:cs="Arial"/>
                <w:color w:val="auto"/>
                <w:szCs w:val="21"/>
              </w:rPr>
            </w:pPr>
          </w:p>
        </w:tc>
        <w:tc>
          <w:tcPr>
            <w:tcW w:w="791" w:type="dxa"/>
            <w:vAlign w:val="center"/>
          </w:tcPr>
          <w:p w14:paraId="74CA74E7">
            <w:pPr>
              <w:spacing w:line="240" w:lineRule="exact"/>
              <w:jc w:val="center"/>
              <w:rPr>
                <w:rFonts w:hint="eastAsia" w:ascii="宋体" w:hAnsi="宋体" w:cs="Arial"/>
                <w:color w:val="auto"/>
                <w:szCs w:val="21"/>
              </w:rPr>
            </w:pPr>
            <w:r>
              <w:rPr>
                <w:rFonts w:ascii="宋体" w:hAnsi="宋体" w:cs="Arial"/>
                <w:color w:val="auto"/>
                <w:szCs w:val="21"/>
              </w:rPr>
              <w:t>+</w:t>
            </w:r>
          </w:p>
        </w:tc>
      </w:tr>
      <w:tr w14:paraId="0E07CC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4100ECBD">
            <w:pPr>
              <w:spacing w:line="240" w:lineRule="exact"/>
              <w:jc w:val="center"/>
              <w:rPr>
                <w:rFonts w:hint="eastAsia" w:ascii="宋体" w:hAnsi="宋体" w:cs="Arial"/>
                <w:color w:val="auto"/>
                <w:szCs w:val="21"/>
              </w:rPr>
            </w:pPr>
          </w:p>
        </w:tc>
        <w:tc>
          <w:tcPr>
            <w:tcW w:w="1526" w:type="dxa"/>
            <w:vAlign w:val="center"/>
          </w:tcPr>
          <w:p w14:paraId="5B86EBB8">
            <w:pPr>
              <w:spacing w:line="240" w:lineRule="exact"/>
              <w:jc w:val="center"/>
              <w:rPr>
                <w:rFonts w:hint="eastAsia" w:ascii="宋体" w:hAnsi="宋体" w:cs="Arial"/>
                <w:color w:val="auto"/>
                <w:szCs w:val="21"/>
              </w:rPr>
            </w:pPr>
            <w:r>
              <w:rPr>
                <w:rFonts w:ascii="宋体" w:hAnsi="宋体" w:cs="Arial"/>
                <w:color w:val="auto"/>
                <w:szCs w:val="21"/>
              </w:rPr>
              <w:t>八、菊科</w:t>
            </w:r>
          </w:p>
        </w:tc>
        <w:tc>
          <w:tcPr>
            <w:tcW w:w="4847" w:type="dxa"/>
            <w:vAlign w:val="center"/>
          </w:tcPr>
          <w:p w14:paraId="620DE29C">
            <w:pPr>
              <w:spacing w:line="240" w:lineRule="exact"/>
              <w:jc w:val="center"/>
              <w:rPr>
                <w:rFonts w:hint="eastAsia" w:ascii="宋体" w:hAnsi="宋体" w:cs="Arial"/>
                <w:i/>
                <w:color w:val="auto"/>
                <w:szCs w:val="21"/>
              </w:rPr>
            </w:pPr>
            <w:r>
              <w:rPr>
                <w:rFonts w:ascii="宋体" w:hAnsi="宋体" w:cs="Arial"/>
                <w:i/>
                <w:color w:val="auto"/>
                <w:szCs w:val="21"/>
              </w:rPr>
              <w:t>Compsitae</w:t>
            </w:r>
          </w:p>
        </w:tc>
        <w:tc>
          <w:tcPr>
            <w:tcW w:w="707" w:type="dxa"/>
            <w:vAlign w:val="center"/>
          </w:tcPr>
          <w:p w14:paraId="49BB62AC">
            <w:pPr>
              <w:spacing w:line="240" w:lineRule="exact"/>
              <w:jc w:val="center"/>
              <w:rPr>
                <w:rFonts w:hint="eastAsia" w:ascii="宋体" w:hAnsi="宋体" w:cs="Arial"/>
                <w:color w:val="auto"/>
                <w:szCs w:val="21"/>
              </w:rPr>
            </w:pPr>
          </w:p>
        </w:tc>
        <w:tc>
          <w:tcPr>
            <w:tcW w:w="791" w:type="dxa"/>
            <w:vAlign w:val="center"/>
          </w:tcPr>
          <w:p w14:paraId="34C53ED2">
            <w:pPr>
              <w:spacing w:line="240" w:lineRule="exact"/>
              <w:jc w:val="center"/>
              <w:rPr>
                <w:rFonts w:hint="eastAsia" w:ascii="宋体" w:hAnsi="宋体" w:cs="Arial"/>
                <w:color w:val="auto"/>
                <w:szCs w:val="21"/>
              </w:rPr>
            </w:pPr>
          </w:p>
        </w:tc>
      </w:tr>
      <w:tr w14:paraId="174A1A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5C2C707B">
            <w:pPr>
              <w:spacing w:line="240" w:lineRule="exact"/>
              <w:jc w:val="center"/>
              <w:rPr>
                <w:rFonts w:hint="eastAsia" w:ascii="宋体" w:hAnsi="宋体" w:cs="Arial"/>
                <w:color w:val="auto"/>
                <w:szCs w:val="21"/>
              </w:rPr>
            </w:pPr>
            <w:r>
              <w:rPr>
                <w:rFonts w:ascii="宋体" w:hAnsi="宋体" w:cs="Arial"/>
                <w:color w:val="auto"/>
                <w:szCs w:val="21"/>
              </w:rPr>
              <w:t>29</w:t>
            </w:r>
          </w:p>
        </w:tc>
        <w:tc>
          <w:tcPr>
            <w:tcW w:w="1526" w:type="dxa"/>
            <w:vAlign w:val="center"/>
          </w:tcPr>
          <w:p w14:paraId="2FE40363">
            <w:pPr>
              <w:spacing w:line="240" w:lineRule="exact"/>
              <w:jc w:val="center"/>
              <w:rPr>
                <w:rFonts w:hint="eastAsia" w:ascii="宋体" w:hAnsi="宋体" w:cs="Arial"/>
                <w:color w:val="auto"/>
                <w:szCs w:val="21"/>
              </w:rPr>
            </w:pPr>
            <w:r>
              <w:rPr>
                <w:rFonts w:ascii="宋体" w:hAnsi="宋体" w:cs="Arial"/>
                <w:color w:val="auto"/>
                <w:szCs w:val="21"/>
              </w:rPr>
              <w:t>沙蒿</w:t>
            </w:r>
          </w:p>
        </w:tc>
        <w:tc>
          <w:tcPr>
            <w:tcW w:w="4847" w:type="dxa"/>
            <w:vAlign w:val="center"/>
          </w:tcPr>
          <w:p w14:paraId="5962CB99">
            <w:pPr>
              <w:spacing w:line="240" w:lineRule="exact"/>
              <w:jc w:val="center"/>
              <w:rPr>
                <w:rFonts w:hint="eastAsia" w:ascii="宋体" w:hAnsi="宋体" w:cs="Arial"/>
                <w:i/>
                <w:color w:val="auto"/>
                <w:szCs w:val="21"/>
              </w:rPr>
            </w:pPr>
            <w:r>
              <w:rPr>
                <w:rFonts w:ascii="宋体" w:hAnsi="宋体" w:cs="Arial"/>
                <w:i/>
                <w:color w:val="auto"/>
                <w:szCs w:val="21"/>
              </w:rPr>
              <w:t>Artemisia desterorum Spreng</w:t>
            </w:r>
          </w:p>
        </w:tc>
        <w:tc>
          <w:tcPr>
            <w:tcW w:w="707" w:type="dxa"/>
            <w:vAlign w:val="center"/>
          </w:tcPr>
          <w:p w14:paraId="3E29963B">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5C75339E">
            <w:pPr>
              <w:spacing w:line="240" w:lineRule="exact"/>
              <w:jc w:val="center"/>
              <w:rPr>
                <w:rFonts w:hint="eastAsia" w:ascii="宋体" w:hAnsi="宋体" w:cs="Arial"/>
                <w:color w:val="auto"/>
                <w:szCs w:val="21"/>
              </w:rPr>
            </w:pPr>
            <w:r>
              <w:rPr>
                <w:rFonts w:ascii="宋体" w:hAnsi="宋体" w:cs="Arial"/>
                <w:color w:val="auto"/>
                <w:szCs w:val="21"/>
              </w:rPr>
              <w:t>++</w:t>
            </w:r>
          </w:p>
        </w:tc>
      </w:tr>
      <w:tr w14:paraId="73B0D5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10EB567F">
            <w:pPr>
              <w:spacing w:line="240" w:lineRule="exact"/>
              <w:jc w:val="center"/>
              <w:rPr>
                <w:rFonts w:hint="eastAsia" w:ascii="宋体" w:hAnsi="宋体" w:cs="Arial"/>
                <w:color w:val="auto"/>
                <w:szCs w:val="21"/>
              </w:rPr>
            </w:pPr>
            <w:r>
              <w:rPr>
                <w:rFonts w:ascii="宋体" w:hAnsi="宋体" w:cs="Arial"/>
                <w:color w:val="auto"/>
                <w:szCs w:val="21"/>
              </w:rPr>
              <w:t>30</w:t>
            </w:r>
          </w:p>
        </w:tc>
        <w:tc>
          <w:tcPr>
            <w:tcW w:w="1526" w:type="dxa"/>
            <w:vAlign w:val="center"/>
          </w:tcPr>
          <w:p w14:paraId="2F6203BB">
            <w:pPr>
              <w:spacing w:line="240" w:lineRule="exact"/>
              <w:jc w:val="center"/>
              <w:rPr>
                <w:rFonts w:hint="eastAsia" w:ascii="宋体" w:hAnsi="宋体" w:cs="Arial"/>
                <w:color w:val="auto"/>
                <w:szCs w:val="21"/>
              </w:rPr>
            </w:pPr>
            <w:r>
              <w:rPr>
                <w:rFonts w:ascii="宋体" w:hAnsi="宋体" w:cs="Arial"/>
                <w:color w:val="auto"/>
                <w:szCs w:val="21"/>
              </w:rPr>
              <w:t>苦艾蒿</w:t>
            </w:r>
          </w:p>
        </w:tc>
        <w:tc>
          <w:tcPr>
            <w:tcW w:w="4847" w:type="dxa"/>
            <w:vAlign w:val="center"/>
          </w:tcPr>
          <w:p w14:paraId="5E35DC3F">
            <w:pPr>
              <w:spacing w:line="240" w:lineRule="exact"/>
              <w:jc w:val="center"/>
              <w:rPr>
                <w:rFonts w:hint="eastAsia" w:ascii="宋体" w:hAnsi="宋体" w:cs="Arial"/>
                <w:i/>
                <w:color w:val="auto"/>
                <w:szCs w:val="21"/>
              </w:rPr>
            </w:pPr>
            <w:r>
              <w:rPr>
                <w:rFonts w:ascii="宋体" w:hAnsi="宋体" w:cs="Arial"/>
                <w:i/>
                <w:color w:val="auto"/>
                <w:szCs w:val="21"/>
              </w:rPr>
              <w:t>Artemisia santolina</w:t>
            </w:r>
          </w:p>
        </w:tc>
        <w:tc>
          <w:tcPr>
            <w:tcW w:w="707" w:type="dxa"/>
            <w:vAlign w:val="center"/>
          </w:tcPr>
          <w:p w14:paraId="534F4962">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23BF0F0B">
            <w:pPr>
              <w:spacing w:line="240" w:lineRule="exact"/>
              <w:jc w:val="center"/>
              <w:rPr>
                <w:rFonts w:hint="eastAsia" w:ascii="宋体" w:hAnsi="宋体" w:cs="Arial"/>
                <w:color w:val="auto"/>
                <w:szCs w:val="21"/>
              </w:rPr>
            </w:pPr>
            <w:r>
              <w:rPr>
                <w:rFonts w:ascii="宋体" w:hAnsi="宋体" w:cs="Arial"/>
                <w:color w:val="auto"/>
                <w:szCs w:val="21"/>
              </w:rPr>
              <w:t>-</w:t>
            </w:r>
          </w:p>
        </w:tc>
      </w:tr>
      <w:tr w14:paraId="6EAF91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62029FB8">
            <w:pPr>
              <w:spacing w:line="240" w:lineRule="exact"/>
              <w:jc w:val="center"/>
              <w:rPr>
                <w:rFonts w:hint="eastAsia" w:ascii="宋体" w:hAnsi="宋体" w:cs="Arial"/>
                <w:color w:val="auto"/>
                <w:szCs w:val="21"/>
              </w:rPr>
            </w:pPr>
            <w:r>
              <w:rPr>
                <w:rFonts w:ascii="宋体" w:hAnsi="宋体" w:cs="Arial"/>
                <w:color w:val="auto"/>
                <w:szCs w:val="21"/>
              </w:rPr>
              <w:t>31</w:t>
            </w:r>
          </w:p>
        </w:tc>
        <w:tc>
          <w:tcPr>
            <w:tcW w:w="1526" w:type="dxa"/>
            <w:vAlign w:val="center"/>
          </w:tcPr>
          <w:p w14:paraId="19B64D82">
            <w:pPr>
              <w:spacing w:line="240" w:lineRule="exact"/>
              <w:jc w:val="center"/>
              <w:rPr>
                <w:rFonts w:hint="eastAsia" w:ascii="宋体" w:hAnsi="宋体" w:cs="Arial"/>
                <w:color w:val="auto"/>
                <w:szCs w:val="21"/>
              </w:rPr>
            </w:pPr>
            <w:r>
              <w:rPr>
                <w:rFonts w:ascii="宋体" w:hAnsi="宋体" w:cs="Arial"/>
                <w:color w:val="auto"/>
                <w:szCs w:val="21"/>
              </w:rPr>
              <w:t>地白蒿</w:t>
            </w:r>
          </w:p>
        </w:tc>
        <w:tc>
          <w:tcPr>
            <w:tcW w:w="4847" w:type="dxa"/>
            <w:vAlign w:val="center"/>
          </w:tcPr>
          <w:p w14:paraId="01C82AC7">
            <w:pPr>
              <w:spacing w:line="240" w:lineRule="exact"/>
              <w:jc w:val="center"/>
              <w:rPr>
                <w:rFonts w:hint="eastAsia" w:ascii="宋体" w:hAnsi="宋体" w:cs="Arial"/>
                <w:i/>
                <w:color w:val="auto"/>
                <w:szCs w:val="21"/>
              </w:rPr>
            </w:pPr>
            <w:r>
              <w:rPr>
                <w:rFonts w:ascii="宋体" w:hAnsi="宋体" w:cs="Arial"/>
                <w:i/>
                <w:color w:val="auto"/>
                <w:szCs w:val="21"/>
              </w:rPr>
              <w:t>Artemisia terrae-ablae</w:t>
            </w:r>
          </w:p>
        </w:tc>
        <w:tc>
          <w:tcPr>
            <w:tcW w:w="707" w:type="dxa"/>
            <w:vAlign w:val="center"/>
          </w:tcPr>
          <w:p w14:paraId="771DD0C2">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4DDE92B9">
            <w:pPr>
              <w:spacing w:line="240" w:lineRule="exact"/>
              <w:jc w:val="center"/>
              <w:rPr>
                <w:rFonts w:hint="eastAsia" w:ascii="宋体" w:hAnsi="宋体" w:cs="Arial"/>
                <w:color w:val="auto"/>
                <w:szCs w:val="21"/>
              </w:rPr>
            </w:pPr>
            <w:r>
              <w:rPr>
                <w:rFonts w:ascii="宋体" w:hAnsi="宋体" w:cs="Arial"/>
                <w:color w:val="auto"/>
                <w:szCs w:val="21"/>
              </w:rPr>
              <w:t>-</w:t>
            </w:r>
          </w:p>
        </w:tc>
      </w:tr>
      <w:tr w14:paraId="23E05A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606DFAF2">
            <w:pPr>
              <w:spacing w:line="240" w:lineRule="exact"/>
              <w:jc w:val="center"/>
              <w:rPr>
                <w:rFonts w:hint="eastAsia" w:ascii="宋体" w:hAnsi="宋体" w:cs="Arial"/>
                <w:color w:val="auto"/>
                <w:szCs w:val="21"/>
              </w:rPr>
            </w:pPr>
            <w:r>
              <w:rPr>
                <w:rFonts w:ascii="宋体" w:hAnsi="宋体" w:cs="Arial"/>
                <w:color w:val="auto"/>
                <w:szCs w:val="21"/>
              </w:rPr>
              <w:t>32</w:t>
            </w:r>
          </w:p>
        </w:tc>
        <w:tc>
          <w:tcPr>
            <w:tcW w:w="1526" w:type="dxa"/>
            <w:vAlign w:val="center"/>
          </w:tcPr>
          <w:p w14:paraId="76410421">
            <w:pPr>
              <w:spacing w:line="240" w:lineRule="exact"/>
              <w:jc w:val="center"/>
              <w:rPr>
                <w:rFonts w:hint="eastAsia" w:ascii="宋体" w:hAnsi="宋体" w:cs="Arial"/>
                <w:color w:val="auto"/>
                <w:szCs w:val="21"/>
              </w:rPr>
            </w:pPr>
            <w:r>
              <w:rPr>
                <w:rFonts w:ascii="宋体" w:hAnsi="宋体" w:cs="Arial"/>
                <w:color w:val="auto"/>
                <w:szCs w:val="21"/>
              </w:rPr>
              <w:t>沙地千里光</w:t>
            </w:r>
          </w:p>
        </w:tc>
        <w:tc>
          <w:tcPr>
            <w:tcW w:w="4847" w:type="dxa"/>
            <w:vAlign w:val="center"/>
          </w:tcPr>
          <w:p w14:paraId="37486D9C">
            <w:pPr>
              <w:spacing w:line="240" w:lineRule="exact"/>
              <w:jc w:val="center"/>
              <w:rPr>
                <w:rFonts w:hint="eastAsia" w:ascii="宋体" w:hAnsi="宋体" w:cs="Arial"/>
                <w:i/>
                <w:color w:val="auto"/>
                <w:szCs w:val="21"/>
              </w:rPr>
            </w:pPr>
            <w:r>
              <w:rPr>
                <w:rFonts w:ascii="宋体" w:hAnsi="宋体" w:cs="Arial"/>
                <w:i/>
                <w:color w:val="auto"/>
                <w:szCs w:val="21"/>
              </w:rPr>
              <w:t>Senecio subdentatus</w:t>
            </w:r>
          </w:p>
        </w:tc>
        <w:tc>
          <w:tcPr>
            <w:tcW w:w="707" w:type="dxa"/>
            <w:vAlign w:val="center"/>
          </w:tcPr>
          <w:p w14:paraId="70A1CAD1">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09EEA944">
            <w:pPr>
              <w:spacing w:line="240" w:lineRule="exact"/>
              <w:jc w:val="center"/>
              <w:rPr>
                <w:rFonts w:hint="eastAsia" w:ascii="宋体" w:hAnsi="宋体" w:cs="Arial"/>
                <w:color w:val="auto"/>
                <w:szCs w:val="21"/>
              </w:rPr>
            </w:pPr>
            <w:r>
              <w:rPr>
                <w:rFonts w:ascii="宋体" w:hAnsi="宋体" w:cs="Arial"/>
                <w:color w:val="auto"/>
                <w:szCs w:val="21"/>
              </w:rPr>
              <w:t>++</w:t>
            </w:r>
          </w:p>
        </w:tc>
      </w:tr>
      <w:tr w14:paraId="233001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70FF1D60">
            <w:pPr>
              <w:spacing w:line="240" w:lineRule="exact"/>
              <w:jc w:val="center"/>
              <w:rPr>
                <w:rFonts w:hint="eastAsia" w:ascii="宋体" w:hAnsi="宋体" w:cs="Arial"/>
                <w:color w:val="auto"/>
                <w:szCs w:val="21"/>
              </w:rPr>
            </w:pPr>
            <w:r>
              <w:rPr>
                <w:rFonts w:ascii="宋体" w:hAnsi="宋体" w:cs="Arial"/>
                <w:color w:val="auto"/>
                <w:szCs w:val="21"/>
              </w:rPr>
              <w:t>33</w:t>
            </w:r>
          </w:p>
        </w:tc>
        <w:tc>
          <w:tcPr>
            <w:tcW w:w="1526" w:type="dxa"/>
            <w:vAlign w:val="center"/>
          </w:tcPr>
          <w:p w14:paraId="0616EEA1">
            <w:pPr>
              <w:spacing w:line="240" w:lineRule="exact"/>
              <w:jc w:val="center"/>
              <w:rPr>
                <w:rFonts w:hint="eastAsia" w:ascii="宋体" w:hAnsi="宋体" w:cs="Arial"/>
                <w:color w:val="auto"/>
                <w:szCs w:val="21"/>
              </w:rPr>
            </w:pPr>
            <w:r>
              <w:rPr>
                <w:rFonts w:ascii="宋体" w:hAnsi="宋体" w:cs="Arial"/>
                <w:color w:val="auto"/>
                <w:szCs w:val="21"/>
              </w:rPr>
              <w:t>九、麻黄科</w:t>
            </w:r>
          </w:p>
        </w:tc>
        <w:tc>
          <w:tcPr>
            <w:tcW w:w="4847" w:type="dxa"/>
            <w:vAlign w:val="center"/>
          </w:tcPr>
          <w:p w14:paraId="38CD489E">
            <w:pPr>
              <w:spacing w:line="240" w:lineRule="exact"/>
              <w:jc w:val="center"/>
              <w:rPr>
                <w:rFonts w:hint="eastAsia" w:ascii="宋体" w:hAnsi="宋体" w:cs="Arial"/>
                <w:i/>
                <w:color w:val="auto"/>
                <w:szCs w:val="21"/>
              </w:rPr>
            </w:pPr>
            <w:r>
              <w:rPr>
                <w:rFonts w:ascii="宋体" w:hAnsi="宋体" w:cs="Arial"/>
                <w:i/>
                <w:color w:val="auto"/>
                <w:szCs w:val="21"/>
              </w:rPr>
              <w:t>Ephedraceae</w:t>
            </w:r>
          </w:p>
        </w:tc>
        <w:tc>
          <w:tcPr>
            <w:tcW w:w="707" w:type="dxa"/>
            <w:vAlign w:val="center"/>
          </w:tcPr>
          <w:p w14:paraId="36679CBB">
            <w:pPr>
              <w:spacing w:line="240" w:lineRule="exact"/>
              <w:jc w:val="center"/>
              <w:rPr>
                <w:rFonts w:hint="eastAsia" w:ascii="宋体" w:hAnsi="宋体" w:cs="Arial"/>
                <w:color w:val="auto"/>
                <w:szCs w:val="21"/>
              </w:rPr>
            </w:pPr>
          </w:p>
        </w:tc>
        <w:tc>
          <w:tcPr>
            <w:tcW w:w="791" w:type="dxa"/>
            <w:vAlign w:val="center"/>
          </w:tcPr>
          <w:p w14:paraId="3FF488C7">
            <w:pPr>
              <w:spacing w:line="240" w:lineRule="exact"/>
              <w:jc w:val="center"/>
              <w:rPr>
                <w:rFonts w:hint="eastAsia" w:ascii="宋体" w:hAnsi="宋体" w:cs="Arial"/>
                <w:color w:val="auto"/>
                <w:szCs w:val="21"/>
              </w:rPr>
            </w:pPr>
          </w:p>
        </w:tc>
      </w:tr>
      <w:tr w14:paraId="6EAEB9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50" w:type="dxa"/>
            <w:vAlign w:val="center"/>
          </w:tcPr>
          <w:p w14:paraId="03C0EDB6">
            <w:pPr>
              <w:spacing w:line="240" w:lineRule="exact"/>
              <w:jc w:val="center"/>
              <w:rPr>
                <w:rFonts w:hint="eastAsia" w:ascii="宋体" w:hAnsi="宋体" w:cs="Arial"/>
                <w:color w:val="auto"/>
                <w:szCs w:val="21"/>
              </w:rPr>
            </w:pPr>
            <w:r>
              <w:rPr>
                <w:rFonts w:ascii="宋体" w:hAnsi="宋体" w:cs="Arial"/>
                <w:color w:val="auto"/>
                <w:szCs w:val="21"/>
              </w:rPr>
              <w:t>34</w:t>
            </w:r>
          </w:p>
        </w:tc>
        <w:tc>
          <w:tcPr>
            <w:tcW w:w="1526" w:type="dxa"/>
            <w:vAlign w:val="center"/>
          </w:tcPr>
          <w:p w14:paraId="1B6C1E5C">
            <w:pPr>
              <w:spacing w:line="240" w:lineRule="exact"/>
              <w:jc w:val="center"/>
              <w:rPr>
                <w:rFonts w:hint="eastAsia" w:ascii="宋体" w:hAnsi="宋体" w:cs="Arial"/>
                <w:color w:val="auto"/>
                <w:szCs w:val="21"/>
              </w:rPr>
            </w:pPr>
            <w:r>
              <w:rPr>
                <w:rFonts w:ascii="宋体" w:hAnsi="宋体" w:cs="Arial"/>
                <w:color w:val="auto"/>
                <w:szCs w:val="21"/>
              </w:rPr>
              <w:t>蛇麻黄</w:t>
            </w:r>
          </w:p>
        </w:tc>
        <w:tc>
          <w:tcPr>
            <w:tcW w:w="4847" w:type="dxa"/>
            <w:vAlign w:val="center"/>
          </w:tcPr>
          <w:p w14:paraId="1DD56E97">
            <w:pPr>
              <w:spacing w:line="240" w:lineRule="exact"/>
              <w:jc w:val="center"/>
              <w:rPr>
                <w:rFonts w:hint="eastAsia" w:ascii="宋体" w:hAnsi="宋体" w:cs="Arial"/>
                <w:i/>
                <w:color w:val="auto"/>
                <w:szCs w:val="21"/>
              </w:rPr>
            </w:pPr>
            <w:r>
              <w:rPr>
                <w:rFonts w:ascii="宋体" w:hAnsi="宋体" w:cs="Arial"/>
                <w:i/>
                <w:color w:val="auto"/>
                <w:szCs w:val="21"/>
              </w:rPr>
              <w:t>Ephedra distachya</w:t>
            </w:r>
          </w:p>
        </w:tc>
        <w:tc>
          <w:tcPr>
            <w:tcW w:w="707" w:type="dxa"/>
            <w:vAlign w:val="center"/>
          </w:tcPr>
          <w:p w14:paraId="20004F0E">
            <w:pPr>
              <w:spacing w:line="240" w:lineRule="exact"/>
              <w:jc w:val="center"/>
              <w:rPr>
                <w:rFonts w:hint="eastAsia" w:ascii="宋体" w:hAnsi="宋体" w:cs="Arial"/>
                <w:color w:val="auto"/>
                <w:szCs w:val="21"/>
              </w:rPr>
            </w:pPr>
            <w:r>
              <w:rPr>
                <w:rFonts w:ascii="宋体" w:hAnsi="宋体" w:cs="Arial"/>
                <w:color w:val="auto"/>
                <w:szCs w:val="21"/>
              </w:rPr>
              <w:t>+</w:t>
            </w:r>
          </w:p>
        </w:tc>
        <w:tc>
          <w:tcPr>
            <w:tcW w:w="791" w:type="dxa"/>
            <w:vAlign w:val="center"/>
          </w:tcPr>
          <w:p w14:paraId="46E58867">
            <w:pPr>
              <w:spacing w:line="240" w:lineRule="exact"/>
              <w:jc w:val="center"/>
              <w:rPr>
                <w:rFonts w:hint="eastAsia" w:ascii="宋体" w:hAnsi="宋体" w:cs="Arial"/>
                <w:color w:val="auto"/>
                <w:szCs w:val="21"/>
              </w:rPr>
            </w:pPr>
            <w:r>
              <w:rPr>
                <w:rFonts w:ascii="宋体" w:hAnsi="宋体" w:cs="Arial"/>
                <w:color w:val="auto"/>
                <w:szCs w:val="21"/>
              </w:rPr>
              <w:t>+</w:t>
            </w:r>
          </w:p>
        </w:tc>
      </w:tr>
      <w:bookmarkEnd w:id="608"/>
      <w:bookmarkEnd w:id="613"/>
      <w:bookmarkEnd w:id="617"/>
      <w:bookmarkEnd w:id="618"/>
    </w:tbl>
    <w:p w14:paraId="4017D409">
      <w:pPr>
        <w:pStyle w:val="86"/>
        <w:ind w:firstLine="480"/>
        <w:rPr>
          <w:rFonts w:hint="eastAsia"/>
          <w:color w:val="auto"/>
        </w:rPr>
      </w:pPr>
      <w:bookmarkStart w:id="622" w:name="_Hlk160376455"/>
      <w:bookmarkStart w:id="623" w:name="_Hlk80201335"/>
      <w:r>
        <w:rPr>
          <w:rFonts w:hint="eastAsia"/>
          <w:color w:val="auto"/>
        </w:rPr>
        <w:t>②样方调查</w:t>
      </w:r>
    </w:p>
    <w:p w14:paraId="6D2E3169">
      <w:pPr>
        <w:pStyle w:val="86"/>
        <w:ind w:firstLine="480"/>
        <w:rPr>
          <w:rFonts w:hint="eastAsia"/>
          <w:color w:val="auto"/>
        </w:rPr>
      </w:pPr>
      <w:bookmarkStart w:id="624" w:name="_Hlk163693462"/>
      <w:r>
        <w:rPr>
          <w:color w:val="auto"/>
        </w:rPr>
        <w:t>本项目生态</w:t>
      </w:r>
      <w:r>
        <w:rPr>
          <w:rFonts w:hint="eastAsia"/>
          <w:color w:val="auto"/>
        </w:rPr>
        <w:t>环境影响</w:t>
      </w:r>
      <w:r>
        <w:rPr>
          <w:color w:val="auto"/>
        </w:rPr>
        <w:t>评价</w:t>
      </w:r>
      <w:r>
        <w:rPr>
          <w:rFonts w:hint="eastAsia"/>
          <w:color w:val="auto"/>
        </w:rPr>
        <w:t>等级</w:t>
      </w:r>
      <w:r>
        <w:rPr>
          <w:color w:val="auto"/>
        </w:rPr>
        <w:t>为二级，根据《环境影响评价技术导则 生态影响》（HJ 19-2022）要求，根据植物群落类型（宜以群系及以下分类单位为调查单元）设置调查样地，</w:t>
      </w:r>
      <w:r>
        <w:rPr>
          <w:rFonts w:hint="eastAsia"/>
          <w:color w:val="auto"/>
        </w:rPr>
        <w:t>二</w:t>
      </w:r>
      <w:r>
        <w:rPr>
          <w:color w:val="auto"/>
        </w:rPr>
        <w:t>级评价每种群落类型设置的样方数量不少于</w:t>
      </w:r>
      <w:r>
        <w:rPr>
          <w:rFonts w:hint="eastAsia"/>
          <w:color w:val="auto"/>
        </w:rPr>
        <w:t>3</w:t>
      </w:r>
      <w:r>
        <w:rPr>
          <w:color w:val="auto"/>
        </w:rPr>
        <w:t>个。</w:t>
      </w:r>
      <w:r>
        <w:rPr>
          <w:rFonts w:hint="eastAsia"/>
          <w:color w:val="auto"/>
        </w:rPr>
        <w:t>本次评价于</w:t>
      </w:r>
      <w:bookmarkStart w:id="625" w:name="_Hlk173411269"/>
      <w:r>
        <w:rPr>
          <w:rFonts w:hint="eastAsia"/>
          <w:color w:val="auto"/>
        </w:rPr>
        <w:t>2026年3月12日至2026年3月13日</w:t>
      </w:r>
      <w:bookmarkEnd w:id="625"/>
      <w:r>
        <w:rPr>
          <w:rFonts w:hint="eastAsia"/>
          <w:color w:val="auto"/>
        </w:rPr>
        <w:t>对评价范围内的植被进行了现场样方调查，评价范围内涉及一种植物群落类型，本次共设3个样方</w:t>
      </w:r>
      <w:r>
        <w:rPr>
          <w:color w:val="auto"/>
        </w:rPr>
        <w:t>选择重点工程建设地点和有代表性植被类型作为调查样地，在样地中统计植物种类、群落结构等数据，详细记录样方中的植物种类、盖度、高度等信息，并记录生境特征，拍摄群落照片。</w:t>
      </w:r>
    </w:p>
    <w:bookmarkEnd w:id="624"/>
    <w:p w14:paraId="202A88AD">
      <w:pPr>
        <w:pStyle w:val="86"/>
        <w:ind w:firstLine="480"/>
        <w:rPr>
          <w:rFonts w:hint="eastAsia"/>
          <w:color w:val="auto"/>
        </w:rPr>
      </w:pPr>
      <w:r>
        <w:rPr>
          <w:rFonts w:hint="eastAsia"/>
          <w:color w:val="auto"/>
        </w:rPr>
        <w:t>※灌木植被群落类型：</w:t>
      </w:r>
      <w:bookmarkStart w:id="626" w:name="_Hlk173405695"/>
      <w:r>
        <w:rPr>
          <w:rFonts w:hint="eastAsia"/>
          <w:color w:val="auto"/>
        </w:rPr>
        <w:t>梭梭-</w:t>
      </w:r>
      <w:bookmarkEnd w:id="626"/>
      <w:r>
        <w:rPr>
          <w:rFonts w:hint="eastAsia"/>
          <w:color w:val="auto"/>
        </w:rPr>
        <w:t xml:space="preserve">沙拐枣群落 </w:t>
      </w:r>
    </w:p>
    <w:p w14:paraId="1ACA0E52">
      <w:pPr>
        <w:pStyle w:val="86"/>
        <w:ind w:firstLine="480"/>
        <w:rPr>
          <w:rFonts w:hint="eastAsia"/>
          <w:color w:val="auto"/>
        </w:rPr>
      </w:pPr>
      <w:r>
        <w:rPr>
          <w:color w:val="auto"/>
        </w:rPr>
        <w:t>样方大小：</w:t>
      </w:r>
      <w:r>
        <w:rPr>
          <w:rFonts w:hint="eastAsia"/>
          <w:color w:val="auto"/>
        </w:rPr>
        <w:t>5</w:t>
      </w:r>
      <w:r>
        <w:rPr>
          <w:color w:val="auto"/>
        </w:rPr>
        <w:t>m×</w:t>
      </w:r>
      <w:r>
        <w:rPr>
          <w:rFonts w:hint="eastAsia"/>
          <w:color w:val="auto"/>
        </w:rPr>
        <w:t>5</w:t>
      </w:r>
      <w:r>
        <w:rPr>
          <w:color w:val="auto"/>
        </w:rPr>
        <w:t>m   总盖度：</w:t>
      </w:r>
      <w:r>
        <w:rPr>
          <w:rFonts w:hint="eastAsia"/>
          <w:color w:val="auto"/>
        </w:rPr>
        <w:t>5％～10％</w:t>
      </w:r>
      <w:r>
        <w:rPr>
          <w:color w:val="auto"/>
        </w:rPr>
        <w:t>，统计结果见表4.</w:t>
      </w:r>
      <w:r>
        <w:rPr>
          <w:rFonts w:hint="eastAsia"/>
          <w:color w:val="auto"/>
        </w:rPr>
        <w:t>3-15</w:t>
      </w:r>
      <w:r>
        <w:rPr>
          <w:color w:val="auto"/>
        </w:rPr>
        <w:t>。</w:t>
      </w:r>
    </w:p>
    <w:p w14:paraId="54941F7A">
      <w:pPr>
        <w:pStyle w:val="134"/>
        <w:rPr>
          <w:rFonts w:hint="eastAsia"/>
          <w:color w:val="auto"/>
        </w:rPr>
      </w:pPr>
      <w:r>
        <w:rPr>
          <w:color w:val="auto"/>
        </w:rPr>
        <w:t>表4.</w:t>
      </w:r>
      <w:r>
        <w:rPr>
          <w:rFonts w:hint="eastAsia"/>
          <w:color w:val="auto"/>
        </w:rPr>
        <w:t>3-15  盐爪爪-多枝柽柳群落</w:t>
      </w:r>
    </w:p>
    <w:tbl>
      <w:tblPr>
        <w:tblStyle w:val="51"/>
        <w:tblW w:w="5001"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9"/>
        <w:gridCol w:w="2362"/>
        <w:gridCol w:w="1743"/>
        <w:gridCol w:w="54"/>
        <w:gridCol w:w="2128"/>
        <w:gridCol w:w="59"/>
        <w:gridCol w:w="1081"/>
        <w:gridCol w:w="34"/>
        <w:gridCol w:w="1378"/>
      </w:tblGrid>
      <w:tr w14:paraId="56C1CC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trPr>
        <w:tc>
          <w:tcPr>
            <w:tcW w:w="1381" w:type="pct"/>
            <w:gridSpan w:val="2"/>
            <w:vMerge w:val="restart"/>
            <w:tcBorders>
              <w:tl2br w:val="nil"/>
              <w:tr2bl w:val="nil"/>
            </w:tcBorders>
            <w:vAlign w:val="center"/>
          </w:tcPr>
          <w:p w14:paraId="5188744B">
            <w:pPr>
              <w:jc w:val="center"/>
              <w:rPr>
                <w:rFonts w:hint="eastAsia" w:ascii="宋体" w:hAnsi="宋体" w:cs="宋体"/>
                <w:color w:val="auto"/>
                <w:szCs w:val="21"/>
              </w:rPr>
            </w:pPr>
            <w:r>
              <w:rPr>
                <w:rFonts w:hint="eastAsia" w:ascii="宋体" w:hAnsi="宋体" w:cs="宋体"/>
                <w:color w:val="auto"/>
                <w:szCs w:val="21"/>
              </w:rPr>
              <w:t>地点</w:t>
            </w:r>
          </w:p>
        </w:tc>
        <w:tc>
          <w:tcPr>
            <w:tcW w:w="3619" w:type="pct"/>
            <w:gridSpan w:val="7"/>
            <w:tcBorders>
              <w:tl2br w:val="nil"/>
              <w:tr2bl w:val="nil"/>
            </w:tcBorders>
            <w:vAlign w:val="center"/>
          </w:tcPr>
          <w:p w14:paraId="7AE24D70">
            <w:pPr>
              <w:jc w:val="center"/>
              <w:rPr>
                <w:rFonts w:hint="eastAsia" w:ascii="宋体" w:hAnsi="宋体" w:cs="宋体"/>
                <w:color w:val="auto"/>
                <w:szCs w:val="21"/>
              </w:rPr>
            </w:pPr>
            <w:r>
              <w:rPr>
                <w:rFonts w:hint="eastAsia" w:ascii="宋体" w:hAnsi="宋体" w:cs="宋体"/>
                <w:color w:val="auto"/>
                <w:szCs w:val="21"/>
              </w:rPr>
              <w:t>植被生长状况</w:t>
            </w:r>
          </w:p>
        </w:tc>
      </w:tr>
      <w:tr w14:paraId="6E2191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trPr>
        <w:tc>
          <w:tcPr>
            <w:tcW w:w="1381" w:type="pct"/>
            <w:gridSpan w:val="2"/>
            <w:vMerge w:val="continue"/>
            <w:tcBorders>
              <w:tl2br w:val="nil"/>
              <w:tr2bl w:val="nil"/>
            </w:tcBorders>
            <w:vAlign w:val="center"/>
          </w:tcPr>
          <w:p w14:paraId="63E1866F">
            <w:pPr>
              <w:jc w:val="center"/>
              <w:rPr>
                <w:rFonts w:hint="eastAsia" w:ascii="宋体" w:hAnsi="宋体" w:cs="宋体"/>
                <w:color w:val="auto"/>
                <w:szCs w:val="21"/>
              </w:rPr>
            </w:pPr>
          </w:p>
        </w:tc>
        <w:tc>
          <w:tcPr>
            <w:tcW w:w="1004" w:type="pct"/>
            <w:gridSpan w:val="2"/>
            <w:tcBorders>
              <w:tl2br w:val="nil"/>
              <w:tr2bl w:val="nil"/>
            </w:tcBorders>
            <w:vAlign w:val="center"/>
          </w:tcPr>
          <w:p w14:paraId="5DEF3494">
            <w:pPr>
              <w:jc w:val="center"/>
              <w:rPr>
                <w:rFonts w:hint="eastAsia" w:ascii="宋体" w:hAnsi="宋体" w:cs="宋体"/>
                <w:color w:val="auto"/>
                <w:szCs w:val="21"/>
              </w:rPr>
            </w:pPr>
            <w:r>
              <w:rPr>
                <w:rFonts w:hint="eastAsia" w:ascii="宋体" w:hAnsi="宋体" w:cs="宋体"/>
                <w:color w:val="auto"/>
                <w:szCs w:val="21"/>
              </w:rPr>
              <w:t>种类</w:t>
            </w:r>
          </w:p>
        </w:tc>
        <w:tc>
          <w:tcPr>
            <w:tcW w:w="1189" w:type="pct"/>
            <w:tcBorders>
              <w:tl2br w:val="nil"/>
              <w:tr2bl w:val="nil"/>
            </w:tcBorders>
            <w:vAlign w:val="center"/>
          </w:tcPr>
          <w:p w14:paraId="3CC0ECF4">
            <w:pPr>
              <w:jc w:val="center"/>
              <w:rPr>
                <w:rFonts w:hint="eastAsia" w:ascii="宋体" w:hAnsi="宋体" w:cs="宋体"/>
                <w:color w:val="auto"/>
                <w:szCs w:val="21"/>
              </w:rPr>
            </w:pPr>
            <w:r>
              <w:rPr>
                <w:rFonts w:hint="eastAsia" w:ascii="宋体" w:hAnsi="宋体" w:cs="宋体"/>
                <w:color w:val="auto"/>
                <w:szCs w:val="21"/>
              </w:rPr>
              <w:t>高度（cm）</w:t>
            </w:r>
          </w:p>
        </w:tc>
        <w:tc>
          <w:tcPr>
            <w:tcW w:w="637" w:type="pct"/>
            <w:gridSpan w:val="2"/>
            <w:tcBorders>
              <w:tl2br w:val="nil"/>
              <w:tr2bl w:val="nil"/>
            </w:tcBorders>
            <w:vAlign w:val="center"/>
          </w:tcPr>
          <w:p w14:paraId="504F28A7">
            <w:pPr>
              <w:jc w:val="center"/>
              <w:rPr>
                <w:rFonts w:hint="eastAsia" w:ascii="宋体" w:hAnsi="宋体" w:cs="宋体"/>
                <w:color w:val="auto"/>
                <w:szCs w:val="21"/>
              </w:rPr>
            </w:pPr>
            <w:r>
              <w:rPr>
                <w:rFonts w:hint="eastAsia" w:ascii="宋体" w:hAnsi="宋体" w:cs="宋体"/>
                <w:color w:val="auto"/>
                <w:szCs w:val="21"/>
              </w:rPr>
              <w:t>数量</w:t>
            </w:r>
          </w:p>
        </w:tc>
        <w:tc>
          <w:tcPr>
            <w:tcW w:w="789" w:type="pct"/>
            <w:gridSpan w:val="2"/>
            <w:tcBorders>
              <w:tl2br w:val="nil"/>
              <w:tr2bl w:val="nil"/>
            </w:tcBorders>
            <w:vAlign w:val="center"/>
          </w:tcPr>
          <w:p w14:paraId="07D76A9C">
            <w:pPr>
              <w:jc w:val="center"/>
              <w:rPr>
                <w:rFonts w:hint="eastAsia" w:ascii="宋体" w:hAnsi="宋体" w:cs="宋体"/>
                <w:color w:val="auto"/>
                <w:szCs w:val="21"/>
              </w:rPr>
            </w:pPr>
            <w:r>
              <w:rPr>
                <w:rFonts w:hint="eastAsia" w:ascii="宋体" w:hAnsi="宋体" w:cs="宋体"/>
                <w:color w:val="auto"/>
                <w:szCs w:val="21"/>
              </w:rPr>
              <w:t>盖度%</w:t>
            </w:r>
          </w:p>
        </w:tc>
      </w:tr>
      <w:tr w14:paraId="3458E8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trPr>
        <w:tc>
          <w:tcPr>
            <w:tcW w:w="1381" w:type="pct"/>
            <w:gridSpan w:val="2"/>
            <w:tcBorders>
              <w:tl2br w:val="nil"/>
              <w:tr2bl w:val="nil"/>
            </w:tcBorders>
            <w:vAlign w:val="center"/>
          </w:tcPr>
          <w:p w14:paraId="18CF29E3">
            <w:pPr>
              <w:jc w:val="center"/>
              <w:rPr>
                <w:rFonts w:hint="eastAsia" w:ascii="宋体" w:hAnsi="宋体" w:cs="宋体"/>
                <w:b/>
                <w:bCs/>
                <w:color w:val="auto"/>
                <w:szCs w:val="21"/>
              </w:rPr>
            </w:pPr>
            <w:r>
              <w:rPr>
                <w:rFonts w:hint="eastAsia" w:ascii="宋体" w:hAnsi="宋体" w:cs="宋体"/>
                <w:b/>
                <w:bCs/>
                <w:color w:val="auto"/>
                <w:szCs w:val="21"/>
              </w:rPr>
              <w:t>样方1-1</w:t>
            </w:r>
          </w:p>
        </w:tc>
        <w:tc>
          <w:tcPr>
            <w:tcW w:w="1004" w:type="pct"/>
            <w:gridSpan w:val="2"/>
            <w:tcBorders>
              <w:tl2br w:val="nil"/>
              <w:tr2bl w:val="nil"/>
            </w:tcBorders>
            <w:vAlign w:val="center"/>
          </w:tcPr>
          <w:p w14:paraId="5E869BE4">
            <w:pPr>
              <w:jc w:val="center"/>
              <w:rPr>
                <w:rFonts w:hint="eastAsia" w:ascii="宋体" w:hAnsi="宋体" w:cs="宋体"/>
                <w:color w:val="auto"/>
                <w:kern w:val="0"/>
                <w:szCs w:val="21"/>
              </w:rPr>
            </w:pPr>
            <w:r>
              <w:rPr>
                <w:rFonts w:hint="eastAsia" w:ascii="宋体" w:hAnsi="宋体" w:cs="宋体"/>
                <w:color w:val="auto"/>
                <w:kern w:val="0"/>
                <w:szCs w:val="21"/>
              </w:rPr>
              <w:t>经纬度</w:t>
            </w:r>
          </w:p>
        </w:tc>
        <w:tc>
          <w:tcPr>
            <w:tcW w:w="2615" w:type="pct"/>
            <w:gridSpan w:val="5"/>
            <w:tcBorders>
              <w:tl2br w:val="nil"/>
              <w:tr2bl w:val="nil"/>
            </w:tcBorders>
            <w:vAlign w:val="center"/>
          </w:tcPr>
          <w:p w14:paraId="6D175D08">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E</w:t>
            </w:r>
            <w:r>
              <w:rPr>
                <w:rFonts w:ascii="宋体" w:hAnsi="宋体" w:cs="宋体"/>
                <w:color w:val="auto"/>
                <w:kern w:val="0"/>
                <w:szCs w:val="21"/>
              </w:rPr>
              <w:t>86°27'36.17"</w:t>
            </w:r>
            <w:r>
              <w:rPr>
                <w:rFonts w:hint="eastAsia" w:ascii="宋体" w:hAnsi="宋体" w:cs="宋体"/>
                <w:color w:val="auto"/>
                <w:kern w:val="0"/>
                <w:szCs w:val="21"/>
              </w:rPr>
              <w:t>,N</w:t>
            </w:r>
            <w:r>
              <w:rPr>
                <w:rFonts w:ascii="宋体" w:hAnsi="宋体" w:cs="宋体"/>
                <w:color w:val="auto"/>
                <w:kern w:val="0"/>
                <w:szCs w:val="21"/>
              </w:rPr>
              <w:t>45°7'34.10"</w:t>
            </w:r>
          </w:p>
        </w:tc>
      </w:tr>
      <w:tr w14:paraId="273981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trPr>
        <w:tc>
          <w:tcPr>
            <w:tcW w:w="1381" w:type="pct"/>
            <w:gridSpan w:val="2"/>
            <w:vMerge w:val="restart"/>
            <w:tcBorders>
              <w:tl2br w:val="nil"/>
              <w:tr2bl w:val="nil"/>
            </w:tcBorders>
            <w:vAlign w:val="center"/>
          </w:tcPr>
          <w:p w14:paraId="51E1318B">
            <w:pPr>
              <w:jc w:val="center"/>
              <w:rPr>
                <w:rFonts w:hint="eastAsia" w:ascii="宋体" w:hAnsi="宋体" w:cs="宋体"/>
                <w:color w:val="auto"/>
                <w:szCs w:val="21"/>
              </w:rPr>
            </w:pPr>
            <w:r>
              <w:rPr>
                <w:rFonts w:hint="eastAsia" w:ascii="宋体" w:hAnsi="宋体" w:cs="宋体"/>
                <w:color w:val="auto"/>
                <w:szCs w:val="21"/>
              </w:rPr>
              <w:t>莫27井场周边</w:t>
            </w:r>
          </w:p>
        </w:tc>
        <w:tc>
          <w:tcPr>
            <w:tcW w:w="1004" w:type="pct"/>
            <w:gridSpan w:val="2"/>
            <w:tcBorders>
              <w:tl2br w:val="nil"/>
              <w:tr2bl w:val="nil"/>
            </w:tcBorders>
            <w:vAlign w:val="center"/>
          </w:tcPr>
          <w:p w14:paraId="47367F28">
            <w:pPr>
              <w:jc w:val="center"/>
              <w:rPr>
                <w:rFonts w:hint="eastAsia" w:ascii="宋体" w:hAnsi="宋体" w:cs="宋体"/>
                <w:color w:val="auto"/>
                <w:szCs w:val="21"/>
              </w:rPr>
            </w:pPr>
            <w:r>
              <w:rPr>
                <w:rFonts w:hint="eastAsia" w:ascii="宋体" w:hAnsi="宋体" w:cs="宋体"/>
                <w:color w:val="auto"/>
                <w:szCs w:val="21"/>
              </w:rPr>
              <w:t>沙拐枣</w:t>
            </w:r>
          </w:p>
        </w:tc>
        <w:tc>
          <w:tcPr>
            <w:tcW w:w="1189" w:type="pct"/>
            <w:tcBorders>
              <w:tl2br w:val="nil"/>
              <w:tr2bl w:val="nil"/>
            </w:tcBorders>
            <w:vAlign w:val="center"/>
          </w:tcPr>
          <w:p w14:paraId="10B8FD52">
            <w:pPr>
              <w:jc w:val="center"/>
              <w:rPr>
                <w:rFonts w:hint="eastAsia" w:ascii="宋体" w:hAnsi="宋体" w:cs="宋体"/>
                <w:color w:val="auto"/>
                <w:szCs w:val="21"/>
              </w:rPr>
            </w:pPr>
            <w:r>
              <w:rPr>
                <w:rFonts w:hint="eastAsia" w:ascii="宋体" w:hAnsi="宋体" w:cs="宋体"/>
                <w:color w:val="auto"/>
                <w:szCs w:val="21"/>
              </w:rPr>
              <w:t>10～20</w:t>
            </w:r>
          </w:p>
        </w:tc>
        <w:tc>
          <w:tcPr>
            <w:tcW w:w="637" w:type="pct"/>
            <w:gridSpan w:val="2"/>
            <w:tcBorders>
              <w:tl2br w:val="nil"/>
              <w:tr2bl w:val="nil"/>
            </w:tcBorders>
            <w:vAlign w:val="center"/>
          </w:tcPr>
          <w:p w14:paraId="23DAF9D3">
            <w:pPr>
              <w:jc w:val="center"/>
              <w:rPr>
                <w:rFonts w:hint="eastAsia" w:ascii="宋体" w:hAnsi="宋体" w:cs="宋体"/>
                <w:color w:val="auto"/>
                <w:szCs w:val="21"/>
              </w:rPr>
            </w:pPr>
            <w:r>
              <w:rPr>
                <w:rFonts w:hint="eastAsia" w:ascii="宋体" w:hAnsi="宋体" w:cs="宋体"/>
                <w:color w:val="auto"/>
                <w:szCs w:val="21"/>
              </w:rPr>
              <w:t>2</w:t>
            </w:r>
          </w:p>
        </w:tc>
        <w:tc>
          <w:tcPr>
            <w:tcW w:w="789" w:type="pct"/>
            <w:gridSpan w:val="2"/>
            <w:vMerge w:val="restart"/>
            <w:tcBorders>
              <w:tl2br w:val="nil"/>
              <w:tr2bl w:val="nil"/>
            </w:tcBorders>
            <w:vAlign w:val="center"/>
          </w:tcPr>
          <w:p w14:paraId="22AECE9F">
            <w:pPr>
              <w:jc w:val="center"/>
              <w:rPr>
                <w:rFonts w:hint="eastAsia" w:ascii="宋体" w:hAnsi="宋体" w:cs="宋体"/>
                <w:color w:val="auto"/>
                <w:szCs w:val="21"/>
              </w:rPr>
            </w:pPr>
            <w:r>
              <w:rPr>
                <w:rFonts w:hint="eastAsia" w:ascii="宋体" w:hAnsi="宋体" w:cs="宋体"/>
                <w:color w:val="auto"/>
                <w:szCs w:val="21"/>
              </w:rPr>
              <w:t>5</w:t>
            </w:r>
          </w:p>
        </w:tc>
      </w:tr>
      <w:tr w14:paraId="4D593E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trPr>
        <w:tc>
          <w:tcPr>
            <w:tcW w:w="1381" w:type="pct"/>
            <w:gridSpan w:val="2"/>
            <w:vMerge w:val="continue"/>
            <w:tcBorders>
              <w:tl2br w:val="nil"/>
              <w:tr2bl w:val="nil"/>
            </w:tcBorders>
            <w:vAlign w:val="center"/>
          </w:tcPr>
          <w:p w14:paraId="64329FD9">
            <w:pPr>
              <w:jc w:val="center"/>
              <w:rPr>
                <w:rFonts w:hint="eastAsia" w:ascii="宋体" w:hAnsi="宋体" w:cs="宋体"/>
                <w:color w:val="auto"/>
                <w:szCs w:val="21"/>
              </w:rPr>
            </w:pPr>
          </w:p>
        </w:tc>
        <w:tc>
          <w:tcPr>
            <w:tcW w:w="1004" w:type="pct"/>
            <w:gridSpan w:val="2"/>
            <w:tcBorders>
              <w:tl2br w:val="nil"/>
              <w:tr2bl w:val="nil"/>
            </w:tcBorders>
            <w:vAlign w:val="center"/>
          </w:tcPr>
          <w:p w14:paraId="052B3B86">
            <w:pPr>
              <w:jc w:val="center"/>
              <w:rPr>
                <w:rFonts w:hint="eastAsia" w:ascii="宋体" w:hAnsi="宋体" w:cs="宋体"/>
                <w:color w:val="auto"/>
                <w:szCs w:val="21"/>
                <w:highlight w:val="yellow"/>
              </w:rPr>
            </w:pPr>
            <w:r>
              <w:rPr>
                <w:rFonts w:hint="eastAsia" w:ascii="宋体" w:hAnsi="宋体" w:cs="宋体"/>
                <w:color w:val="auto"/>
                <w:szCs w:val="21"/>
              </w:rPr>
              <w:t>梭梭</w:t>
            </w:r>
          </w:p>
        </w:tc>
        <w:tc>
          <w:tcPr>
            <w:tcW w:w="1189" w:type="pct"/>
            <w:tcBorders>
              <w:tl2br w:val="nil"/>
              <w:tr2bl w:val="nil"/>
            </w:tcBorders>
            <w:vAlign w:val="center"/>
          </w:tcPr>
          <w:p w14:paraId="66974889">
            <w:pPr>
              <w:jc w:val="center"/>
              <w:rPr>
                <w:rFonts w:hint="eastAsia" w:ascii="宋体" w:hAnsi="宋体" w:cs="宋体"/>
                <w:color w:val="auto"/>
                <w:szCs w:val="21"/>
                <w:highlight w:val="yellow"/>
              </w:rPr>
            </w:pPr>
            <w:r>
              <w:rPr>
                <w:rFonts w:hint="eastAsia" w:ascii="宋体" w:hAnsi="宋体" w:cs="宋体"/>
                <w:color w:val="auto"/>
                <w:szCs w:val="21"/>
              </w:rPr>
              <w:t>50～200</w:t>
            </w:r>
          </w:p>
        </w:tc>
        <w:tc>
          <w:tcPr>
            <w:tcW w:w="637" w:type="pct"/>
            <w:gridSpan w:val="2"/>
            <w:tcBorders>
              <w:tl2br w:val="nil"/>
              <w:tr2bl w:val="nil"/>
            </w:tcBorders>
            <w:vAlign w:val="center"/>
          </w:tcPr>
          <w:p w14:paraId="54C6AD33">
            <w:pPr>
              <w:jc w:val="center"/>
              <w:rPr>
                <w:rFonts w:hint="eastAsia" w:ascii="宋体" w:hAnsi="宋体" w:cs="宋体"/>
                <w:color w:val="auto"/>
                <w:szCs w:val="21"/>
                <w:highlight w:val="yellow"/>
              </w:rPr>
            </w:pPr>
            <w:r>
              <w:rPr>
                <w:rFonts w:hint="eastAsia" w:ascii="宋体" w:hAnsi="宋体" w:cs="宋体"/>
                <w:color w:val="auto"/>
                <w:szCs w:val="21"/>
              </w:rPr>
              <w:t>5</w:t>
            </w:r>
          </w:p>
        </w:tc>
        <w:tc>
          <w:tcPr>
            <w:tcW w:w="789" w:type="pct"/>
            <w:gridSpan w:val="2"/>
            <w:vMerge w:val="continue"/>
            <w:tcBorders>
              <w:tl2br w:val="nil"/>
              <w:tr2bl w:val="nil"/>
            </w:tcBorders>
            <w:vAlign w:val="center"/>
          </w:tcPr>
          <w:p w14:paraId="64EF59E9">
            <w:pPr>
              <w:jc w:val="center"/>
              <w:rPr>
                <w:rFonts w:hint="eastAsia" w:ascii="宋体" w:hAnsi="宋体" w:cs="宋体"/>
                <w:color w:val="auto"/>
                <w:szCs w:val="21"/>
              </w:rPr>
            </w:pPr>
          </w:p>
        </w:tc>
      </w:tr>
      <w:tr w14:paraId="1FFE0F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Before w:val="1"/>
          <w:wBefore w:w="61" w:type="pct"/>
          <w:tblHeader/>
        </w:trPr>
        <w:tc>
          <w:tcPr>
            <w:tcW w:w="1320" w:type="pct"/>
            <w:vMerge w:val="restart"/>
            <w:tcBorders>
              <w:tl2br w:val="nil"/>
              <w:tr2bl w:val="nil"/>
            </w:tcBorders>
            <w:vAlign w:val="center"/>
          </w:tcPr>
          <w:p w14:paraId="73BC9BF5">
            <w:pPr>
              <w:jc w:val="center"/>
              <w:rPr>
                <w:rFonts w:hint="eastAsia" w:ascii="宋体" w:hAnsi="宋体" w:cs="宋体"/>
                <w:color w:val="auto"/>
                <w:szCs w:val="21"/>
              </w:rPr>
            </w:pPr>
            <w:r>
              <w:rPr>
                <w:rFonts w:hint="eastAsia" w:ascii="宋体" w:hAnsi="宋体" w:cs="宋体"/>
                <w:color w:val="auto"/>
                <w:szCs w:val="21"/>
              </w:rPr>
              <w:t>地点</w:t>
            </w:r>
          </w:p>
        </w:tc>
        <w:tc>
          <w:tcPr>
            <w:tcW w:w="3619" w:type="pct"/>
            <w:gridSpan w:val="7"/>
            <w:tcBorders>
              <w:tl2br w:val="nil"/>
              <w:tr2bl w:val="nil"/>
            </w:tcBorders>
            <w:vAlign w:val="center"/>
          </w:tcPr>
          <w:p w14:paraId="25B80755">
            <w:pPr>
              <w:jc w:val="center"/>
              <w:rPr>
                <w:rFonts w:hint="eastAsia" w:ascii="宋体" w:hAnsi="宋体" w:cs="宋体"/>
                <w:color w:val="auto"/>
                <w:szCs w:val="21"/>
              </w:rPr>
            </w:pPr>
            <w:r>
              <w:rPr>
                <w:rFonts w:hint="eastAsia" w:ascii="宋体" w:hAnsi="宋体" w:cs="宋体"/>
                <w:color w:val="auto"/>
                <w:szCs w:val="21"/>
              </w:rPr>
              <w:t>植被生长状况</w:t>
            </w:r>
          </w:p>
        </w:tc>
      </w:tr>
      <w:tr w14:paraId="211A67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Before w:val="1"/>
          <w:wBefore w:w="61" w:type="pct"/>
          <w:tblHeader/>
        </w:trPr>
        <w:tc>
          <w:tcPr>
            <w:tcW w:w="1320" w:type="pct"/>
            <w:vMerge w:val="continue"/>
            <w:tcBorders>
              <w:tl2br w:val="nil"/>
              <w:tr2bl w:val="nil"/>
            </w:tcBorders>
            <w:vAlign w:val="center"/>
          </w:tcPr>
          <w:p w14:paraId="70978196">
            <w:pPr>
              <w:jc w:val="center"/>
              <w:rPr>
                <w:rFonts w:hint="eastAsia" w:ascii="宋体" w:hAnsi="宋体" w:cs="宋体"/>
                <w:color w:val="auto"/>
                <w:szCs w:val="21"/>
              </w:rPr>
            </w:pPr>
          </w:p>
        </w:tc>
        <w:tc>
          <w:tcPr>
            <w:tcW w:w="974" w:type="pct"/>
            <w:tcBorders>
              <w:tl2br w:val="nil"/>
              <w:tr2bl w:val="nil"/>
            </w:tcBorders>
            <w:vAlign w:val="center"/>
          </w:tcPr>
          <w:p w14:paraId="7F534974">
            <w:pPr>
              <w:jc w:val="center"/>
              <w:rPr>
                <w:rFonts w:hint="eastAsia" w:ascii="宋体" w:hAnsi="宋体" w:cs="宋体"/>
                <w:color w:val="auto"/>
                <w:szCs w:val="21"/>
              </w:rPr>
            </w:pPr>
            <w:r>
              <w:rPr>
                <w:rFonts w:hint="eastAsia" w:ascii="宋体" w:hAnsi="宋体" w:cs="宋体"/>
                <w:color w:val="auto"/>
                <w:szCs w:val="21"/>
              </w:rPr>
              <w:t>种类</w:t>
            </w:r>
          </w:p>
        </w:tc>
        <w:tc>
          <w:tcPr>
            <w:tcW w:w="1252" w:type="pct"/>
            <w:gridSpan w:val="3"/>
            <w:tcBorders>
              <w:tl2br w:val="nil"/>
              <w:tr2bl w:val="nil"/>
            </w:tcBorders>
            <w:vAlign w:val="center"/>
          </w:tcPr>
          <w:p w14:paraId="3935F1FC">
            <w:pPr>
              <w:jc w:val="center"/>
              <w:rPr>
                <w:rFonts w:hint="eastAsia" w:ascii="宋体" w:hAnsi="宋体" w:cs="宋体"/>
                <w:color w:val="auto"/>
                <w:szCs w:val="21"/>
              </w:rPr>
            </w:pPr>
            <w:r>
              <w:rPr>
                <w:rFonts w:hint="eastAsia" w:ascii="宋体" w:hAnsi="宋体" w:cs="宋体"/>
                <w:color w:val="auto"/>
                <w:szCs w:val="21"/>
              </w:rPr>
              <w:t>高度（cm）</w:t>
            </w:r>
          </w:p>
        </w:tc>
        <w:tc>
          <w:tcPr>
            <w:tcW w:w="623" w:type="pct"/>
            <w:gridSpan w:val="2"/>
            <w:tcBorders>
              <w:tl2br w:val="nil"/>
              <w:tr2bl w:val="nil"/>
            </w:tcBorders>
            <w:vAlign w:val="center"/>
          </w:tcPr>
          <w:p w14:paraId="65911A59">
            <w:pPr>
              <w:jc w:val="center"/>
              <w:rPr>
                <w:rFonts w:hint="eastAsia" w:ascii="宋体" w:hAnsi="宋体" w:cs="宋体"/>
                <w:color w:val="auto"/>
                <w:szCs w:val="21"/>
              </w:rPr>
            </w:pPr>
            <w:r>
              <w:rPr>
                <w:rFonts w:hint="eastAsia" w:ascii="宋体" w:hAnsi="宋体" w:cs="宋体"/>
                <w:color w:val="auto"/>
                <w:szCs w:val="21"/>
              </w:rPr>
              <w:t>数量</w:t>
            </w:r>
          </w:p>
        </w:tc>
        <w:tc>
          <w:tcPr>
            <w:tcW w:w="770" w:type="pct"/>
            <w:tcBorders>
              <w:tl2br w:val="nil"/>
              <w:tr2bl w:val="nil"/>
            </w:tcBorders>
            <w:vAlign w:val="center"/>
          </w:tcPr>
          <w:p w14:paraId="0AACC551">
            <w:pPr>
              <w:jc w:val="center"/>
              <w:rPr>
                <w:rFonts w:hint="eastAsia" w:ascii="宋体" w:hAnsi="宋体" w:cs="宋体"/>
                <w:color w:val="auto"/>
                <w:szCs w:val="21"/>
              </w:rPr>
            </w:pPr>
            <w:r>
              <w:rPr>
                <w:rFonts w:hint="eastAsia" w:ascii="宋体" w:hAnsi="宋体" w:cs="宋体"/>
                <w:color w:val="auto"/>
                <w:szCs w:val="21"/>
              </w:rPr>
              <w:t>盖度%</w:t>
            </w:r>
          </w:p>
        </w:tc>
      </w:tr>
      <w:tr w14:paraId="0F86FA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Before w:val="1"/>
          <w:wBefore w:w="61" w:type="pct"/>
          <w:tblHeader/>
        </w:trPr>
        <w:tc>
          <w:tcPr>
            <w:tcW w:w="1320" w:type="pct"/>
            <w:tcBorders>
              <w:tl2br w:val="nil"/>
              <w:tr2bl w:val="nil"/>
            </w:tcBorders>
            <w:vAlign w:val="center"/>
          </w:tcPr>
          <w:p w14:paraId="0CEE5C25">
            <w:pPr>
              <w:jc w:val="center"/>
              <w:rPr>
                <w:rFonts w:hint="eastAsia" w:ascii="宋体" w:hAnsi="宋体" w:cs="宋体"/>
                <w:b/>
                <w:bCs/>
                <w:color w:val="auto"/>
                <w:szCs w:val="21"/>
              </w:rPr>
            </w:pPr>
            <w:r>
              <w:rPr>
                <w:rFonts w:hint="eastAsia" w:ascii="宋体" w:hAnsi="宋体" w:cs="宋体"/>
                <w:b/>
                <w:bCs/>
                <w:color w:val="auto"/>
                <w:szCs w:val="21"/>
              </w:rPr>
              <w:t>样方1-2</w:t>
            </w:r>
          </w:p>
        </w:tc>
        <w:tc>
          <w:tcPr>
            <w:tcW w:w="974" w:type="pct"/>
            <w:tcBorders>
              <w:tl2br w:val="nil"/>
              <w:tr2bl w:val="nil"/>
            </w:tcBorders>
            <w:vAlign w:val="center"/>
          </w:tcPr>
          <w:p w14:paraId="2F51B58F">
            <w:pPr>
              <w:jc w:val="center"/>
              <w:rPr>
                <w:rFonts w:hint="eastAsia" w:ascii="宋体" w:hAnsi="宋体" w:cs="宋体"/>
                <w:color w:val="auto"/>
                <w:szCs w:val="21"/>
              </w:rPr>
            </w:pPr>
            <w:r>
              <w:rPr>
                <w:rFonts w:hint="eastAsia" w:ascii="宋体" w:hAnsi="宋体" w:cs="宋体"/>
                <w:color w:val="auto"/>
                <w:szCs w:val="21"/>
              </w:rPr>
              <w:t>经纬度</w:t>
            </w:r>
          </w:p>
        </w:tc>
        <w:tc>
          <w:tcPr>
            <w:tcW w:w="2645" w:type="pct"/>
            <w:gridSpan w:val="6"/>
            <w:tcBorders>
              <w:tl2br w:val="nil"/>
              <w:tr2bl w:val="nil"/>
            </w:tcBorders>
            <w:vAlign w:val="center"/>
          </w:tcPr>
          <w:p w14:paraId="6CAEF8AD">
            <w:pPr>
              <w:spacing w:line="300" w:lineRule="exact"/>
              <w:jc w:val="center"/>
              <w:rPr>
                <w:rFonts w:hint="eastAsia" w:ascii="宋体" w:hAnsi="宋体" w:cs="宋体"/>
                <w:color w:val="auto"/>
                <w:szCs w:val="21"/>
              </w:rPr>
            </w:pPr>
            <w:r>
              <w:rPr>
                <w:rFonts w:hint="eastAsia" w:ascii="宋体" w:hAnsi="宋体" w:cs="宋体"/>
                <w:color w:val="auto"/>
                <w:szCs w:val="21"/>
              </w:rPr>
              <w:t>E</w:t>
            </w:r>
            <w:r>
              <w:rPr>
                <w:rFonts w:ascii="宋体" w:hAnsi="宋体" w:cs="宋体"/>
                <w:color w:val="auto"/>
                <w:szCs w:val="21"/>
              </w:rPr>
              <w:t>86°27'40.13"</w:t>
            </w:r>
            <w:r>
              <w:rPr>
                <w:rFonts w:hint="eastAsia" w:ascii="宋体" w:hAnsi="宋体" w:cs="宋体"/>
                <w:color w:val="auto"/>
                <w:szCs w:val="21"/>
              </w:rPr>
              <w:t>，N</w:t>
            </w:r>
            <w:r>
              <w:rPr>
                <w:rFonts w:ascii="宋体" w:hAnsi="宋体" w:cs="宋体"/>
                <w:color w:val="auto"/>
                <w:szCs w:val="21"/>
              </w:rPr>
              <w:t>45°8'4.66"</w:t>
            </w:r>
          </w:p>
        </w:tc>
      </w:tr>
      <w:tr w14:paraId="453E44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Before w:val="1"/>
          <w:wBefore w:w="61" w:type="pct"/>
          <w:tblHeader/>
        </w:trPr>
        <w:tc>
          <w:tcPr>
            <w:tcW w:w="1320" w:type="pct"/>
            <w:vMerge w:val="restart"/>
            <w:tcBorders>
              <w:tl2br w:val="nil"/>
              <w:tr2bl w:val="nil"/>
            </w:tcBorders>
            <w:vAlign w:val="center"/>
          </w:tcPr>
          <w:p w14:paraId="4852A70F">
            <w:pPr>
              <w:jc w:val="center"/>
              <w:rPr>
                <w:rFonts w:hint="eastAsia" w:ascii="宋体" w:hAnsi="宋体" w:cs="宋体"/>
                <w:color w:val="auto"/>
                <w:szCs w:val="21"/>
              </w:rPr>
            </w:pPr>
            <w:r>
              <w:rPr>
                <w:rFonts w:hint="eastAsia" w:ascii="宋体" w:hAnsi="宋体" w:cs="宋体"/>
                <w:color w:val="auto"/>
                <w:szCs w:val="21"/>
              </w:rPr>
              <w:t>莫172H井场周边</w:t>
            </w:r>
          </w:p>
        </w:tc>
        <w:tc>
          <w:tcPr>
            <w:tcW w:w="974" w:type="pct"/>
            <w:tcBorders>
              <w:tl2br w:val="nil"/>
              <w:tr2bl w:val="nil"/>
            </w:tcBorders>
            <w:vAlign w:val="center"/>
          </w:tcPr>
          <w:p w14:paraId="25DFBBD3">
            <w:pPr>
              <w:jc w:val="center"/>
              <w:rPr>
                <w:rFonts w:hint="eastAsia" w:ascii="宋体" w:hAnsi="宋体" w:cs="宋体"/>
                <w:color w:val="auto"/>
                <w:szCs w:val="21"/>
              </w:rPr>
            </w:pPr>
            <w:r>
              <w:rPr>
                <w:rFonts w:hint="eastAsia" w:ascii="宋体" w:hAnsi="宋体" w:cs="宋体"/>
                <w:color w:val="auto"/>
                <w:szCs w:val="21"/>
              </w:rPr>
              <w:t>沙拐枣</w:t>
            </w:r>
          </w:p>
        </w:tc>
        <w:tc>
          <w:tcPr>
            <w:tcW w:w="1252" w:type="pct"/>
            <w:gridSpan w:val="3"/>
            <w:tcBorders>
              <w:tl2br w:val="nil"/>
              <w:tr2bl w:val="nil"/>
            </w:tcBorders>
            <w:vAlign w:val="center"/>
          </w:tcPr>
          <w:p w14:paraId="13354B2C">
            <w:pPr>
              <w:jc w:val="center"/>
              <w:rPr>
                <w:rFonts w:hint="eastAsia" w:ascii="宋体" w:hAnsi="宋体" w:cs="宋体"/>
                <w:color w:val="auto"/>
                <w:szCs w:val="21"/>
              </w:rPr>
            </w:pPr>
            <w:r>
              <w:rPr>
                <w:rFonts w:hint="eastAsia" w:ascii="宋体" w:hAnsi="宋体" w:cs="宋体"/>
                <w:color w:val="auto"/>
                <w:szCs w:val="21"/>
              </w:rPr>
              <w:t>15</w:t>
            </w:r>
          </w:p>
        </w:tc>
        <w:tc>
          <w:tcPr>
            <w:tcW w:w="623" w:type="pct"/>
            <w:gridSpan w:val="2"/>
            <w:tcBorders>
              <w:tl2br w:val="nil"/>
              <w:tr2bl w:val="nil"/>
            </w:tcBorders>
            <w:vAlign w:val="center"/>
          </w:tcPr>
          <w:p w14:paraId="7E918F54">
            <w:pPr>
              <w:jc w:val="center"/>
              <w:rPr>
                <w:rFonts w:hint="eastAsia" w:ascii="宋体" w:hAnsi="宋体" w:cs="宋体"/>
                <w:color w:val="auto"/>
                <w:szCs w:val="21"/>
              </w:rPr>
            </w:pPr>
            <w:r>
              <w:rPr>
                <w:rFonts w:hint="eastAsia" w:ascii="宋体" w:hAnsi="宋体" w:cs="宋体"/>
                <w:color w:val="auto"/>
                <w:szCs w:val="21"/>
              </w:rPr>
              <w:t>1</w:t>
            </w:r>
          </w:p>
        </w:tc>
        <w:tc>
          <w:tcPr>
            <w:tcW w:w="770" w:type="pct"/>
            <w:vMerge w:val="restart"/>
            <w:tcBorders>
              <w:tl2br w:val="nil"/>
              <w:tr2bl w:val="nil"/>
            </w:tcBorders>
            <w:vAlign w:val="center"/>
          </w:tcPr>
          <w:p w14:paraId="31347A22">
            <w:pPr>
              <w:jc w:val="center"/>
              <w:rPr>
                <w:rFonts w:hint="eastAsia" w:ascii="宋体" w:hAnsi="宋体" w:cs="宋体"/>
                <w:color w:val="auto"/>
                <w:szCs w:val="21"/>
              </w:rPr>
            </w:pPr>
            <w:r>
              <w:rPr>
                <w:rFonts w:hint="eastAsia" w:ascii="宋体" w:hAnsi="宋体" w:cs="宋体"/>
                <w:color w:val="auto"/>
                <w:szCs w:val="21"/>
              </w:rPr>
              <w:t>5</w:t>
            </w:r>
          </w:p>
        </w:tc>
      </w:tr>
      <w:tr w14:paraId="542CCA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Before w:val="1"/>
          <w:wBefore w:w="61" w:type="pct"/>
          <w:tblHeader/>
        </w:trPr>
        <w:tc>
          <w:tcPr>
            <w:tcW w:w="1320" w:type="pct"/>
            <w:vMerge w:val="continue"/>
            <w:tcBorders>
              <w:tl2br w:val="nil"/>
              <w:tr2bl w:val="nil"/>
            </w:tcBorders>
            <w:vAlign w:val="center"/>
          </w:tcPr>
          <w:p w14:paraId="00D65CF6">
            <w:pPr>
              <w:jc w:val="center"/>
              <w:rPr>
                <w:rFonts w:hint="eastAsia" w:ascii="宋体" w:hAnsi="宋体" w:cs="宋体"/>
                <w:color w:val="auto"/>
                <w:szCs w:val="21"/>
              </w:rPr>
            </w:pPr>
          </w:p>
        </w:tc>
        <w:tc>
          <w:tcPr>
            <w:tcW w:w="974" w:type="pct"/>
            <w:tcBorders>
              <w:tl2br w:val="nil"/>
              <w:tr2bl w:val="nil"/>
            </w:tcBorders>
            <w:vAlign w:val="center"/>
          </w:tcPr>
          <w:p w14:paraId="3AB8EBE9">
            <w:pPr>
              <w:jc w:val="center"/>
              <w:rPr>
                <w:rFonts w:hint="eastAsia" w:ascii="宋体" w:hAnsi="宋体" w:cs="宋体"/>
                <w:color w:val="auto"/>
                <w:szCs w:val="21"/>
                <w:highlight w:val="yellow"/>
              </w:rPr>
            </w:pPr>
            <w:r>
              <w:rPr>
                <w:rFonts w:hint="eastAsia" w:ascii="宋体" w:hAnsi="宋体" w:cs="宋体"/>
                <w:color w:val="auto"/>
                <w:szCs w:val="21"/>
              </w:rPr>
              <w:t>梭梭</w:t>
            </w:r>
          </w:p>
        </w:tc>
        <w:tc>
          <w:tcPr>
            <w:tcW w:w="1252" w:type="pct"/>
            <w:gridSpan w:val="3"/>
            <w:tcBorders>
              <w:tl2br w:val="nil"/>
              <w:tr2bl w:val="nil"/>
            </w:tcBorders>
            <w:vAlign w:val="center"/>
          </w:tcPr>
          <w:p w14:paraId="633F195E">
            <w:pPr>
              <w:jc w:val="center"/>
              <w:rPr>
                <w:rFonts w:hint="eastAsia" w:ascii="宋体" w:hAnsi="宋体" w:cs="宋体"/>
                <w:color w:val="auto"/>
                <w:szCs w:val="21"/>
                <w:highlight w:val="yellow"/>
              </w:rPr>
            </w:pPr>
            <w:r>
              <w:rPr>
                <w:rFonts w:hint="eastAsia" w:ascii="宋体" w:hAnsi="宋体" w:cs="宋体"/>
                <w:color w:val="auto"/>
                <w:szCs w:val="21"/>
              </w:rPr>
              <w:t>50～210</w:t>
            </w:r>
          </w:p>
        </w:tc>
        <w:tc>
          <w:tcPr>
            <w:tcW w:w="623" w:type="pct"/>
            <w:gridSpan w:val="2"/>
            <w:tcBorders>
              <w:tl2br w:val="nil"/>
              <w:tr2bl w:val="nil"/>
            </w:tcBorders>
            <w:vAlign w:val="center"/>
          </w:tcPr>
          <w:p w14:paraId="06BD1AA5">
            <w:pPr>
              <w:jc w:val="center"/>
              <w:rPr>
                <w:rFonts w:hint="eastAsia" w:ascii="宋体" w:hAnsi="宋体" w:cs="宋体"/>
                <w:color w:val="auto"/>
                <w:szCs w:val="21"/>
                <w:highlight w:val="yellow"/>
              </w:rPr>
            </w:pPr>
            <w:r>
              <w:rPr>
                <w:rFonts w:hint="eastAsia" w:ascii="宋体" w:hAnsi="宋体" w:cs="宋体"/>
                <w:color w:val="auto"/>
                <w:szCs w:val="21"/>
              </w:rPr>
              <w:t>8</w:t>
            </w:r>
          </w:p>
        </w:tc>
        <w:tc>
          <w:tcPr>
            <w:tcW w:w="770" w:type="pct"/>
            <w:vMerge w:val="continue"/>
            <w:tcBorders>
              <w:tl2br w:val="nil"/>
              <w:tr2bl w:val="nil"/>
            </w:tcBorders>
            <w:vAlign w:val="center"/>
          </w:tcPr>
          <w:p w14:paraId="1FB3EA36">
            <w:pPr>
              <w:jc w:val="center"/>
              <w:rPr>
                <w:rFonts w:hint="eastAsia" w:ascii="宋体" w:hAnsi="宋体" w:cs="宋体"/>
                <w:color w:val="auto"/>
                <w:szCs w:val="21"/>
              </w:rPr>
            </w:pPr>
          </w:p>
        </w:tc>
      </w:tr>
      <w:tr w14:paraId="466AE7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trPr>
        <w:tc>
          <w:tcPr>
            <w:tcW w:w="1381" w:type="pct"/>
            <w:gridSpan w:val="2"/>
            <w:vMerge w:val="restart"/>
            <w:tcBorders>
              <w:tl2br w:val="nil"/>
              <w:tr2bl w:val="nil"/>
            </w:tcBorders>
            <w:vAlign w:val="center"/>
          </w:tcPr>
          <w:p w14:paraId="55718724">
            <w:pPr>
              <w:jc w:val="center"/>
              <w:rPr>
                <w:rFonts w:hint="eastAsia" w:ascii="宋体" w:hAnsi="宋体" w:cs="宋体"/>
                <w:color w:val="auto"/>
                <w:szCs w:val="21"/>
              </w:rPr>
            </w:pPr>
            <w:r>
              <w:rPr>
                <w:rFonts w:hint="eastAsia" w:ascii="宋体" w:hAnsi="宋体" w:cs="宋体"/>
                <w:color w:val="auto"/>
                <w:szCs w:val="21"/>
              </w:rPr>
              <w:t>地点</w:t>
            </w:r>
          </w:p>
        </w:tc>
        <w:tc>
          <w:tcPr>
            <w:tcW w:w="3619" w:type="pct"/>
            <w:gridSpan w:val="7"/>
            <w:tcBorders>
              <w:tl2br w:val="nil"/>
              <w:tr2bl w:val="nil"/>
            </w:tcBorders>
            <w:vAlign w:val="center"/>
          </w:tcPr>
          <w:p w14:paraId="7F5A4DE3">
            <w:pPr>
              <w:jc w:val="center"/>
              <w:rPr>
                <w:rFonts w:hint="eastAsia" w:ascii="宋体" w:hAnsi="宋体" w:cs="宋体"/>
                <w:color w:val="auto"/>
                <w:szCs w:val="21"/>
              </w:rPr>
            </w:pPr>
            <w:r>
              <w:rPr>
                <w:rFonts w:hint="eastAsia" w:ascii="宋体" w:hAnsi="宋体" w:cs="宋体"/>
                <w:color w:val="auto"/>
                <w:szCs w:val="21"/>
              </w:rPr>
              <w:t>植被生长状况</w:t>
            </w:r>
          </w:p>
        </w:tc>
      </w:tr>
      <w:tr w14:paraId="02961C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trPr>
        <w:tc>
          <w:tcPr>
            <w:tcW w:w="1381" w:type="pct"/>
            <w:gridSpan w:val="2"/>
            <w:vMerge w:val="continue"/>
            <w:tcBorders>
              <w:tl2br w:val="nil"/>
              <w:tr2bl w:val="nil"/>
            </w:tcBorders>
            <w:vAlign w:val="center"/>
          </w:tcPr>
          <w:p w14:paraId="0E3401AB">
            <w:pPr>
              <w:jc w:val="center"/>
              <w:rPr>
                <w:rFonts w:hint="eastAsia" w:ascii="宋体" w:hAnsi="宋体" w:cs="宋体"/>
                <w:color w:val="auto"/>
                <w:szCs w:val="21"/>
              </w:rPr>
            </w:pPr>
          </w:p>
        </w:tc>
        <w:tc>
          <w:tcPr>
            <w:tcW w:w="974" w:type="pct"/>
            <w:tcBorders>
              <w:tl2br w:val="nil"/>
              <w:tr2bl w:val="nil"/>
            </w:tcBorders>
            <w:vAlign w:val="center"/>
          </w:tcPr>
          <w:p w14:paraId="7C30BFCE">
            <w:pPr>
              <w:jc w:val="center"/>
              <w:rPr>
                <w:rFonts w:hint="eastAsia" w:ascii="宋体" w:hAnsi="宋体" w:cs="宋体"/>
                <w:color w:val="auto"/>
                <w:szCs w:val="21"/>
              </w:rPr>
            </w:pPr>
            <w:r>
              <w:rPr>
                <w:rFonts w:hint="eastAsia" w:ascii="宋体" w:hAnsi="宋体" w:cs="宋体"/>
                <w:color w:val="auto"/>
                <w:szCs w:val="21"/>
              </w:rPr>
              <w:t>种类</w:t>
            </w:r>
          </w:p>
        </w:tc>
        <w:tc>
          <w:tcPr>
            <w:tcW w:w="1252" w:type="pct"/>
            <w:gridSpan w:val="3"/>
            <w:tcBorders>
              <w:tl2br w:val="nil"/>
              <w:tr2bl w:val="nil"/>
            </w:tcBorders>
            <w:vAlign w:val="center"/>
          </w:tcPr>
          <w:p w14:paraId="753B34FF">
            <w:pPr>
              <w:jc w:val="center"/>
              <w:rPr>
                <w:rFonts w:hint="eastAsia" w:ascii="宋体" w:hAnsi="宋体" w:cs="宋体"/>
                <w:color w:val="auto"/>
                <w:szCs w:val="21"/>
              </w:rPr>
            </w:pPr>
            <w:r>
              <w:rPr>
                <w:rFonts w:hint="eastAsia" w:ascii="宋体" w:hAnsi="宋体" w:cs="宋体"/>
                <w:color w:val="auto"/>
                <w:szCs w:val="21"/>
              </w:rPr>
              <w:t>高度（cm）</w:t>
            </w:r>
          </w:p>
        </w:tc>
        <w:tc>
          <w:tcPr>
            <w:tcW w:w="623" w:type="pct"/>
            <w:gridSpan w:val="2"/>
            <w:tcBorders>
              <w:tl2br w:val="nil"/>
              <w:tr2bl w:val="nil"/>
            </w:tcBorders>
            <w:vAlign w:val="center"/>
          </w:tcPr>
          <w:p w14:paraId="7B6D21E1">
            <w:pPr>
              <w:jc w:val="center"/>
              <w:rPr>
                <w:rFonts w:hint="eastAsia" w:ascii="宋体" w:hAnsi="宋体" w:cs="宋体"/>
                <w:color w:val="auto"/>
                <w:szCs w:val="21"/>
              </w:rPr>
            </w:pPr>
            <w:r>
              <w:rPr>
                <w:rFonts w:hint="eastAsia" w:ascii="宋体" w:hAnsi="宋体" w:cs="宋体"/>
                <w:color w:val="auto"/>
                <w:szCs w:val="21"/>
              </w:rPr>
              <w:t>数量</w:t>
            </w:r>
          </w:p>
        </w:tc>
        <w:tc>
          <w:tcPr>
            <w:tcW w:w="770" w:type="pct"/>
            <w:tcBorders>
              <w:tl2br w:val="nil"/>
              <w:tr2bl w:val="nil"/>
            </w:tcBorders>
            <w:vAlign w:val="center"/>
          </w:tcPr>
          <w:p w14:paraId="24B9AFB3">
            <w:pPr>
              <w:jc w:val="center"/>
              <w:rPr>
                <w:rFonts w:hint="eastAsia" w:ascii="宋体" w:hAnsi="宋体" w:cs="宋体"/>
                <w:color w:val="auto"/>
                <w:szCs w:val="21"/>
              </w:rPr>
            </w:pPr>
            <w:r>
              <w:rPr>
                <w:rFonts w:hint="eastAsia" w:ascii="宋体" w:hAnsi="宋体" w:cs="宋体"/>
                <w:color w:val="auto"/>
                <w:szCs w:val="21"/>
              </w:rPr>
              <w:t>盖度%</w:t>
            </w:r>
          </w:p>
        </w:tc>
      </w:tr>
      <w:tr w14:paraId="291478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trPr>
        <w:tc>
          <w:tcPr>
            <w:tcW w:w="1381" w:type="pct"/>
            <w:gridSpan w:val="2"/>
            <w:tcBorders>
              <w:tl2br w:val="nil"/>
              <w:tr2bl w:val="nil"/>
            </w:tcBorders>
            <w:vAlign w:val="center"/>
          </w:tcPr>
          <w:p w14:paraId="53CA769F">
            <w:pPr>
              <w:jc w:val="center"/>
              <w:rPr>
                <w:rFonts w:hint="eastAsia" w:ascii="宋体" w:hAnsi="宋体" w:cs="宋体"/>
                <w:b/>
                <w:bCs/>
                <w:color w:val="auto"/>
                <w:szCs w:val="21"/>
              </w:rPr>
            </w:pPr>
            <w:r>
              <w:rPr>
                <w:rFonts w:hint="eastAsia" w:ascii="宋体" w:hAnsi="宋体" w:cs="宋体"/>
                <w:b/>
                <w:bCs/>
                <w:color w:val="auto"/>
                <w:szCs w:val="21"/>
              </w:rPr>
              <w:t>样方1-3</w:t>
            </w:r>
          </w:p>
        </w:tc>
        <w:tc>
          <w:tcPr>
            <w:tcW w:w="974" w:type="pct"/>
            <w:tcBorders>
              <w:tl2br w:val="nil"/>
              <w:tr2bl w:val="nil"/>
            </w:tcBorders>
            <w:vAlign w:val="center"/>
          </w:tcPr>
          <w:p w14:paraId="19358802">
            <w:pPr>
              <w:jc w:val="center"/>
              <w:rPr>
                <w:rFonts w:hint="eastAsia" w:ascii="宋体" w:hAnsi="宋体" w:cs="宋体"/>
                <w:color w:val="auto"/>
                <w:szCs w:val="21"/>
              </w:rPr>
            </w:pPr>
            <w:r>
              <w:rPr>
                <w:rFonts w:hint="eastAsia" w:ascii="宋体" w:hAnsi="宋体" w:cs="宋体"/>
                <w:color w:val="auto"/>
                <w:szCs w:val="21"/>
              </w:rPr>
              <w:t>经纬度</w:t>
            </w:r>
          </w:p>
        </w:tc>
        <w:tc>
          <w:tcPr>
            <w:tcW w:w="2645" w:type="pct"/>
            <w:gridSpan w:val="6"/>
            <w:tcBorders>
              <w:tl2br w:val="nil"/>
              <w:tr2bl w:val="nil"/>
            </w:tcBorders>
            <w:vAlign w:val="center"/>
          </w:tcPr>
          <w:p w14:paraId="35AF81D4">
            <w:pPr>
              <w:spacing w:line="300" w:lineRule="exact"/>
              <w:jc w:val="center"/>
              <w:rPr>
                <w:rFonts w:hint="eastAsia" w:ascii="宋体" w:hAnsi="宋体" w:cs="宋体"/>
                <w:color w:val="auto"/>
                <w:szCs w:val="21"/>
              </w:rPr>
            </w:pPr>
            <w:r>
              <w:rPr>
                <w:rFonts w:hint="eastAsia" w:ascii="宋体" w:hAnsi="宋体" w:cs="宋体"/>
                <w:color w:val="auto"/>
                <w:szCs w:val="21"/>
              </w:rPr>
              <w:t>E</w:t>
            </w:r>
            <w:r>
              <w:rPr>
                <w:rFonts w:ascii="宋体" w:hAnsi="宋体" w:cs="宋体"/>
                <w:color w:val="auto"/>
                <w:szCs w:val="21"/>
              </w:rPr>
              <w:t>8</w:t>
            </w:r>
            <w:r>
              <w:rPr>
                <w:rFonts w:hint="eastAsia" w:ascii="宋体" w:hAnsi="宋体" w:cs="宋体"/>
                <w:color w:val="auto"/>
                <w:szCs w:val="21"/>
              </w:rPr>
              <w:t>6</w:t>
            </w:r>
            <w:r>
              <w:rPr>
                <w:rFonts w:ascii="宋体" w:hAnsi="宋体" w:cs="宋体"/>
                <w:color w:val="auto"/>
                <w:szCs w:val="21"/>
              </w:rPr>
              <w:t>°</w:t>
            </w:r>
            <w:r>
              <w:rPr>
                <w:rFonts w:hint="eastAsia" w:ascii="宋体" w:hAnsi="宋体" w:cs="宋体"/>
                <w:color w:val="auto"/>
                <w:szCs w:val="21"/>
              </w:rPr>
              <w:t>29</w:t>
            </w:r>
            <w:r>
              <w:rPr>
                <w:rFonts w:ascii="宋体" w:hAnsi="宋体" w:cs="宋体"/>
                <w:color w:val="auto"/>
                <w:szCs w:val="21"/>
              </w:rPr>
              <w:t>'</w:t>
            </w:r>
            <w:r>
              <w:rPr>
                <w:rFonts w:hint="eastAsia" w:ascii="宋体" w:hAnsi="宋体" w:cs="宋体"/>
                <w:color w:val="auto"/>
                <w:szCs w:val="21"/>
              </w:rPr>
              <w:t>22.22</w:t>
            </w:r>
            <w:r>
              <w:rPr>
                <w:rFonts w:ascii="宋体" w:hAnsi="宋体" w:cs="宋体"/>
                <w:color w:val="auto"/>
                <w:szCs w:val="21"/>
              </w:rPr>
              <w:t>"</w:t>
            </w:r>
            <w:r>
              <w:rPr>
                <w:rFonts w:hint="eastAsia" w:ascii="宋体" w:hAnsi="宋体" w:cs="宋体"/>
                <w:color w:val="auto"/>
                <w:szCs w:val="21"/>
              </w:rPr>
              <w:t>,N</w:t>
            </w:r>
            <w:r>
              <w:rPr>
                <w:rFonts w:ascii="宋体" w:hAnsi="宋体" w:cs="宋体"/>
                <w:color w:val="auto"/>
                <w:szCs w:val="21"/>
              </w:rPr>
              <w:t xml:space="preserve"> 4</w:t>
            </w:r>
            <w:r>
              <w:rPr>
                <w:rFonts w:hint="eastAsia" w:ascii="宋体" w:hAnsi="宋体" w:cs="宋体"/>
                <w:color w:val="auto"/>
                <w:szCs w:val="21"/>
              </w:rPr>
              <w:t>5</w:t>
            </w:r>
            <w:r>
              <w:rPr>
                <w:rFonts w:ascii="宋体" w:hAnsi="宋体" w:cs="宋体"/>
                <w:color w:val="auto"/>
                <w:szCs w:val="21"/>
              </w:rPr>
              <w:t>°</w:t>
            </w:r>
            <w:r>
              <w:rPr>
                <w:rFonts w:hint="eastAsia" w:ascii="宋体" w:hAnsi="宋体" w:cs="宋体"/>
                <w:color w:val="auto"/>
                <w:szCs w:val="21"/>
              </w:rPr>
              <w:t>6</w:t>
            </w:r>
            <w:r>
              <w:rPr>
                <w:rFonts w:ascii="宋体" w:hAnsi="宋体" w:cs="宋体"/>
                <w:color w:val="auto"/>
                <w:szCs w:val="21"/>
              </w:rPr>
              <w:t>'</w:t>
            </w:r>
            <w:r>
              <w:rPr>
                <w:rFonts w:hint="eastAsia" w:ascii="宋体" w:hAnsi="宋体" w:cs="宋体"/>
                <w:color w:val="auto"/>
                <w:szCs w:val="21"/>
              </w:rPr>
              <w:t>45.26</w:t>
            </w:r>
            <w:r>
              <w:rPr>
                <w:rFonts w:ascii="宋体" w:hAnsi="宋体" w:cs="宋体"/>
                <w:color w:val="auto"/>
                <w:szCs w:val="21"/>
              </w:rPr>
              <w:t>"</w:t>
            </w:r>
          </w:p>
        </w:tc>
      </w:tr>
      <w:tr w14:paraId="176CC9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trPr>
        <w:tc>
          <w:tcPr>
            <w:tcW w:w="1381" w:type="pct"/>
            <w:gridSpan w:val="2"/>
            <w:vMerge w:val="restart"/>
            <w:tcBorders>
              <w:tl2br w:val="nil"/>
              <w:tr2bl w:val="nil"/>
            </w:tcBorders>
            <w:vAlign w:val="center"/>
          </w:tcPr>
          <w:p w14:paraId="11593850">
            <w:pPr>
              <w:jc w:val="center"/>
              <w:rPr>
                <w:rFonts w:hint="eastAsia" w:ascii="宋体" w:hAnsi="宋体" w:cs="宋体"/>
                <w:color w:val="auto"/>
                <w:szCs w:val="21"/>
              </w:rPr>
            </w:pPr>
            <w:r>
              <w:rPr>
                <w:rFonts w:hint="eastAsia" w:ascii="宋体" w:hAnsi="宋体" w:cs="宋体"/>
                <w:color w:val="auto"/>
                <w:szCs w:val="21"/>
              </w:rPr>
              <w:t>莫174H井场周边</w:t>
            </w:r>
          </w:p>
        </w:tc>
        <w:tc>
          <w:tcPr>
            <w:tcW w:w="974" w:type="pct"/>
            <w:tcBorders>
              <w:tl2br w:val="nil"/>
              <w:tr2bl w:val="nil"/>
            </w:tcBorders>
            <w:vAlign w:val="center"/>
          </w:tcPr>
          <w:p w14:paraId="26D209F7">
            <w:pPr>
              <w:jc w:val="center"/>
              <w:rPr>
                <w:rFonts w:hint="eastAsia" w:ascii="宋体" w:hAnsi="宋体" w:cs="宋体"/>
                <w:color w:val="auto"/>
                <w:szCs w:val="21"/>
              </w:rPr>
            </w:pPr>
            <w:r>
              <w:rPr>
                <w:rFonts w:hint="eastAsia" w:ascii="宋体" w:hAnsi="宋体" w:cs="宋体"/>
                <w:color w:val="auto"/>
                <w:szCs w:val="21"/>
              </w:rPr>
              <w:t>沙拐枣</w:t>
            </w:r>
          </w:p>
        </w:tc>
        <w:tc>
          <w:tcPr>
            <w:tcW w:w="1252" w:type="pct"/>
            <w:gridSpan w:val="3"/>
            <w:tcBorders>
              <w:tl2br w:val="nil"/>
              <w:tr2bl w:val="nil"/>
            </w:tcBorders>
            <w:vAlign w:val="center"/>
          </w:tcPr>
          <w:p w14:paraId="62D50558">
            <w:pPr>
              <w:jc w:val="center"/>
              <w:rPr>
                <w:rFonts w:hint="eastAsia" w:ascii="宋体" w:hAnsi="宋体" w:cs="宋体"/>
                <w:color w:val="auto"/>
                <w:szCs w:val="21"/>
              </w:rPr>
            </w:pPr>
            <w:r>
              <w:rPr>
                <w:rFonts w:hint="eastAsia" w:ascii="宋体" w:hAnsi="宋体" w:cs="宋体"/>
                <w:color w:val="auto"/>
                <w:szCs w:val="21"/>
              </w:rPr>
              <w:t>10～30</w:t>
            </w:r>
          </w:p>
        </w:tc>
        <w:tc>
          <w:tcPr>
            <w:tcW w:w="623" w:type="pct"/>
            <w:gridSpan w:val="2"/>
            <w:tcBorders>
              <w:tl2br w:val="nil"/>
              <w:tr2bl w:val="nil"/>
            </w:tcBorders>
            <w:vAlign w:val="center"/>
          </w:tcPr>
          <w:p w14:paraId="213AFF26">
            <w:pPr>
              <w:jc w:val="center"/>
              <w:rPr>
                <w:rFonts w:hint="eastAsia" w:ascii="宋体" w:hAnsi="宋体" w:cs="宋体"/>
                <w:color w:val="auto"/>
                <w:szCs w:val="21"/>
              </w:rPr>
            </w:pPr>
            <w:r>
              <w:rPr>
                <w:rFonts w:hint="eastAsia" w:ascii="宋体" w:hAnsi="宋体" w:cs="宋体"/>
                <w:color w:val="auto"/>
                <w:szCs w:val="21"/>
              </w:rPr>
              <w:t>3</w:t>
            </w:r>
          </w:p>
        </w:tc>
        <w:tc>
          <w:tcPr>
            <w:tcW w:w="770" w:type="pct"/>
            <w:vMerge w:val="restart"/>
            <w:tcBorders>
              <w:tl2br w:val="nil"/>
              <w:tr2bl w:val="nil"/>
            </w:tcBorders>
            <w:vAlign w:val="center"/>
          </w:tcPr>
          <w:p w14:paraId="6F5B2A25">
            <w:pPr>
              <w:jc w:val="center"/>
              <w:rPr>
                <w:rFonts w:hint="eastAsia" w:ascii="宋体" w:hAnsi="宋体" w:cs="宋体"/>
                <w:color w:val="auto"/>
                <w:szCs w:val="21"/>
              </w:rPr>
            </w:pPr>
            <w:r>
              <w:rPr>
                <w:rFonts w:hint="eastAsia" w:ascii="宋体" w:hAnsi="宋体" w:cs="宋体"/>
                <w:color w:val="auto"/>
                <w:szCs w:val="21"/>
              </w:rPr>
              <w:t>10</w:t>
            </w:r>
          </w:p>
        </w:tc>
      </w:tr>
      <w:tr w14:paraId="586FEA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trPr>
        <w:tc>
          <w:tcPr>
            <w:tcW w:w="1381" w:type="pct"/>
            <w:gridSpan w:val="2"/>
            <w:vMerge w:val="continue"/>
            <w:tcBorders>
              <w:tl2br w:val="nil"/>
              <w:tr2bl w:val="nil"/>
            </w:tcBorders>
            <w:vAlign w:val="center"/>
          </w:tcPr>
          <w:p w14:paraId="43762C23">
            <w:pPr>
              <w:jc w:val="center"/>
              <w:rPr>
                <w:rFonts w:hint="eastAsia" w:ascii="宋体" w:hAnsi="宋体" w:cs="宋体"/>
                <w:color w:val="auto"/>
                <w:szCs w:val="21"/>
              </w:rPr>
            </w:pPr>
          </w:p>
        </w:tc>
        <w:tc>
          <w:tcPr>
            <w:tcW w:w="974" w:type="pct"/>
            <w:tcBorders>
              <w:tl2br w:val="nil"/>
              <w:tr2bl w:val="nil"/>
            </w:tcBorders>
            <w:vAlign w:val="center"/>
          </w:tcPr>
          <w:p w14:paraId="27880066">
            <w:pPr>
              <w:jc w:val="center"/>
              <w:rPr>
                <w:rFonts w:hint="eastAsia" w:ascii="宋体" w:hAnsi="宋体" w:cs="宋体"/>
                <w:color w:val="auto"/>
                <w:szCs w:val="21"/>
                <w:highlight w:val="yellow"/>
              </w:rPr>
            </w:pPr>
            <w:r>
              <w:rPr>
                <w:rFonts w:hint="eastAsia" w:ascii="宋体" w:hAnsi="宋体" w:cs="宋体"/>
                <w:color w:val="auto"/>
                <w:szCs w:val="21"/>
              </w:rPr>
              <w:t>梭梭</w:t>
            </w:r>
          </w:p>
        </w:tc>
        <w:tc>
          <w:tcPr>
            <w:tcW w:w="1252" w:type="pct"/>
            <w:gridSpan w:val="3"/>
            <w:tcBorders>
              <w:tl2br w:val="nil"/>
              <w:tr2bl w:val="nil"/>
            </w:tcBorders>
            <w:vAlign w:val="center"/>
          </w:tcPr>
          <w:p w14:paraId="2784200C">
            <w:pPr>
              <w:jc w:val="center"/>
              <w:rPr>
                <w:rFonts w:hint="eastAsia" w:ascii="宋体" w:hAnsi="宋体" w:cs="宋体"/>
                <w:color w:val="auto"/>
                <w:szCs w:val="21"/>
              </w:rPr>
            </w:pPr>
            <w:r>
              <w:rPr>
                <w:rFonts w:hint="eastAsia" w:ascii="宋体" w:hAnsi="宋体" w:cs="宋体"/>
                <w:color w:val="auto"/>
                <w:szCs w:val="21"/>
              </w:rPr>
              <w:t>30～180</w:t>
            </w:r>
          </w:p>
        </w:tc>
        <w:tc>
          <w:tcPr>
            <w:tcW w:w="623" w:type="pct"/>
            <w:gridSpan w:val="2"/>
            <w:tcBorders>
              <w:tl2br w:val="nil"/>
              <w:tr2bl w:val="nil"/>
            </w:tcBorders>
            <w:vAlign w:val="center"/>
          </w:tcPr>
          <w:p w14:paraId="12CE41C8">
            <w:pPr>
              <w:jc w:val="center"/>
              <w:rPr>
                <w:rFonts w:hint="eastAsia" w:ascii="宋体" w:hAnsi="宋体" w:cs="宋体"/>
                <w:color w:val="auto"/>
                <w:szCs w:val="21"/>
              </w:rPr>
            </w:pPr>
            <w:r>
              <w:rPr>
                <w:rFonts w:hint="eastAsia" w:ascii="宋体" w:hAnsi="宋体" w:cs="宋体"/>
                <w:color w:val="auto"/>
                <w:szCs w:val="21"/>
              </w:rPr>
              <w:t>18</w:t>
            </w:r>
          </w:p>
        </w:tc>
        <w:tc>
          <w:tcPr>
            <w:tcW w:w="770" w:type="pct"/>
            <w:vMerge w:val="continue"/>
            <w:tcBorders>
              <w:tl2br w:val="nil"/>
              <w:tr2bl w:val="nil"/>
            </w:tcBorders>
            <w:vAlign w:val="center"/>
          </w:tcPr>
          <w:p w14:paraId="0DBE4BD5">
            <w:pPr>
              <w:jc w:val="center"/>
              <w:rPr>
                <w:rFonts w:hint="eastAsia" w:ascii="宋体" w:hAnsi="宋体" w:cs="宋体"/>
                <w:color w:val="auto"/>
                <w:szCs w:val="21"/>
              </w:rPr>
            </w:pPr>
          </w:p>
        </w:tc>
      </w:tr>
    </w:tbl>
    <w:p w14:paraId="587EF6A2">
      <w:pPr>
        <w:pStyle w:val="86"/>
        <w:spacing w:line="240" w:lineRule="auto"/>
        <w:ind w:firstLine="0" w:firstLineChars="0"/>
        <w:jc w:val="center"/>
        <w:rPr>
          <w:rFonts w:hint="eastAsia"/>
          <w:color w:val="auto"/>
        </w:rPr>
      </w:pPr>
      <w:r>
        <w:rPr>
          <w:color w:val="auto"/>
        </w:rPr>
        <w:drawing>
          <wp:inline distT="0" distB="0" distL="0" distR="0">
            <wp:extent cx="5543550" cy="4156075"/>
            <wp:effectExtent l="0" t="0" r="0" b="0"/>
            <wp:docPr id="43515154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151549" name="图片 1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5543550" cy="4156075"/>
                    </a:xfrm>
                    <a:prstGeom prst="rect">
                      <a:avLst/>
                    </a:prstGeom>
                    <a:noFill/>
                    <a:ln>
                      <a:noFill/>
                    </a:ln>
                  </pic:spPr>
                </pic:pic>
              </a:graphicData>
            </a:graphic>
          </wp:inline>
        </w:drawing>
      </w:r>
    </w:p>
    <w:p w14:paraId="19C88091">
      <w:pPr>
        <w:pStyle w:val="86"/>
        <w:spacing w:line="240" w:lineRule="auto"/>
        <w:ind w:firstLine="0" w:firstLineChars="0"/>
        <w:jc w:val="center"/>
        <w:rPr>
          <w:rFonts w:hint="eastAsia"/>
          <w:b/>
          <w:bCs/>
          <w:color w:val="auto"/>
          <w:sz w:val="21"/>
          <w:szCs w:val="21"/>
        </w:rPr>
      </w:pPr>
      <w:r>
        <w:rPr>
          <w:rFonts w:hint="eastAsia"/>
          <w:b/>
          <w:bCs/>
          <w:color w:val="auto"/>
          <w:sz w:val="21"/>
          <w:szCs w:val="21"/>
        </w:rPr>
        <w:t>样方1-1</w:t>
      </w:r>
    </w:p>
    <w:p w14:paraId="3BF8FABD">
      <w:pPr>
        <w:pStyle w:val="86"/>
        <w:spacing w:line="240" w:lineRule="auto"/>
        <w:ind w:firstLine="0" w:firstLineChars="0"/>
        <w:jc w:val="center"/>
        <w:rPr>
          <w:rFonts w:hint="eastAsia"/>
          <w:color w:val="auto"/>
        </w:rPr>
      </w:pPr>
      <w:r>
        <w:rPr>
          <w:color w:val="auto"/>
        </w:rPr>
        <w:drawing>
          <wp:inline distT="0" distB="0" distL="0" distR="0">
            <wp:extent cx="5543550" cy="4156075"/>
            <wp:effectExtent l="0" t="0" r="0" b="0"/>
            <wp:docPr id="4901329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32983" name="图片 1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5543550" cy="4156075"/>
                    </a:xfrm>
                    <a:prstGeom prst="rect">
                      <a:avLst/>
                    </a:prstGeom>
                    <a:noFill/>
                    <a:ln>
                      <a:noFill/>
                    </a:ln>
                  </pic:spPr>
                </pic:pic>
              </a:graphicData>
            </a:graphic>
          </wp:inline>
        </w:drawing>
      </w:r>
    </w:p>
    <w:p w14:paraId="59B80A1D">
      <w:pPr>
        <w:pStyle w:val="86"/>
        <w:spacing w:line="240" w:lineRule="auto"/>
        <w:ind w:firstLine="0" w:firstLineChars="0"/>
        <w:jc w:val="center"/>
        <w:rPr>
          <w:rFonts w:hint="eastAsia"/>
          <w:b/>
          <w:bCs/>
          <w:color w:val="auto"/>
          <w:sz w:val="21"/>
          <w:szCs w:val="21"/>
        </w:rPr>
      </w:pPr>
      <w:r>
        <w:rPr>
          <w:rFonts w:hint="eastAsia"/>
          <w:b/>
          <w:bCs/>
          <w:color w:val="auto"/>
          <w:sz w:val="21"/>
          <w:szCs w:val="21"/>
        </w:rPr>
        <w:t>样方1-2</w:t>
      </w:r>
    </w:p>
    <w:p w14:paraId="0468D221">
      <w:pPr>
        <w:pStyle w:val="86"/>
        <w:spacing w:line="240" w:lineRule="auto"/>
        <w:ind w:firstLine="0" w:firstLineChars="0"/>
        <w:jc w:val="center"/>
        <w:rPr>
          <w:rFonts w:hint="eastAsia"/>
          <w:color w:val="auto"/>
        </w:rPr>
      </w:pPr>
      <w:r>
        <w:rPr>
          <w:color w:val="auto"/>
        </w:rPr>
        <w:drawing>
          <wp:inline distT="0" distB="0" distL="0" distR="0">
            <wp:extent cx="5543550" cy="4156075"/>
            <wp:effectExtent l="0" t="0" r="0" b="0"/>
            <wp:docPr id="183795298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952988" name="图片 1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5543550" cy="4156075"/>
                    </a:xfrm>
                    <a:prstGeom prst="rect">
                      <a:avLst/>
                    </a:prstGeom>
                    <a:noFill/>
                    <a:ln>
                      <a:noFill/>
                    </a:ln>
                  </pic:spPr>
                </pic:pic>
              </a:graphicData>
            </a:graphic>
          </wp:inline>
        </w:drawing>
      </w:r>
    </w:p>
    <w:p w14:paraId="4451FC6D">
      <w:pPr>
        <w:pStyle w:val="86"/>
        <w:spacing w:line="200" w:lineRule="exact"/>
        <w:ind w:firstLine="175" w:firstLineChars="83"/>
        <w:jc w:val="center"/>
        <w:rPr>
          <w:rFonts w:hint="eastAsia"/>
          <w:b/>
          <w:bCs/>
          <w:color w:val="auto"/>
          <w:sz w:val="21"/>
          <w:szCs w:val="21"/>
        </w:rPr>
      </w:pPr>
      <w:r>
        <w:rPr>
          <w:rFonts w:hint="eastAsia"/>
          <w:b/>
          <w:bCs/>
          <w:color w:val="auto"/>
          <w:sz w:val="21"/>
          <w:szCs w:val="21"/>
        </w:rPr>
        <w:t>样方1-3</w:t>
      </w:r>
    </w:p>
    <w:p w14:paraId="184DC388">
      <w:pPr>
        <w:pStyle w:val="86"/>
        <w:spacing w:line="240" w:lineRule="auto"/>
        <w:ind w:firstLine="175" w:firstLineChars="83"/>
        <w:jc w:val="center"/>
        <w:rPr>
          <w:rFonts w:hint="eastAsia"/>
          <w:b/>
          <w:bCs/>
          <w:color w:val="auto"/>
          <w:sz w:val="21"/>
          <w:szCs w:val="21"/>
        </w:rPr>
      </w:pPr>
      <w:r>
        <w:rPr>
          <w:b/>
          <w:bCs/>
          <w:color w:val="auto"/>
          <w:sz w:val="21"/>
          <w:szCs w:val="21"/>
        </w:rPr>
        <w:drawing>
          <wp:inline distT="0" distB="0" distL="0" distR="0">
            <wp:extent cx="2190115" cy="2921635"/>
            <wp:effectExtent l="0" t="0" r="635" b="0"/>
            <wp:docPr id="204310005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100059" name="图片 1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2199179" cy="2933499"/>
                    </a:xfrm>
                    <a:prstGeom prst="rect">
                      <a:avLst/>
                    </a:prstGeom>
                    <a:noFill/>
                    <a:ln>
                      <a:noFill/>
                    </a:ln>
                  </pic:spPr>
                </pic:pic>
              </a:graphicData>
            </a:graphic>
          </wp:inline>
        </w:drawing>
      </w:r>
      <w:r>
        <w:rPr>
          <w:rFonts w:hint="eastAsia"/>
          <w:b/>
          <w:bCs/>
          <w:color w:val="auto"/>
          <w:sz w:val="21"/>
          <w:szCs w:val="21"/>
        </w:rPr>
        <w:t xml:space="preserve">      </w:t>
      </w:r>
      <w:r>
        <w:rPr>
          <w:b/>
          <w:bCs/>
          <w:color w:val="auto"/>
          <w:sz w:val="21"/>
          <w:szCs w:val="21"/>
        </w:rPr>
        <w:drawing>
          <wp:inline distT="0" distB="0" distL="0" distR="0">
            <wp:extent cx="2190115" cy="2921635"/>
            <wp:effectExtent l="0" t="0" r="635" b="0"/>
            <wp:docPr id="70702739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027395" name="图片 1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2207318" cy="2944355"/>
                    </a:xfrm>
                    <a:prstGeom prst="rect">
                      <a:avLst/>
                    </a:prstGeom>
                    <a:noFill/>
                    <a:ln>
                      <a:noFill/>
                    </a:ln>
                  </pic:spPr>
                </pic:pic>
              </a:graphicData>
            </a:graphic>
          </wp:inline>
        </w:drawing>
      </w:r>
    </w:p>
    <w:p w14:paraId="7A52FB64">
      <w:pPr>
        <w:pStyle w:val="86"/>
        <w:spacing w:line="460" w:lineRule="exact"/>
        <w:ind w:firstLine="482"/>
        <w:jc w:val="center"/>
        <w:rPr>
          <w:rFonts w:hint="eastAsia"/>
          <w:b/>
          <w:bCs/>
          <w:color w:val="auto"/>
        </w:rPr>
      </w:pPr>
      <w:r>
        <w:rPr>
          <w:rFonts w:hint="eastAsia"/>
          <w:b/>
          <w:bCs/>
          <w:color w:val="auto"/>
        </w:rPr>
        <w:t>项目区主要植被</w:t>
      </w:r>
    </w:p>
    <w:p w14:paraId="5C831400">
      <w:pPr>
        <w:pStyle w:val="86"/>
        <w:ind w:firstLine="480"/>
        <w:rPr>
          <w:rFonts w:hint="eastAsia"/>
          <w:color w:val="auto"/>
        </w:rPr>
      </w:pPr>
      <w:r>
        <w:rPr>
          <w:rFonts w:hint="eastAsia"/>
          <w:color w:val="auto"/>
        </w:rPr>
        <w:t>（4）野生动物现状调查与评价</w:t>
      </w:r>
    </w:p>
    <w:bookmarkEnd w:id="622"/>
    <w:p w14:paraId="2BA33AC3">
      <w:pPr>
        <w:pStyle w:val="86"/>
        <w:ind w:firstLine="480"/>
        <w:rPr>
          <w:rFonts w:hint="eastAsia"/>
          <w:color w:val="auto"/>
        </w:rPr>
      </w:pPr>
      <w:bookmarkStart w:id="627" w:name="_Ref468824027"/>
      <w:bookmarkStart w:id="628" w:name="_Hlk12392092"/>
      <w:r>
        <w:rPr>
          <w:color w:val="auto"/>
        </w:rPr>
        <w:t>按中国动物地理区划的分级标准，</w:t>
      </w:r>
      <w:r>
        <w:rPr>
          <w:rFonts w:hint="eastAsia"/>
          <w:color w:val="auto"/>
        </w:rPr>
        <w:t>项目所在区域属于古北界</w:t>
      </w:r>
      <w:r>
        <w:rPr>
          <w:color w:val="auto"/>
        </w:rPr>
        <w:t>—</w:t>
      </w:r>
      <w:r>
        <w:rPr>
          <w:rFonts w:hint="eastAsia"/>
          <w:color w:val="auto"/>
        </w:rPr>
        <w:t>中亚亚界</w:t>
      </w:r>
      <w:r>
        <w:rPr>
          <w:color w:val="auto"/>
        </w:rPr>
        <w:t>—</w:t>
      </w:r>
      <w:r>
        <w:rPr>
          <w:rFonts w:hint="eastAsia"/>
          <w:color w:val="auto"/>
        </w:rPr>
        <w:t>蒙新区</w:t>
      </w:r>
      <w:r>
        <w:rPr>
          <w:color w:val="auto"/>
        </w:rPr>
        <w:t>—</w:t>
      </w:r>
      <w:r>
        <w:rPr>
          <w:rFonts w:hint="eastAsia"/>
          <w:color w:val="auto"/>
        </w:rPr>
        <w:t>西部荒漠亚区</w:t>
      </w:r>
      <w:r>
        <w:rPr>
          <w:color w:val="auto"/>
        </w:rPr>
        <w:t>—</w:t>
      </w:r>
      <w:r>
        <w:rPr>
          <w:rFonts w:hint="eastAsia"/>
          <w:color w:val="auto"/>
        </w:rPr>
        <w:t>准噶尔盆地小区。该区地处古尔班通古特沙漠腹地，气候极端干燥，野生动物栖息生境极为单一，主要栖息场所为白梭梭和梭梭集中分布区域。在该区域内主要分布着野生脊椎动物</w:t>
      </w:r>
      <w:r>
        <w:rPr>
          <w:color w:val="auto"/>
        </w:rPr>
        <w:t>33</w:t>
      </w:r>
      <w:r>
        <w:rPr>
          <w:rFonts w:hint="eastAsia"/>
          <w:color w:val="auto"/>
        </w:rPr>
        <w:t>种，其中包括爬行类</w:t>
      </w:r>
      <w:r>
        <w:rPr>
          <w:color w:val="auto"/>
        </w:rPr>
        <w:t>5</w:t>
      </w:r>
      <w:r>
        <w:rPr>
          <w:rFonts w:hint="eastAsia"/>
          <w:color w:val="auto"/>
        </w:rPr>
        <w:t>种，鸟类</w:t>
      </w:r>
      <w:r>
        <w:rPr>
          <w:color w:val="auto"/>
        </w:rPr>
        <w:t>14</w:t>
      </w:r>
      <w:r>
        <w:rPr>
          <w:rFonts w:hint="eastAsia"/>
          <w:color w:val="auto"/>
        </w:rPr>
        <w:t>种，哺乳动物</w:t>
      </w:r>
      <w:r>
        <w:rPr>
          <w:color w:val="auto"/>
        </w:rPr>
        <w:t>14</w:t>
      </w:r>
      <w:r>
        <w:rPr>
          <w:rFonts w:hint="eastAsia"/>
          <w:color w:val="auto"/>
        </w:rPr>
        <w:t>种，爬行类和哺乳类是该区域的主要建群动物，多见种有东疆沙蜥、快步麻蜥、毛脚跳鼠、大沙鼠和子午沙鼠。</w:t>
      </w:r>
      <w:r>
        <w:rPr>
          <w:color w:val="auto"/>
        </w:rPr>
        <w:t>具体野生动物种类详见表</w:t>
      </w:r>
      <w:r>
        <w:rPr>
          <w:rFonts w:hint="eastAsia"/>
          <w:color w:val="auto"/>
        </w:rPr>
        <w:t>4.3</w:t>
      </w:r>
      <w:r>
        <w:rPr>
          <w:color w:val="auto"/>
        </w:rPr>
        <w:t>-</w:t>
      </w:r>
      <w:r>
        <w:rPr>
          <w:rFonts w:hint="eastAsia"/>
          <w:color w:val="auto"/>
        </w:rPr>
        <w:t>16，重点保护动物见表4.3-17</w:t>
      </w:r>
      <w:r>
        <w:rPr>
          <w:color w:val="auto"/>
        </w:rPr>
        <w:t>。</w:t>
      </w:r>
    </w:p>
    <w:p w14:paraId="301220DC">
      <w:pPr>
        <w:pStyle w:val="19"/>
        <w:spacing w:after="0" w:line="500" w:lineRule="exact"/>
        <w:jc w:val="center"/>
        <w:rPr>
          <w:rFonts w:hint="eastAsia" w:ascii="黑体" w:hAnsi="黑体" w:eastAsia="黑体" w:cs="黑体"/>
          <w:color w:val="auto"/>
          <w:szCs w:val="21"/>
        </w:rPr>
      </w:pPr>
      <w:r>
        <w:rPr>
          <w:rFonts w:ascii="黑体" w:hAnsi="黑体" w:eastAsia="黑体" w:cs="黑体"/>
          <w:color w:val="auto"/>
          <w:szCs w:val="21"/>
        </w:rPr>
        <w:t>表</w:t>
      </w:r>
      <w:r>
        <w:rPr>
          <w:rFonts w:hint="eastAsia" w:ascii="黑体" w:hAnsi="黑体" w:eastAsia="黑体" w:cs="黑体"/>
          <w:color w:val="auto"/>
          <w:szCs w:val="21"/>
        </w:rPr>
        <w:t>4.3</w:t>
      </w:r>
      <w:r>
        <w:rPr>
          <w:rFonts w:ascii="黑体" w:hAnsi="黑体" w:eastAsia="黑体" w:cs="黑体"/>
          <w:color w:val="auto"/>
          <w:szCs w:val="21"/>
        </w:rPr>
        <w:t>-</w:t>
      </w:r>
      <w:r>
        <w:rPr>
          <w:rFonts w:hint="eastAsia" w:ascii="黑体" w:hAnsi="黑体" w:eastAsia="黑体" w:cs="黑体"/>
          <w:color w:val="auto"/>
          <w:szCs w:val="21"/>
        </w:rPr>
        <w:t>16</w:t>
      </w:r>
      <w:r>
        <w:rPr>
          <w:rFonts w:ascii="黑体" w:hAnsi="黑体" w:eastAsia="黑体" w:cs="黑体"/>
          <w:color w:val="auto"/>
          <w:szCs w:val="21"/>
        </w:rPr>
        <w:t xml:space="preserve">  项目区主要脊椎动物的种类及分布</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39"/>
        <w:gridCol w:w="3340"/>
        <w:gridCol w:w="1017"/>
        <w:gridCol w:w="1017"/>
        <w:gridCol w:w="1017"/>
      </w:tblGrid>
      <w:tr w14:paraId="2E65E8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9" w:type="dxa"/>
            <w:gridSpan w:val="2"/>
            <w:vMerge w:val="restart"/>
            <w:vAlign w:val="center"/>
          </w:tcPr>
          <w:p w14:paraId="42835F7B">
            <w:pPr>
              <w:pStyle w:val="296"/>
              <w:rPr>
                <w:rFonts w:hint="eastAsia"/>
                <w:color w:val="auto"/>
              </w:rPr>
            </w:pPr>
            <w:r>
              <w:rPr>
                <w:color w:val="auto"/>
              </w:rPr>
              <w:t>种      类</w:t>
            </w:r>
          </w:p>
        </w:tc>
        <w:tc>
          <w:tcPr>
            <w:tcW w:w="3051" w:type="dxa"/>
            <w:gridSpan w:val="3"/>
            <w:vAlign w:val="center"/>
          </w:tcPr>
          <w:p w14:paraId="44F2B711">
            <w:pPr>
              <w:pStyle w:val="296"/>
              <w:rPr>
                <w:rFonts w:hint="eastAsia"/>
                <w:color w:val="auto"/>
              </w:rPr>
            </w:pPr>
            <w:r>
              <w:rPr>
                <w:color w:val="auto"/>
              </w:rPr>
              <w:t>分布状况</w:t>
            </w:r>
          </w:p>
        </w:tc>
      </w:tr>
      <w:tr w14:paraId="7062DE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9" w:type="dxa"/>
            <w:gridSpan w:val="2"/>
            <w:vMerge w:val="continue"/>
            <w:vAlign w:val="center"/>
          </w:tcPr>
          <w:p w14:paraId="169B5AF0">
            <w:pPr>
              <w:pStyle w:val="296"/>
              <w:rPr>
                <w:rFonts w:hint="eastAsia"/>
                <w:color w:val="auto"/>
              </w:rPr>
            </w:pPr>
          </w:p>
        </w:tc>
        <w:tc>
          <w:tcPr>
            <w:tcW w:w="1017" w:type="dxa"/>
            <w:vAlign w:val="center"/>
          </w:tcPr>
          <w:p w14:paraId="60FC5DDC">
            <w:pPr>
              <w:pStyle w:val="296"/>
              <w:rPr>
                <w:rFonts w:hint="eastAsia"/>
                <w:color w:val="auto"/>
              </w:rPr>
            </w:pPr>
            <w:r>
              <w:rPr>
                <w:color w:val="auto"/>
              </w:rPr>
              <w:t>多见种</w:t>
            </w:r>
          </w:p>
        </w:tc>
        <w:tc>
          <w:tcPr>
            <w:tcW w:w="1017" w:type="dxa"/>
            <w:vAlign w:val="center"/>
          </w:tcPr>
          <w:p w14:paraId="4CA9B55C">
            <w:pPr>
              <w:pStyle w:val="296"/>
              <w:rPr>
                <w:rFonts w:hint="eastAsia"/>
                <w:color w:val="auto"/>
              </w:rPr>
            </w:pPr>
            <w:r>
              <w:rPr>
                <w:color w:val="auto"/>
              </w:rPr>
              <w:t>少见种</w:t>
            </w:r>
          </w:p>
        </w:tc>
        <w:tc>
          <w:tcPr>
            <w:tcW w:w="1017" w:type="dxa"/>
            <w:vAlign w:val="center"/>
          </w:tcPr>
          <w:p w14:paraId="259F6E9A">
            <w:pPr>
              <w:pStyle w:val="296"/>
              <w:rPr>
                <w:rFonts w:hint="eastAsia"/>
                <w:color w:val="auto"/>
              </w:rPr>
            </w:pPr>
            <w:r>
              <w:rPr>
                <w:color w:val="auto"/>
              </w:rPr>
              <w:t>偶见种</w:t>
            </w:r>
          </w:p>
        </w:tc>
      </w:tr>
      <w:tr w14:paraId="798B02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1BF1D165">
            <w:pPr>
              <w:pStyle w:val="296"/>
              <w:rPr>
                <w:rFonts w:hint="eastAsia"/>
                <w:color w:val="auto"/>
              </w:rPr>
            </w:pPr>
            <w:r>
              <w:rPr>
                <w:color w:val="auto"/>
              </w:rPr>
              <w:t>爬 行 类</w:t>
            </w:r>
          </w:p>
        </w:tc>
        <w:tc>
          <w:tcPr>
            <w:tcW w:w="3340" w:type="dxa"/>
            <w:vAlign w:val="center"/>
          </w:tcPr>
          <w:p w14:paraId="26FAC4F8">
            <w:pPr>
              <w:pStyle w:val="296"/>
              <w:rPr>
                <w:rFonts w:hint="eastAsia"/>
                <w:i/>
                <w:iCs/>
                <w:color w:val="auto"/>
              </w:rPr>
            </w:pPr>
          </w:p>
        </w:tc>
        <w:tc>
          <w:tcPr>
            <w:tcW w:w="1017" w:type="dxa"/>
            <w:vAlign w:val="center"/>
          </w:tcPr>
          <w:p w14:paraId="7D631730">
            <w:pPr>
              <w:pStyle w:val="296"/>
              <w:rPr>
                <w:rFonts w:hint="eastAsia"/>
                <w:color w:val="auto"/>
              </w:rPr>
            </w:pPr>
          </w:p>
        </w:tc>
        <w:tc>
          <w:tcPr>
            <w:tcW w:w="1017" w:type="dxa"/>
            <w:vAlign w:val="center"/>
          </w:tcPr>
          <w:p w14:paraId="5D7D7603">
            <w:pPr>
              <w:pStyle w:val="296"/>
              <w:rPr>
                <w:rFonts w:hint="eastAsia"/>
                <w:color w:val="auto"/>
              </w:rPr>
            </w:pPr>
          </w:p>
        </w:tc>
        <w:tc>
          <w:tcPr>
            <w:tcW w:w="1017" w:type="dxa"/>
            <w:vAlign w:val="center"/>
          </w:tcPr>
          <w:p w14:paraId="31252862">
            <w:pPr>
              <w:pStyle w:val="296"/>
              <w:rPr>
                <w:rFonts w:hint="eastAsia"/>
                <w:color w:val="auto"/>
              </w:rPr>
            </w:pPr>
          </w:p>
        </w:tc>
      </w:tr>
      <w:tr w14:paraId="5A57B8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64ECE775">
            <w:pPr>
              <w:pStyle w:val="296"/>
              <w:rPr>
                <w:rFonts w:hint="eastAsia"/>
                <w:color w:val="auto"/>
              </w:rPr>
            </w:pPr>
            <w:r>
              <w:rPr>
                <w:color w:val="auto"/>
              </w:rPr>
              <w:t>1、变色沙蜥</w:t>
            </w:r>
          </w:p>
        </w:tc>
        <w:tc>
          <w:tcPr>
            <w:tcW w:w="3340" w:type="dxa"/>
            <w:vAlign w:val="center"/>
          </w:tcPr>
          <w:p w14:paraId="6F785B6D">
            <w:pPr>
              <w:pStyle w:val="296"/>
              <w:rPr>
                <w:rFonts w:hint="eastAsia"/>
                <w:i/>
                <w:color w:val="auto"/>
              </w:rPr>
            </w:pPr>
            <w:r>
              <w:rPr>
                <w:i/>
                <w:color w:val="auto"/>
              </w:rPr>
              <w:t>Phrynocephalus versicolor</w:t>
            </w:r>
          </w:p>
        </w:tc>
        <w:tc>
          <w:tcPr>
            <w:tcW w:w="1017" w:type="dxa"/>
            <w:vAlign w:val="center"/>
          </w:tcPr>
          <w:p w14:paraId="77586253">
            <w:pPr>
              <w:pStyle w:val="296"/>
              <w:rPr>
                <w:rFonts w:hint="eastAsia"/>
                <w:color w:val="auto"/>
              </w:rPr>
            </w:pPr>
          </w:p>
        </w:tc>
        <w:tc>
          <w:tcPr>
            <w:tcW w:w="1017" w:type="dxa"/>
            <w:vAlign w:val="center"/>
          </w:tcPr>
          <w:p w14:paraId="14C10291">
            <w:pPr>
              <w:pStyle w:val="296"/>
              <w:rPr>
                <w:rFonts w:hint="eastAsia"/>
                <w:color w:val="auto"/>
              </w:rPr>
            </w:pPr>
            <w:r>
              <w:rPr>
                <w:color w:val="auto"/>
              </w:rPr>
              <w:t>+</w:t>
            </w:r>
          </w:p>
        </w:tc>
        <w:tc>
          <w:tcPr>
            <w:tcW w:w="1017" w:type="dxa"/>
            <w:vAlign w:val="center"/>
          </w:tcPr>
          <w:p w14:paraId="4B8C2441">
            <w:pPr>
              <w:pStyle w:val="296"/>
              <w:rPr>
                <w:rFonts w:hint="eastAsia"/>
                <w:color w:val="auto"/>
              </w:rPr>
            </w:pPr>
          </w:p>
        </w:tc>
      </w:tr>
      <w:tr w14:paraId="602461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72505C2D">
            <w:pPr>
              <w:pStyle w:val="296"/>
              <w:rPr>
                <w:rFonts w:hint="eastAsia"/>
                <w:color w:val="auto"/>
              </w:rPr>
            </w:pPr>
            <w:r>
              <w:rPr>
                <w:color w:val="auto"/>
              </w:rPr>
              <w:t>2、东疆沙蜥</w:t>
            </w:r>
          </w:p>
        </w:tc>
        <w:tc>
          <w:tcPr>
            <w:tcW w:w="3340" w:type="dxa"/>
            <w:vAlign w:val="center"/>
          </w:tcPr>
          <w:p w14:paraId="0FED31D2">
            <w:pPr>
              <w:pStyle w:val="296"/>
              <w:rPr>
                <w:rFonts w:hint="eastAsia"/>
                <w:i/>
                <w:color w:val="auto"/>
              </w:rPr>
            </w:pPr>
            <w:r>
              <w:rPr>
                <w:i/>
                <w:color w:val="auto"/>
              </w:rPr>
              <w:t>P.grumgrizimaloi</w:t>
            </w:r>
          </w:p>
        </w:tc>
        <w:tc>
          <w:tcPr>
            <w:tcW w:w="1017" w:type="dxa"/>
            <w:vAlign w:val="center"/>
          </w:tcPr>
          <w:p w14:paraId="199D085A">
            <w:pPr>
              <w:pStyle w:val="296"/>
              <w:rPr>
                <w:rFonts w:hint="eastAsia"/>
                <w:color w:val="auto"/>
              </w:rPr>
            </w:pPr>
            <w:r>
              <w:rPr>
                <w:color w:val="auto"/>
              </w:rPr>
              <w:t>+</w:t>
            </w:r>
          </w:p>
        </w:tc>
        <w:tc>
          <w:tcPr>
            <w:tcW w:w="1017" w:type="dxa"/>
            <w:vAlign w:val="center"/>
          </w:tcPr>
          <w:p w14:paraId="38562DFA">
            <w:pPr>
              <w:pStyle w:val="296"/>
              <w:rPr>
                <w:rFonts w:hint="eastAsia"/>
                <w:color w:val="auto"/>
              </w:rPr>
            </w:pPr>
          </w:p>
        </w:tc>
        <w:tc>
          <w:tcPr>
            <w:tcW w:w="1017" w:type="dxa"/>
            <w:vAlign w:val="center"/>
          </w:tcPr>
          <w:p w14:paraId="5D2E9C05">
            <w:pPr>
              <w:pStyle w:val="296"/>
              <w:rPr>
                <w:rFonts w:hint="eastAsia"/>
                <w:color w:val="auto"/>
              </w:rPr>
            </w:pPr>
          </w:p>
        </w:tc>
      </w:tr>
      <w:tr w14:paraId="7412EF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6EC13F76">
            <w:pPr>
              <w:pStyle w:val="296"/>
              <w:rPr>
                <w:rFonts w:hint="eastAsia"/>
                <w:color w:val="auto"/>
              </w:rPr>
            </w:pPr>
            <w:r>
              <w:rPr>
                <w:color w:val="auto"/>
              </w:rPr>
              <w:t>3、快步麻蜥</w:t>
            </w:r>
          </w:p>
        </w:tc>
        <w:tc>
          <w:tcPr>
            <w:tcW w:w="3340" w:type="dxa"/>
            <w:vAlign w:val="center"/>
          </w:tcPr>
          <w:p w14:paraId="06AC8F00">
            <w:pPr>
              <w:pStyle w:val="296"/>
              <w:rPr>
                <w:rFonts w:hint="eastAsia"/>
                <w:i/>
                <w:color w:val="auto"/>
              </w:rPr>
            </w:pPr>
            <w:r>
              <w:rPr>
                <w:i/>
                <w:color w:val="auto"/>
              </w:rPr>
              <w:t>Eremias velox</w:t>
            </w:r>
          </w:p>
        </w:tc>
        <w:tc>
          <w:tcPr>
            <w:tcW w:w="1017" w:type="dxa"/>
            <w:vAlign w:val="center"/>
          </w:tcPr>
          <w:p w14:paraId="24F6B3AA">
            <w:pPr>
              <w:pStyle w:val="296"/>
              <w:rPr>
                <w:rFonts w:hint="eastAsia"/>
                <w:color w:val="auto"/>
              </w:rPr>
            </w:pPr>
            <w:r>
              <w:rPr>
                <w:color w:val="auto"/>
              </w:rPr>
              <w:t>+</w:t>
            </w:r>
          </w:p>
        </w:tc>
        <w:tc>
          <w:tcPr>
            <w:tcW w:w="1017" w:type="dxa"/>
            <w:vAlign w:val="center"/>
          </w:tcPr>
          <w:p w14:paraId="2757513C">
            <w:pPr>
              <w:pStyle w:val="296"/>
              <w:rPr>
                <w:rFonts w:hint="eastAsia"/>
                <w:color w:val="auto"/>
              </w:rPr>
            </w:pPr>
          </w:p>
        </w:tc>
        <w:tc>
          <w:tcPr>
            <w:tcW w:w="1017" w:type="dxa"/>
            <w:vAlign w:val="center"/>
          </w:tcPr>
          <w:p w14:paraId="5BD4216B">
            <w:pPr>
              <w:pStyle w:val="296"/>
              <w:rPr>
                <w:rFonts w:hint="eastAsia"/>
                <w:color w:val="auto"/>
              </w:rPr>
            </w:pPr>
          </w:p>
        </w:tc>
      </w:tr>
      <w:tr w14:paraId="07E190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15815F3F">
            <w:pPr>
              <w:pStyle w:val="296"/>
              <w:rPr>
                <w:rFonts w:hint="eastAsia"/>
                <w:color w:val="auto"/>
              </w:rPr>
            </w:pPr>
            <w:r>
              <w:rPr>
                <w:color w:val="auto"/>
              </w:rPr>
              <w:t>4、东方沙蟒</w:t>
            </w:r>
          </w:p>
        </w:tc>
        <w:tc>
          <w:tcPr>
            <w:tcW w:w="3340" w:type="dxa"/>
            <w:vAlign w:val="center"/>
          </w:tcPr>
          <w:p w14:paraId="1F2FAB90">
            <w:pPr>
              <w:pStyle w:val="296"/>
              <w:rPr>
                <w:rFonts w:hint="eastAsia"/>
                <w:i/>
                <w:color w:val="auto"/>
              </w:rPr>
            </w:pPr>
            <w:r>
              <w:rPr>
                <w:i/>
                <w:color w:val="auto"/>
              </w:rPr>
              <w:t>Eryx tataricus</w:t>
            </w:r>
          </w:p>
        </w:tc>
        <w:tc>
          <w:tcPr>
            <w:tcW w:w="1017" w:type="dxa"/>
            <w:vAlign w:val="center"/>
          </w:tcPr>
          <w:p w14:paraId="02D56538">
            <w:pPr>
              <w:pStyle w:val="296"/>
              <w:rPr>
                <w:rFonts w:hint="eastAsia"/>
                <w:color w:val="auto"/>
              </w:rPr>
            </w:pPr>
          </w:p>
        </w:tc>
        <w:tc>
          <w:tcPr>
            <w:tcW w:w="1017" w:type="dxa"/>
            <w:vAlign w:val="center"/>
          </w:tcPr>
          <w:p w14:paraId="4F98C7C5">
            <w:pPr>
              <w:pStyle w:val="296"/>
              <w:rPr>
                <w:rFonts w:hint="eastAsia"/>
                <w:color w:val="auto"/>
              </w:rPr>
            </w:pPr>
          </w:p>
        </w:tc>
        <w:tc>
          <w:tcPr>
            <w:tcW w:w="1017" w:type="dxa"/>
            <w:vAlign w:val="center"/>
          </w:tcPr>
          <w:p w14:paraId="3334B3C6">
            <w:pPr>
              <w:pStyle w:val="296"/>
              <w:rPr>
                <w:rFonts w:hint="eastAsia"/>
                <w:color w:val="auto"/>
              </w:rPr>
            </w:pPr>
            <w:r>
              <w:rPr>
                <w:color w:val="auto"/>
              </w:rPr>
              <w:t>+</w:t>
            </w:r>
          </w:p>
        </w:tc>
      </w:tr>
      <w:tr w14:paraId="6A621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73694D28">
            <w:pPr>
              <w:pStyle w:val="296"/>
              <w:rPr>
                <w:rFonts w:hint="eastAsia"/>
                <w:color w:val="auto"/>
              </w:rPr>
            </w:pPr>
            <w:r>
              <w:rPr>
                <w:color w:val="auto"/>
              </w:rPr>
              <w:t>5、黄脊游蛇</w:t>
            </w:r>
          </w:p>
        </w:tc>
        <w:tc>
          <w:tcPr>
            <w:tcW w:w="3340" w:type="dxa"/>
            <w:vAlign w:val="center"/>
          </w:tcPr>
          <w:p w14:paraId="29C1F56A">
            <w:pPr>
              <w:pStyle w:val="296"/>
              <w:rPr>
                <w:rFonts w:hint="eastAsia"/>
                <w:i/>
                <w:color w:val="auto"/>
              </w:rPr>
            </w:pPr>
            <w:r>
              <w:rPr>
                <w:i/>
                <w:color w:val="auto"/>
              </w:rPr>
              <w:t>Coluber spinalis</w:t>
            </w:r>
          </w:p>
        </w:tc>
        <w:tc>
          <w:tcPr>
            <w:tcW w:w="1017" w:type="dxa"/>
            <w:vAlign w:val="center"/>
          </w:tcPr>
          <w:p w14:paraId="10F09CFB">
            <w:pPr>
              <w:pStyle w:val="296"/>
              <w:rPr>
                <w:rFonts w:hint="eastAsia"/>
                <w:color w:val="auto"/>
              </w:rPr>
            </w:pPr>
          </w:p>
        </w:tc>
        <w:tc>
          <w:tcPr>
            <w:tcW w:w="1017" w:type="dxa"/>
            <w:vAlign w:val="center"/>
          </w:tcPr>
          <w:p w14:paraId="79C308DF">
            <w:pPr>
              <w:pStyle w:val="296"/>
              <w:rPr>
                <w:rFonts w:hint="eastAsia"/>
                <w:color w:val="auto"/>
              </w:rPr>
            </w:pPr>
          </w:p>
        </w:tc>
        <w:tc>
          <w:tcPr>
            <w:tcW w:w="1017" w:type="dxa"/>
            <w:vAlign w:val="center"/>
          </w:tcPr>
          <w:p w14:paraId="4A383BFC">
            <w:pPr>
              <w:pStyle w:val="296"/>
              <w:rPr>
                <w:rFonts w:hint="eastAsia"/>
                <w:color w:val="auto"/>
              </w:rPr>
            </w:pPr>
            <w:r>
              <w:rPr>
                <w:color w:val="auto"/>
              </w:rPr>
              <w:t>+</w:t>
            </w:r>
          </w:p>
        </w:tc>
      </w:tr>
      <w:tr w14:paraId="52D653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514523D2">
            <w:pPr>
              <w:pStyle w:val="296"/>
              <w:rPr>
                <w:rFonts w:hint="eastAsia"/>
                <w:color w:val="auto"/>
              </w:rPr>
            </w:pPr>
            <w:r>
              <w:rPr>
                <w:color w:val="auto"/>
              </w:rPr>
              <w:t>鸟    类</w:t>
            </w:r>
          </w:p>
        </w:tc>
        <w:tc>
          <w:tcPr>
            <w:tcW w:w="3340" w:type="dxa"/>
            <w:vAlign w:val="center"/>
          </w:tcPr>
          <w:p w14:paraId="647C1EB5">
            <w:pPr>
              <w:pStyle w:val="296"/>
              <w:rPr>
                <w:rFonts w:hint="eastAsia"/>
                <w:i/>
                <w:color w:val="auto"/>
              </w:rPr>
            </w:pPr>
          </w:p>
        </w:tc>
        <w:tc>
          <w:tcPr>
            <w:tcW w:w="1017" w:type="dxa"/>
            <w:vAlign w:val="center"/>
          </w:tcPr>
          <w:p w14:paraId="08B2E36B">
            <w:pPr>
              <w:pStyle w:val="296"/>
              <w:rPr>
                <w:rFonts w:hint="eastAsia"/>
                <w:color w:val="auto"/>
              </w:rPr>
            </w:pPr>
          </w:p>
        </w:tc>
        <w:tc>
          <w:tcPr>
            <w:tcW w:w="1017" w:type="dxa"/>
            <w:vAlign w:val="center"/>
          </w:tcPr>
          <w:p w14:paraId="51CB354B">
            <w:pPr>
              <w:pStyle w:val="296"/>
              <w:rPr>
                <w:rFonts w:hint="eastAsia"/>
                <w:color w:val="auto"/>
              </w:rPr>
            </w:pPr>
          </w:p>
        </w:tc>
        <w:tc>
          <w:tcPr>
            <w:tcW w:w="1017" w:type="dxa"/>
            <w:vAlign w:val="center"/>
          </w:tcPr>
          <w:p w14:paraId="7BC86BA3">
            <w:pPr>
              <w:pStyle w:val="296"/>
              <w:rPr>
                <w:rFonts w:hint="eastAsia"/>
                <w:color w:val="auto"/>
              </w:rPr>
            </w:pPr>
          </w:p>
        </w:tc>
      </w:tr>
      <w:tr w14:paraId="34EFC1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035DE9B0">
            <w:pPr>
              <w:pStyle w:val="296"/>
              <w:rPr>
                <w:rFonts w:hint="eastAsia"/>
                <w:color w:val="auto"/>
              </w:rPr>
            </w:pPr>
            <w:r>
              <w:rPr>
                <w:color w:val="auto"/>
              </w:rPr>
              <w:t>6、鸢</w:t>
            </w:r>
          </w:p>
        </w:tc>
        <w:tc>
          <w:tcPr>
            <w:tcW w:w="3340" w:type="dxa"/>
            <w:vAlign w:val="center"/>
          </w:tcPr>
          <w:p w14:paraId="44DAC8D3">
            <w:pPr>
              <w:pStyle w:val="296"/>
              <w:rPr>
                <w:rFonts w:hint="eastAsia"/>
                <w:i/>
                <w:color w:val="auto"/>
              </w:rPr>
            </w:pPr>
            <w:r>
              <w:rPr>
                <w:i/>
                <w:color w:val="auto"/>
              </w:rPr>
              <w:t>Milvus korschun</w:t>
            </w:r>
          </w:p>
        </w:tc>
        <w:tc>
          <w:tcPr>
            <w:tcW w:w="1017" w:type="dxa"/>
            <w:vAlign w:val="center"/>
          </w:tcPr>
          <w:p w14:paraId="18570FDC">
            <w:pPr>
              <w:pStyle w:val="296"/>
              <w:rPr>
                <w:rFonts w:hint="eastAsia"/>
                <w:color w:val="auto"/>
              </w:rPr>
            </w:pPr>
          </w:p>
        </w:tc>
        <w:tc>
          <w:tcPr>
            <w:tcW w:w="1017" w:type="dxa"/>
            <w:vAlign w:val="center"/>
          </w:tcPr>
          <w:p w14:paraId="5F083027">
            <w:pPr>
              <w:pStyle w:val="296"/>
              <w:rPr>
                <w:rFonts w:hint="eastAsia"/>
                <w:color w:val="auto"/>
              </w:rPr>
            </w:pPr>
            <w:r>
              <w:rPr>
                <w:color w:val="auto"/>
              </w:rPr>
              <w:t>+</w:t>
            </w:r>
          </w:p>
        </w:tc>
        <w:tc>
          <w:tcPr>
            <w:tcW w:w="1017" w:type="dxa"/>
            <w:vAlign w:val="center"/>
          </w:tcPr>
          <w:p w14:paraId="582C4213">
            <w:pPr>
              <w:pStyle w:val="296"/>
              <w:rPr>
                <w:rFonts w:hint="eastAsia"/>
                <w:color w:val="auto"/>
              </w:rPr>
            </w:pPr>
          </w:p>
        </w:tc>
      </w:tr>
      <w:tr w14:paraId="0542B0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6CCDC3A5">
            <w:pPr>
              <w:pStyle w:val="296"/>
              <w:rPr>
                <w:rFonts w:hint="eastAsia"/>
                <w:color w:val="auto"/>
              </w:rPr>
            </w:pPr>
            <w:r>
              <w:rPr>
                <w:color w:val="auto"/>
              </w:rPr>
              <w:t>7、雀  鹰</w:t>
            </w:r>
          </w:p>
        </w:tc>
        <w:tc>
          <w:tcPr>
            <w:tcW w:w="3340" w:type="dxa"/>
            <w:vAlign w:val="center"/>
          </w:tcPr>
          <w:p w14:paraId="2CD78C6D">
            <w:pPr>
              <w:pStyle w:val="296"/>
              <w:rPr>
                <w:rFonts w:hint="eastAsia"/>
                <w:i/>
                <w:color w:val="auto"/>
              </w:rPr>
            </w:pPr>
            <w:r>
              <w:rPr>
                <w:i/>
                <w:color w:val="auto"/>
              </w:rPr>
              <w:t>Accipiter nisus</w:t>
            </w:r>
          </w:p>
        </w:tc>
        <w:tc>
          <w:tcPr>
            <w:tcW w:w="1017" w:type="dxa"/>
            <w:vAlign w:val="center"/>
          </w:tcPr>
          <w:p w14:paraId="6432F242">
            <w:pPr>
              <w:pStyle w:val="296"/>
              <w:rPr>
                <w:rFonts w:hint="eastAsia"/>
                <w:color w:val="auto"/>
              </w:rPr>
            </w:pPr>
          </w:p>
        </w:tc>
        <w:tc>
          <w:tcPr>
            <w:tcW w:w="1017" w:type="dxa"/>
            <w:vAlign w:val="center"/>
          </w:tcPr>
          <w:p w14:paraId="1184C4D1">
            <w:pPr>
              <w:pStyle w:val="296"/>
              <w:rPr>
                <w:rFonts w:hint="eastAsia"/>
                <w:color w:val="auto"/>
              </w:rPr>
            </w:pPr>
            <w:r>
              <w:rPr>
                <w:color w:val="auto"/>
              </w:rPr>
              <w:t>+</w:t>
            </w:r>
          </w:p>
        </w:tc>
        <w:tc>
          <w:tcPr>
            <w:tcW w:w="1017" w:type="dxa"/>
            <w:vAlign w:val="center"/>
          </w:tcPr>
          <w:p w14:paraId="2D7F3C8D">
            <w:pPr>
              <w:pStyle w:val="296"/>
              <w:rPr>
                <w:rFonts w:hint="eastAsia"/>
                <w:color w:val="auto"/>
              </w:rPr>
            </w:pPr>
          </w:p>
        </w:tc>
      </w:tr>
      <w:tr w14:paraId="5B290A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6A800927">
            <w:pPr>
              <w:pStyle w:val="296"/>
              <w:rPr>
                <w:rFonts w:hint="eastAsia"/>
                <w:color w:val="auto"/>
              </w:rPr>
            </w:pPr>
            <w:r>
              <w:rPr>
                <w:color w:val="auto"/>
              </w:rPr>
              <w:t>8、草原鹞</w:t>
            </w:r>
          </w:p>
        </w:tc>
        <w:tc>
          <w:tcPr>
            <w:tcW w:w="3340" w:type="dxa"/>
            <w:vAlign w:val="center"/>
          </w:tcPr>
          <w:p w14:paraId="4CEBFB21">
            <w:pPr>
              <w:pStyle w:val="296"/>
              <w:rPr>
                <w:rFonts w:hint="eastAsia"/>
                <w:i/>
                <w:color w:val="auto"/>
              </w:rPr>
            </w:pPr>
            <w:r>
              <w:rPr>
                <w:i/>
                <w:color w:val="auto"/>
              </w:rPr>
              <w:t>Circus macrourus</w:t>
            </w:r>
          </w:p>
        </w:tc>
        <w:tc>
          <w:tcPr>
            <w:tcW w:w="1017" w:type="dxa"/>
            <w:vAlign w:val="center"/>
          </w:tcPr>
          <w:p w14:paraId="140DF24A">
            <w:pPr>
              <w:pStyle w:val="296"/>
              <w:rPr>
                <w:rFonts w:hint="eastAsia"/>
                <w:color w:val="auto"/>
              </w:rPr>
            </w:pPr>
          </w:p>
        </w:tc>
        <w:tc>
          <w:tcPr>
            <w:tcW w:w="1017" w:type="dxa"/>
            <w:vAlign w:val="center"/>
          </w:tcPr>
          <w:p w14:paraId="7614B76D">
            <w:pPr>
              <w:pStyle w:val="296"/>
              <w:rPr>
                <w:rFonts w:hint="eastAsia"/>
                <w:color w:val="auto"/>
              </w:rPr>
            </w:pPr>
            <w:r>
              <w:rPr>
                <w:color w:val="auto"/>
              </w:rPr>
              <w:t>+</w:t>
            </w:r>
          </w:p>
        </w:tc>
        <w:tc>
          <w:tcPr>
            <w:tcW w:w="1017" w:type="dxa"/>
            <w:vAlign w:val="center"/>
          </w:tcPr>
          <w:p w14:paraId="13CDD9CB">
            <w:pPr>
              <w:pStyle w:val="296"/>
              <w:rPr>
                <w:rFonts w:hint="eastAsia"/>
                <w:color w:val="auto"/>
              </w:rPr>
            </w:pPr>
          </w:p>
        </w:tc>
      </w:tr>
      <w:tr w14:paraId="633240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508C5995">
            <w:pPr>
              <w:pStyle w:val="296"/>
              <w:rPr>
                <w:rFonts w:hint="eastAsia"/>
                <w:color w:val="auto"/>
              </w:rPr>
            </w:pPr>
            <w:r>
              <w:rPr>
                <w:color w:val="auto"/>
              </w:rPr>
              <w:t>9、棕尾鵟</w:t>
            </w:r>
          </w:p>
        </w:tc>
        <w:tc>
          <w:tcPr>
            <w:tcW w:w="3340" w:type="dxa"/>
            <w:vAlign w:val="center"/>
          </w:tcPr>
          <w:p w14:paraId="335579D4">
            <w:pPr>
              <w:pStyle w:val="296"/>
              <w:rPr>
                <w:rFonts w:hint="eastAsia"/>
                <w:i/>
                <w:color w:val="auto"/>
              </w:rPr>
            </w:pPr>
            <w:r>
              <w:rPr>
                <w:i/>
                <w:color w:val="auto"/>
              </w:rPr>
              <w:t>Buteo rufinus</w:t>
            </w:r>
          </w:p>
        </w:tc>
        <w:tc>
          <w:tcPr>
            <w:tcW w:w="1017" w:type="dxa"/>
            <w:vAlign w:val="center"/>
          </w:tcPr>
          <w:p w14:paraId="712F858A">
            <w:pPr>
              <w:pStyle w:val="296"/>
              <w:rPr>
                <w:rFonts w:hint="eastAsia"/>
                <w:color w:val="auto"/>
              </w:rPr>
            </w:pPr>
          </w:p>
        </w:tc>
        <w:tc>
          <w:tcPr>
            <w:tcW w:w="1017" w:type="dxa"/>
            <w:vAlign w:val="center"/>
          </w:tcPr>
          <w:p w14:paraId="472302EE">
            <w:pPr>
              <w:pStyle w:val="296"/>
              <w:rPr>
                <w:rFonts w:hint="eastAsia"/>
                <w:color w:val="auto"/>
              </w:rPr>
            </w:pPr>
            <w:r>
              <w:rPr>
                <w:color w:val="auto"/>
              </w:rPr>
              <w:t>+</w:t>
            </w:r>
          </w:p>
        </w:tc>
        <w:tc>
          <w:tcPr>
            <w:tcW w:w="1017" w:type="dxa"/>
            <w:vAlign w:val="center"/>
          </w:tcPr>
          <w:p w14:paraId="253451C9">
            <w:pPr>
              <w:pStyle w:val="296"/>
              <w:rPr>
                <w:rFonts w:hint="eastAsia"/>
                <w:color w:val="auto"/>
              </w:rPr>
            </w:pPr>
          </w:p>
        </w:tc>
      </w:tr>
      <w:tr w14:paraId="3DDEAC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19CEDBE8">
            <w:pPr>
              <w:pStyle w:val="296"/>
              <w:rPr>
                <w:rFonts w:hint="eastAsia"/>
                <w:color w:val="auto"/>
              </w:rPr>
            </w:pPr>
            <w:r>
              <w:rPr>
                <w:color w:val="auto"/>
              </w:rPr>
              <w:t>10、红  隼</w:t>
            </w:r>
          </w:p>
        </w:tc>
        <w:tc>
          <w:tcPr>
            <w:tcW w:w="3340" w:type="dxa"/>
            <w:vAlign w:val="center"/>
          </w:tcPr>
          <w:p w14:paraId="2FD70FD3">
            <w:pPr>
              <w:pStyle w:val="296"/>
              <w:rPr>
                <w:rFonts w:hint="eastAsia"/>
                <w:i/>
                <w:color w:val="auto"/>
              </w:rPr>
            </w:pPr>
            <w:r>
              <w:rPr>
                <w:i/>
                <w:color w:val="auto"/>
              </w:rPr>
              <w:t>Falco tinnunculus</w:t>
            </w:r>
          </w:p>
        </w:tc>
        <w:tc>
          <w:tcPr>
            <w:tcW w:w="1017" w:type="dxa"/>
            <w:vAlign w:val="center"/>
          </w:tcPr>
          <w:p w14:paraId="6886E27F">
            <w:pPr>
              <w:pStyle w:val="296"/>
              <w:rPr>
                <w:rFonts w:hint="eastAsia"/>
                <w:color w:val="auto"/>
              </w:rPr>
            </w:pPr>
          </w:p>
        </w:tc>
        <w:tc>
          <w:tcPr>
            <w:tcW w:w="1017" w:type="dxa"/>
            <w:vAlign w:val="center"/>
          </w:tcPr>
          <w:p w14:paraId="19AC21F8">
            <w:pPr>
              <w:pStyle w:val="296"/>
              <w:rPr>
                <w:rFonts w:hint="eastAsia"/>
                <w:color w:val="auto"/>
              </w:rPr>
            </w:pPr>
            <w:r>
              <w:rPr>
                <w:color w:val="auto"/>
              </w:rPr>
              <w:t>+</w:t>
            </w:r>
          </w:p>
        </w:tc>
        <w:tc>
          <w:tcPr>
            <w:tcW w:w="1017" w:type="dxa"/>
            <w:vAlign w:val="center"/>
          </w:tcPr>
          <w:p w14:paraId="7B9FD5EC">
            <w:pPr>
              <w:pStyle w:val="296"/>
              <w:rPr>
                <w:rFonts w:hint="eastAsia"/>
                <w:color w:val="auto"/>
              </w:rPr>
            </w:pPr>
          </w:p>
        </w:tc>
      </w:tr>
      <w:tr w14:paraId="4FB448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22954E4A">
            <w:pPr>
              <w:pStyle w:val="296"/>
              <w:rPr>
                <w:rFonts w:hint="eastAsia"/>
                <w:color w:val="auto"/>
              </w:rPr>
            </w:pPr>
            <w:r>
              <w:rPr>
                <w:color w:val="auto"/>
              </w:rPr>
              <w:t>11、毛脚沙鸡</w:t>
            </w:r>
          </w:p>
        </w:tc>
        <w:tc>
          <w:tcPr>
            <w:tcW w:w="3340" w:type="dxa"/>
            <w:vAlign w:val="center"/>
          </w:tcPr>
          <w:p w14:paraId="54E923E1">
            <w:pPr>
              <w:pStyle w:val="296"/>
              <w:rPr>
                <w:rFonts w:hint="eastAsia"/>
                <w:i/>
                <w:color w:val="auto"/>
              </w:rPr>
            </w:pPr>
            <w:r>
              <w:rPr>
                <w:i/>
                <w:color w:val="auto"/>
              </w:rPr>
              <w:t>Syrrhaptes paradoxus</w:t>
            </w:r>
          </w:p>
        </w:tc>
        <w:tc>
          <w:tcPr>
            <w:tcW w:w="1017" w:type="dxa"/>
            <w:vAlign w:val="center"/>
          </w:tcPr>
          <w:p w14:paraId="0F125505">
            <w:pPr>
              <w:pStyle w:val="296"/>
              <w:rPr>
                <w:rFonts w:hint="eastAsia"/>
                <w:color w:val="auto"/>
              </w:rPr>
            </w:pPr>
          </w:p>
        </w:tc>
        <w:tc>
          <w:tcPr>
            <w:tcW w:w="1017" w:type="dxa"/>
            <w:vAlign w:val="center"/>
          </w:tcPr>
          <w:p w14:paraId="4D5451F8">
            <w:pPr>
              <w:pStyle w:val="296"/>
              <w:rPr>
                <w:rFonts w:hint="eastAsia"/>
                <w:color w:val="auto"/>
              </w:rPr>
            </w:pPr>
            <w:r>
              <w:rPr>
                <w:color w:val="auto"/>
              </w:rPr>
              <w:t>+</w:t>
            </w:r>
          </w:p>
        </w:tc>
        <w:tc>
          <w:tcPr>
            <w:tcW w:w="1017" w:type="dxa"/>
            <w:vAlign w:val="center"/>
          </w:tcPr>
          <w:p w14:paraId="36D976EE">
            <w:pPr>
              <w:pStyle w:val="296"/>
              <w:rPr>
                <w:rFonts w:hint="eastAsia"/>
                <w:color w:val="auto"/>
              </w:rPr>
            </w:pPr>
          </w:p>
        </w:tc>
      </w:tr>
      <w:tr w14:paraId="270BFB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5240C2C7">
            <w:pPr>
              <w:pStyle w:val="296"/>
              <w:rPr>
                <w:rFonts w:hint="eastAsia"/>
                <w:color w:val="auto"/>
              </w:rPr>
            </w:pPr>
            <w:r>
              <w:rPr>
                <w:color w:val="auto"/>
              </w:rPr>
              <w:t>12、黑腹沙鸡</w:t>
            </w:r>
          </w:p>
        </w:tc>
        <w:tc>
          <w:tcPr>
            <w:tcW w:w="3340" w:type="dxa"/>
            <w:vAlign w:val="center"/>
          </w:tcPr>
          <w:p w14:paraId="197D387E">
            <w:pPr>
              <w:pStyle w:val="296"/>
              <w:rPr>
                <w:rFonts w:hint="eastAsia"/>
                <w:i/>
                <w:color w:val="auto"/>
              </w:rPr>
            </w:pPr>
            <w:r>
              <w:rPr>
                <w:i/>
                <w:color w:val="auto"/>
              </w:rPr>
              <w:t>Pterocles orientalis</w:t>
            </w:r>
          </w:p>
        </w:tc>
        <w:tc>
          <w:tcPr>
            <w:tcW w:w="1017" w:type="dxa"/>
            <w:vAlign w:val="center"/>
          </w:tcPr>
          <w:p w14:paraId="73ECF856">
            <w:pPr>
              <w:pStyle w:val="296"/>
              <w:rPr>
                <w:rFonts w:hint="eastAsia"/>
                <w:color w:val="auto"/>
              </w:rPr>
            </w:pPr>
          </w:p>
        </w:tc>
        <w:tc>
          <w:tcPr>
            <w:tcW w:w="1017" w:type="dxa"/>
            <w:vAlign w:val="center"/>
          </w:tcPr>
          <w:p w14:paraId="64FFEEC8">
            <w:pPr>
              <w:pStyle w:val="296"/>
              <w:rPr>
                <w:rFonts w:hint="eastAsia"/>
                <w:color w:val="auto"/>
              </w:rPr>
            </w:pPr>
            <w:r>
              <w:rPr>
                <w:color w:val="auto"/>
              </w:rPr>
              <w:t>+</w:t>
            </w:r>
          </w:p>
        </w:tc>
        <w:tc>
          <w:tcPr>
            <w:tcW w:w="1017" w:type="dxa"/>
            <w:vAlign w:val="center"/>
          </w:tcPr>
          <w:p w14:paraId="49784C17">
            <w:pPr>
              <w:pStyle w:val="296"/>
              <w:rPr>
                <w:rFonts w:hint="eastAsia"/>
                <w:color w:val="auto"/>
              </w:rPr>
            </w:pPr>
          </w:p>
        </w:tc>
      </w:tr>
      <w:tr w14:paraId="28A37C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11C01658">
            <w:pPr>
              <w:pStyle w:val="296"/>
              <w:rPr>
                <w:rFonts w:hint="eastAsia"/>
                <w:color w:val="auto"/>
              </w:rPr>
            </w:pPr>
            <w:r>
              <w:rPr>
                <w:color w:val="auto"/>
              </w:rPr>
              <w:t>13、短趾沙百灵</w:t>
            </w:r>
          </w:p>
        </w:tc>
        <w:tc>
          <w:tcPr>
            <w:tcW w:w="3340" w:type="dxa"/>
            <w:vAlign w:val="center"/>
          </w:tcPr>
          <w:p w14:paraId="1125E7D1">
            <w:pPr>
              <w:pStyle w:val="296"/>
              <w:rPr>
                <w:rFonts w:hint="eastAsia"/>
                <w:i/>
                <w:color w:val="auto"/>
              </w:rPr>
            </w:pPr>
            <w:r>
              <w:rPr>
                <w:i/>
                <w:color w:val="auto"/>
              </w:rPr>
              <w:t>Calandrella cinerea</w:t>
            </w:r>
          </w:p>
        </w:tc>
        <w:tc>
          <w:tcPr>
            <w:tcW w:w="1017" w:type="dxa"/>
            <w:vAlign w:val="center"/>
          </w:tcPr>
          <w:p w14:paraId="763AF917">
            <w:pPr>
              <w:pStyle w:val="296"/>
              <w:rPr>
                <w:rFonts w:hint="eastAsia"/>
                <w:color w:val="auto"/>
              </w:rPr>
            </w:pPr>
          </w:p>
        </w:tc>
        <w:tc>
          <w:tcPr>
            <w:tcW w:w="1017" w:type="dxa"/>
            <w:vAlign w:val="center"/>
          </w:tcPr>
          <w:p w14:paraId="4F72E216">
            <w:pPr>
              <w:pStyle w:val="296"/>
              <w:rPr>
                <w:rFonts w:hint="eastAsia"/>
                <w:color w:val="auto"/>
              </w:rPr>
            </w:pPr>
            <w:r>
              <w:rPr>
                <w:color w:val="auto"/>
              </w:rPr>
              <w:t>+</w:t>
            </w:r>
          </w:p>
        </w:tc>
        <w:tc>
          <w:tcPr>
            <w:tcW w:w="1017" w:type="dxa"/>
            <w:vAlign w:val="center"/>
          </w:tcPr>
          <w:p w14:paraId="05585437">
            <w:pPr>
              <w:pStyle w:val="296"/>
              <w:rPr>
                <w:rFonts w:hint="eastAsia"/>
                <w:color w:val="auto"/>
              </w:rPr>
            </w:pPr>
          </w:p>
        </w:tc>
      </w:tr>
      <w:tr w14:paraId="3C4E49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22FA6E60">
            <w:pPr>
              <w:pStyle w:val="296"/>
              <w:rPr>
                <w:rFonts w:hint="eastAsia"/>
                <w:color w:val="auto"/>
              </w:rPr>
            </w:pPr>
            <w:r>
              <w:rPr>
                <w:color w:val="auto"/>
              </w:rPr>
              <w:t>14、小沙百灵</w:t>
            </w:r>
          </w:p>
        </w:tc>
        <w:tc>
          <w:tcPr>
            <w:tcW w:w="3340" w:type="dxa"/>
            <w:vAlign w:val="center"/>
          </w:tcPr>
          <w:p w14:paraId="7C6919E9">
            <w:pPr>
              <w:pStyle w:val="296"/>
              <w:rPr>
                <w:rFonts w:hint="eastAsia"/>
                <w:i/>
                <w:color w:val="auto"/>
              </w:rPr>
            </w:pPr>
            <w:r>
              <w:rPr>
                <w:i/>
                <w:color w:val="auto"/>
              </w:rPr>
              <w:t>C.rufescens</w:t>
            </w:r>
          </w:p>
        </w:tc>
        <w:tc>
          <w:tcPr>
            <w:tcW w:w="1017" w:type="dxa"/>
            <w:vAlign w:val="center"/>
          </w:tcPr>
          <w:p w14:paraId="6713F2F5">
            <w:pPr>
              <w:pStyle w:val="296"/>
              <w:rPr>
                <w:rFonts w:hint="eastAsia"/>
                <w:color w:val="auto"/>
              </w:rPr>
            </w:pPr>
          </w:p>
        </w:tc>
        <w:tc>
          <w:tcPr>
            <w:tcW w:w="1017" w:type="dxa"/>
            <w:vAlign w:val="center"/>
          </w:tcPr>
          <w:p w14:paraId="035C8FD4">
            <w:pPr>
              <w:pStyle w:val="296"/>
              <w:rPr>
                <w:rFonts w:hint="eastAsia"/>
                <w:color w:val="auto"/>
              </w:rPr>
            </w:pPr>
            <w:r>
              <w:rPr>
                <w:color w:val="auto"/>
              </w:rPr>
              <w:t>+</w:t>
            </w:r>
          </w:p>
        </w:tc>
        <w:tc>
          <w:tcPr>
            <w:tcW w:w="1017" w:type="dxa"/>
            <w:vAlign w:val="center"/>
          </w:tcPr>
          <w:p w14:paraId="11065DEF">
            <w:pPr>
              <w:pStyle w:val="296"/>
              <w:rPr>
                <w:rFonts w:hint="eastAsia"/>
                <w:color w:val="auto"/>
              </w:rPr>
            </w:pPr>
          </w:p>
        </w:tc>
      </w:tr>
      <w:tr w14:paraId="15907D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22741A98">
            <w:pPr>
              <w:pStyle w:val="296"/>
              <w:rPr>
                <w:rFonts w:hint="eastAsia"/>
                <w:color w:val="auto"/>
              </w:rPr>
            </w:pPr>
            <w:r>
              <w:rPr>
                <w:color w:val="auto"/>
              </w:rPr>
              <w:t>15、凤头百灵</w:t>
            </w:r>
          </w:p>
        </w:tc>
        <w:tc>
          <w:tcPr>
            <w:tcW w:w="3340" w:type="dxa"/>
            <w:vAlign w:val="center"/>
          </w:tcPr>
          <w:p w14:paraId="5B2D105C">
            <w:pPr>
              <w:pStyle w:val="296"/>
              <w:rPr>
                <w:rFonts w:hint="eastAsia"/>
                <w:i/>
                <w:color w:val="auto"/>
              </w:rPr>
            </w:pPr>
            <w:r>
              <w:rPr>
                <w:i/>
                <w:color w:val="auto"/>
              </w:rPr>
              <w:t>Galerida cristata</w:t>
            </w:r>
          </w:p>
        </w:tc>
        <w:tc>
          <w:tcPr>
            <w:tcW w:w="1017" w:type="dxa"/>
            <w:vAlign w:val="center"/>
          </w:tcPr>
          <w:p w14:paraId="6AD97CC6">
            <w:pPr>
              <w:pStyle w:val="296"/>
              <w:rPr>
                <w:rFonts w:hint="eastAsia"/>
                <w:color w:val="auto"/>
              </w:rPr>
            </w:pPr>
          </w:p>
        </w:tc>
        <w:tc>
          <w:tcPr>
            <w:tcW w:w="1017" w:type="dxa"/>
            <w:vAlign w:val="center"/>
          </w:tcPr>
          <w:p w14:paraId="3494B297">
            <w:pPr>
              <w:pStyle w:val="296"/>
              <w:rPr>
                <w:rFonts w:hint="eastAsia"/>
                <w:color w:val="auto"/>
              </w:rPr>
            </w:pPr>
            <w:r>
              <w:rPr>
                <w:color w:val="auto"/>
              </w:rPr>
              <w:t>+</w:t>
            </w:r>
          </w:p>
        </w:tc>
        <w:tc>
          <w:tcPr>
            <w:tcW w:w="1017" w:type="dxa"/>
            <w:vAlign w:val="center"/>
          </w:tcPr>
          <w:p w14:paraId="47940BAB">
            <w:pPr>
              <w:pStyle w:val="296"/>
              <w:rPr>
                <w:rFonts w:hint="eastAsia"/>
                <w:color w:val="auto"/>
              </w:rPr>
            </w:pPr>
          </w:p>
        </w:tc>
      </w:tr>
      <w:tr w14:paraId="5CF681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632C9F26">
            <w:pPr>
              <w:pStyle w:val="296"/>
              <w:rPr>
                <w:rFonts w:hint="eastAsia"/>
                <w:color w:val="auto"/>
              </w:rPr>
            </w:pPr>
            <w:r>
              <w:rPr>
                <w:color w:val="auto"/>
              </w:rPr>
              <w:t>16、云  雀</w:t>
            </w:r>
          </w:p>
        </w:tc>
        <w:tc>
          <w:tcPr>
            <w:tcW w:w="3340" w:type="dxa"/>
            <w:vAlign w:val="center"/>
          </w:tcPr>
          <w:p w14:paraId="41E25F5A">
            <w:pPr>
              <w:pStyle w:val="296"/>
              <w:rPr>
                <w:rFonts w:hint="eastAsia"/>
                <w:i/>
                <w:color w:val="auto"/>
              </w:rPr>
            </w:pPr>
            <w:r>
              <w:rPr>
                <w:i/>
                <w:color w:val="auto"/>
              </w:rPr>
              <w:t>Alauda arvensi</w:t>
            </w:r>
          </w:p>
        </w:tc>
        <w:tc>
          <w:tcPr>
            <w:tcW w:w="1017" w:type="dxa"/>
            <w:vAlign w:val="center"/>
          </w:tcPr>
          <w:p w14:paraId="2470E4C7">
            <w:pPr>
              <w:pStyle w:val="296"/>
              <w:rPr>
                <w:rFonts w:hint="eastAsia"/>
                <w:color w:val="auto"/>
              </w:rPr>
            </w:pPr>
          </w:p>
        </w:tc>
        <w:tc>
          <w:tcPr>
            <w:tcW w:w="1017" w:type="dxa"/>
            <w:vAlign w:val="center"/>
          </w:tcPr>
          <w:p w14:paraId="1A055B0C">
            <w:pPr>
              <w:pStyle w:val="296"/>
              <w:rPr>
                <w:rFonts w:hint="eastAsia"/>
                <w:color w:val="auto"/>
              </w:rPr>
            </w:pPr>
          </w:p>
        </w:tc>
        <w:tc>
          <w:tcPr>
            <w:tcW w:w="1017" w:type="dxa"/>
            <w:vAlign w:val="center"/>
          </w:tcPr>
          <w:p w14:paraId="5A828A0A">
            <w:pPr>
              <w:pStyle w:val="296"/>
              <w:rPr>
                <w:rFonts w:hint="eastAsia"/>
                <w:color w:val="auto"/>
              </w:rPr>
            </w:pPr>
            <w:r>
              <w:rPr>
                <w:color w:val="auto"/>
              </w:rPr>
              <w:t>+</w:t>
            </w:r>
          </w:p>
        </w:tc>
      </w:tr>
      <w:tr w14:paraId="7DCEB3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77DA37E4">
            <w:pPr>
              <w:pStyle w:val="296"/>
              <w:rPr>
                <w:rFonts w:hint="eastAsia"/>
                <w:color w:val="auto"/>
              </w:rPr>
            </w:pPr>
            <w:r>
              <w:rPr>
                <w:color w:val="auto"/>
              </w:rPr>
              <w:t>17、沙䳭</w:t>
            </w:r>
          </w:p>
        </w:tc>
        <w:tc>
          <w:tcPr>
            <w:tcW w:w="3340" w:type="dxa"/>
            <w:vAlign w:val="center"/>
          </w:tcPr>
          <w:p w14:paraId="099F28CE">
            <w:pPr>
              <w:pStyle w:val="296"/>
              <w:rPr>
                <w:rFonts w:hint="eastAsia"/>
                <w:i/>
                <w:color w:val="auto"/>
              </w:rPr>
            </w:pPr>
            <w:r>
              <w:rPr>
                <w:i/>
                <w:color w:val="auto"/>
              </w:rPr>
              <w:t>Oenanthe isabellina</w:t>
            </w:r>
          </w:p>
        </w:tc>
        <w:tc>
          <w:tcPr>
            <w:tcW w:w="1017" w:type="dxa"/>
            <w:vAlign w:val="center"/>
          </w:tcPr>
          <w:p w14:paraId="39ED2DCB">
            <w:pPr>
              <w:pStyle w:val="296"/>
              <w:rPr>
                <w:rFonts w:hint="eastAsia"/>
                <w:color w:val="auto"/>
              </w:rPr>
            </w:pPr>
          </w:p>
        </w:tc>
        <w:tc>
          <w:tcPr>
            <w:tcW w:w="1017" w:type="dxa"/>
            <w:vAlign w:val="center"/>
          </w:tcPr>
          <w:p w14:paraId="5B029F1C">
            <w:pPr>
              <w:pStyle w:val="296"/>
              <w:rPr>
                <w:rFonts w:hint="eastAsia"/>
                <w:color w:val="auto"/>
              </w:rPr>
            </w:pPr>
            <w:r>
              <w:rPr>
                <w:color w:val="auto"/>
              </w:rPr>
              <w:t>+</w:t>
            </w:r>
          </w:p>
        </w:tc>
        <w:tc>
          <w:tcPr>
            <w:tcW w:w="1017" w:type="dxa"/>
            <w:vAlign w:val="center"/>
          </w:tcPr>
          <w:p w14:paraId="0E9ED143">
            <w:pPr>
              <w:pStyle w:val="296"/>
              <w:rPr>
                <w:rFonts w:hint="eastAsia"/>
                <w:color w:val="auto"/>
              </w:rPr>
            </w:pPr>
          </w:p>
        </w:tc>
      </w:tr>
      <w:tr w14:paraId="611C80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7DD7B5F2">
            <w:pPr>
              <w:pStyle w:val="296"/>
              <w:rPr>
                <w:rFonts w:hint="eastAsia"/>
                <w:color w:val="auto"/>
              </w:rPr>
            </w:pPr>
            <w:r>
              <w:rPr>
                <w:color w:val="auto"/>
              </w:rPr>
              <w:t>18、红尾伯劳</w:t>
            </w:r>
          </w:p>
        </w:tc>
        <w:tc>
          <w:tcPr>
            <w:tcW w:w="3340" w:type="dxa"/>
            <w:vAlign w:val="center"/>
          </w:tcPr>
          <w:p w14:paraId="576C04D1">
            <w:pPr>
              <w:pStyle w:val="296"/>
              <w:rPr>
                <w:rFonts w:hint="eastAsia"/>
                <w:i/>
                <w:color w:val="auto"/>
              </w:rPr>
            </w:pPr>
            <w:r>
              <w:rPr>
                <w:i/>
                <w:color w:val="auto"/>
              </w:rPr>
              <w:t>Lanius cristatus</w:t>
            </w:r>
          </w:p>
        </w:tc>
        <w:tc>
          <w:tcPr>
            <w:tcW w:w="1017" w:type="dxa"/>
            <w:vAlign w:val="center"/>
          </w:tcPr>
          <w:p w14:paraId="6601A229">
            <w:pPr>
              <w:pStyle w:val="296"/>
              <w:rPr>
                <w:rFonts w:hint="eastAsia"/>
                <w:color w:val="auto"/>
              </w:rPr>
            </w:pPr>
          </w:p>
        </w:tc>
        <w:tc>
          <w:tcPr>
            <w:tcW w:w="1017" w:type="dxa"/>
            <w:vAlign w:val="center"/>
          </w:tcPr>
          <w:p w14:paraId="67B6EFBC">
            <w:pPr>
              <w:pStyle w:val="296"/>
              <w:rPr>
                <w:rFonts w:hint="eastAsia"/>
                <w:color w:val="auto"/>
              </w:rPr>
            </w:pPr>
            <w:r>
              <w:rPr>
                <w:color w:val="auto"/>
              </w:rPr>
              <w:t>+</w:t>
            </w:r>
          </w:p>
        </w:tc>
        <w:tc>
          <w:tcPr>
            <w:tcW w:w="1017" w:type="dxa"/>
            <w:vAlign w:val="center"/>
          </w:tcPr>
          <w:p w14:paraId="7017EE43">
            <w:pPr>
              <w:pStyle w:val="296"/>
              <w:rPr>
                <w:rFonts w:hint="eastAsia"/>
                <w:color w:val="auto"/>
              </w:rPr>
            </w:pPr>
          </w:p>
        </w:tc>
      </w:tr>
      <w:tr w14:paraId="43AB46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1D8A8586">
            <w:pPr>
              <w:pStyle w:val="296"/>
              <w:rPr>
                <w:rFonts w:hint="eastAsia"/>
                <w:color w:val="auto"/>
              </w:rPr>
            </w:pPr>
            <w:r>
              <w:rPr>
                <w:color w:val="auto"/>
              </w:rPr>
              <w:t>19、黑尾地鸦</w:t>
            </w:r>
          </w:p>
        </w:tc>
        <w:tc>
          <w:tcPr>
            <w:tcW w:w="3340" w:type="dxa"/>
            <w:vAlign w:val="center"/>
          </w:tcPr>
          <w:p w14:paraId="66312A76">
            <w:pPr>
              <w:pStyle w:val="296"/>
              <w:rPr>
                <w:rFonts w:hint="eastAsia"/>
                <w:i/>
                <w:color w:val="auto"/>
              </w:rPr>
            </w:pPr>
            <w:r>
              <w:rPr>
                <w:i/>
                <w:color w:val="auto"/>
              </w:rPr>
              <w:t>Podoces hendersoni</w:t>
            </w:r>
          </w:p>
        </w:tc>
        <w:tc>
          <w:tcPr>
            <w:tcW w:w="1017" w:type="dxa"/>
            <w:vAlign w:val="center"/>
          </w:tcPr>
          <w:p w14:paraId="0736E755">
            <w:pPr>
              <w:pStyle w:val="296"/>
              <w:rPr>
                <w:rFonts w:hint="eastAsia"/>
                <w:color w:val="auto"/>
              </w:rPr>
            </w:pPr>
          </w:p>
        </w:tc>
        <w:tc>
          <w:tcPr>
            <w:tcW w:w="1017" w:type="dxa"/>
            <w:vAlign w:val="center"/>
          </w:tcPr>
          <w:p w14:paraId="60556206">
            <w:pPr>
              <w:pStyle w:val="296"/>
              <w:rPr>
                <w:rFonts w:hint="eastAsia"/>
                <w:color w:val="auto"/>
              </w:rPr>
            </w:pPr>
          </w:p>
        </w:tc>
        <w:tc>
          <w:tcPr>
            <w:tcW w:w="1017" w:type="dxa"/>
            <w:vAlign w:val="center"/>
          </w:tcPr>
          <w:p w14:paraId="469E5838">
            <w:pPr>
              <w:pStyle w:val="296"/>
              <w:rPr>
                <w:rFonts w:hint="eastAsia"/>
                <w:color w:val="auto"/>
              </w:rPr>
            </w:pPr>
            <w:r>
              <w:rPr>
                <w:color w:val="auto"/>
              </w:rPr>
              <w:t>+</w:t>
            </w:r>
          </w:p>
        </w:tc>
      </w:tr>
      <w:tr w14:paraId="48BCE4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1CBFFE6D">
            <w:pPr>
              <w:pStyle w:val="296"/>
              <w:rPr>
                <w:rFonts w:hint="eastAsia"/>
                <w:color w:val="auto"/>
              </w:rPr>
            </w:pPr>
            <w:r>
              <w:rPr>
                <w:color w:val="auto"/>
              </w:rPr>
              <w:t>哺 乳 类</w:t>
            </w:r>
          </w:p>
        </w:tc>
        <w:tc>
          <w:tcPr>
            <w:tcW w:w="3340" w:type="dxa"/>
            <w:vAlign w:val="center"/>
          </w:tcPr>
          <w:p w14:paraId="0C9060D6">
            <w:pPr>
              <w:pStyle w:val="296"/>
              <w:rPr>
                <w:rFonts w:hint="eastAsia"/>
                <w:i/>
                <w:color w:val="auto"/>
              </w:rPr>
            </w:pPr>
          </w:p>
        </w:tc>
        <w:tc>
          <w:tcPr>
            <w:tcW w:w="1017" w:type="dxa"/>
            <w:vAlign w:val="center"/>
          </w:tcPr>
          <w:p w14:paraId="19DF9EED">
            <w:pPr>
              <w:pStyle w:val="296"/>
              <w:rPr>
                <w:rFonts w:hint="eastAsia"/>
                <w:color w:val="auto"/>
              </w:rPr>
            </w:pPr>
          </w:p>
        </w:tc>
        <w:tc>
          <w:tcPr>
            <w:tcW w:w="1017" w:type="dxa"/>
            <w:vAlign w:val="center"/>
          </w:tcPr>
          <w:p w14:paraId="32E0B1E1">
            <w:pPr>
              <w:pStyle w:val="296"/>
              <w:rPr>
                <w:rFonts w:hint="eastAsia"/>
                <w:color w:val="auto"/>
              </w:rPr>
            </w:pPr>
          </w:p>
        </w:tc>
        <w:tc>
          <w:tcPr>
            <w:tcW w:w="1017" w:type="dxa"/>
            <w:vAlign w:val="center"/>
          </w:tcPr>
          <w:p w14:paraId="7114DF06">
            <w:pPr>
              <w:pStyle w:val="296"/>
              <w:rPr>
                <w:rFonts w:hint="eastAsia"/>
                <w:color w:val="auto"/>
              </w:rPr>
            </w:pPr>
          </w:p>
        </w:tc>
      </w:tr>
      <w:tr w14:paraId="51B429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119D0E6D">
            <w:pPr>
              <w:pStyle w:val="296"/>
              <w:rPr>
                <w:rFonts w:hint="eastAsia"/>
                <w:color w:val="auto"/>
              </w:rPr>
            </w:pPr>
            <w:r>
              <w:rPr>
                <w:color w:val="auto"/>
              </w:rPr>
              <w:t>20、鹅喉羚</w:t>
            </w:r>
          </w:p>
        </w:tc>
        <w:tc>
          <w:tcPr>
            <w:tcW w:w="3340" w:type="dxa"/>
            <w:vAlign w:val="center"/>
          </w:tcPr>
          <w:p w14:paraId="513F15B5">
            <w:pPr>
              <w:pStyle w:val="296"/>
              <w:rPr>
                <w:rFonts w:hint="eastAsia"/>
                <w:i/>
                <w:color w:val="auto"/>
              </w:rPr>
            </w:pPr>
            <w:r>
              <w:rPr>
                <w:i/>
                <w:color w:val="auto"/>
              </w:rPr>
              <w:t>Gozella subgutturosa</w:t>
            </w:r>
          </w:p>
        </w:tc>
        <w:tc>
          <w:tcPr>
            <w:tcW w:w="1017" w:type="dxa"/>
            <w:vAlign w:val="center"/>
          </w:tcPr>
          <w:p w14:paraId="7C309DBD">
            <w:pPr>
              <w:pStyle w:val="296"/>
              <w:rPr>
                <w:rFonts w:hint="eastAsia"/>
                <w:color w:val="auto"/>
              </w:rPr>
            </w:pPr>
          </w:p>
        </w:tc>
        <w:tc>
          <w:tcPr>
            <w:tcW w:w="1017" w:type="dxa"/>
            <w:vAlign w:val="center"/>
          </w:tcPr>
          <w:p w14:paraId="70204575">
            <w:pPr>
              <w:pStyle w:val="296"/>
              <w:rPr>
                <w:rFonts w:hint="eastAsia"/>
                <w:color w:val="auto"/>
              </w:rPr>
            </w:pPr>
            <w:r>
              <w:rPr>
                <w:color w:val="auto"/>
              </w:rPr>
              <w:t>+</w:t>
            </w:r>
          </w:p>
        </w:tc>
        <w:tc>
          <w:tcPr>
            <w:tcW w:w="1017" w:type="dxa"/>
            <w:vAlign w:val="center"/>
          </w:tcPr>
          <w:p w14:paraId="211585A1">
            <w:pPr>
              <w:pStyle w:val="296"/>
              <w:rPr>
                <w:rFonts w:hint="eastAsia"/>
                <w:color w:val="auto"/>
              </w:rPr>
            </w:pPr>
          </w:p>
        </w:tc>
      </w:tr>
      <w:tr w14:paraId="7CC2D5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079BE22A">
            <w:pPr>
              <w:pStyle w:val="296"/>
              <w:rPr>
                <w:rFonts w:hint="eastAsia"/>
                <w:color w:val="auto"/>
              </w:rPr>
            </w:pPr>
            <w:r>
              <w:rPr>
                <w:color w:val="auto"/>
              </w:rPr>
              <w:t>21、狼</w:t>
            </w:r>
          </w:p>
        </w:tc>
        <w:tc>
          <w:tcPr>
            <w:tcW w:w="3340" w:type="dxa"/>
            <w:vAlign w:val="center"/>
          </w:tcPr>
          <w:p w14:paraId="024017B0">
            <w:pPr>
              <w:pStyle w:val="296"/>
              <w:rPr>
                <w:rFonts w:hint="eastAsia"/>
                <w:i/>
                <w:color w:val="auto"/>
              </w:rPr>
            </w:pPr>
            <w:r>
              <w:rPr>
                <w:i/>
                <w:color w:val="auto"/>
              </w:rPr>
              <w:t>Canis lupus</w:t>
            </w:r>
          </w:p>
        </w:tc>
        <w:tc>
          <w:tcPr>
            <w:tcW w:w="1017" w:type="dxa"/>
            <w:vAlign w:val="center"/>
          </w:tcPr>
          <w:p w14:paraId="6FD977C7">
            <w:pPr>
              <w:pStyle w:val="296"/>
              <w:rPr>
                <w:rFonts w:hint="eastAsia"/>
                <w:color w:val="auto"/>
              </w:rPr>
            </w:pPr>
          </w:p>
        </w:tc>
        <w:tc>
          <w:tcPr>
            <w:tcW w:w="1017" w:type="dxa"/>
            <w:vAlign w:val="center"/>
          </w:tcPr>
          <w:p w14:paraId="04D4FA05">
            <w:pPr>
              <w:pStyle w:val="296"/>
              <w:rPr>
                <w:rFonts w:hint="eastAsia"/>
                <w:color w:val="auto"/>
              </w:rPr>
            </w:pPr>
          </w:p>
        </w:tc>
        <w:tc>
          <w:tcPr>
            <w:tcW w:w="1017" w:type="dxa"/>
            <w:vAlign w:val="center"/>
          </w:tcPr>
          <w:p w14:paraId="79884B6F">
            <w:pPr>
              <w:pStyle w:val="296"/>
              <w:rPr>
                <w:rFonts w:hint="eastAsia"/>
                <w:color w:val="auto"/>
              </w:rPr>
            </w:pPr>
            <w:r>
              <w:rPr>
                <w:color w:val="auto"/>
              </w:rPr>
              <w:t>+</w:t>
            </w:r>
          </w:p>
        </w:tc>
      </w:tr>
      <w:tr w14:paraId="19A63C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597E3ECB">
            <w:pPr>
              <w:pStyle w:val="296"/>
              <w:rPr>
                <w:rFonts w:hint="eastAsia"/>
                <w:color w:val="auto"/>
              </w:rPr>
            </w:pPr>
            <w:r>
              <w:rPr>
                <w:color w:val="auto"/>
              </w:rPr>
              <w:t>22、沙  狐</w:t>
            </w:r>
          </w:p>
        </w:tc>
        <w:tc>
          <w:tcPr>
            <w:tcW w:w="3340" w:type="dxa"/>
            <w:vAlign w:val="center"/>
          </w:tcPr>
          <w:p w14:paraId="5B3BDEC4">
            <w:pPr>
              <w:pStyle w:val="296"/>
              <w:rPr>
                <w:rFonts w:hint="eastAsia"/>
                <w:i/>
                <w:color w:val="auto"/>
              </w:rPr>
            </w:pPr>
            <w:r>
              <w:rPr>
                <w:i/>
                <w:color w:val="auto"/>
              </w:rPr>
              <w:t>Velpes corsac</w:t>
            </w:r>
          </w:p>
        </w:tc>
        <w:tc>
          <w:tcPr>
            <w:tcW w:w="1017" w:type="dxa"/>
            <w:vAlign w:val="center"/>
          </w:tcPr>
          <w:p w14:paraId="22DDEA0F">
            <w:pPr>
              <w:pStyle w:val="296"/>
              <w:rPr>
                <w:rFonts w:hint="eastAsia"/>
                <w:color w:val="auto"/>
              </w:rPr>
            </w:pPr>
          </w:p>
        </w:tc>
        <w:tc>
          <w:tcPr>
            <w:tcW w:w="1017" w:type="dxa"/>
            <w:vAlign w:val="center"/>
          </w:tcPr>
          <w:p w14:paraId="366907A8">
            <w:pPr>
              <w:pStyle w:val="296"/>
              <w:rPr>
                <w:rFonts w:hint="eastAsia"/>
                <w:color w:val="auto"/>
              </w:rPr>
            </w:pPr>
          </w:p>
        </w:tc>
        <w:tc>
          <w:tcPr>
            <w:tcW w:w="1017" w:type="dxa"/>
            <w:vAlign w:val="center"/>
          </w:tcPr>
          <w:p w14:paraId="7657996F">
            <w:pPr>
              <w:pStyle w:val="296"/>
              <w:rPr>
                <w:rFonts w:hint="eastAsia"/>
                <w:color w:val="auto"/>
              </w:rPr>
            </w:pPr>
            <w:r>
              <w:rPr>
                <w:color w:val="auto"/>
              </w:rPr>
              <w:t>+</w:t>
            </w:r>
          </w:p>
        </w:tc>
      </w:tr>
      <w:tr w14:paraId="213871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19707F00">
            <w:pPr>
              <w:pStyle w:val="296"/>
              <w:rPr>
                <w:rFonts w:hint="eastAsia"/>
                <w:color w:val="auto"/>
              </w:rPr>
            </w:pPr>
            <w:r>
              <w:rPr>
                <w:color w:val="auto"/>
              </w:rPr>
              <w:t>23、兔  狲</w:t>
            </w:r>
          </w:p>
        </w:tc>
        <w:tc>
          <w:tcPr>
            <w:tcW w:w="3340" w:type="dxa"/>
            <w:vAlign w:val="center"/>
          </w:tcPr>
          <w:p w14:paraId="0BC4D14F">
            <w:pPr>
              <w:pStyle w:val="296"/>
              <w:rPr>
                <w:rFonts w:hint="eastAsia"/>
                <w:i/>
                <w:color w:val="auto"/>
              </w:rPr>
            </w:pPr>
            <w:r>
              <w:rPr>
                <w:i/>
                <w:color w:val="auto"/>
              </w:rPr>
              <w:t>Felis mamul</w:t>
            </w:r>
          </w:p>
        </w:tc>
        <w:tc>
          <w:tcPr>
            <w:tcW w:w="1017" w:type="dxa"/>
            <w:vAlign w:val="center"/>
          </w:tcPr>
          <w:p w14:paraId="189E80EB">
            <w:pPr>
              <w:pStyle w:val="296"/>
              <w:rPr>
                <w:rFonts w:hint="eastAsia"/>
                <w:color w:val="auto"/>
              </w:rPr>
            </w:pPr>
          </w:p>
        </w:tc>
        <w:tc>
          <w:tcPr>
            <w:tcW w:w="1017" w:type="dxa"/>
            <w:vAlign w:val="center"/>
          </w:tcPr>
          <w:p w14:paraId="13C47A36">
            <w:pPr>
              <w:pStyle w:val="296"/>
              <w:rPr>
                <w:rFonts w:hint="eastAsia"/>
                <w:color w:val="auto"/>
              </w:rPr>
            </w:pPr>
          </w:p>
        </w:tc>
        <w:tc>
          <w:tcPr>
            <w:tcW w:w="1017" w:type="dxa"/>
            <w:vAlign w:val="center"/>
          </w:tcPr>
          <w:p w14:paraId="73911DFD">
            <w:pPr>
              <w:pStyle w:val="296"/>
              <w:rPr>
                <w:rFonts w:hint="eastAsia"/>
                <w:color w:val="auto"/>
              </w:rPr>
            </w:pPr>
            <w:r>
              <w:rPr>
                <w:color w:val="auto"/>
              </w:rPr>
              <w:t>+</w:t>
            </w:r>
          </w:p>
        </w:tc>
      </w:tr>
      <w:tr w14:paraId="165A99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0D74138F">
            <w:pPr>
              <w:pStyle w:val="296"/>
              <w:rPr>
                <w:rFonts w:hint="eastAsia"/>
                <w:color w:val="auto"/>
              </w:rPr>
            </w:pPr>
            <w:r>
              <w:rPr>
                <w:color w:val="auto"/>
              </w:rPr>
              <w:t>24、草原斑猫</w:t>
            </w:r>
          </w:p>
        </w:tc>
        <w:tc>
          <w:tcPr>
            <w:tcW w:w="3340" w:type="dxa"/>
            <w:vAlign w:val="center"/>
          </w:tcPr>
          <w:p w14:paraId="391F0F3F">
            <w:pPr>
              <w:pStyle w:val="296"/>
              <w:rPr>
                <w:rFonts w:hint="eastAsia"/>
                <w:i/>
                <w:color w:val="auto"/>
              </w:rPr>
            </w:pPr>
            <w:r>
              <w:rPr>
                <w:i/>
                <w:color w:val="auto"/>
              </w:rPr>
              <w:t>F.libyca</w:t>
            </w:r>
          </w:p>
        </w:tc>
        <w:tc>
          <w:tcPr>
            <w:tcW w:w="1017" w:type="dxa"/>
            <w:vAlign w:val="center"/>
          </w:tcPr>
          <w:p w14:paraId="7798A37F">
            <w:pPr>
              <w:pStyle w:val="296"/>
              <w:rPr>
                <w:rFonts w:hint="eastAsia"/>
                <w:color w:val="auto"/>
              </w:rPr>
            </w:pPr>
          </w:p>
        </w:tc>
        <w:tc>
          <w:tcPr>
            <w:tcW w:w="1017" w:type="dxa"/>
            <w:vAlign w:val="center"/>
          </w:tcPr>
          <w:p w14:paraId="35C54782">
            <w:pPr>
              <w:pStyle w:val="296"/>
              <w:rPr>
                <w:rFonts w:hint="eastAsia"/>
                <w:color w:val="auto"/>
              </w:rPr>
            </w:pPr>
          </w:p>
        </w:tc>
        <w:tc>
          <w:tcPr>
            <w:tcW w:w="1017" w:type="dxa"/>
            <w:vAlign w:val="center"/>
          </w:tcPr>
          <w:p w14:paraId="6C55102E">
            <w:pPr>
              <w:pStyle w:val="296"/>
              <w:rPr>
                <w:rFonts w:hint="eastAsia"/>
                <w:color w:val="auto"/>
              </w:rPr>
            </w:pPr>
            <w:r>
              <w:rPr>
                <w:color w:val="auto"/>
              </w:rPr>
              <w:t>+</w:t>
            </w:r>
          </w:p>
        </w:tc>
      </w:tr>
      <w:tr w14:paraId="1968C9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2CB6968D">
            <w:pPr>
              <w:pStyle w:val="296"/>
              <w:rPr>
                <w:rFonts w:hint="eastAsia"/>
                <w:color w:val="auto"/>
              </w:rPr>
            </w:pPr>
            <w:r>
              <w:rPr>
                <w:color w:val="auto"/>
              </w:rPr>
              <w:t>25、虎  鼬</w:t>
            </w:r>
          </w:p>
        </w:tc>
        <w:tc>
          <w:tcPr>
            <w:tcW w:w="3340" w:type="dxa"/>
            <w:vAlign w:val="center"/>
          </w:tcPr>
          <w:p w14:paraId="73BA78AF">
            <w:pPr>
              <w:pStyle w:val="296"/>
              <w:rPr>
                <w:rFonts w:hint="eastAsia"/>
                <w:i/>
                <w:color w:val="auto"/>
              </w:rPr>
            </w:pPr>
            <w:r>
              <w:rPr>
                <w:i/>
                <w:color w:val="auto"/>
              </w:rPr>
              <w:t>Vormela peregusna</w:t>
            </w:r>
          </w:p>
        </w:tc>
        <w:tc>
          <w:tcPr>
            <w:tcW w:w="1017" w:type="dxa"/>
            <w:vAlign w:val="center"/>
          </w:tcPr>
          <w:p w14:paraId="53B4CD21">
            <w:pPr>
              <w:pStyle w:val="296"/>
              <w:rPr>
                <w:rFonts w:hint="eastAsia"/>
                <w:color w:val="auto"/>
              </w:rPr>
            </w:pPr>
          </w:p>
        </w:tc>
        <w:tc>
          <w:tcPr>
            <w:tcW w:w="1017" w:type="dxa"/>
            <w:vAlign w:val="center"/>
          </w:tcPr>
          <w:p w14:paraId="5A2E590F">
            <w:pPr>
              <w:pStyle w:val="296"/>
              <w:rPr>
                <w:rFonts w:hint="eastAsia"/>
                <w:color w:val="auto"/>
              </w:rPr>
            </w:pPr>
          </w:p>
        </w:tc>
        <w:tc>
          <w:tcPr>
            <w:tcW w:w="1017" w:type="dxa"/>
            <w:vAlign w:val="center"/>
          </w:tcPr>
          <w:p w14:paraId="3F1B67C5">
            <w:pPr>
              <w:pStyle w:val="296"/>
              <w:rPr>
                <w:rFonts w:hint="eastAsia"/>
                <w:color w:val="auto"/>
              </w:rPr>
            </w:pPr>
            <w:r>
              <w:rPr>
                <w:color w:val="auto"/>
              </w:rPr>
              <w:t>+</w:t>
            </w:r>
          </w:p>
        </w:tc>
      </w:tr>
      <w:tr w14:paraId="7AE54B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6412CA7C">
            <w:pPr>
              <w:pStyle w:val="296"/>
              <w:rPr>
                <w:rFonts w:hint="eastAsia"/>
                <w:color w:val="auto"/>
              </w:rPr>
            </w:pPr>
            <w:r>
              <w:rPr>
                <w:color w:val="auto"/>
              </w:rPr>
              <w:t>26、蒙古野驴</w:t>
            </w:r>
          </w:p>
        </w:tc>
        <w:tc>
          <w:tcPr>
            <w:tcW w:w="3340" w:type="dxa"/>
            <w:vAlign w:val="center"/>
          </w:tcPr>
          <w:p w14:paraId="3FEEF168">
            <w:pPr>
              <w:pStyle w:val="296"/>
              <w:rPr>
                <w:rFonts w:hint="eastAsia"/>
                <w:i/>
                <w:color w:val="auto"/>
              </w:rPr>
            </w:pPr>
            <w:r>
              <w:rPr>
                <w:i/>
                <w:color w:val="auto"/>
              </w:rPr>
              <w:t>Asinus hemionus</w:t>
            </w:r>
          </w:p>
        </w:tc>
        <w:tc>
          <w:tcPr>
            <w:tcW w:w="1017" w:type="dxa"/>
            <w:vAlign w:val="center"/>
          </w:tcPr>
          <w:p w14:paraId="4CAFEE02">
            <w:pPr>
              <w:pStyle w:val="296"/>
              <w:rPr>
                <w:rFonts w:hint="eastAsia"/>
                <w:color w:val="auto"/>
              </w:rPr>
            </w:pPr>
          </w:p>
        </w:tc>
        <w:tc>
          <w:tcPr>
            <w:tcW w:w="1017" w:type="dxa"/>
            <w:vAlign w:val="center"/>
          </w:tcPr>
          <w:p w14:paraId="144AAAA8">
            <w:pPr>
              <w:pStyle w:val="296"/>
              <w:rPr>
                <w:rFonts w:hint="eastAsia"/>
                <w:color w:val="auto"/>
              </w:rPr>
            </w:pPr>
          </w:p>
        </w:tc>
        <w:tc>
          <w:tcPr>
            <w:tcW w:w="1017" w:type="dxa"/>
            <w:vAlign w:val="center"/>
          </w:tcPr>
          <w:p w14:paraId="0F81A00A">
            <w:pPr>
              <w:pStyle w:val="296"/>
              <w:rPr>
                <w:rFonts w:hint="eastAsia"/>
                <w:color w:val="auto"/>
              </w:rPr>
            </w:pPr>
            <w:r>
              <w:rPr>
                <w:color w:val="auto"/>
              </w:rPr>
              <w:t>+</w:t>
            </w:r>
          </w:p>
        </w:tc>
      </w:tr>
      <w:tr w14:paraId="06B355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4981788D">
            <w:pPr>
              <w:pStyle w:val="296"/>
              <w:rPr>
                <w:rFonts w:hint="eastAsia"/>
                <w:color w:val="auto"/>
              </w:rPr>
            </w:pPr>
            <w:r>
              <w:rPr>
                <w:color w:val="auto"/>
              </w:rPr>
              <w:t>27、草  兔</w:t>
            </w:r>
          </w:p>
        </w:tc>
        <w:tc>
          <w:tcPr>
            <w:tcW w:w="3340" w:type="dxa"/>
            <w:vAlign w:val="center"/>
          </w:tcPr>
          <w:p w14:paraId="06FAA174">
            <w:pPr>
              <w:pStyle w:val="296"/>
              <w:rPr>
                <w:rFonts w:hint="eastAsia"/>
                <w:i/>
                <w:color w:val="auto"/>
              </w:rPr>
            </w:pPr>
            <w:r>
              <w:rPr>
                <w:i/>
                <w:color w:val="auto"/>
              </w:rPr>
              <w:t>Lepus capensis</w:t>
            </w:r>
          </w:p>
        </w:tc>
        <w:tc>
          <w:tcPr>
            <w:tcW w:w="1017" w:type="dxa"/>
            <w:vAlign w:val="center"/>
          </w:tcPr>
          <w:p w14:paraId="581085A7">
            <w:pPr>
              <w:pStyle w:val="296"/>
              <w:rPr>
                <w:rFonts w:hint="eastAsia"/>
                <w:color w:val="auto"/>
              </w:rPr>
            </w:pPr>
          </w:p>
        </w:tc>
        <w:tc>
          <w:tcPr>
            <w:tcW w:w="1017" w:type="dxa"/>
            <w:vAlign w:val="center"/>
          </w:tcPr>
          <w:p w14:paraId="0CE43F72">
            <w:pPr>
              <w:pStyle w:val="296"/>
              <w:rPr>
                <w:rFonts w:hint="eastAsia"/>
                <w:color w:val="auto"/>
              </w:rPr>
            </w:pPr>
            <w:r>
              <w:rPr>
                <w:color w:val="auto"/>
              </w:rPr>
              <w:t>+</w:t>
            </w:r>
          </w:p>
        </w:tc>
        <w:tc>
          <w:tcPr>
            <w:tcW w:w="1017" w:type="dxa"/>
            <w:vAlign w:val="center"/>
          </w:tcPr>
          <w:p w14:paraId="2B62C1D8">
            <w:pPr>
              <w:pStyle w:val="296"/>
              <w:rPr>
                <w:rFonts w:hint="eastAsia"/>
                <w:color w:val="auto"/>
              </w:rPr>
            </w:pPr>
          </w:p>
        </w:tc>
      </w:tr>
      <w:tr w14:paraId="3B048D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28E808DB">
            <w:pPr>
              <w:pStyle w:val="296"/>
              <w:rPr>
                <w:rFonts w:hint="eastAsia"/>
                <w:color w:val="auto"/>
              </w:rPr>
            </w:pPr>
            <w:r>
              <w:rPr>
                <w:color w:val="auto"/>
              </w:rPr>
              <w:t>28、小五趾跳鼠</w:t>
            </w:r>
          </w:p>
        </w:tc>
        <w:tc>
          <w:tcPr>
            <w:tcW w:w="3340" w:type="dxa"/>
            <w:vAlign w:val="center"/>
          </w:tcPr>
          <w:p w14:paraId="68A88276">
            <w:pPr>
              <w:pStyle w:val="296"/>
              <w:rPr>
                <w:rFonts w:hint="eastAsia"/>
                <w:i/>
                <w:color w:val="auto"/>
              </w:rPr>
            </w:pPr>
            <w:r>
              <w:rPr>
                <w:i/>
                <w:color w:val="auto"/>
              </w:rPr>
              <w:t>Allactage elater</w:t>
            </w:r>
          </w:p>
        </w:tc>
        <w:tc>
          <w:tcPr>
            <w:tcW w:w="1017" w:type="dxa"/>
            <w:vAlign w:val="center"/>
          </w:tcPr>
          <w:p w14:paraId="23A1DEF5">
            <w:pPr>
              <w:pStyle w:val="296"/>
              <w:rPr>
                <w:rFonts w:hint="eastAsia"/>
                <w:color w:val="auto"/>
              </w:rPr>
            </w:pPr>
          </w:p>
        </w:tc>
        <w:tc>
          <w:tcPr>
            <w:tcW w:w="1017" w:type="dxa"/>
            <w:vAlign w:val="center"/>
          </w:tcPr>
          <w:p w14:paraId="13F31AAC">
            <w:pPr>
              <w:pStyle w:val="296"/>
              <w:rPr>
                <w:rFonts w:hint="eastAsia"/>
                <w:color w:val="auto"/>
              </w:rPr>
            </w:pPr>
            <w:r>
              <w:rPr>
                <w:color w:val="auto"/>
              </w:rPr>
              <w:t>+</w:t>
            </w:r>
          </w:p>
        </w:tc>
        <w:tc>
          <w:tcPr>
            <w:tcW w:w="1017" w:type="dxa"/>
            <w:vAlign w:val="center"/>
          </w:tcPr>
          <w:p w14:paraId="7052FEC4">
            <w:pPr>
              <w:pStyle w:val="296"/>
              <w:rPr>
                <w:rFonts w:hint="eastAsia"/>
                <w:color w:val="auto"/>
              </w:rPr>
            </w:pPr>
          </w:p>
        </w:tc>
      </w:tr>
      <w:tr w14:paraId="695341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38B841A8">
            <w:pPr>
              <w:pStyle w:val="296"/>
              <w:rPr>
                <w:rFonts w:hint="eastAsia"/>
                <w:color w:val="auto"/>
              </w:rPr>
            </w:pPr>
            <w:r>
              <w:rPr>
                <w:color w:val="auto"/>
              </w:rPr>
              <w:t>29、西伯利亚五趾跳鼠</w:t>
            </w:r>
          </w:p>
        </w:tc>
        <w:tc>
          <w:tcPr>
            <w:tcW w:w="3340" w:type="dxa"/>
            <w:vAlign w:val="center"/>
          </w:tcPr>
          <w:p w14:paraId="0FBB8A2C">
            <w:pPr>
              <w:pStyle w:val="296"/>
              <w:rPr>
                <w:rFonts w:hint="eastAsia"/>
                <w:i/>
                <w:color w:val="auto"/>
              </w:rPr>
            </w:pPr>
            <w:r>
              <w:rPr>
                <w:i/>
                <w:color w:val="auto"/>
              </w:rPr>
              <w:t>A.sibirica</w:t>
            </w:r>
          </w:p>
        </w:tc>
        <w:tc>
          <w:tcPr>
            <w:tcW w:w="1017" w:type="dxa"/>
            <w:vAlign w:val="center"/>
          </w:tcPr>
          <w:p w14:paraId="28B0800B">
            <w:pPr>
              <w:pStyle w:val="296"/>
              <w:rPr>
                <w:rFonts w:hint="eastAsia"/>
                <w:color w:val="auto"/>
              </w:rPr>
            </w:pPr>
          </w:p>
        </w:tc>
        <w:tc>
          <w:tcPr>
            <w:tcW w:w="1017" w:type="dxa"/>
            <w:vAlign w:val="center"/>
          </w:tcPr>
          <w:p w14:paraId="162CF978">
            <w:pPr>
              <w:pStyle w:val="296"/>
              <w:rPr>
                <w:rFonts w:hint="eastAsia"/>
                <w:color w:val="auto"/>
              </w:rPr>
            </w:pPr>
            <w:r>
              <w:rPr>
                <w:color w:val="auto"/>
              </w:rPr>
              <w:t>+</w:t>
            </w:r>
          </w:p>
        </w:tc>
        <w:tc>
          <w:tcPr>
            <w:tcW w:w="1017" w:type="dxa"/>
            <w:vAlign w:val="center"/>
          </w:tcPr>
          <w:p w14:paraId="566B3168">
            <w:pPr>
              <w:pStyle w:val="296"/>
              <w:rPr>
                <w:rFonts w:hint="eastAsia"/>
                <w:color w:val="auto"/>
              </w:rPr>
            </w:pPr>
          </w:p>
        </w:tc>
      </w:tr>
      <w:tr w14:paraId="1CC1ED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39F8C98C">
            <w:pPr>
              <w:pStyle w:val="296"/>
              <w:rPr>
                <w:rFonts w:hint="eastAsia"/>
                <w:color w:val="auto"/>
              </w:rPr>
            </w:pPr>
            <w:r>
              <w:rPr>
                <w:color w:val="auto"/>
              </w:rPr>
              <w:t>30、小地兔</w:t>
            </w:r>
          </w:p>
        </w:tc>
        <w:tc>
          <w:tcPr>
            <w:tcW w:w="3340" w:type="dxa"/>
            <w:vAlign w:val="center"/>
          </w:tcPr>
          <w:p w14:paraId="1858C40C">
            <w:pPr>
              <w:pStyle w:val="296"/>
              <w:rPr>
                <w:rFonts w:hint="eastAsia"/>
                <w:i/>
                <w:color w:val="auto"/>
              </w:rPr>
            </w:pPr>
            <w:r>
              <w:rPr>
                <w:i/>
                <w:color w:val="auto"/>
              </w:rPr>
              <w:t>Alactagulus pygmaeus</w:t>
            </w:r>
          </w:p>
        </w:tc>
        <w:tc>
          <w:tcPr>
            <w:tcW w:w="1017" w:type="dxa"/>
            <w:vAlign w:val="center"/>
          </w:tcPr>
          <w:p w14:paraId="2065BF14">
            <w:pPr>
              <w:pStyle w:val="296"/>
              <w:rPr>
                <w:rFonts w:hint="eastAsia"/>
                <w:color w:val="auto"/>
              </w:rPr>
            </w:pPr>
          </w:p>
        </w:tc>
        <w:tc>
          <w:tcPr>
            <w:tcW w:w="1017" w:type="dxa"/>
            <w:vAlign w:val="center"/>
          </w:tcPr>
          <w:p w14:paraId="7A601703">
            <w:pPr>
              <w:pStyle w:val="296"/>
              <w:rPr>
                <w:rFonts w:hint="eastAsia"/>
                <w:color w:val="auto"/>
              </w:rPr>
            </w:pPr>
            <w:r>
              <w:rPr>
                <w:color w:val="auto"/>
              </w:rPr>
              <w:t>+</w:t>
            </w:r>
          </w:p>
        </w:tc>
        <w:tc>
          <w:tcPr>
            <w:tcW w:w="1017" w:type="dxa"/>
            <w:vAlign w:val="center"/>
          </w:tcPr>
          <w:p w14:paraId="535FC97F">
            <w:pPr>
              <w:pStyle w:val="296"/>
              <w:rPr>
                <w:rFonts w:hint="eastAsia"/>
                <w:color w:val="auto"/>
              </w:rPr>
            </w:pPr>
          </w:p>
        </w:tc>
      </w:tr>
      <w:tr w14:paraId="211EC3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56B84BA1">
            <w:pPr>
              <w:pStyle w:val="296"/>
              <w:rPr>
                <w:rFonts w:hint="eastAsia"/>
                <w:color w:val="auto"/>
              </w:rPr>
            </w:pPr>
            <w:r>
              <w:rPr>
                <w:color w:val="auto"/>
              </w:rPr>
              <w:t>31、毛脚跳鼠</w:t>
            </w:r>
          </w:p>
        </w:tc>
        <w:tc>
          <w:tcPr>
            <w:tcW w:w="3340" w:type="dxa"/>
            <w:vAlign w:val="center"/>
          </w:tcPr>
          <w:p w14:paraId="773A37FA">
            <w:pPr>
              <w:pStyle w:val="296"/>
              <w:rPr>
                <w:rFonts w:hint="eastAsia"/>
                <w:i/>
                <w:color w:val="auto"/>
              </w:rPr>
            </w:pPr>
            <w:r>
              <w:rPr>
                <w:i/>
                <w:color w:val="auto"/>
              </w:rPr>
              <w:t>Dipus sagitta</w:t>
            </w:r>
          </w:p>
        </w:tc>
        <w:tc>
          <w:tcPr>
            <w:tcW w:w="1017" w:type="dxa"/>
            <w:vAlign w:val="center"/>
          </w:tcPr>
          <w:p w14:paraId="0F825F85">
            <w:pPr>
              <w:pStyle w:val="296"/>
              <w:rPr>
                <w:rFonts w:hint="eastAsia"/>
                <w:color w:val="auto"/>
              </w:rPr>
            </w:pPr>
            <w:r>
              <w:rPr>
                <w:color w:val="auto"/>
              </w:rPr>
              <w:t>+</w:t>
            </w:r>
          </w:p>
        </w:tc>
        <w:tc>
          <w:tcPr>
            <w:tcW w:w="1017" w:type="dxa"/>
            <w:vAlign w:val="center"/>
          </w:tcPr>
          <w:p w14:paraId="179721CC">
            <w:pPr>
              <w:pStyle w:val="296"/>
              <w:rPr>
                <w:rFonts w:hint="eastAsia"/>
                <w:color w:val="auto"/>
              </w:rPr>
            </w:pPr>
          </w:p>
        </w:tc>
        <w:tc>
          <w:tcPr>
            <w:tcW w:w="1017" w:type="dxa"/>
            <w:vAlign w:val="center"/>
          </w:tcPr>
          <w:p w14:paraId="1BF85698">
            <w:pPr>
              <w:pStyle w:val="296"/>
              <w:rPr>
                <w:rFonts w:hint="eastAsia"/>
                <w:color w:val="auto"/>
              </w:rPr>
            </w:pPr>
          </w:p>
        </w:tc>
      </w:tr>
      <w:tr w14:paraId="5C3628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34440375">
            <w:pPr>
              <w:pStyle w:val="296"/>
              <w:rPr>
                <w:rFonts w:hint="eastAsia"/>
                <w:color w:val="auto"/>
              </w:rPr>
            </w:pPr>
            <w:r>
              <w:rPr>
                <w:color w:val="auto"/>
              </w:rPr>
              <w:t>32、大沙鼠</w:t>
            </w:r>
          </w:p>
        </w:tc>
        <w:tc>
          <w:tcPr>
            <w:tcW w:w="3340" w:type="dxa"/>
            <w:vAlign w:val="center"/>
          </w:tcPr>
          <w:p w14:paraId="30455EAB">
            <w:pPr>
              <w:pStyle w:val="296"/>
              <w:rPr>
                <w:rFonts w:hint="eastAsia"/>
                <w:i/>
                <w:color w:val="auto"/>
              </w:rPr>
            </w:pPr>
            <w:r>
              <w:rPr>
                <w:i/>
                <w:color w:val="auto"/>
              </w:rPr>
              <w:t>Rhombomys opimus</w:t>
            </w:r>
          </w:p>
        </w:tc>
        <w:tc>
          <w:tcPr>
            <w:tcW w:w="1017" w:type="dxa"/>
            <w:vAlign w:val="center"/>
          </w:tcPr>
          <w:p w14:paraId="704DA4AE">
            <w:pPr>
              <w:pStyle w:val="296"/>
              <w:rPr>
                <w:rFonts w:hint="eastAsia"/>
                <w:color w:val="auto"/>
              </w:rPr>
            </w:pPr>
            <w:r>
              <w:rPr>
                <w:color w:val="auto"/>
              </w:rPr>
              <w:t>+</w:t>
            </w:r>
          </w:p>
        </w:tc>
        <w:tc>
          <w:tcPr>
            <w:tcW w:w="1017" w:type="dxa"/>
            <w:vAlign w:val="center"/>
          </w:tcPr>
          <w:p w14:paraId="6DB389E4">
            <w:pPr>
              <w:pStyle w:val="296"/>
              <w:rPr>
                <w:rFonts w:hint="eastAsia"/>
                <w:color w:val="auto"/>
              </w:rPr>
            </w:pPr>
          </w:p>
        </w:tc>
        <w:tc>
          <w:tcPr>
            <w:tcW w:w="1017" w:type="dxa"/>
            <w:vAlign w:val="center"/>
          </w:tcPr>
          <w:p w14:paraId="1BBDD236">
            <w:pPr>
              <w:pStyle w:val="296"/>
              <w:rPr>
                <w:rFonts w:hint="eastAsia"/>
                <w:color w:val="auto"/>
              </w:rPr>
            </w:pPr>
          </w:p>
        </w:tc>
      </w:tr>
      <w:tr w14:paraId="524D3E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39" w:type="dxa"/>
            <w:vAlign w:val="center"/>
          </w:tcPr>
          <w:p w14:paraId="24AE2A8B">
            <w:pPr>
              <w:pStyle w:val="296"/>
              <w:rPr>
                <w:rFonts w:hint="eastAsia"/>
                <w:color w:val="auto"/>
              </w:rPr>
            </w:pPr>
            <w:r>
              <w:rPr>
                <w:color w:val="auto"/>
              </w:rPr>
              <w:t>33、子午沙鼠</w:t>
            </w:r>
          </w:p>
        </w:tc>
        <w:tc>
          <w:tcPr>
            <w:tcW w:w="3340" w:type="dxa"/>
            <w:vAlign w:val="center"/>
          </w:tcPr>
          <w:p w14:paraId="48A2E4F2">
            <w:pPr>
              <w:pStyle w:val="296"/>
              <w:rPr>
                <w:rFonts w:hint="eastAsia"/>
                <w:i/>
                <w:color w:val="auto"/>
              </w:rPr>
            </w:pPr>
            <w:r>
              <w:rPr>
                <w:i/>
                <w:color w:val="auto"/>
              </w:rPr>
              <w:t>Meriones meridixnus</w:t>
            </w:r>
          </w:p>
        </w:tc>
        <w:tc>
          <w:tcPr>
            <w:tcW w:w="1017" w:type="dxa"/>
            <w:vAlign w:val="center"/>
          </w:tcPr>
          <w:p w14:paraId="2C35F893">
            <w:pPr>
              <w:pStyle w:val="296"/>
              <w:rPr>
                <w:rFonts w:hint="eastAsia"/>
                <w:color w:val="auto"/>
              </w:rPr>
            </w:pPr>
            <w:r>
              <w:rPr>
                <w:color w:val="auto"/>
              </w:rPr>
              <w:t>+</w:t>
            </w:r>
          </w:p>
        </w:tc>
        <w:tc>
          <w:tcPr>
            <w:tcW w:w="1017" w:type="dxa"/>
            <w:vAlign w:val="center"/>
          </w:tcPr>
          <w:p w14:paraId="2D8DDF05">
            <w:pPr>
              <w:pStyle w:val="296"/>
              <w:rPr>
                <w:rFonts w:hint="eastAsia"/>
                <w:color w:val="auto"/>
              </w:rPr>
            </w:pPr>
          </w:p>
        </w:tc>
        <w:tc>
          <w:tcPr>
            <w:tcW w:w="1017" w:type="dxa"/>
            <w:vAlign w:val="center"/>
          </w:tcPr>
          <w:p w14:paraId="36B17E76">
            <w:pPr>
              <w:pStyle w:val="296"/>
              <w:rPr>
                <w:rFonts w:hint="eastAsia"/>
                <w:color w:val="auto"/>
              </w:rPr>
            </w:pPr>
          </w:p>
        </w:tc>
      </w:tr>
    </w:tbl>
    <w:p w14:paraId="786FE2D7">
      <w:pPr>
        <w:pStyle w:val="19"/>
        <w:spacing w:after="0" w:line="500" w:lineRule="exact"/>
        <w:jc w:val="center"/>
        <w:rPr>
          <w:rFonts w:hint="eastAsia" w:ascii="黑体" w:hAnsi="黑体" w:eastAsia="黑体" w:cs="黑体"/>
          <w:color w:val="auto"/>
          <w:szCs w:val="21"/>
        </w:rPr>
      </w:pPr>
      <w:r>
        <w:rPr>
          <w:rFonts w:ascii="黑体" w:hAnsi="黑体" w:eastAsia="黑体" w:cs="黑体"/>
          <w:color w:val="auto"/>
          <w:szCs w:val="21"/>
        </w:rPr>
        <w:t>表4.3</w:t>
      </w:r>
      <w:r>
        <w:rPr>
          <w:rFonts w:hint="eastAsia" w:ascii="黑体" w:hAnsi="黑体" w:eastAsia="黑体" w:cs="黑体"/>
          <w:color w:val="auto"/>
          <w:szCs w:val="21"/>
        </w:rPr>
        <w:t>-</w:t>
      </w:r>
      <w:r>
        <w:rPr>
          <w:rFonts w:ascii="黑体" w:hAnsi="黑体" w:eastAsia="黑体" w:cs="黑体"/>
          <w:color w:val="auto"/>
          <w:szCs w:val="21"/>
        </w:rPr>
        <w:t>1</w:t>
      </w:r>
      <w:r>
        <w:rPr>
          <w:rFonts w:hint="eastAsia" w:ascii="黑体" w:hAnsi="黑体" w:eastAsia="黑体" w:cs="黑体"/>
          <w:color w:val="auto"/>
          <w:szCs w:val="21"/>
        </w:rPr>
        <w:t>7  项目周围</w:t>
      </w:r>
      <w:r>
        <w:rPr>
          <w:rFonts w:ascii="黑体" w:hAnsi="黑体" w:eastAsia="黑体" w:cs="黑体"/>
          <w:color w:val="auto"/>
          <w:szCs w:val="21"/>
        </w:rPr>
        <w:t>区域及周围的重点保护动物</w:t>
      </w:r>
    </w:p>
    <w:tbl>
      <w:tblPr>
        <w:tblStyle w:val="4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82"/>
        <w:gridCol w:w="755"/>
        <w:gridCol w:w="2932"/>
        <w:gridCol w:w="3308"/>
        <w:gridCol w:w="1169"/>
      </w:tblGrid>
      <w:tr w14:paraId="29C241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13" w:hRule="atLeast"/>
          <w:jc w:val="center"/>
        </w:trPr>
        <w:tc>
          <w:tcPr>
            <w:tcW w:w="859" w:type="pct"/>
            <w:gridSpan w:val="2"/>
            <w:vAlign w:val="center"/>
          </w:tcPr>
          <w:p w14:paraId="775E492A">
            <w:pPr>
              <w:adjustRightInd w:val="0"/>
              <w:snapToGrid w:val="0"/>
              <w:spacing w:line="240" w:lineRule="exact"/>
              <w:jc w:val="center"/>
              <w:rPr>
                <w:rFonts w:ascii="Times New Roman" w:hAnsi="Times New Roman"/>
                <w:color w:val="auto"/>
                <w:kern w:val="0"/>
                <w:sz w:val="20"/>
                <w:szCs w:val="21"/>
              </w:rPr>
            </w:pPr>
            <w:r>
              <w:rPr>
                <w:rFonts w:ascii="Times New Roman" w:hAnsi="Times New Roman"/>
                <w:color w:val="auto"/>
                <w:kern w:val="0"/>
                <w:sz w:val="20"/>
                <w:szCs w:val="21"/>
              </w:rPr>
              <w:t>保护级别</w:t>
            </w:r>
          </w:p>
        </w:tc>
        <w:tc>
          <w:tcPr>
            <w:tcW w:w="1639" w:type="pct"/>
            <w:vAlign w:val="center"/>
          </w:tcPr>
          <w:p w14:paraId="7729C239">
            <w:pPr>
              <w:adjustRightInd w:val="0"/>
              <w:snapToGrid w:val="0"/>
              <w:spacing w:line="240" w:lineRule="exact"/>
              <w:jc w:val="center"/>
              <w:rPr>
                <w:rFonts w:ascii="Times New Roman" w:hAnsi="Times New Roman"/>
                <w:color w:val="auto"/>
                <w:kern w:val="0"/>
                <w:sz w:val="20"/>
                <w:szCs w:val="21"/>
              </w:rPr>
            </w:pPr>
            <w:r>
              <w:rPr>
                <w:rFonts w:ascii="Times New Roman" w:hAnsi="Times New Roman"/>
                <w:color w:val="auto"/>
                <w:kern w:val="0"/>
                <w:sz w:val="20"/>
                <w:szCs w:val="21"/>
              </w:rPr>
              <w:t>兽类</w:t>
            </w:r>
          </w:p>
        </w:tc>
        <w:tc>
          <w:tcPr>
            <w:tcW w:w="1849" w:type="pct"/>
            <w:vAlign w:val="center"/>
          </w:tcPr>
          <w:p w14:paraId="180CE930">
            <w:pPr>
              <w:adjustRightInd w:val="0"/>
              <w:snapToGrid w:val="0"/>
              <w:spacing w:line="240" w:lineRule="exact"/>
              <w:jc w:val="center"/>
              <w:rPr>
                <w:rFonts w:ascii="Times New Roman" w:hAnsi="Times New Roman"/>
                <w:color w:val="auto"/>
                <w:kern w:val="0"/>
                <w:sz w:val="20"/>
                <w:szCs w:val="21"/>
              </w:rPr>
            </w:pPr>
            <w:r>
              <w:rPr>
                <w:rFonts w:ascii="Times New Roman" w:hAnsi="Times New Roman"/>
                <w:color w:val="auto"/>
                <w:kern w:val="0"/>
                <w:sz w:val="20"/>
                <w:szCs w:val="21"/>
              </w:rPr>
              <w:t>鸟类</w:t>
            </w:r>
          </w:p>
        </w:tc>
        <w:tc>
          <w:tcPr>
            <w:tcW w:w="653" w:type="pct"/>
            <w:vAlign w:val="center"/>
          </w:tcPr>
          <w:p w14:paraId="425AA03E">
            <w:pPr>
              <w:adjustRightInd w:val="0"/>
              <w:snapToGrid w:val="0"/>
              <w:spacing w:line="240" w:lineRule="exact"/>
              <w:jc w:val="center"/>
              <w:rPr>
                <w:rFonts w:ascii="Times New Roman" w:hAnsi="Times New Roman"/>
                <w:color w:val="auto"/>
                <w:kern w:val="0"/>
                <w:sz w:val="20"/>
                <w:szCs w:val="21"/>
              </w:rPr>
            </w:pPr>
            <w:r>
              <w:rPr>
                <w:rFonts w:ascii="Times New Roman" w:hAnsi="Times New Roman"/>
                <w:color w:val="auto"/>
                <w:kern w:val="0"/>
                <w:sz w:val="20"/>
                <w:szCs w:val="21"/>
              </w:rPr>
              <w:t>爬行类</w:t>
            </w:r>
          </w:p>
        </w:tc>
      </w:tr>
      <w:tr w14:paraId="0B2BFEB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08" w:hRule="exact"/>
          <w:jc w:val="center"/>
        </w:trPr>
        <w:tc>
          <w:tcPr>
            <w:tcW w:w="437" w:type="pct"/>
            <w:vMerge w:val="restart"/>
            <w:vAlign w:val="center"/>
          </w:tcPr>
          <w:p w14:paraId="1C49DB05">
            <w:pPr>
              <w:adjustRightInd w:val="0"/>
              <w:snapToGrid w:val="0"/>
              <w:spacing w:line="240" w:lineRule="exact"/>
              <w:jc w:val="center"/>
              <w:rPr>
                <w:rFonts w:ascii="Times New Roman" w:hAnsi="Times New Roman"/>
                <w:color w:val="auto"/>
                <w:kern w:val="0"/>
                <w:sz w:val="20"/>
                <w:szCs w:val="21"/>
              </w:rPr>
            </w:pPr>
            <w:r>
              <w:rPr>
                <w:rFonts w:ascii="Times New Roman" w:hAnsi="Times New Roman"/>
                <w:color w:val="auto"/>
                <w:kern w:val="0"/>
                <w:sz w:val="20"/>
                <w:szCs w:val="21"/>
              </w:rPr>
              <w:t>国家</w:t>
            </w:r>
          </w:p>
        </w:tc>
        <w:tc>
          <w:tcPr>
            <w:tcW w:w="422" w:type="pct"/>
            <w:vAlign w:val="center"/>
          </w:tcPr>
          <w:p w14:paraId="58641998">
            <w:pPr>
              <w:adjustRightInd w:val="0"/>
              <w:snapToGrid w:val="0"/>
              <w:spacing w:line="240" w:lineRule="exact"/>
              <w:jc w:val="center"/>
              <w:rPr>
                <w:rFonts w:ascii="Times New Roman" w:hAnsi="Times New Roman"/>
                <w:color w:val="auto"/>
                <w:kern w:val="0"/>
                <w:sz w:val="20"/>
                <w:szCs w:val="21"/>
              </w:rPr>
            </w:pPr>
            <w:r>
              <w:rPr>
                <w:rFonts w:ascii="Times New Roman" w:hAnsi="Times New Roman"/>
                <w:color w:val="auto"/>
                <w:kern w:val="0"/>
                <w:sz w:val="20"/>
                <w:szCs w:val="21"/>
              </w:rPr>
              <w:t>一级</w:t>
            </w:r>
          </w:p>
        </w:tc>
        <w:tc>
          <w:tcPr>
            <w:tcW w:w="1639" w:type="pct"/>
            <w:vAlign w:val="center"/>
          </w:tcPr>
          <w:p w14:paraId="1336C0B3">
            <w:pPr>
              <w:adjustRightInd w:val="0"/>
              <w:snapToGrid w:val="0"/>
              <w:spacing w:line="240" w:lineRule="exact"/>
              <w:jc w:val="center"/>
              <w:rPr>
                <w:rFonts w:ascii="Times New Roman" w:hAnsi="Times New Roman"/>
                <w:color w:val="auto"/>
                <w:kern w:val="0"/>
                <w:sz w:val="20"/>
                <w:szCs w:val="21"/>
              </w:rPr>
            </w:pPr>
            <w:r>
              <w:rPr>
                <w:rFonts w:ascii="Times New Roman" w:hAnsi="Times New Roman"/>
                <w:color w:val="auto"/>
                <w:kern w:val="0"/>
                <w:sz w:val="20"/>
                <w:szCs w:val="21"/>
              </w:rPr>
              <w:t>蒙古野驴</w:t>
            </w:r>
          </w:p>
        </w:tc>
        <w:tc>
          <w:tcPr>
            <w:tcW w:w="1849" w:type="pct"/>
            <w:vAlign w:val="center"/>
          </w:tcPr>
          <w:p w14:paraId="368B5CC2">
            <w:pPr>
              <w:adjustRightInd w:val="0"/>
              <w:snapToGrid w:val="0"/>
              <w:spacing w:line="240" w:lineRule="exact"/>
              <w:jc w:val="center"/>
              <w:rPr>
                <w:rFonts w:ascii="Times New Roman" w:hAnsi="Times New Roman"/>
                <w:color w:val="auto"/>
                <w:kern w:val="0"/>
                <w:sz w:val="20"/>
                <w:szCs w:val="21"/>
              </w:rPr>
            </w:pPr>
            <w:r>
              <w:rPr>
                <w:rFonts w:ascii="Times New Roman" w:hAnsi="Times New Roman"/>
                <w:color w:val="auto"/>
                <w:kern w:val="0"/>
                <w:sz w:val="20"/>
                <w:szCs w:val="21"/>
              </w:rPr>
              <w:t>—</w:t>
            </w:r>
          </w:p>
        </w:tc>
        <w:tc>
          <w:tcPr>
            <w:tcW w:w="653" w:type="pct"/>
            <w:vAlign w:val="center"/>
          </w:tcPr>
          <w:p w14:paraId="1B724E21">
            <w:pPr>
              <w:adjustRightInd w:val="0"/>
              <w:snapToGrid w:val="0"/>
              <w:spacing w:line="240" w:lineRule="exact"/>
              <w:jc w:val="center"/>
              <w:rPr>
                <w:rFonts w:ascii="Times New Roman" w:hAnsi="Times New Roman"/>
                <w:color w:val="auto"/>
                <w:kern w:val="0"/>
                <w:sz w:val="20"/>
                <w:szCs w:val="21"/>
              </w:rPr>
            </w:pPr>
            <w:r>
              <w:rPr>
                <w:rFonts w:ascii="Times New Roman" w:hAnsi="Times New Roman"/>
                <w:color w:val="auto"/>
                <w:kern w:val="0"/>
                <w:sz w:val="20"/>
                <w:szCs w:val="21"/>
              </w:rPr>
              <w:t>—</w:t>
            </w:r>
          </w:p>
        </w:tc>
      </w:tr>
      <w:tr w14:paraId="3D4792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86" w:hRule="exact"/>
          <w:jc w:val="center"/>
        </w:trPr>
        <w:tc>
          <w:tcPr>
            <w:tcW w:w="437" w:type="pct"/>
            <w:vMerge w:val="continue"/>
            <w:vAlign w:val="center"/>
          </w:tcPr>
          <w:p w14:paraId="31D67058">
            <w:pPr>
              <w:adjustRightInd w:val="0"/>
              <w:snapToGrid w:val="0"/>
              <w:spacing w:line="240" w:lineRule="exact"/>
              <w:jc w:val="center"/>
              <w:rPr>
                <w:rFonts w:ascii="Times New Roman" w:hAnsi="Times New Roman"/>
                <w:color w:val="auto"/>
                <w:kern w:val="0"/>
                <w:sz w:val="20"/>
                <w:szCs w:val="21"/>
              </w:rPr>
            </w:pPr>
          </w:p>
        </w:tc>
        <w:tc>
          <w:tcPr>
            <w:tcW w:w="422" w:type="pct"/>
            <w:vAlign w:val="center"/>
          </w:tcPr>
          <w:p w14:paraId="0AA0A19C">
            <w:pPr>
              <w:adjustRightInd w:val="0"/>
              <w:snapToGrid w:val="0"/>
              <w:spacing w:line="240" w:lineRule="exact"/>
              <w:jc w:val="center"/>
              <w:rPr>
                <w:rFonts w:ascii="Times New Roman" w:hAnsi="Times New Roman"/>
                <w:color w:val="auto"/>
                <w:kern w:val="0"/>
                <w:sz w:val="20"/>
                <w:szCs w:val="21"/>
              </w:rPr>
            </w:pPr>
            <w:r>
              <w:rPr>
                <w:rFonts w:ascii="Times New Roman" w:hAnsi="Times New Roman"/>
                <w:color w:val="auto"/>
                <w:kern w:val="0"/>
                <w:sz w:val="20"/>
                <w:szCs w:val="21"/>
              </w:rPr>
              <w:t>二级</w:t>
            </w:r>
          </w:p>
        </w:tc>
        <w:tc>
          <w:tcPr>
            <w:tcW w:w="1639" w:type="pct"/>
            <w:vAlign w:val="center"/>
          </w:tcPr>
          <w:p w14:paraId="4F6495A5">
            <w:pPr>
              <w:adjustRightInd w:val="0"/>
              <w:snapToGrid w:val="0"/>
              <w:spacing w:line="240" w:lineRule="exact"/>
              <w:jc w:val="center"/>
              <w:rPr>
                <w:rFonts w:ascii="Times New Roman" w:hAnsi="Times New Roman"/>
                <w:color w:val="auto"/>
                <w:kern w:val="0"/>
                <w:sz w:val="20"/>
                <w:szCs w:val="21"/>
              </w:rPr>
            </w:pPr>
            <w:r>
              <w:rPr>
                <w:rFonts w:ascii="Times New Roman" w:hAnsi="Times New Roman"/>
                <w:color w:val="auto"/>
                <w:kern w:val="0"/>
                <w:sz w:val="20"/>
                <w:szCs w:val="21"/>
              </w:rPr>
              <w:t>鹅喉羚、</w:t>
            </w:r>
            <w:r>
              <w:rPr>
                <w:rFonts w:hint="eastAsia" w:ascii="Times New Roman" w:hAnsi="Times New Roman"/>
                <w:color w:val="auto"/>
                <w:kern w:val="0"/>
                <w:sz w:val="20"/>
                <w:szCs w:val="21"/>
              </w:rPr>
              <w:t>狼、沙狐、</w:t>
            </w:r>
            <w:bookmarkStart w:id="629" w:name="_Hlk177512123"/>
            <w:r>
              <w:rPr>
                <w:rFonts w:ascii="Times New Roman" w:hAnsi="Times New Roman"/>
                <w:color w:val="auto"/>
                <w:kern w:val="0"/>
                <w:sz w:val="20"/>
                <w:szCs w:val="21"/>
              </w:rPr>
              <w:t>兔狲</w:t>
            </w:r>
            <w:bookmarkEnd w:id="629"/>
            <w:r>
              <w:rPr>
                <w:rFonts w:hint="eastAsia" w:ascii="Times New Roman" w:hAnsi="Times New Roman"/>
                <w:color w:val="auto"/>
                <w:kern w:val="0"/>
                <w:sz w:val="20"/>
                <w:szCs w:val="21"/>
              </w:rPr>
              <w:t>、</w:t>
            </w:r>
            <w:r>
              <w:rPr>
                <w:rFonts w:ascii="Times New Roman" w:hAnsi="Times New Roman"/>
                <w:color w:val="auto"/>
                <w:kern w:val="0"/>
                <w:sz w:val="20"/>
                <w:szCs w:val="21"/>
              </w:rPr>
              <w:t>草原斑猫</w:t>
            </w:r>
          </w:p>
        </w:tc>
        <w:tc>
          <w:tcPr>
            <w:tcW w:w="1849" w:type="pct"/>
            <w:vAlign w:val="center"/>
          </w:tcPr>
          <w:p w14:paraId="60CDA8B7">
            <w:pPr>
              <w:adjustRightInd w:val="0"/>
              <w:snapToGrid w:val="0"/>
              <w:spacing w:line="240" w:lineRule="exact"/>
              <w:jc w:val="center"/>
              <w:rPr>
                <w:rFonts w:ascii="Times New Roman" w:hAnsi="Times New Roman"/>
                <w:color w:val="auto"/>
                <w:kern w:val="0"/>
                <w:sz w:val="20"/>
                <w:szCs w:val="21"/>
              </w:rPr>
            </w:pPr>
            <w:r>
              <w:rPr>
                <w:rFonts w:ascii="Times New Roman" w:hAnsi="Times New Roman"/>
                <w:color w:val="auto"/>
                <w:kern w:val="0"/>
                <w:sz w:val="20"/>
                <w:szCs w:val="21"/>
              </w:rPr>
              <w:t>红隼</w:t>
            </w:r>
            <w:r>
              <w:rPr>
                <w:rFonts w:hint="eastAsia" w:ascii="Times New Roman" w:hAnsi="Times New Roman"/>
                <w:color w:val="auto"/>
                <w:kern w:val="0"/>
                <w:sz w:val="20"/>
                <w:szCs w:val="21"/>
              </w:rPr>
              <w:t>、</w:t>
            </w:r>
            <w:r>
              <w:rPr>
                <w:rFonts w:ascii="Times New Roman" w:hAnsi="Times New Roman"/>
                <w:color w:val="auto"/>
                <w:kern w:val="0"/>
                <w:sz w:val="20"/>
                <w:szCs w:val="21"/>
              </w:rPr>
              <w:t>草原鹞</w:t>
            </w:r>
            <w:r>
              <w:rPr>
                <w:rFonts w:hint="eastAsia" w:ascii="Times New Roman" w:hAnsi="Times New Roman"/>
                <w:color w:val="auto"/>
                <w:kern w:val="0"/>
                <w:sz w:val="20"/>
                <w:szCs w:val="21"/>
              </w:rPr>
              <w:t>、</w:t>
            </w:r>
            <w:r>
              <w:rPr>
                <w:rFonts w:ascii="Times New Roman" w:hAnsi="Times New Roman"/>
                <w:color w:val="auto"/>
                <w:kern w:val="0"/>
                <w:sz w:val="20"/>
                <w:szCs w:val="21"/>
              </w:rPr>
              <w:t>雀鹰</w:t>
            </w:r>
          </w:p>
          <w:p w14:paraId="4CCE6326">
            <w:pPr>
              <w:adjustRightInd w:val="0"/>
              <w:snapToGrid w:val="0"/>
              <w:spacing w:line="240" w:lineRule="exact"/>
              <w:jc w:val="center"/>
              <w:rPr>
                <w:rFonts w:ascii="Times New Roman" w:hAnsi="Times New Roman"/>
                <w:color w:val="auto"/>
                <w:kern w:val="0"/>
                <w:sz w:val="20"/>
                <w:szCs w:val="21"/>
              </w:rPr>
            </w:pPr>
            <w:r>
              <w:rPr>
                <w:rFonts w:ascii="Times New Roman" w:hAnsi="Times New Roman"/>
                <w:color w:val="auto"/>
                <w:kern w:val="0"/>
                <w:sz w:val="20"/>
                <w:szCs w:val="21"/>
              </w:rPr>
              <w:t>黑尾地鸦</w:t>
            </w:r>
            <w:r>
              <w:rPr>
                <w:rFonts w:hint="eastAsia" w:ascii="Times New Roman" w:hAnsi="Times New Roman"/>
                <w:color w:val="auto"/>
                <w:kern w:val="0"/>
                <w:sz w:val="20"/>
                <w:szCs w:val="21"/>
              </w:rPr>
              <w:t>、</w:t>
            </w:r>
            <w:r>
              <w:rPr>
                <w:rFonts w:ascii="Times New Roman" w:hAnsi="Times New Roman"/>
                <w:color w:val="auto"/>
                <w:kern w:val="0"/>
                <w:sz w:val="20"/>
                <w:szCs w:val="21"/>
              </w:rPr>
              <w:t>云雀</w:t>
            </w:r>
            <w:r>
              <w:rPr>
                <w:rFonts w:hint="eastAsia" w:ascii="Times New Roman" w:hAnsi="Times New Roman"/>
                <w:color w:val="auto"/>
                <w:kern w:val="0"/>
                <w:sz w:val="20"/>
                <w:szCs w:val="21"/>
              </w:rPr>
              <w:t>、</w:t>
            </w:r>
            <w:r>
              <w:rPr>
                <w:rFonts w:ascii="Times New Roman" w:hAnsi="Times New Roman"/>
                <w:color w:val="auto"/>
                <w:kern w:val="0"/>
                <w:sz w:val="20"/>
                <w:szCs w:val="21"/>
              </w:rPr>
              <w:t>棕尾鵟</w:t>
            </w:r>
            <w:r>
              <w:rPr>
                <w:rFonts w:hint="eastAsia" w:ascii="Times New Roman" w:hAnsi="Times New Roman"/>
                <w:color w:val="auto"/>
                <w:kern w:val="0"/>
                <w:sz w:val="20"/>
                <w:szCs w:val="21"/>
              </w:rPr>
              <w:t>、</w:t>
            </w:r>
            <w:bookmarkStart w:id="630" w:name="_Hlk165766174"/>
            <w:r>
              <w:rPr>
                <w:rFonts w:ascii="Times New Roman" w:hAnsi="Times New Roman"/>
                <w:color w:val="auto"/>
                <w:kern w:val="0"/>
                <w:sz w:val="20"/>
                <w:szCs w:val="21"/>
              </w:rPr>
              <w:t>鸢</w:t>
            </w:r>
            <w:bookmarkEnd w:id="630"/>
          </w:p>
        </w:tc>
        <w:tc>
          <w:tcPr>
            <w:tcW w:w="653" w:type="pct"/>
            <w:vAlign w:val="center"/>
          </w:tcPr>
          <w:p w14:paraId="24BE8D83">
            <w:pPr>
              <w:adjustRightInd w:val="0"/>
              <w:snapToGrid w:val="0"/>
              <w:spacing w:line="240" w:lineRule="exact"/>
              <w:jc w:val="center"/>
              <w:rPr>
                <w:rFonts w:ascii="Times New Roman" w:hAnsi="Times New Roman"/>
                <w:color w:val="auto"/>
                <w:kern w:val="0"/>
                <w:sz w:val="20"/>
                <w:szCs w:val="21"/>
              </w:rPr>
            </w:pPr>
            <w:r>
              <w:rPr>
                <w:rFonts w:ascii="Times New Roman" w:hAnsi="Times New Roman"/>
                <w:color w:val="auto"/>
                <w:kern w:val="0"/>
                <w:sz w:val="20"/>
                <w:szCs w:val="21"/>
              </w:rPr>
              <w:t>东方沙蟒</w:t>
            </w:r>
          </w:p>
        </w:tc>
      </w:tr>
    </w:tbl>
    <w:p w14:paraId="7DD9EB91">
      <w:pPr>
        <w:pStyle w:val="45"/>
        <w:widowControl w:val="0"/>
        <w:spacing w:line="500" w:lineRule="exact"/>
        <w:ind w:firstLine="480" w:firstLineChars="200"/>
        <w:jc w:val="both"/>
        <w:rPr>
          <w:color w:val="auto"/>
          <w:kern w:val="2"/>
          <w:lang w:bidi="ar"/>
        </w:rPr>
      </w:pPr>
      <w:bookmarkStart w:id="631" w:name="_Hlk160376464"/>
      <w:r>
        <w:rPr>
          <w:rFonts w:hint="eastAsia" w:ascii="宋体" w:hAnsi="宋体"/>
          <w:color w:val="auto"/>
          <w:kern w:val="2"/>
          <w:lang w:bidi="ar"/>
        </w:rPr>
        <w:t>项目</w:t>
      </w:r>
      <w:r>
        <w:rPr>
          <w:rFonts w:hint="eastAsia"/>
          <w:color w:val="auto"/>
          <w:kern w:val="2"/>
          <w:lang w:bidi="ar"/>
        </w:rPr>
        <w:t>所在区域气候条件恶劣，保障野生动物生存的饮水、食物及栖息条件非常有限，再加上人为活动的影响，野生动物种类活动较少。在现场踏勘过程中，未发现大型野生动物和受保护野生动物。可见野生动物主要是蜥蜴、鼠类及鸟类。</w:t>
      </w:r>
    </w:p>
    <w:p w14:paraId="2C2F1E3A">
      <w:pPr>
        <w:spacing w:line="500" w:lineRule="exact"/>
        <w:ind w:firstLine="480" w:firstLineChars="200"/>
        <w:rPr>
          <w:rFonts w:hint="eastAsia" w:ascii="宋体" w:hAnsi="宋体"/>
          <w:color w:val="auto"/>
          <w:kern w:val="0"/>
          <w:sz w:val="24"/>
          <w:szCs w:val="24"/>
        </w:rPr>
      </w:pPr>
      <w:r>
        <w:rPr>
          <w:rFonts w:hint="eastAsia" w:ascii="宋体" w:hAnsi="宋体"/>
          <w:color w:val="auto"/>
          <w:kern w:val="0"/>
          <w:sz w:val="24"/>
          <w:szCs w:val="24"/>
        </w:rPr>
        <w:t>②生境类型</w:t>
      </w:r>
    </w:p>
    <w:p w14:paraId="26A756FC">
      <w:pPr>
        <w:spacing w:line="500" w:lineRule="exact"/>
        <w:ind w:firstLine="480" w:firstLineChars="200"/>
        <w:rPr>
          <w:rFonts w:hint="eastAsia" w:ascii="宋体" w:hAnsi="宋体"/>
          <w:color w:val="auto"/>
          <w:kern w:val="0"/>
          <w:sz w:val="24"/>
          <w:szCs w:val="24"/>
        </w:rPr>
      </w:pPr>
      <w:r>
        <w:rPr>
          <w:rFonts w:hint="eastAsia" w:ascii="宋体" w:hAnsi="宋体"/>
          <w:color w:val="auto"/>
          <w:kern w:val="0"/>
          <w:sz w:val="24"/>
          <w:szCs w:val="24"/>
        </w:rPr>
        <w:t>根据《生物多样性观测技术导则》（环境保护部公告2014年 第74号）发布的一系列野生动物相关技术导则，将项目区野生动物生境划分为以下类型：</w:t>
      </w:r>
    </w:p>
    <w:p w14:paraId="7CC0D90F">
      <w:pPr>
        <w:spacing w:line="500" w:lineRule="exact"/>
        <w:ind w:firstLine="480" w:firstLineChars="200"/>
        <w:rPr>
          <w:rFonts w:hint="eastAsia" w:ascii="宋体" w:hAnsi="宋体"/>
          <w:color w:val="auto"/>
          <w:kern w:val="0"/>
          <w:sz w:val="24"/>
          <w:szCs w:val="24"/>
        </w:rPr>
      </w:pPr>
      <w:r>
        <w:rPr>
          <w:rFonts w:hint="eastAsia" w:ascii="宋体" w:hAnsi="宋体"/>
          <w:color w:val="auto"/>
          <w:kern w:val="0"/>
          <w:sz w:val="24"/>
          <w:szCs w:val="24"/>
        </w:rPr>
        <w:t>灌丛在本项目评价区内分布面积比例较小，灌丛以柽柳为主，植被分布稀疏，野生动物种类稀少，主要以爬行动物和鸟类为主。</w:t>
      </w:r>
    </w:p>
    <w:p w14:paraId="0D541AA6">
      <w:pPr>
        <w:spacing w:line="500" w:lineRule="exact"/>
        <w:ind w:firstLine="480" w:firstLineChars="200"/>
        <w:rPr>
          <w:rFonts w:hint="eastAsia" w:ascii="宋体" w:hAnsi="宋体"/>
          <w:color w:val="auto"/>
          <w:kern w:val="0"/>
          <w:sz w:val="24"/>
          <w:szCs w:val="24"/>
        </w:rPr>
      </w:pPr>
      <w:r>
        <w:rPr>
          <w:rFonts w:hint="eastAsia" w:ascii="宋体" w:hAnsi="宋体"/>
          <w:color w:val="auto"/>
          <w:kern w:val="0"/>
          <w:sz w:val="24"/>
          <w:szCs w:val="24"/>
        </w:rPr>
        <w:t>③样线调查</w:t>
      </w:r>
    </w:p>
    <w:p w14:paraId="6E8F1211">
      <w:pPr>
        <w:spacing w:line="500" w:lineRule="exact"/>
        <w:ind w:firstLine="480" w:firstLineChars="200"/>
        <w:rPr>
          <w:rFonts w:hint="eastAsia" w:ascii="宋体" w:hAnsi="宋体"/>
          <w:color w:val="auto"/>
          <w:kern w:val="0"/>
          <w:sz w:val="24"/>
          <w:szCs w:val="24"/>
        </w:rPr>
      </w:pPr>
      <w:r>
        <w:rPr>
          <w:rFonts w:ascii="宋体" w:hAnsi="宋体"/>
          <w:color w:val="auto"/>
          <w:kern w:val="0"/>
          <w:sz w:val="24"/>
          <w:szCs w:val="24"/>
        </w:rPr>
        <w:t>本项目生态评价为二级，根据《环境影响评价技术导则 生态影响》（HJ 19-2022）要求，二级评价每种生境类型设置的野生动物调查样线数量不少于3条。本次单条样线调查长度为</w:t>
      </w:r>
      <w:r>
        <w:rPr>
          <w:rFonts w:hint="eastAsia" w:ascii="宋体" w:hAnsi="宋体"/>
          <w:color w:val="auto"/>
          <w:kern w:val="0"/>
          <w:sz w:val="24"/>
          <w:szCs w:val="24"/>
        </w:rPr>
        <w:t>192</w:t>
      </w:r>
      <w:r>
        <w:rPr>
          <w:rFonts w:ascii="宋体" w:hAnsi="宋体"/>
          <w:color w:val="auto"/>
          <w:kern w:val="0"/>
          <w:sz w:val="24"/>
          <w:szCs w:val="24"/>
        </w:rPr>
        <w:t>m～</w:t>
      </w:r>
      <w:r>
        <w:rPr>
          <w:rFonts w:hint="eastAsia" w:ascii="宋体" w:hAnsi="宋体"/>
          <w:color w:val="auto"/>
          <w:kern w:val="0"/>
          <w:sz w:val="24"/>
          <w:szCs w:val="24"/>
        </w:rPr>
        <w:t>520</w:t>
      </w:r>
      <w:r>
        <w:rPr>
          <w:rFonts w:ascii="宋体" w:hAnsi="宋体"/>
          <w:color w:val="auto"/>
          <w:kern w:val="0"/>
          <w:sz w:val="24"/>
          <w:szCs w:val="24"/>
        </w:rPr>
        <w:t>m，在有道路的区域通过驱车观测的方式进行调查，在无路且车辆不能通行的区域通过步行观测的方式进行调查，在调查样线内记录该空间范围内出现的陆生野生动物。</w:t>
      </w:r>
    </w:p>
    <w:p w14:paraId="01B5061F">
      <w:pPr>
        <w:spacing w:line="500" w:lineRule="exact"/>
        <w:ind w:firstLine="480" w:firstLineChars="200"/>
        <w:rPr>
          <w:rFonts w:hint="eastAsia" w:ascii="宋体" w:hAnsi="宋体"/>
          <w:color w:val="auto"/>
          <w:kern w:val="0"/>
          <w:sz w:val="24"/>
          <w:szCs w:val="24"/>
        </w:rPr>
      </w:pPr>
      <w:r>
        <w:rPr>
          <w:rFonts w:hint="eastAsia" w:ascii="宋体" w:hAnsi="宋体"/>
          <w:color w:val="auto"/>
          <w:kern w:val="0"/>
          <w:sz w:val="24"/>
          <w:szCs w:val="24"/>
        </w:rPr>
        <w:t>本次于2026年3月12日至2026年3月13日进行了现场调查记录，灌丛布设了3条样线，样线记录表见表4.3-18。</w:t>
      </w:r>
    </w:p>
    <w:p w14:paraId="18B89520">
      <w:pPr>
        <w:spacing w:line="500" w:lineRule="exact"/>
        <w:jc w:val="center"/>
        <w:rPr>
          <w:rFonts w:hint="eastAsia" w:ascii="黑体" w:hAnsi="黑体" w:eastAsia="黑体"/>
          <w:color w:val="auto"/>
          <w:szCs w:val="20"/>
        </w:rPr>
      </w:pPr>
      <w:r>
        <w:rPr>
          <w:rFonts w:hint="eastAsia" w:ascii="黑体" w:hAnsi="黑体" w:eastAsia="黑体"/>
          <w:color w:val="auto"/>
          <w:szCs w:val="20"/>
        </w:rPr>
        <w:t>表4.3-18  野生动物样线调查表</w:t>
      </w:r>
    </w:p>
    <w:tbl>
      <w:tblPr>
        <w:tblStyle w:val="51"/>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271"/>
        <w:gridCol w:w="1817"/>
        <w:gridCol w:w="2029"/>
        <w:gridCol w:w="1512"/>
        <w:gridCol w:w="2317"/>
      </w:tblGrid>
      <w:tr w14:paraId="3262DD4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771" w:type="pct"/>
            <w:gridSpan w:val="2"/>
            <w:tcBorders>
              <w:tl2br w:val="nil"/>
              <w:tr2bl w:val="nil"/>
            </w:tcBorders>
            <w:noWrap/>
            <w:vAlign w:val="center"/>
          </w:tcPr>
          <w:p w14:paraId="7C3DB980">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 xml:space="preserve">调查地点：莫27井场附近 </w:t>
            </w:r>
          </w:p>
        </w:tc>
        <w:tc>
          <w:tcPr>
            <w:tcW w:w="2022" w:type="pct"/>
            <w:gridSpan w:val="2"/>
            <w:tcBorders>
              <w:tl2br w:val="nil"/>
              <w:tr2bl w:val="nil"/>
            </w:tcBorders>
            <w:noWrap/>
            <w:vAlign w:val="center"/>
          </w:tcPr>
          <w:p w14:paraId="67026247">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调查样线编号：样线1</w:t>
            </w:r>
          </w:p>
        </w:tc>
        <w:tc>
          <w:tcPr>
            <w:tcW w:w="1206" w:type="pct"/>
            <w:tcBorders>
              <w:tl2br w:val="nil"/>
              <w:tr2bl w:val="nil"/>
            </w:tcBorders>
            <w:noWrap/>
            <w:vAlign w:val="center"/>
          </w:tcPr>
          <w:p w14:paraId="61812485">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调查样线长（m）：520</w:t>
            </w:r>
          </w:p>
        </w:tc>
      </w:tr>
      <w:tr w14:paraId="25BD11A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33" w:type="pct"/>
            <w:tcBorders>
              <w:tl2br w:val="nil"/>
              <w:tr2bl w:val="nil"/>
            </w:tcBorders>
            <w:noWrap/>
            <w:vAlign w:val="center"/>
          </w:tcPr>
          <w:p w14:paraId="15CFDA44">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起点坐标</w:t>
            </w:r>
          </w:p>
        </w:tc>
        <w:tc>
          <w:tcPr>
            <w:tcW w:w="2194" w:type="pct"/>
            <w:gridSpan w:val="2"/>
            <w:tcBorders>
              <w:tl2br w:val="nil"/>
              <w:tr2bl w:val="nil"/>
            </w:tcBorders>
            <w:vAlign w:val="center"/>
          </w:tcPr>
          <w:p w14:paraId="61F524A3">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E</w:t>
            </w:r>
            <w:r>
              <w:rPr>
                <w:rFonts w:ascii="宋体" w:hAnsi="宋体" w:cs="宋体"/>
                <w:color w:val="auto"/>
                <w:kern w:val="0"/>
                <w:szCs w:val="21"/>
              </w:rPr>
              <w:t>8</w:t>
            </w:r>
            <w:r>
              <w:rPr>
                <w:rFonts w:hint="eastAsia" w:ascii="宋体" w:hAnsi="宋体" w:cs="宋体"/>
                <w:color w:val="auto"/>
                <w:kern w:val="0"/>
                <w:szCs w:val="21"/>
              </w:rPr>
              <w:t>6</w:t>
            </w:r>
            <w:r>
              <w:rPr>
                <w:rFonts w:ascii="宋体" w:hAnsi="宋体" w:cs="宋体"/>
                <w:color w:val="auto"/>
                <w:kern w:val="0"/>
                <w:szCs w:val="21"/>
              </w:rPr>
              <w:t>°</w:t>
            </w:r>
            <w:r>
              <w:rPr>
                <w:rFonts w:hint="eastAsia" w:ascii="宋体" w:hAnsi="宋体" w:cs="宋体"/>
                <w:color w:val="auto"/>
                <w:kern w:val="0"/>
                <w:szCs w:val="21"/>
              </w:rPr>
              <w:t>27</w:t>
            </w:r>
            <w:r>
              <w:rPr>
                <w:rFonts w:ascii="宋体" w:hAnsi="宋体" w:cs="宋体"/>
                <w:color w:val="auto"/>
                <w:kern w:val="0"/>
                <w:szCs w:val="21"/>
              </w:rPr>
              <w:t>'</w:t>
            </w:r>
            <w:r>
              <w:rPr>
                <w:rFonts w:hint="eastAsia" w:ascii="宋体" w:hAnsi="宋体" w:cs="宋体"/>
                <w:color w:val="auto"/>
                <w:kern w:val="0"/>
                <w:szCs w:val="21"/>
              </w:rPr>
              <w:t>36.660</w:t>
            </w:r>
            <w:r>
              <w:rPr>
                <w:rFonts w:ascii="宋体" w:hAnsi="宋体" w:cs="宋体"/>
                <w:color w:val="auto"/>
                <w:kern w:val="0"/>
                <w:szCs w:val="21"/>
              </w:rPr>
              <w:t>"</w:t>
            </w:r>
            <w:r>
              <w:rPr>
                <w:rFonts w:hint="eastAsia" w:ascii="宋体" w:hAnsi="宋体" w:cs="宋体"/>
                <w:color w:val="auto"/>
                <w:kern w:val="0"/>
                <w:szCs w:val="21"/>
              </w:rPr>
              <w:t xml:space="preserve">, N </w:t>
            </w:r>
            <w:r>
              <w:rPr>
                <w:rFonts w:ascii="宋体" w:hAnsi="宋体" w:cs="宋体"/>
                <w:color w:val="auto"/>
                <w:kern w:val="0"/>
                <w:szCs w:val="21"/>
              </w:rPr>
              <w:t>4</w:t>
            </w:r>
            <w:r>
              <w:rPr>
                <w:rFonts w:hint="eastAsia" w:ascii="宋体" w:hAnsi="宋体" w:cs="宋体"/>
                <w:color w:val="auto"/>
                <w:kern w:val="0"/>
                <w:szCs w:val="21"/>
              </w:rPr>
              <w:t>5</w:t>
            </w:r>
            <w:r>
              <w:rPr>
                <w:rFonts w:ascii="宋体" w:hAnsi="宋体" w:cs="宋体"/>
                <w:color w:val="auto"/>
                <w:kern w:val="0"/>
                <w:szCs w:val="21"/>
              </w:rPr>
              <w:t>°</w:t>
            </w:r>
            <w:r>
              <w:rPr>
                <w:rFonts w:hint="eastAsia" w:ascii="宋体" w:hAnsi="宋体" w:cs="宋体"/>
                <w:color w:val="auto"/>
                <w:kern w:val="0"/>
                <w:szCs w:val="21"/>
              </w:rPr>
              <w:t>7</w:t>
            </w:r>
            <w:r>
              <w:rPr>
                <w:rFonts w:ascii="宋体" w:hAnsi="宋体" w:cs="宋体"/>
                <w:color w:val="auto"/>
                <w:kern w:val="0"/>
                <w:szCs w:val="21"/>
              </w:rPr>
              <w:t>'</w:t>
            </w:r>
            <w:r>
              <w:rPr>
                <w:rFonts w:hint="eastAsia" w:ascii="宋体" w:hAnsi="宋体" w:cs="宋体"/>
                <w:color w:val="auto"/>
                <w:kern w:val="0"/>
                <w:szCs w:val="21"/>
              </w:rPr>
              <w:t>31.370</w:t>
            </w:r>
            <w:r>
              <w:rPr>
                <w:rFonts w:ascii="宋体" w:hAnsi="宋体" w:cs="宋体"/>
                <w:color w:val="auto"/>
                <w:kern w:val="0"/>
                <w:szCs w:val="21"/>
              </w:rPr>
              <w:t>"</w:t>
            </w:r>
          </w:p>
        </w:tc>
        <w:tc>
          <w:tcPr>
            <w:tcW w:w="867" w:type="pct"/>
            <w:tcBorders>
              <w:tl2br w:val="nil"/>
              <w:tr2bl w:val="nil"/>
            </w:tcBorders>
            <w:vAlign w:val="center"/>
          </w:tcPr>
          <w:p w14:paraId="148B7B6D">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海拔（m）：375</w:t>
            </w:r>
          </w:p>
        </w:tc>
        <w:tc>
          <w:tcPr>
            <w:tcW w:w="1206" w:type="pct"/>
            <w:vMerge w:val="restart"/>
            <w:tcBorders>
              <w:tl2br w:val="nil"/>
              <w:tr2bl w:val="nil"/>
            </w:tcBorders>
            <w:vAlign w:val="center"/>
          </w:tcPr>
          <w:p w14:paraId="460AC1E4">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 xml:space="preserve">生境类型：灌丛 </w:t>
            </w:r>
          </w:p>
        </w:tc>
      </w:tr>
      <w:tr w14:paraId="79EBC65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33" w:type="pct"/>
            <w:tcBorders>
              <w:tl2br w:val="nil"/>
              <w:tr2bl w:val="nil"/>
            </w:tcBorders>
            <w:noWrap/>
            <w:vAlign w:val="center"/>
          </w:tcPr>
          <w:p w14:paraId="615A4A78">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终点坐标</w:t>
            </w:r>
          </w:p>
        </w:tc>
        <w:tc>
          <w:tcPr>
            <w:tcW w:w="2194" w:type="pct"/>
            <w:gridSpan w:val="2"/>
            <w:tcBorders>
              <w:tl2br w:val="nil"/>
              <w:tr2bl w:val="nil"/>
            </w:tcBorders>
            <w:vAlign w:val="center"/>
          </w:tcPr>
          <w:p w14:paraId="5FE7B688">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E86</w:t>
            </w:r>
            <w:r>
              <w:rPr>
                <w:rFonts w:ascii="宋体" w:hAnsi="宋体" w:cs="宋体"/>
                <w:color w:val="auto"/>
                <w:kern w:val="0"/>
                <w:szCs w:val="21"/>
              </w:rPr>
              <w:t>°</w:t>
            </w:r>
            <w:r>
              <w:rPr>
                <w:rFonts w:hint="eastAsia" w:ascii="宋体" w:hAnsi="宋体" w:cs="宋体"/>
                <w:color w:val="auto"/>
                <w:kern w:val="0"/>
                <w:szCs w:val="21"/>
              </w:rPr>
              <w:t>27</w:t>
            </w:r>
            <w:r>
              <w:rPr>
                <w:rFonts w:ascii="宋体" w:hAnsi="宋体" w:cs="宋体"/>
                <w:color w:val="auto"/>
                <w:kern w:val="0"/>
                <w:szCs w:val="21"/>
              </w:rPr>
              <w:t>'</w:t>
            </w:r>
            <w:r>
              <w:rPr>
                <w:rFonts w:hint="eastAsia" w:ascii="宋体" w:hAnsi="宋体" w:cs="宋体"/>
                <w:color w:val="auto"/>
                <w:kern w:val="0"/>
                <w:szCs w:val="21"/>
              </w:rPr>
              <w:t>28.080</w:t>
            </w:r>
            <w:r>
              <w:rPr>
                <w:rFonts w:ascii="宋体" w:hAnsi="宋体" w:cs="宋体"/>
                <w:color w:val="auto"/>
                <w:kern w:val="0"/>
                <w:szCs w:val="21"/>
              </w:rPr>
              <w:t>"</w:t>
            </w:r>
            <w:r>
              <w:rPr>
                <w:rFonts w:hint="eastAsia" w:ascii="宋体" w:hAnsi="宋体" w:cs="宋体"/>
                <w:color w:val="auto"/>
                <w:kern w:val="0"/>
                <w:szCs w:val="21"/>
              </w:rPr>
              <w:t>, N</w:t>
            </w:r>
            <w:r>
              <w:rPr>
                <w:rFonts w:ascii="宋体" w:hAnsi="宋体" w:cs="宋体"/>
                <w:color w:val="auto"/>
                <w:kern w:val="0"/>
                <w:szCs w:val="21"/>
              </w:rPr>
              <w:t>4</w:t>
            </w:r>
            <w:r>
              <w:rPr>
                <w:rFonts w:hint="eastAsia" w:ascii="宋体" w:hAnsi="宋体" w:cs="宋体"/>
                <w:color w:val="auto"/>
                <w:kern w:val="0"/>
                <w:szCs w:val="21"/>
              </w:rPr>
              <w:t>5</w:t>
            </w:r>
            <w:r>
              <w:rPr>
                <w:rFonts w:ascii="宋体" w:hAnsi="宋体" w:cs="宋体"/>
                <w:color w:val="auto"/>
                <w:kern w:val="0"/>
                <w:szCs w:val="21"/>
              </w:rPr>
              <w:t>°</w:t>
            </w:r>
            <w:r>
              <w:rPr>
                <w:rFonts w:hint="eastAsia" w:ascii="宋体" w:hAnsi="宋体" w:cs="宋体"/>
                <w:color w:val="auto"/>
                <w:kern w:val="0"/>
                <w:szCs w:val="21"/>
              </w:rPr>
              <w:t>7</w:t>
            </w:r>
            <w:r>
              <w:rPr>
                <w:rFonts w:ascii="宋体" w:hAnsi="宋体" w:cs="宋体"/>
                <w:color w:val="auto"/>
                <w:kern w:val="0"/>
                <w:szCs w:val="21"/>
              </w:rPr>
              <w:t>'</w:t>
            </w:r>
            <w:r>
              <w:rPr>
                <w:rFonts w:hint="eastAsia" w:ascii="宋体" w:hAnsi="宋体" w:cs="宋体"/>
                <w:color w:val="auto"/>
                <w:kern w:val="0"/>
                <w:szCs w:val="21"/>
              </w:rPr>
              <w:t>47.130</w:t>
            </w:r>
            <w:r>
              <w:rPr>
                <w:rFonts w:ascii="宋体" w:hAnsi="宋体" w:cs="宋体"/>
                <w:color w:val="auto"/>
                <w:kern w:val="0"/>
                <w:szCs w:val="21"/>
              </w:rPr>
              <w:t>"</w:t>
            </w:r>
          </w:p>
        </w:tc>
        <w:tc>
          <w:tcPr>
            <w:tcW w:w="867" w:type="pct"/>
            <w:tcBorders>
              <w:tl2br w:val="nil"/>
              <w:tr2bl w:val="nil"/>
            </w:tcBorders>
            <w:vAlign w:val="center"/>
          </w:tcPr>
          <w:p w14:paraId="5752708C">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海拔（m）：399</w:t>
            </w:r>
          </w:p>
        </w:tc>
        <w:tc>
          <w:tcPr>
            <w:tcW w:w="1206" w:type="pct"/>
            <w:vMerge w:val="continue"/>
            <w:tcBorders>
              <w:tl2br w:val="nil"/>
              <w:tr2bl w:val="nil"/>
            </w:tcBorders>
            <w:vAlign w:val="center"/>
          </w:tcPr>
          <w:p w14:paraId="10B48F57">
            <w:pPr>
              <w:spacing w:line="300" w:lineRule="exact"/>
              <w:jc w:val="center"/>
              <w:rPr>
                <w:rFonts w:hint="eastAsia" w:ascii="宋体" w:hAnsi="宋体" w:cs="宋体"/>
                <w:color w:val="auto"/>
                <w:kern w:val="0"/>
                <w:szCs w:val="21"/>
              </w:rPr>
            </w:pPr>
          </w:p>
        </w:tc>
      </w:tr>
      <w:tr w14:paraId="2197C95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771" w:type="pct"/>
            <w:gridSpan w:val="2"/>
            <w:tcBorders>
              <w:tl2br w:val="nil"/>
              <w:tr2bl w:val="nil"/>
            </w:tcBorders>
            <w:noWrap/>
            <w:vAlign w:val="center"/>
          </w:tcPr>
          <w:p w14:paraId="6524A0E4">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调查地点：</w:t>
            </w:r>
            <w:bookmarkStart w:id="632" w:name="OLE_LINK165"/>
            <w:r>
              <w:rPr>
                <w:rFonts w:hint="eastAsia" w:ascii="宋体" w:hAnsi="宋体" w:cs="宋体"/>
                <w:color w:val="auto"/>
                <w:kern w:val="0"/>
                <w:szCs w:val="21"/>
              </w:rPr>
              <w:t>莫172H井场附近</w:t>
            </w:r>
            <w:bookmarkEnd w:id="632"/>
          </w:p>
        </w:tc>
        <w:tc>
          <w:tcPr>
            <w:tcW w:w="2022" w:type="pct"/>
            <w:gridSpan w:val="2"/>
            <w:tcBorders>
              <w:tl2br w:val="nil"/>
              <w:tr2bl w:val="nil"/>
            </w:tcBorders>
            <w:noWrap/>
            <w:vAlign w:val="center"/>
          </w:tcPr>
          <w:p w14:paraId="493D27F7">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调查样线编号：样线2</w:t>
            </w:r>
          </w:p>
        </w:tc>
        <w:tc>
          <w:tcPr>
            <w:tcW w:w="1206" w:type="pct"/>
            <w:tcBorders>
              <w:tl2br w:val="nil"/>
              <w:tr2bl w:val="nil"/>
            </w:tcBorders>
            <w:noWrap/>
            <w:vAlign w:val="center"/>
          </w:tcPr>
          <w:p w14:paraId="4A33001A">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调查样线长（m）：377</w:t>
            </w:r>
          </w:p>
        </w:tc>
      </w:tr>
      <w:tr w14:paraId="5976AD0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33" w:type="pct"/>
            <w:tcBorders>
              <w:tl2br w:val="nil"/>
              <w:tr2bl w:val="nil"/>
            </w:tcBorders>
            <w:noWrap/>
            <w:vAlign w:val="center"/>
          </w:tcPr>
          <w:p w14:paraId="571353DC">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起点坐标</w:t>
            </w:r>
          </w:p>
        </w:tc>
        <w:tc>
          <w:tcPr>
            <w:tcW w:w="2194" w:type="pct"/>
            <w:gridSpan w:val="2"/>
            <w:tcBorders>
              <w:tl2br w:val="nil"/>
              <w:tr2bl w:val="nil"/>
            </w:tcBorders>
            <w:vAlign w:val="center"/>
          </w:tcPr>
          <w:p w14:paraId="1B850F8B">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E86</w:t>
            </w:r>
            <w:r>
              <w:rPr>
                <w:rFonts w:ascii="宋体" w:hAnsi="宋体" w:cs="宋体"/>
                <w:color w:val="auto"/>
                <w:kern w:val="0"/>
                <w:szCs w:val="21"/>
              </w:rPr>
              <w:t>°</w:t>
            </w:r>
            <w:r>
              <w:rPr>
                <w:rFonts w:hint="eastAsia" w:ascii="宋体" w:hAnsi="宋体" w:cs="宋体"/>
                <w:color w:val="auto"/>
                <w:kern w:val="0"/>
                <w:szCs w:val="21"/>
              </w:rPr>
              <w:t>27</w:t>
            </w:r>
            <w:r>
              <w:rPr>
                <w:rFonts w:ascii="宋体" w:hAnsi="宋体" w:cs="宋体"/>
                <w:color w:val="auto"/>
                <w:kern w:val="0"/>
                <w:szCs w:val="21"/>
              </w:rPr>
              <w:t>'</w:t>
            </w:r>
            <w:r>
              <w:rPr>
                <w:rFonts w:hint="eastAsia" w:ascii="宋体" w:hAnsi="宋体" w:cs="宋体"/>
                <w:color w:val="auto"/>
                <w:kern w:val="0"/>
                <w:szCs w:val="21"/>
              </w:rPr>
              <w:t>45.910</w:t>
            </w:r>
            <w:r>
              <w:rPr>
                <w:rFonts w:ascii="宋体" w:hAnsi="宋体" w:cs="宋体"/>
                <w:color w:val="auto"/>
                <w:kern w:val="0"/>
                <w:szCs w:val="21"/>
              </w:rPr>
              <w:t>"</w:t>
            </w:r>
            <w:r>
              <w:rPr>
                <w:rFonts w:hint="eastAsia" w:ascii="宋体" w:hAnsi="宋体" w:cs="宋体"/>
                <w:color w:val="auto"/>
                <w:kern w:val="0"/>
                <w:szCs w:val="21"/>
              </w:rPr>
              <w:t>,N45</w:t>
            </w:r>
            <w:r>
              <w:rPr>
                <w:rFonts w:ascii="宋体" w:hAnsi="宋体" w:cs="宋体"/>
                <w:color w:val="auto"/>
                <w:kern w:val="0"/>
                <w:szCs w:val="21"/>
              </w:rPr>
              <w:t>°</w:t>
            </w:r>
            <w:r>
              <w:rPr>
                <w:rFonts w:hint="eastAsia" w:ascii="宋体" w:hAnsi="宋体" w:cs="宋体"/>
                <w:color w:val="auto"/>
                <w:kern w:val="0"/>
                <w:szCs w:val="21"/>
              </w:rPr>
              <w:t>8</w:t>
            </w:r>
            <w:r>
              <w:rPr>
                <w:rFonts w:ascii="宋体" w:hAnsi="宋体" w:cs="宋体"/>
                <w:color w:val="auto"/>
                <w:kern w:val="0"/>
                <w:szCs w:val="21"/>
              </w:rPr>
              <w:t>'</w:t>
            </w:r>
            <w:r>
              <w:rPr>
                <w:rFonts w:hint="eastAsia" w:ascii="宋体" w:hAnsi="宋体" w:cs="宋体"/>
                <w:color w:val="auto"/>
                <w:kern w:val="0"/>
                <w:szCs w:val="21"/>
              </w:rPr>
              <w:t>6.00</w:t>
            </w:r>
            <w:r>
              <w:rPr>
                <w:rFonts w:ascii="宋体" w:hAnsi="宋体" w:cs="宋体"/>
                <w:color w:val="auto"/>
                <w:kern w:val="0"/>
                <w:szCs w:val="21"/>
              </w:rPr>
              <w:t>"</w:t>
            </w:r>
          </w:p>
        </w:tc>
        <w:tc>
          <w:tcPr>
            <w:tcW w:w="867" w:type="pct"/>
            <w:tcBorders>
              <w:tl2br w:val="nil"/>
              <w:tr2bl w:val="nil"/>
            </w:tcBorders>
            <w:vAlign w:val="center"/>
          </w:tcPr>
          <w:p w14:paraId="5AB1FB32">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海拔（m）：359</w:t>
            </w:r>
          </w:p>
        </w:tc>
        <w:tc>
          <w:tcPr>
            <w:tcW w:w="1206" w:type="pct"/>
            <w:vMerge w:val="restart"/>
            <w:tcBorders>
              <w:tl2br w:val="nil"/>
              <w:tr2bl w:val="nil"/>
            </w:tcBorders>
            <w:vAlign w:val="center"/>
          </w:tcPr>
          <w:p w14:paraId="78FE93BD">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 xml:space="preserve">生境类型：灌丛 </w:t>
            </w:r>
          </w:p>
        </w:tc>
      </w:tr>
      <w:tr w14:paraId="75ABA19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33" w:type="pct"/>
            <w:tcBorders>
              <w:tl2br w:val="nil"/>
              <w:tr2bl w:val="nil"/>
            </w:tcBorders>
            <w:noWrap/>
            <w:vAlign w:val="center"/>
          </w:tcPr>
          <w:p w14:paraId="38D99B13">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终点坐标</w:t>
            </w:r>
          </w:p>
        </w:tc>
        <w:tc>
          <w:tcPr>
            <w:tcW w:w="2194" w:type="pct"/>
            <w:gridSpan w:val="2"/>
            <w:tcBorders>
              <w:tl2br w:val="nil"/>
              <w:tr2bl w:val="nil"/>
            </w:tcBorders>
            <w:vAlign w:val="center"/>
          </w:tcPr>
          <w:p w14:paraId="0F1EE918">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E86</w:t>
            </w:r>
            <w:r>
              <w:rPr>
                <w:rFonts w:ascii="宋体" w:hAnsi="宋体" w:cs="宋体"/>
                <w:color w:val="auto"/>
                <w:kern w:val="0"/>
                <w:szCs w:val="21"/>
              </w:rPr>
              <w:t>°</w:t>
            </w:r>
            <w:r>
              <w:rPr>
                <w:rFonts w:hint="eastAsia" w:ascii="宋体" w:hAnsi="宋体" w:cs="宋体"/>
                <w:color w:val="auto"/>
                <w:kern w:val="0"/>
                <w:szCs w:val="21"/>
              </w:rPr>
              <w:t>27</w:t>
            </w:r>
            <w:r>
              <w:rPr>
                <w:rFonts w:ascii="宋体" w:hAnsi="宋体" w:cs="宋体"/>
                <w:color w:val="auto"/>
                <w:kern w:val="0"/>
                <w:szCs w:val="21"/>
              </w:rPr>
              <w:t>'</w:t>
            </w:r>
            <w:r>
              <w:rPr>
                <w:rFonts w:hint="eastAsia" w:ascii="宋体" w:hAnsi="宋体" w:cs="宋体"/>
                <w:color w:val="auto"/>
                <w:kern w:val="0"/>
                <w:szCs w:val="21"/>
              </w:rPr>
              <w:t>31.890</w:t>
            </w:r>
            <w:r>
              <w:rPr>
                <w:rFonts w:ascii="宋体" w:hAnsi="宋体" w:cs="宋体"/>
                <w:color w:val="auto"/>
                <w:kern w:val="0"/>
                <w:szCs w:val="21"/>
              </w:rPr>
              <w:t>"</w:t>
            </w:r>
            <w:r>
              <w:rPr>
                <w:rFonts w:hint="eastAsia" w:ascii="宋体" w:hAnsi="宋体" w:cs="宋体"/>
                <w:color w:val="auto"/>
                <w:kern w:val="0"/>
                <w:szCs w:val="21"/>
              </w:rPr>
              <w:t>,N45</w:t>
            </w:r>
            <w:r>
              <w:rPr>
                <w:rFonts w:ascii="宋体" w:hAnsi="宋体" w:cs="宋体"/>
                <w:color w:val="auto"/>
                <w:kern w:val="0"/>
                <w:szCs w:val="21"/>
              </w:rPr>
              <w:t>°</w:t>
            </w:r>
            <w:r>
              <w:rPr>
                <w:rFonts w:hint="eastAsia" w:ascii="宋体" w:hAnsi="宋体" w:cs="宋体"/>
                <w:color w:val="auto"/>
                <w:kern w:val="0"/>
                <w:szCs w:val="21"/>
              </w:rPr>
              <w:t>8</w:t>
            </w:r>
            <w:r>
              <w:rPr>
                <w:rFonts w:ascii="宋体" w:hAnsi="宋体" w:cs="宋体"/>
                <w:color w:val="auto"/>
                <w:kern w:val="0"/>
                <w:szCs w:val="21"/>
              </w:rPr>
              <w:t>'</w:t>
            </w:r>
            <w:r>
              <w:rPr>
                <w:rFonts w:hint="eastAsia" w:ascii="宋体" w:hAnsi="宋体" w:cs="宋体"/>
                <w:color w:val="auto"/>
                <w:kern w:val="0"/>
                <w:szCs w:val="21"/>
              </w:rPr>
              <w:t>10.370</w:t>
            </w:r>
            <w:r>
              <w:rPr>
                <w:rFonts w:ascii="宋体" w:hAnsi="宋体" w:cs="宋体"/>
                <w:color w:val="auto"/>
                <w:kern w:val="0"/>
                <w:szCs w:val="21"/>
              </w:rPr>
              <w:t>"</w:t>
            </w:r>
          </w:p>
        </w:tc>
        <w:tc>
          <w:tcPr>
            <w:tcW w:w="867" w:type="pct"/>
            <w:tcBorders>
              <w:tl2br w:val="nil"/>
              <w:tr2bl w:val="nil"/>
            </w:tcBorders>
            <w:vAlign w:val="center"/>
          </w:tcPr>
          <w:p w14:paraId="2FE0F23F">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海拔（m）：355</w:t>
            </w:r>
          </w:p>
        </w:tc>
        <w:tc>
          <w:tcPr>
            <w:tcW w:w="1206" w:type="pct"/>
            <w:vMerge w:val="continue"/>
            <w:tcBorders>
              <w:tl2br w:val="nil"/>
              <w:tr2bl w:val="nil"/>
            </w:tcBorders>
            <w:vAlign w:val="center"/>
          </w:tcPr>
          <w:p w14:paraId="63BA1B06">
            <w:pPr>
              <w:spacing w:line="300" w:lineRule="exact"/>
              <w:jc w:val="center"/>
              <w:rPr>
                <w:rFonts w:hint="eastAsia" w:ascii="宋体" w:hAnsi="宋体" w:cs="宋体"/>
                <w:color w:val="auto"/>
                <w:kern w:val="0"/>
                <w:szCs w:val="21"/>
              </w:rPr>
            </w:pPr>
          </w:p>
        </w:tc>
      </w:tr>
      <w:tr w14:paraId="5B6C8C1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771" w:type="pct"/>
            <w:gridSpan w:val="2"/>
            <w:tcBorders>
              <w:tl2br w:val="nil"/>
              <w:tr2bl w:val="nil"/>
            </w:tcBorders>
            <w:noWrap/>
            <w:vAlign w:val="center"/>
          </w:tcPr>
          <w:p w14:paraId="5463646A">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调查地点：莫174H井场附近</w:t>
            </w:r>
          </w:p>
        </w:tc>
        <w:tc>
          <w:tcPr>
            <w:tcW w:w="2022" w:type="pct"/>
            <w:gridSpan w:val="2"/>
            <w:tcBorders>
              <w:tl2br w:val="nil"/>
              <w:tr2bl w:val="nil"/>
            </w:tcBorders>
            <w:noWrap/>
            <w:vAlign w:val="center"/>
          </w:tcPr>
          <w:p w14:paraId="04101DD7">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调查样线编号：样线3</w:t>
            </w:r>
          </w:p>
        </w:tc>
        <w:tc>
          <w:tcPr>
            <w:tcW w:w="1206" w:type="pct"/>
            <w:tcBorders>
              <w:tl2br w:val="nil"/>
              <w:tr2bl w:val="nil"/>
            </w:tcBorders>
            <w:noWrap/>
            <w:vAlign w:val="center"/>
          </w:tcPr>
          <w:p w14:paraId="795560B9">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调查样线长（m）：192</w:t>
            </w:r>
          </w:p>
        </w:tc>
      </w:tr>
      <w:tr w14:paraId="5F73696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33" w:type="pct"/>
            <w:tcBorders>
              <w:tl2br w:val="nil"/>
              <w:tr2bl w:val="nil"/>
            </w:tcBorders>
            <w:noWrap/>
            <w:vAlign w:val="center"/>
          </w:tcPr>
          <w:p w14:paraId="6E4679E9">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起点坐标</w:t>
            </w:r>
          </w:p>
        </w:tc>
        <w:tc>
          <w:tcPr>
            <w:tcW w:w="2194" w:type="pct"/>
            <w:gridSpan w:val="2"/>
            <w:tcBorders>
              <w:tl2br w:val="nil"/>
              <w:tr2bl w:val="nil"/>
            </w:tcBorders>
            <w:vAlign w:val="center"/>
          </w:tcPr>
          <w:p w14:paraId="20BFC4A6">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E86</w:t>
            </w:r>
            <w:r>
              <w:rPr>
                <w:rFonts w:ascii="宋体" w:hAnsi="宋体" w:cs="宋体"/>
                <w:color w:val="auto"/>
                <w:kern w:val="0"/>
                <w:szCs w:val="21"/>
              </w:rPr>
              <w:t>°</w:t>
            </w:r>
            <w:r>
              <w:rPr>
                <w:rFonts w:hint="eastAsia" w:ascii="宋体" w:hAnsi="宋体" w:cs="宋体"/>
                <w:color w:val="auto"/>
                <w:kern w:val="0"/>
                <w:szCs w:val="21"/>
              </w:rPr>
              <w:t>27</w:t>
            </w:r>
            <w:r>
              <w:rPr>
                <w:rFonts w:ascii="宋体" w:hAnsi="宋体" w:cs="宋体"/>
                <w:color w:val="auto"/>
                <w:kern w:val="0"/>
                <w:szCs w:val="21"/>
              </w:rPr>
              <w:t>'</w:t>
            </w:r>
            <w:r>
              <w:rPr>
                <w:rFonts w:hint="eastAsia" w:ascii="宋体" w:hAnsi="宋体" w:cs="宋体"/>
                <w:color w:val="auto"/>
                <w:kern w:val="0"/>
                <w:szCs w:val="21"/>
              </w:rPr>
              <w:t>32.150</w:t>
            </w:r>
            <w:r>
              <w:rPr>
                <w:rFonts w:ascii="宋体" w:hAnsi="宋体" w:cs="宋体"/>
                <w:color w:val="auto"/>
                <w:kern w:val="0"/>
                <w:szCs w:val="21"/>
              </w:rPr>
              <w:t>"</w:t>
            </w:r>
            <w:r>
              <w:rPr>
                <w:rFonts w:hint="eastAsia" w:ascii="宋体" w:hAnsi="宋体" w:cs="宋体"/>
                <w:color w:val="auto"/>
                <w:kern w:val="0"/>
                <w:szCs w:val="21"/>
              </w:rPr>
              <w:t xml:space="preserve">,N </w:t>
            </w:r>
            <w:r>
              <w:rPr>
                <w:rFonts w:ascii="宋体" w:hAnsi="宋体" w:cs="宋体"/>
                <w:color w:val="auto"/>
                <w:kern w:val="0"/>
                <w:szCs w:val="21"/>
              </w:rPr>
              <w:t>4</w:t>
            </w:r>
            <w:r>
              <w:rPr>
                <w:rFonts w:hint="eastAsia" w:ascii="宋体" w:hAnsi="宋体" w:cs="宋体"/>
                <w:color w:val="auto"/>
                <w:kern w:val="0"/>
                <w:szCs w:val="21"/>
              </w:rPr>
              <w:t>5</w:t>
            </w:r>
            <w:r>
              <w:rPr>
                <w:rFonts w:ascii="宋体" w:hAnsi="宋体" w:cs="宋体"/>
                <w:color w:val="auto"/>
                <w:kern w:val="0"/>
                <w:szCs w:val="21"/>
              </w:rPr>
              <w:t>°</w:t>
            </w:r>
            <w:r>
              <w:rPr>
                <w:rFonts w:hint="eastAsia" w:ascii="宋体" w:hAnsi="宋体" w:cs="宋体"/>
                <w:color w:val="auto"/>
                <w:kern w:val="0"/>
                <w:szCs w:val="21"/>
              </w:rPr>
              <w:t>6</w:t>
            </w:r>
            <w:r>
              <w:rPr>
                <w:rFonts w:ascii="宋体" w:hAnsi="宋体" w:cs="宋体"/>
                <w:color w:val="auto"/>
                <w:kern w:val="0"/>
                <w:szCs w:val="21"/>
              </w:rPr>
              <w:t>'</w:t>
            </w:r>
            <w:r>
              <w:rPr>
                <w:rFonts w:hint="eastAsia" w:ascii="宋体" w:hAnsi="宋体" w:cs="宋体"/>
                <w:color w:val="auto"/>
                <w:kern w:val="0"/>
                <w:szCs w:val="21"/>
              </w:rPr>
              <w:t>49.220</w:t>
            </w:r>
            <w:r>
              <w:rPr>
                <w:rFonts w:ascii="宋体" w:hAnsi="宋体" w:cs="宋体"/>
                <w:color w:val="auto"/>
                <w:kern w:val="0"/>
                <w:szCs w:val="21"/>
              </w:rPr>
              <w:t>"</w:t>
            </w:r>
          </w:p>
        </w:tc>
        <w:tc>
          <w:tcPr>
            <w:tcW w:w="867" w:type="pct"/>
            <w:tcBorders>
              <w:tl2br w:val="nil"/>
              <w:tr2bl w:val="nil"/>
            </w:tcBorders>
            <w:vAlign w:val="center"/>
          </w:tcPr>
          <w:p w14:paraId="77E7E872">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海拔（m）：384</w:t>
            </w:r>
          </w:p>
        </w:tc>
        <w:tc>
          <w:tcPr>
            <w:tcW w:w="1206" w:type="pct"/>
            <w:vMerge w:val="restart"/>
            <w:tcBorders>
              <w:tl2br w:val="nil"/>
              <w:tr2bl w:val="nil"/>
            </w:tcBorders>
            <w:vAlign w:val="center"/>
          </w:tcPr>
          <w:p w14:paraId="16CD5CF2">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 xml:space="preserve">生境类型：灌丛 </w:t>
            </w:r>
          </w:p>
        </w:tc>
      </w:tr>
      <w:tr w14:paraId="0A19512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33" w:type="pct"/>
            <w:tcBorders>
              <w:tl2br w:val="nil"/>
              <w:tr2bl w:val="nil"/>
            </w:tcBorders>
            <w:noWrap/>
            <w:vAlign w:val="center"/>
          </w:tcPr>
          <w:p w14:paraId="699EBAA7">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终点坐标</w:t>
            </w:r>
          </w:p>
        </w:tc>
        <w:tc>
          <w:tcPr>
            <w:tcW w:w="2194" w:type="pct"/>
            <w:gridSpan w:val="2"/>
            <w:tcBorders>
              <w:tl2br w:val="nil"/>
              <w:tr2bl w:val="nil"/>
            </w:tcBorders>
            <w:vAlign w:val="center"/>
          </w:tcPr>
          <w:p w14:paraId="096B81A5">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E86</w:t>
            </w:r>
            <w:r>
              <w:rPr>
                <w:rFonts w:ascii="宋体" w:hAnsi="宋体" w:cs="宋体"/>
                <w:color w:val="auto"/>
                <w:kern w:val="0"/>
                <w:szCs w:val="21"/>
              </w:rPr>
              <w:t>°</w:t>
            </w:r>
            <w:r>
              <w:rPr>
                <w:rFonts w:hint="eastAsia" w:ascii="宋体" w:hAnsi="宋体" w:cs="宋体"/>
                <w:color w:val="auto"/>
                <w:kern w:val="0"/>
                <w:szCs w:val="21"/>
              </w:rPr>
              <w:t>29</w:t>
            </w:r>
            <w:r>
              <w:rPr>
                <w:rFonts w:ascii="宋体" w:hAnsi="宋体" w:cs="宋体"/>
                <w:color w:val="auto"/>
                <w:kern w:val="0"/>
                <w:szCs w:val="21"/>
              </w:rPr>
              <w:t>'</w:t>
            </w:r>
            <w:r>
              <w:rPr>
                <w:rFonts w:hint="eastAsia" w:ascii="宋体" w:hAnsi="宋体" w:cs="宋体"/>
                <w:color w:val="auto"/>
                <w:kern w:val="0"/>
                <w:szCs w:val="21"/>
              </w:rPr>
              <w:t>39.230</w:t>
            </w:r>
            <w:r>
              <w:rPr>
                <w:rFonts w:ascii="宋体" w:hAnsi="宋体" w:cs="宋体"/>
                <w:color w:val="auto"/>
                <w:kern w:val="0"/>
                <w:szCs w:val="21"/>
              </w:rPr>
              <w:t>"</w:t>
            </w:r>
            <w:r>
              <w:rPr>
                <w:rFonts w:hint="eastAsia" w:ascii="宋体" w:hAnsi="宋体" w:cs="宋体"/>
                <w:color w:val="auto"/>
                <w:kern w:val="0"/>
                <w:szCs w:val="21"/>
              </w:rPr>
              <w:t>,N45</w:t>
            </w:r>
            <w:r>
              <w:rPr>
                <w:rFonts w:ascii="宋体" w:hAnsi="宋体" w:cs="宋体"/>
                <w:color w:val="auto"/>
                <w:kern w:val="0"/>
                <w:szCs w:val="21"/>
              </w:rPr>
              <w:t>°</w:t>
            </w:r>
            <w:r>
              <w:rPr>
                <w:rFonts w:hint="eastAsia" w:ascii="宋体" w:hAnsi="宋体" w:cs="宋体"/>
                <w:color w:val="auto"/>
                <w:kern w:val="0"/>
                <w:szCs w:val="21"/>
              </w:rPr>
              <w:t>6</w:t>
            </w:r>
            <w:r>
              <w:rPr>
                <w:rFonts w:ascii="宋体" w:hAnsi="宋体" w:cs="宋体"/>
                <w:color w:val="auto"/>
                <w:kern w:val="0"/>
                <w:szCs w:val="21"/>
              </w:rPr>
              <w:t>'</w:t>
            </w:r>
            <w:r>
              <w:rPr>
                <w:rFonts w:hint="eastAsia" w:ascii="宋体" w:hAnsi="宋体" w:cs="宋体"/>
                <w:color w:val="auto"/>
                <w:kern w:val="0"/>
                <w:szCs w:val="21"/>
              </w:rPr>
              <w:t>52.300</w:t>
            </w:r>
            <w:r>
              <w:rPr>
                <w:rFonts w:ascii="宋体" w:hAnsi="宋体" w:cs="宋体"/>
                <w:color w:val="auto"/>
                <w:kern w:val="0"/>
                <w:szCs w:val="21"/>
              </w:rPr>
              <w:t>"</w:t>
            </w:r>
          </w:p>
        </w:tc>
        <w:tc>
          <w:tcPr>
            <w:tcW w:w="867" w:type="pct"/>
            <w:tcBorders>
              <w:tl2br w:val="nil"/>
              <w:tr2bl w:val="nil"/>
            </w:tcBorders>
            <w:vAlign w:val="center"/>
          </w:tcPr>
          <w:p w14:paraId="7C595CC5">
            <w:pPr>
              <w:spacing w:line="300" w:lineRule="exact"/>
              <w:jc w:val="center"/>
              <w:rPr>
                <w:rFonts w:hint="eastAsia" w:ascii="宋体" w:hAnsi="宋体" w:cs="宋体"/>
                <w:color w:val="auto"/>
                <w:kern w:val="0"/>
                <w:szCs w:val="21"/>
              </w:rPr>
            </w:pPr>
            <w:r>
              <w:rPr>
                <w:rFonts w:hint="eastAsia" w:ascii="宋体" w:hAnsi="宋体" w:cs="宋体"/>
                <w:color w:val="auto"/>
                <w:kern w:val="0"/>
                <w:szCs w:val="21"/>
              </w:rPr>
              <w:t>海拔（m）：391</w:t>
            </w:r>
          </w:p>
        </w:tc>
        <w:tc>
          <w:tcPr>
            <w:tcW w:w="1206" w:type="pct"/>
            <w:vMerge w:val="continue"/>
            <w:tcBorders>
              <w:tl2br w:val="nil"/>
              <w:tr2bl w:val="nil"/>
            </w:tcBorders>
            <w:vAlign w:val="center"/>
          </w:tcPr>
          <w:p w14:paraId="0B48FCDD">
            <w:pPr>
              <w:spacing w:line="300" w:lineRule="exact"/>
              <w:jc w:val="center"/>
              <w:rPr>
                <w:rFonts w:hint="eastAsia" w:ascii="宋体" w:hAnsi="宋体" w:cs="宋体"/>
                <w:color w:val="auto"/>
                <w:kern w:val="0"/>
                <w:szCs w:val="21"/>
              </w:rPr>
            </w:pPr>
          </w:p>
        </w:tc>
      </w:tr>
    </w:tbl>
    <w:p w14:paraId="084BE93E">
      <w:pPr>
        <w:pStyle w:val="45"/>
        <w:widowControl w:val="0"/>
        <w:spacing w:line="500" w:lineRule="exact"/>
        <w:ind w:firstLine="480" w:firstLineChars="200"/>
        <w:jc w:val="both"/>
        <w:rPr>
          <w:rFonts w:hint="eastAsia" w:ascii="宋体" w:hAnsi="宋体"/>
          <w:color w:val="auto"/>
          <w:kern w:val="2"/>
          <w:lang w:bidi="ar"/>
        </w:rPr>
      </w:pPr>
      <w:r>
        <w:rPr>
          <w:rFonts w:ascii="宋体" w:hAnsi="宋体"/>
          <w:color w:val="auto"/>
          <w:kern w:val="2"/>
          <w:lang w:bidi="ar"/>
        </w:rPr>
        <w:t>在调查过程中，未发现哺乳类野生动物出没，也未发现哺乳类野生动物的粪便、足印、洞穴等，在</w:t>
      </w:r>
      <w:r>
        <w:rPr>
          <w:rFonts w:hint="eastAsia" w:ascii="宋体" w:hAnsi="宋体"/>
          <w:color w:val="auto"/>
          <w:kern w:val="2"/>
          <w:lang w:bidi="ar"/>
        </w:rPr>
        <w:t>沿线</w:t>
      </w:r>
      <w:r>
        <w:rPr>
          <w:rFonts w:ascii="宋体" w:hAnsi="宋体"/>
          <w:color w:val="auto"/>
          <w:kern w:val="2"/>
          <w:lang w:bidi="ar"/>
        </w:rPr>
        <w:t>内可听闻有鸟类叫声，可见爬行类动物的踪迹。调查结果表明，项目区域内由于受到</w:t>
      </w:r>
      <w:r>
        <w:rPr>
          <w:rFonts w:hint="eastAsia" w:ascii="宋体" w:hAnsi="宋体"/>
          <w:color w:val="auto"/>
          <w:kern w:val="2"/>
          <w:lang w:bidi="ar"/>
        </w:rPr>
        <w:t>油田开发活动的</w:t>
      </w:r>
      <w:r>
        <w:rPr>
          <w:rFonts w:ascii="宋体" w:hAnsi="宋体"/>
          <w:color w:val="auto"/>
          <w:kern w:val="2"/>
          <w:lang w:bidi="ar"/>
        </w:rPr>
        <w:t>干扰，大型野生动物比较少见，主要为爬行类和鸟类。</w:t>
      </w:r>
    </w:p>
    <w:p w14:paraId="633FA459">
      <w:pPr>
        <w:pStyle w:val="45"/>
        <w:widowControl w:val="0"/>
        <w:spacing w:line="500" w:lineRule="exact"/>
        <w:ind w:firstLine="480" w:firstLineChars="200"/>
        <w:jc w:val="both"/>
        <w:rPr>
          <w:rFonts w:hint="eastAsia" w:ascii="宋体" w:hAnsi="宋体"/>
          <w:color w:val="auto"/>
          <w:kern w:val="2"/>
          <w:lang w:bidi="ar"/>
        </w:rPr>
      </w:pPr>
      <w:r>
        <w:rPr>
          <w:rFonts w:hint="eastAsia" w:ascii="宋体" w:hAnsi="宋体"/>
          <w:color w:val="auto"/>
          <w:kern w:val="2"/>
          <w:lang w:bidi="ar"/>
        </w:rPr>
        <w:t>（5）生态系统类型、特征和功能</w:t>
      </w:r>
    </w:p>
    <w:p w14:paraId="1B90C659">
      <w:pPr>
        <w:pStyle w:val="45"/>
        <w:widowControl w:val="0"/>
        <w:spacing w:line="500" w:lineRule="exact"/>
        <w:ind w:firstLine="480" w:firstLineChars="200"/>
        <w:jc w:val="both"/>
        <w:rPr>
          <w:rFonts w:hint="eastAsia" w:ascii="宋体" w:hAnsi="宋体"/>
          <w:color w:val="auto"/>
        </w:rPr>
      </w:pPr>
      <w:r>
        <w:rPr>
          <w:rFonts w:hint="eastAsia" w:ascii="宋体" w:hAnsi="宋体"/>
          <w:color w:val="auto"/>
          <w:kern w:val="2"/>
          <w:lang w:bidi="ar"/>
        </w:rPr>
        <w:t>项目位于古尔班通古特沙漠边缘，所在区域属于荒漠生态系统，</w:t>
      </w:r>
      <w:r>
        <w:rPr>
          <w:rFonts w:hint="eastAsia" w:ascii="宋体" w:hAnsi="宋体"/>
          <w:color w:val="auto"/>
        </w:rPr>
        <w:t>该区属温带大陆性气候，气候干旱，降雨少，生态环境比较脆弱。主要生长梭梭、柽柳和一些草本植物。荒漠生态系统提供的最为重要的功能为防风固沙，主要变现为荒漠植被降低风沙流动。</w:t>
      </w:r>
    </w:p>
    <w:bookmarkEnd w:id="623"/>
    <w:bookmarkEnd w:id="627"/>
    <w:bookmarkEnd w:id="628"/>
    <w:bookmarkEnd w:id="631"/>
    <w:p w14:paraId="1C15F9E9">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区域沙化土地现状</w:t>
      </w:r>
    </w:p>
    <w:p w14:paraId="12210E41">
      <w:pPr>
        <w:pStyle w:val="86"/>
        <w:adjustRightInd w:val="0"/>
        <w:snapToGrid w:val="0"/>
        <w:ind w:firstLine="480"/>
        <w:rPr>
          <w:rFonts w:hint="eastAsia"/>
          <w:color w:val="auto"/>
        </w:rPr>
      </w:pPr>
      <w:bookmarkStart w:id="633" w:name="_Hlk80874981"/>
      <w:r>
        <w:rPr>
          <w:rFonts w:hint="eastAsia"/>
          <w:color w:val="auto"/>
        </w:rPr>
        <w:t>根据《新疆第六次沙化土地监测报告》可知，项目所在区域为固定沙地，详见图</w:t>
      </w:r>
      <w:r>
        <w:rPr>
          <w:color w:val="auto"/>
        </w:rPr>
        <w:t>4.3</w:t>
      </w:r>
      <w:r>
        <w:rPr>
          <w:rFonts w:hint="eastAsia"/>
          <w:color w:val="auto"/>
        </w:rPr>
        <w:t>-9。土地沙化形成的自然因素主要为气候干旱、降水稀少是土地沙化的主要自然因素，多风的动力条件是沙化土地发生发展的主要自然营力，丰富的沙物质是发生土地沙化的物质基础。人口快速增长，盲目开垦土地，过度放牧，过度樵采和不合理的水资源利用等是土地沙化的人为因素。本项目所在区域的土地沙化形成的主要原因多为自然因素。</w:t>
      </w:r>
    </w:p>
    <w:bookmarkEnd w:id="633"/>
    <w:p w14:paraId="192C8658">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634" w:name="_Hlk160376485"/>
      <w:r>
        <w:rPr>
          <w:rFonts w:hint="eastAsia" w:ascii="黑体" w:hAnsi="黑体" w:eastAsia="黑体" w:cs="Times New Roman"/>
          <w:color w:val="auto"/>
          <w:sz w:val="24"/>
          <w:szCs w:val="21"/>
          <w:lang w:val="zh-CN"/>
          <w14:ligatures w14:val="none"/>
        </w:rPr>
        <w:t>水土流失现状</w:t>
      </w:r>
    </w:p>
    <w:bookmarkEnd w:id="634"/>
    <w:p w14:paraId="5C2A9052">
      <w:pPr>
        <w:adjustRightInd w:val="0"/>
        <w:snapToGrid w:val="0"/>
        <w:spacing w:line="460" w:lineRule="exact"/>
        <w:ind w:firstLine="480" w:firstLineChars="200"/>
        <w:rPr>
          <w:rFonts w:hint="eastAsia" w:ascii="宋体" w:hAnsi="宋体"/>
          <w:color w:val="auto"/>
          <w:sz w:val="24"/>
          <w:szCs w:val="24"/>
          <w:lang w:bidi="ar"/>
        </w:rPr>
      </w:pPr>
      <w:bookmarkStart w:id="635" w:name="_Hlk160376504"/>
      <w:bookmarkStart w:id="636" w:name="_Hlk147587103"/>
      <w:r>
        <w:rPr>
          <w:rFonts w:hint="eastAsia" w:ascii="宋体" w:hAnsi="宋体"/>
          <w:color w:val="auto"/>
          <w:sz w:val="24"/>
          <w:szCs w:val="24"/>
          <w:lang w:bidi="ar"/>
        </w:rPr>
        <w:t>根据《新疆维吾尔自治区昌吉回族自治州水土保持规划（2</w:t>
      </w:r>
      <w:r>
        <w:rPr>
          <w:rFonts w:ascii="宋体" w:hAnsi="宋体"/>
          <w:color w:val="auto"/>
          <w:sz w:val="24"/>
          <w:szCs w:val="24"/>
          <w:lang w:bidi="ar"/>
        </w:rPr>
        <w:t>021</w:t>
      </w:r>
      <w:r>
        <w:rPr>
          <w:rFonts w:hint="eastAsia" w:ascii="宋体" w:hAnsi="宋体"/>
          <w:color w:val="auto"/>
          <w:sz w:val="24"/>
          <w:szCs w:val="24"/>
          <w:lang w:bidi="ar"/>
        </w:rPr>
        <w:t>-</w:t>
      </w:r>
      <w:r>
        <w:rPr>
          <w:rFonts w:ascii="宋体" w:hAnsi="宋体"/>
          <w:color w:val="auto"/>
          <w:sz w:val="24"/>
          <w:szCs w:val="24"/>
          <w:lang w:bidi="ar"/>
        </w:rPr>
        <w:t>2030</w:t>
      </w:r>
      <w:r>
        <w:rPr>
          <w:rFonts w:hint="eastAsia" w:ascii="宋体" w:hAnsi="宋体"/>
          <w:color w:val="auto"/>
          <w:sz w:val="24"/>
          <w:szCs w:val="24"/>
          <w:lang w:bidi="ar"/>
        </w:rPr>
        <w:t>年）》规定，项目区</w:t>
      </w:r>
      <w:bookmarkStart w:id="637" w:name="_Hlk165761744"/>
      <w:r>
        <w:rPr>
          <w:rFonts w:hint="eastAsia" w:ascii="宋体" w:hAnsi="宋体"/>
          <w:color w:val="auto"/>
          <w:sz w:val="24"/>
          <w:szCs w:val="24"/>
          <w:lang w:bidi="ar"/>
        </w:rPr>
        <w:t>不属于水土流失重点预防和重点治理区</w:t>
      </w:r>
      <w:bookmarkEnd w:id="637"/>
      <w:r>
        <w:rPr>
          <w:rFonts w:hint="eastAsia" w:ascii="宋体" w:hAnsi="宋体"/>
          <w:color w:val="auto"/>
          <w:sz w:val="24"/>
          <w:szCs w:val="24"/>
          <w:lang w:bidi="ar"/>
        </w:rPr>
        <w:t>，详见图4.3-10。</w:t>
      </w:r>
    </w:p>
    <w:p w14:paraId="67EF7606">
      <w:pPr>
        <w:adjustRightInd w:val="0"/>
        <w:snapToGrid w:val="0"/>
        <w:spacing w:line="460" w:lineRule="exact"/>
        <w:ind w:firstLine="480" w:firstLineChars="200"/>
        <w:rPr>
          <w:rFonts w:hint="eastAsia" w:ascii="宋体" w:hAnsi="宋体"/>
          <w:color w:val="auto"/>
          <w:sz w:val="24"/>
          <w:szCs w:val="24"/>
          <w:lang w:bidi="ar"/>
        </w:rPr>
      </w:pPr>
      <w:r>
        <w:rPr>
          <w:rFonts w:hint="eastAsia" w:ascii="宋体" w:hAnsi="宋体"/>
          <w:color w:val="auto"/>
          <w:sz w:val="24"/>
          <w:szCs w:val="24"/>
          <w:lang w:bidi="ar"/>
        </w:rPr>
        <w:t>项目区水土流失类型以风力侵蚀为主，侵蚀强度主要以轻度为主。风力侵蚀是最主要和典型的侵蚀类型，遍布全州，主要分布在山麓、盆地及河流中下游平原地带，特别是沙漠周边及局部中小型沙漠附近危害十分严重，不仅造成风沙堆积、沙埋农田、土地沙化、土地生产力下降等，而且产生大范围的沙尘暴灾害和大气污染，影响人体健康，并对交通、通讯和水利设施造成危害。</w:t>
      </w:r>
      <w:bookmarkEnd w:id="635"/>
    </w:p>
    <w:bookmarkEnd w:id="636"/>
    <w:p w14:paraId="688FB505">
      <w:pPr>
        <w:pStyle w:val="86"/>
        <w:adjustRightInd w:val="0"/>
        <w:snapToGrid w:val="0"/>
        <w:ind w:firstLine="480"/>
        <w:rPr>
          <w:rFonts w:hint="eastAsia"/>
          <w:color w:val="auto"/>
        </w:rPr>
        <w:sectPr>
          <w:headerReference r:id="rId21" w:type="default"/>
          <w:footerReference r:id="rId22" w:type="default"/>
          <w:pgSz w:w="11906" w:h="16838"/>
          <w:pgMar w:top="1418" w:right="1588" w:bottom="1418" w:left="1588" w:header="1020" w:footer="1020" w:gutter="0"/>
          <w:cols w:space="720" w:num="1"/>
          <w:docGrid w:type="lines" w:linePitch="312" w:charSpace="0"/>
        </w:sectPr>
      </w:pPr>
    </w:p>
    <w:p w14:paraId="6C206FC8">
      <w:pPr>
        <w:pStyle w:val="86"/>
        <w:adjustRightInd w:val="0"/>
        <w:snapToGrid w:val="0"/>
        <w:spacing w:line="360" w:lineRule="auto"/>
        <w:ind w:firstLine="0" w:firstLineChars="0"/>
        <w:jc w:val="center"/>
        <w:rPr>
          <w:rFonts w:hint="eastAsia" w:ascii="黑体" w:hAnsi="黑体" w:eastAsia="黑体"/>
          <w:color w:val="auto"/>
          <w:sz w:val="21"/>
          <w:szCs w:val="21"/>
        </w:rPr>
      </w:pPr>
      <w:r>
        <w:rPr>
          <w:color w:val="auto"/>
        </w:rPr>
        <w:drawing>
          <wp:inline distT="0" distB="0" distL="0" distR="0">
            <wp:extent cx="7045325" cy="5033645"/>
            <wp:effectExtent l="0" t="0" r="3175" b="0"/>
            <wp:docPr id="7098646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64658" name="图片 1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7047218" cy="5035165"/>
                    </a:xfrm>
                    <a:prstGeom prst="rect">
                      <a:avLst/>
                    </a:prstGeom>
                    <a:noFill/>
                    <a:ln>
                      <a:noFill/>
                    </a:ln>
                  </pic:spPr>
                </pic:pic>
              </a:graphicData>
            </a:graphic>
          </wp:inline>
        </w:drawing>
      </w:r>
    </w:p>
    <w:p w14:paraId="336D4C3C">
      <w:pPr>
        <w:pStyle w:val="86"/>
        <w:adjustRightInd w:val="0"/>
        <w:snapToGrid w:val="0"/>
        <w:spacing w:line="240" w:lineRule="auto"/>
        <w:ind w:firstLine="0" w:firstLineChars="0"/>
        <w:jc w:val="center"/>
        <w:rPr>
          <w:rFonts w:hint="eastAsia" w:ascii="黑体" w:hAnsi="黑体" w:eastAsia="黑体"/>
          <w:color w:val="auto"/>
          <w:sz w:val="21"/>
          <w:szCs w:val="21"/>
        </w:rPr>
      </w:pPr>
      <w:r>
        <w:rPr>
          <w:rFonts w:hint="eastAsia" w:ascii="黑体" w:hAnsi="黑体" w:eastAsia="黑体"/>
          <w:color w:val="auto"/>
          <w:sz w:val="21"/>
          <w:szCs w:val="21"/>
        </w:rPr>
        <w:t>图4</w:t>
      </w:r>
      <w:r>
        <w:rPr>
          <w:rFonts w:ascii="黑体" w:hAnsi="黑体" w:eastAsia="黑体"/>
          <w:color w:val="auto"/>
          <w:sz w:val="21"/>
          <w:szCs w:val="21"/>
        </w:rPr>
        <w:t>.3</w:t>
      </w:r>
      <w:r>
        <w:rPr>
          <w:rFonts w:hint="eastAsia" w:ascii="黑体" w:hAnsi="黑体" w:eastAsia="黑体"/>
          <w:color w:val="auto"/>
          <w:sz w:val="21"/>
          <w:szCs w:val="21"/>
        </w:rPr>
        <w:t>-9</w:t>
      </w:r>
      <w:r>
        <w:rPr>
          <w:rFonts w:ascii="黑体" w:hAnsi="黑体" w:eastAsia="黑体"/>
          <w:color w:val="auto"/>
          <w:sz w:val="21"/>
          <w:szCs w:val="21"/>
        </w:rPr>
        <w:t xml:space="preserve">  </w:t>
      </w:r>
      <w:r>
        <w:rPr>
          <w:rFonts w:hint="eastAsia" w:ascii="黑体" w:hAnsi="黑体" w:eastAsia="黑体"/>
          <w:color w:val="auto"/>
          <w:sz w:val="21"/>
          <w:szCs w:val="21"/>
        </w:rPr>
        <w:t>区域沙化现状示意图</w:t>
      </w:r>
    </w:p>
    <w:p w14:paraId="031267F3">
      <w:pPr>
        <w:pStyle w:val="86"/>
        <w:adjustRightInd w:val="0"/>
        <w:snapToGrid w:val="0"/>
        <w:spacing w:line="360" w:lineRule="auto"/>
        <w:ind w:firstLine="0" w:firstLineChars="0"/>
        <w:jc w:val="center"/>
        <w:rPr>
          <w:rFonts w:hint="eastAsia" w:ascii="黑体" w:hAnsi="黑体" w:eastAsia="黑体"/>
          <w:color w:val="auto"/>
          <w:sz w:val="21"/>
          <w:szCs w:val="21"/>
        </w:rPr>
      </w:pPr>
      <w:r>
        <w:rPr>
          <w:rFonts w:ascii="黑体" w:hAnsi="黑体" w:eastAsia="黑体"/>
          <w:color w:val="auto"/>
          <w:sz w:val="21"/>
          <w:szCs w:val="21"/>
        </w:rPr>
        <w:drawing>
          <wp:inline distT="0" distB="0" distL="0" distR="0">
            <wp:extent cx="8038465" cy="4981575"/>
            <wp:effectExtent l="0" t="0" r="63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8048991" cy="4987814"/>
                    </a:xfrm>
                    <a:prstGeom prst="rect">
                      <a:avLst/>
                    </a:prstGeom>
                  </pic:spPr>
                </pic:pic>
              </a:graphicData>
            </a:graphic>
          </wp:inline>
        </w:drawing>
      </w:r>
    </w:p>
    <w:p w14:paraId="742A9A0F">
      <w:pPr>
        <w:pStyle w:val="86"/>
        <w:ind w:firstLine="0" w:firstLineChars="0"/>
        <w:jc w:val="center"/>
        <w:rPr>
          <w:rFonts w:hint="eastAsia" w:ascii="黑体" w:hAnsi="黑体" w:eastAsia="黑体"/>
          <w:color w:val="auto"/>
          <w:sz w:val="21"/>
          <w:szCs w:val="21"/>
        </w:rPr>
        <w:sectPr>
          <w:headerReference r:id="rId23" w:type="default"/>
          <w:footerReference r:id="rId24" w:type="default"/>
          <w:pgSz w:w="16838" w:h="11906" w:orient="landscape"/>
          <w:pgMar w:top="1588" w:right="1418" w:bottom="1588" w:left="1418" w:header="851" w:footer="992" w:gutter="0"/>
          <w:cols w:space="425" w:num="1"/>
          <w:docGrid w:type="lines" w:linePitch="312" w:charSpace="0"/>
        </w:sectPr>
      </w:pPr>
      <w:r>
        <w:rPr>
          <w:rFonts w:hint="eastAsia" w:ascii="黑体" w:hAnsi="黑体" w:eastAsia="黑体"/>
          <w:color w:val="auto"/>
          <w:sz w:val="21"/>
          <w:szCs w:val="21"/>
        </w:rPr>
        <w:t>图4</w:t>
      </w:r>
      <w:r>
        <w:rPr>
          <w:rFonts w:ascii="黑体" w:hAnsi="黑体" w:eastAsia="黑体"/>
          <w:color w:val="auto"/>
          <w:sz w:val="21"/>
          <w:szCs w:val="21"/>
        </w:rPr>
        <w:t>.3</w:t>
      </w:r>
      <w:r>
        <w:rPr>
          <w:rFonts w:hint="eastAsia" w:ascii="黑体" w:hAnsi="黑体" w:eastAsia="黑体"/>
          <w:color w:val="auto"/>
          <w:sz w:val="21"/>
          <w:szCs w:val="21"/>
        </w:rPr>
        <w:t xml:space="preserve">-10 </w:t>
      </w:r>
      <w:r>
        <w:rPr>
          <w:rFonts w:ascii="黑体" w:hAnsi="黑体" w:eastAsia="黑体"/>
          <w:color w:val="auto"/>
          <w:sz w:val="21"/>
          <w:szCs w:val="21"/>
        </w:rPr>
        <w:t xml:space="preserve"> </w:t>
      </w:r>
      <w:r>
        <w:rPr>
          <w:rFonts w:hint="eastAsia" w:ascii="黑体" w:hAnsi="黑体" w:eastAsia="黑体"/>
          <w:color w:val="auto"/>
          <w:sz w:val="21"/>
          <w:szCs w:val="21"/>
        </w:rPr>
        <w:t>项目在水土流失两区分区位置示意图</w:t>
      </w:r>
    </w:p>
    <w:p w14:paraId="216527EA">
      <w:pPr>
        <w:pStyle w:val="2"/>
        <w:keepLines w:val="0"/>
        <w:widowControl/>
        <w:numPr>
          <w:ilvl w:val="0"/>
          <w:numId w:val="2"/>
        </w:numPr>
        <w:spacing w:before="200" w:after="200" w:line="360" w:lineRule="auto"/>
        <w:ind w:hanging="567"/>
        <w:jc w:val="left"/>
        <w:rPr>
          <w:rFonts w:hint="eastAsia" w:ascii="黑体" w:hAnsi="黑体" w:eastAsia="黑体"/>
          <w:b w:val="0"/>
          <w:bCs w:val="0"/>
          <w:color w:val="auto"/>
          <w:kern w:val="2"/>
          <w:sz w:val="32"/>
          <w:szCs w:val="20"/>
          <w14:ligatures w14:val="none"/>
        </w:rPr>
      </w:pPr>
      <w:bookmarkStart w:id="638" w:name="_Toc224406016"/>
      <w:r>
        <w:rPr>
          <w:rFonts w:hint="eastAsia" w:ascii="黑体" w:hAnsi="黑体" w:eastAsia="黑体"/>
          <w:b w:val="0"/>
          <w:bCs w:val="0"/>
          <w:color w:val="auto"/>
          <w:kern w:val="2"/>
          <w:sz w:val="32"/>
          <w:szCs w:val="20"/>
          <w14:ligatures w14:val="none"/>
        </w:rPr>
        <w:t>环境影响预测与评价</w:t>
      </w:r>
      <w:bookmarkEnd w:id="638"/>
    </w:p>
    <w:p w14:paraId="40B90D28">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639" w:name="_Toc224406017"/>
      <w:bookmarkStart w:id="640" w:name="_Toc474793586"/>
      <w:bookmarkStart w:id="641" w:name="_Toc475624481"/>
      <w:r>
        <w:rPr>
          <w:rFonts w:hint="eastAsia" w:ascii="黑体" w:hAnsi="黑体" w:eastAsia="黑体" w:cs="Times New Roman"/>
          <w:bCs/>
          <w:color w:val="auto"/>
          <w:sz w:val="28"/>
          <w:szCs w:val="32"/>
          <w14:ligatures w14:val="none"/>
        </w:rPr>
        <w:t>施工期环境影响预测与评价</w:t>
      </w:r>
      <w:bookmarkEnd w:id="639"/>
      <w:bookmarkEnd w:id="640"/>
      <w:bookmarkEnd w:id="641"/>
    </w:p>
    <w:p w14:paraId="163A8682">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642" w:name="_Toc475624482"/>
      <w:bookmarkStart w:id="643" w:name="_Hlk511377578"/>
      <w:bookmarkStart w:id="644" w:name="_Toc474793587"/>
      <w:r>
        <w:rPr>
          <w:rFonts w:hint="eastAsia" w:ascii="黑体" w:hAnsi="黑体" w:eastAsia="黑体" w:cs="Times New Roman"/>
          <w:color w:val="auto"/>
          <w:sz w:val="24"/>
          <w:szCs w:val="21"/>
          <w:lang w:val="zh-CN"/>
          <w14:ligatures w14:val="none"/>
        </w:rPr>
        <w:t>施工期大气环境影响分析</w:t>
      </w:r>
    </w:p>
    <w:p w14:paraId="5E46EDEF">
      <w:pPr>
        <w:pStyle w:val="86"/>
        <w:ind w:firstLine="480"/>
        <w:rPr>
          <w:rFonts w:hint="eastAsia"/>
          <w:color w:val="auto"/>
        </w:rPr>
      </w:pPr>
      <w:bookmarkStart w:id="645" w:name="_Hlk33634555"/>
      <w:bookmarkStart w:id="646" w:name="_Hlk87267769"/>
      <w:bookmarkStart w:id="647" w:name="_Toc1992"/>
      <w:bookmarkStart w:id="648" w:name="_Toc445842090"/>
      <w:bookmarkStart w:id="649" w:name="_Toc445996412"/>
      <w:r>
        <w:rPr>
          <w:rFonts w:hint="eastAsia"/>
          <w:color w:val="auto"/>
        </w:rPr>
        <w:t>废气主要为</w:t>
      </w:r>
      <w:bookmarkStart w:id="650" w:name="_Hlk33634148"/>
      <w:r>
        <w:rPr>
          <w:rFonts w:hint="eastAsia"/>
          <w:color w:val="auto"/>
        </w:rPr>
        <w:t>施工扬尘、施工机械及施工车辆尾气</w:t>
      </w:r>
      <w:bookmarkEnd w:id="645"/>
      <w:bookmarkEnd w:id="650"/>
      <w:r>
        <w:rPr>
          <w:rFonts w:hint="eastAsia"/>
          <w:color w:val="auto"/>
        </w:rPr>
        <w:t>、焊接烟尘。</w:t>
      </w:r>
    </w:p>
    <w:p w14:paraId="6222D951">
      <w:pPr>
        <w:pStyle w:val="86"/>
        <w:ind w:firstLine="480"/>
        <w:rPr>
          <w:rFonts w:hint="eastAsia"/>
          <w:color w:val="auto"/>
        </w:rPr>
      </w:pPr>
      <w:r>
        <w:rPr>
          <w:rFonts w:hint="eastAsia"/>
          <w:color w:val="auto"/>
        </w:rPr>
        <w:t>（</w:t>
      </w:r>
      <w:r>
        <w:rPr>
          <w:color w:val="auto"/>
        </w:rPr>
        <w:t>1</w:t>
      </w:r>
      <w:r>
        <w:rPr>
          <w:rFonts w:hint="eastAsia"/>
          <w:color w:val="auto"/>
        </w:rPr>
        <w:t>）施工扬尘</w:t>
      </w:r>
    </w:p>
    <w:p w14:paraId="6DF7DD0D">
      <w:pPr>
        <w:pStyle w:val="86"/>
        <w:ind w:firstLine="480"/>
        <w:rPr>
          <w:rFonts w:hint="eastAsia"/>
          <w:color w:val="auto"/>
        </w:rPr>
      </w:pPr>
      <w:r>
        <w:rPr>
          <w:rFonts w:hint="eastAsia"/>
          <w:color w:val="auto"/>
        </w:rPr>
        <w:t>在井场各设备建设、井场平整、管沟开挖、回填、道路施工</w:t>
      </w:r>
      <w:r>
        <w:rPr>
          <w:rFonts w:hint="eastAsia" w:cs="宋体"/>
          <w:color w:val="auto"/>
          <w:lang w:val="zh-CN"/>
        </w:rPr>
        <w:t>等</w:t>
      </w:r>
      <w:r>
        <w:rPr>
          <w:rFonts w:hint="eastAsia"/>
          <w:color w:val="auto"/>
        </w:rPr>
        <w:t>施工过程中都会产生扬尘，同时运输车辆行驶以及所用材料的装卸、运输及堆放等均会产生扬尘，对周围环境空气产生一定的影响，污染物主要为T</w:t>
      </w:r>
      <w:r>
        <w:rPr>
          <w:color w:val="auto"/>
        </w:rPr>
        <w:t>SP</w:t>
      </w:r>
      <w:r>
        <w:rPr>
          <w:rFonts w:hint="eastAsia"/>
          <w:color w:val="auto"/>
        </w:rPr>
        <w:t>。</w:t>
      </w:r>
      <w:r>
        <w:rPr>
          <w:rFonts w:hint="eastAsia" w:cs="宋体"/>
          <w:color w:val="auto"/>
          <w:lang w:val="zh-CN"/>
        </w:rPr>
        <w:t>项目区远离人群居住区，周围空旷，扩散条件良好，类比同类工程，本项目施工过程中产生的扬尘不会对环境空气产生明显影响</w:t>
      </w:r>
      <w:r>
        <w:rPr>
          <w:rFonts w:hint="eastAsia"/>
          <w:color w:val="auto"/>
        </w:rPr>
        <w:t>。</w:t>
      </w:r>
    </w:p>
    <w:p w14:paraId="58E839C0">
      <w:pPr>
        <w:pStyle w:val="86"/>
        <w:ind w:firstLine="480" w:firstLineChars="0"/>
        <w:rPr>
          <w:rFonts w:hint="eastAsia" w:cs="宋体"/>
          <w:color w:val="auto"/>
          <w:lang w:val="zh-CN"/>
        </w:rPr>
      </w:pPr>
      <w:r>
        <w:rPr>
          <w:rFonts w:hint="eastAsia" w:cs="宋体"/>
          <w:color w:val="auto"/>
          <w:lang w:val="zh-CN"/>
        </w:rPr>
        <w:t>（2）</w:t>
      </w:r>
      <w:r>
        <w:rPr>
          <w:rFonts w:hint="eastAsia"/>
          <w:color w:val="auto"/>
        </w:rPr>
        <w:t>施工机械及施工车辆</w:t>
      </w:r>
      <w:r>
        <w:rPr>
          <w:rFonts w:hint="eastAsia" w:cs="宋体"/>
          <w:color w:val="auto"/>
          <w:lang w:val="zh-CN"/>
        </w:rPr>
        <w:t>尾气</w:t>
      </w:r>
    </w:p>
    <w:p w14:paraId="5FFC68AB">
      <w:pPr>
        <w:pStyle w:val="86"/>
        <w:ind w:firstLine="480"/>
        <w:rPr>
          <w:rFonts w:hint="eastAsia" w:cs="宋体"/>
          <w:color w:val="auto"/>
          <w:lang w:val="zh-CN"/>
        </w:rPr>
      </w:pPr>
      <w:r>
        <w:rPr>
          <w:rFonts w:hint="eastAsia" w:cs="宋体"/>
          <w:color w:val="auto"/>
          <w:lang w:val="zh-CN"/>
        </w:rPr>
        <w:t>施工运输车辆燃料燃烧产生的汽车尾气会对环境空气造成影响，各施工机械及车辆均采用合格油品，对周围大气环境影响较小。</w:t>
      </w:r>
    </w:p>
    <w:p w14:paraId="714853DE">
      <w:pPr>
        <w:pStyle w:val="86"/>
        <w:ind w:firstLine="480" w:firstLineChars="0"/>
        <w:rPr>
          <w:rFonts w:hint="eastAsia" w:cs="宋体"/>
          <w:color w:val="auto"/>
          <w:lang w:val="zh-CN"/>
        </w:rPr>
      </w:pPr>
      <w:r>
        <w:rPr>
          <w:rFonts w:cs="宋体"/>
          <w:color w:val="auto"/>
          <w:lang w:val="zh-CN"/>
        </w:rPr>
        <w:t>（</w:t>
      </w:r>
      <w:r>
        <w:rPr>
          <w:rFonts w:hint="eastAsia" w:cs="宋体"/>
          <w:color w:val="auto"/>
          <w:lang w:val="zh-CN"/>
        </w:rPr>
        <w:t>3</w:t>
      </w:r>
      <w:r>
        <w:rPr>
          <w:rFonts w:cs="宋体"/>
          <w:color w:val="auto"/>
          <w:lang w:val="zh-CN"/>
        </w:rPr>
        <w:t>）焊接烟尘</w:t>
      </w:r>
    </w:p>
    <w:p w14:paraId="7EC64D20">
      <w:pPr>
        <w:pStyle w:val="86"/>
        <w:ind w:firstLine="480" w:firstLineChars="0"/>
        <w:rPr>
          <w:rFonts w:hint="eastAsia" w:cs="宋体"/>
          <w:color w:val="auto"/>
          <w:lang w:val="zh-CN"/>
        </w:rPr>
      </w:pPr>
      <w:r>
        <w:rPr>
          <w:rFonts w:cs="宋体"/>
          <w:color w:val="auto"/>
          <w:lang w:val="zh-CN"/>
        </w:rPr>
        <w:t>管道组对连接过程中将有一定量的焊接烟尘产生，主要污染物为CO、CO</w:t>
      </w:r>
      <w:r>
        <w:rPr>
          <w:rFonts w:cs="宋体"/>
          <w:color w:val="auto"/>
          <w:vertAlign w:val="subscript"/>
          <w:lang w:val="zh-CN"/>
        </w:rPr>
        <w:t>2</w:t>
      </w:r>
      <w:r>
        <w:rPr>
          <w:rFonts w:cs="宋体"/>
          <w:color w:val="auto"/>
          <w:lang w:val="zh-CN"/>
        </w:rPr>
        <w:t>、NO</w:t>
      </w:r>
      <w:r>
        <w:rPr>
          <w:rFonts w:cs="宋体"/>
          <w:color w:val="auto"/>
          <w:vertAlign w:val="subscript"/>
          <w:lang w:val="zh-CN"/>
        </w:rPr>
        <w:t>X</w:t>
      </w:r>
      <w:r>
        <w:rPr>
          <w:rFonts w:cs="宋体"/>
          <w:color w:val="auto"/>
          <w:lang w:val="zh-CN"/>
        </w:rPr>
        <w:t>、CH</w:t>
      </w:r>
      <w:r>
        <w:rPr>
          <w:rFonts w:cs="宋体"/>
          <w:color w:val="auto"/>
          <w:vertAlign w:val="subscript"/>
          <w:lang w:val="zh-CN"/>
        </w:rPr>
        <w:t>4</w:t>
      </w:r>
      <w:r>
        <w:rPr>
          <w:rFonts w:cs="宋体"/>
          <w:color w:val="auto"/>
          <w:lang w:val="zh-CN"/>
        </w:rPr>
        <w:t>，该废气排放量很少，施工场地位于开阔通风状况良好的户外，焊接烟尘易于扩散，对周围大气环境影响很小。</w:t>
      </w:r>
    </w:p>
    <w:bookmarkEnd w:id="646"/>
    <w:p w14:paraId="1889D0F8">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施工期</w:t>
      </w:r>
      <w:r>
        <w:rPr>
          <w:rFonts w:ascii="黑体" w:hAnsi="黑体" w:eastAsia="黑体" w:cs="Times New Roman"/>
          <w:color w:val="auto"/>
          <w:sz w:val="24"/>
          <w:szCs w:val="21"/>
          <w:lang w:val="zh-CN"/>
          <w14:ligatures w14:val="none"/>
        </w:rPr>
        <w:t>水环境影响分析</w:t>
      </w:r>
      <w:bookmarkEnd w:id="647"/>
      <w:bookmarkEnd w:id="648"/>
      <w:bookmarkEnd w:id="649"/>
    </w:p>
    <w:p w14:paraId="7A2275CF">
      <w:pPr>
        <w:pStyle w:val="86"/>
        <w:ind w:firstLine="480"/>
        <w:rPr>
          <w:rFonts w:hint="eastAsia" w:cs="宋体"/>
          <w:color w:val="auto"/>
          <w:lang w:val="zh-CN"/>
        </w:rPr>
      </w:pPr>
      <w:bookmarkStart w:id="651" w:name="_Toc445996417"/>
      <w:bookmarkStart w:id="652" w:name="_Toc445842095"/>
      <w:bookmarkStart w:id="653" w:name="_Toc234"/>
      <w:r>
        <w:rPr>
          <w:rFonts w:hint="eastAsia" w:cs="宋体"/>
          <w:color w:val="auto"/>
          <w:lang w:val="zh-CN"/>
        </w:rPr>
        <w:t>（1）废水对周围水环境影响分析</w:t>
      </w:r>
    </w:p>
    <w:p w14:paraId="170E7D7D">
      <w:pPr>
        <w:pStyle w:val="86"/>
        <w:ind w:firstLine="480"/>
        <w:rPr>
          <w:rFonts w:hint="eastAsia" w:cs="宋体"/>
          <w:color w:val="auto"/>
          <w:lang w:val="zh-CN"/>
        </w:rPr>
      </w:pPr>
      <w:r>
        <w:rPr>
          <w:rFonts w:hint="eastAsia" w:cs="宋体"/>
          <w:color w:val="auto"/>
          <w:lang w:val="zh-CN"/>
        </w:rPr>
        <w:t>废水主要为管道试压废水、混凝土养护废水。管道试压采用清水，废水中污染物主要为悬浮物，试压结束后用于项目区的洒水抑尘；混凝土养护废水主要靠自然蒸发处理。项目产生的各类废水均得到妥善处置，不会对周围水环境产生不利影响。</w:t>
      </w:r>
    </w:p>
    <w:p w14:paraId="21F0DE7B">
      <w:pPr>
        <w:pStyle w:val="86"/>
        <w:ind w:firstLine="480"/>
        <w:rPr>
          <w:rFonts w:hint="eastAsia"/>
          <w:color w:val="auto"/>
          <w:lang w:bidi="ar"/>
        </w:rPr>
      </w:pPr>
      <w:r>
        <w:rPr>
          <w:rFonts w:hint="eastAsia" w:cs="宋体"/>
          <w:color w:val="auto"/>
          <w:lang w:val="zh-CN"/>
        </w:rPr>
        <w:t>（2）</w:t>
      </w:r>
      <w:r>
        <w:rPr>
          <w:rFonts w:hint="eastAsia"/>
          <w:color w:val="auto"/>
          <w:lang w:bidi="ar"/>
        </w:rPr>
        <w:t>管线施工对地下水环境影响分析</w:t>
      </w:r>
    </w:p>
    <w:p w14:paraId="3093E5C2">
      <w:pPr>
        <w:pStyle w:val="86"/>
        <w:ind w:firstLine="480"/>
        <w:rPr>
          <w:rFonts w:hint="eastAsia"/>
          <w:color w:val="auto"/>
          <w:lang w:bidi="ar"/>
        </w:rPr>
      </w:pPr>
      <w:r>
        <w:rPr>
          <w:rFonts w:hint="eastAsia"/>
          <w:color w:val="auto"/>
          <w:lang w:bidi="ar"/>
        </w:rPr>
        <w:t>拟建单井采油管线采用埋地敷设，在施工过程中的辅料、废料等在降水的淋滤作用下产生的浸出液，可能进入地下含水层，将对地下水造成不同程度的影响，其影响程度决定于下渗量及其饱和地带的厚度、岩性和对污染物的阻滞、吸附分解等自然净化能力。由于管线施工期短，发生降水淋滤的可能性很小，且管道沿线表层土壤有一定的自然净化能力，管线施工对地下水的影响很小。因此，正常的管线埋设不会对地下水造成不利影响。</w:t>
      </w:r>
    </w:p>
    <w:p w14:paraId="34E20B7C">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施工期声环境</w:t>
      </w:r>
      <w:r>
        <w:rPr>
          <w:rFonts w:ascii="黑体" w:hAnsi="黑体" w:eastAsia="黑体" w:cs="Times New Roman"/>
          <w:color w:val="auto"/>
          <w:sz w:val="24"/>
          <w:szCs w:val="21"/>
          <w:lang w:val="zh-CN"/>
          <w14:ligatures w14:val="none"/>
        </w:rPr>
        <w:t>影响分析</w:t>
      </w:r>
      <w:bookmarkEnd w:id="651"/>
      <w:bookmarkEnd w:id="652"/>
      <w:bookmarkEnd w:id="653"/>
    </w:p>
    <w:p w14:paraId="5EDF5CE0">
      <w:pPr>
        <w:pStyle w:val="86"/>
        <w:ind w:firstLine="480"/>
        <w:rPr>
          <w:rFonts w:hint="eastAsia"/>
          <w:color w:val="auto"/>
        </w:rPr>
      </w:pPr>
      <w:r>
        <w:rPr>
          <w:rFonts w:hint="eastAsia"/>
          <w:color w:val="auto"/>
        </w:rPr>
        <w:t>噪声源主要为施工机械及施工车辆，</w:t>
      </w:r>
      <w:r>
        <w:rPr>
          <w:rFonts w:hint="eastAsia" w:hAnsi="Times New Roman"/>
          <w:color w:val="auto"/>
          <w:szCs w:val="20"/>
        </w:rPr>
        <w:t>源强</w:t>
      </w:r>
      <w:r>
        <w:rPr>
          <w:rFonts w:hint="eastAsia"/>
          <w:color w:val="auto"/>
        </w:rPr>
        <w:t>一般为</w:t>
      </w:r>
      <w:r>
        <w:rPr>
          <w:color w:val="auto"/>
        </w:rPr>
        <w:t>60</w:t>
      </w:r>
      <w:r>
        <w:rPr>
          <w:rFonts w:hint="eastAsia"/>
          <w:color w:val="auto"/>
        </w:rPr>
        <w:t>～105dB（A）。根据现场调查，声环境评价范围内没有固定居住人群等声敏感目标，不会造成扰民现象，施工期的噪声仅对施工人员产生影响。通过类比调查可知，施工期场界外</w:t>
      </w:r>
      <w:r>
        <w:rPr>
          <w:color w:val="auto"/>
        </w:rPr>
        <w:t>200m处可达到</w:t>
      </w:r>
      <w:r>
        <w:rPr>
          <w:rFonts w:hint="eastAsia"/>
          <w:color w:val="auto"/>
        </w:rPr>
        <w:t>《建筑施工噪声排放标准》（GB12523-2025）</w:t>
      </w:r>
      <w:r>
        <w:rPr>
          <w:color w:val="auto"/>
        </w:rPr>
        <w:t>中限值要求</w:t>
      </w:r>
      <w:r>
        <w:rPr>
          <w:rFonts w:hint="eastAsia"/>
          <w:color w:val="auto"/>
        </w:rPr>
        <w:t>。</w:t>
      </w:r>
    </w:p>
    <w:p w14:paraId="39FAEC7F">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654" w:name="_Toc445996421"/>
      <w:bookmarkStart w:id="655" w:name="_Toc22582"/>
      <w:bookmarkStart w:id="656" w:name="_Toc445842100"/>
      <w:r>
        <w:rPr>
          <w:rFonts w:hint="eastAsia" w:ascii="黑体" w:hAnsi="黑体" w:eastAsia="黑体" w:cs="Times New Roman"/>
          <w:color w:val="auto"/>
          <w:sz w:val="24"/>
          <w:szCs w:val="21"/>
          <w:lang w:val="zh-CN"/>
          <w14:ligatures w14:val="none"/>
        </w:rPr>
        <w:t>施工期固体废物环境</w:t>
      </w:r>
      <w:r>
        <w:rPr>
          <w:rFonts w:ascii="黑体" w:hAnsi="黑体" w:eastAsia="黑体" w:cs="Times New Roman"/>
          <w:color w:val="auto"/>
          <w:sz w:val="24"/>
          <w:szCs w:val="21"/>
          <w:lang w:val="zh-CN"/>
          <w14:ligatures w14:val="none"/>
        </w:rPr>
        <w:t>影响</w:t>
      </w:r>
      <w:bookmarkEnd w:id="654"/>
      <w:bookmarkEnd w:id="655"/>
      <w:bookmarkEnd w:id="656"/>
      <w:r>
        <w:rPr>
          <w:rFonts w:hint="eastAsia" w:ascii="黑体" w:hAnsi="黑体" w:eastAsia="黑体" w:cs="Times New Roman"/>
          <w:color w:val="auto"/>
          <w:sz w:val="24"/>
          <w:szCs w:val="21"/>
          <w:lang w:val="zh-CN"/>
          <w14:ligatures w14:val="none"/>
        </w:rPr>
        <w:t>分析</w:t>
      </w:r>
    </w:p>
    <w:p w14:paraId="6A4F85EC">
      <w:pPr>
        <w:pStyle w:val="86"/>
        <w:ind w:firstLine="480"/>
        <w:rPr>
          <w:rFonts w:hint="eastAsia"/>
          <w:color w:val="auto"/>
        </w:rPr>
      </w:pPr>
      <w:r>
        <w:rPr>
          <w:rFonts w:hint="eastAsia"/>
          <w:color w:val="auto"/>
        </w:rPr>
        <w:t>施工过程中的挖方全部回填，无弃方产生，</w:t>
      </w:r>
      <w:bookmarkStart w:id="657" w:name="_Hlk84618356"/>
      <w:bookmarkStart w:id="658" w:name="_Hlk111760932"/>
      <w:r>
        <w:rPr>
          <w:rFonts w:hint="eastAsia"/>
          <w:color w:val="auto"/>
        </w:rPr>
        <w:t>固体废物主要为建筑垃圾，建筑垃圾主要为施工过程中产生的废边角料、废弃包装物（包括设备包装物及聚氨酯泡沫等），可作为废品回收的作为废品回收，不能回收利用的送至当地建筑垃圾填埋场。固体废物得到了妥善处置，正常情况下不会对周围环境产生不利影响。</w:t>
      </w:r>
    </w:p>
    <w:bookmarkEnd w:id="657"/>
    <w:bookmarkEnd w:id="658"/>
    <w:p w14:paraId="07D19B02">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施工期土壤环境</w:t>
      </w:r>
      <w:r>
        <w:rPr>
          <w:rFonts w:ascii="黑体" w:hAnsi="黑体" w:eastAsia="黑体" w:cs="Times New Roman"/>
          <w:color w:val="auto"/>
          <w:sz w:val="24"/>
          <w:szCs w:val="21"/>
          <w:lang w:val="zh-CN"/>
          <w14:ligatures w14:val="none"/>
        </w:rPr>
        <w:t>影响</w:t>
      </w:r>
      <w:r>
        <w:rPr>
          <w:rFonts w:hint="eastAsia" w:ascii="黑体" w:hAnsi="黑体" w:eastAsia="黑体" w:cs="Times New Roman"/>
          <w:color w:val="auto"/>
          <w:sz w:val="24"/>
          <w:szCs w:val="21"/>
          <w:lang w:val="zh-CN"/>
          <w14:ligatures w14:val="none"/>
        </w:rPr>
        <w:t>分析</w:t>
      </w:r>
    </w:p>
    <w:p w14:paraId="0F346143">
      <w:pPr>
        <w:pStyle w:val="86"/>
        <w:spacing w:line="480" w:lineRule="exact"/>
        <w:ind w:firstLine="480"/>
        <w:rPr>
          <w:rFonts w:hint="eastAsia" w:cs="宋体"/>
          <w:color w:val="auto"/>
          <w:lang w:val="zh-CN"/>
        </w:rPr>
      </w:pPr>
      <w:r>
        <w:rPr>
          <w:rFonts w:hint="eastAsia" w:cs="宋体"/>
          <w:color w:val="auto"/>
          <w:lang w:val="zh-CN"/>
        </w:rPr>
        <w:t>施工期对土壤环境质量的影响主要为人为扰动、车辆行驶和机械施工、各种废弃物污染影响。</w:t>
      </w:r>
    </w:p>
    <w:p w14:paraId="67841065">
      <w:pPr>
        <w:pStyle w:val="86"/>
        <w:spacing w:line="480" w:lineRule="exact"/>
        <w:ind w:firstLine="480"/>
        <w:rPr>
          <w:rFonts w:hint="eastAsia" w:cs="宋体"/>
          <w:color w:val="auto"/>
          <w:lang w:val="zh-CN"/>
        </w:rPr>
      </w:pPr>
      <w:r>
        <w:rPr>
          <w:rFonts w:hint="eastAsia" w:cs="宋体"/>
          <w:color w:val="auto"/>
          <w:lang w:val="zh-CN"/>
        </w:rPr>
        <w:t>（1）人为扰动对土壤的影响分析</w:t>
      </w:r>
    </w:p>
    <w:p w14:paraId="5075D05A">
      <w:pPr>
        <w:pStyle w:val="86"/>
        <w:spacing w:line="480" w:lineRule="exact"/>
        <w:ind w:firstLine="480"/>
        <w:rPr>
          <w:rFonts w:hint="eastAsia" w:cs="宋体"/>
          <w:color w:val="auto"/>
          <w:lang w:val="zh-CN"/>
        </w:rPr>
      </w:pPr>
      <w:r>
        <w:rPr>
          <w:rFonts w:hint="eastAsia" w:cs="宋体"/>
          <w:color w:val="auto"/>
          <w:lang w:val="zh-CN"/>
        </w:rPr>
        <w:t>项目实施过程中不可避免地会对土壤造成扰动，主要是井场各设备建设、井场平整、管道敷设等工程建设过程中对土壤的开挖，以及车辆行驶、机械施工碾压和踩踏破坏土壤结构。</w:t>
      </w:r>
    </w:p>
    <w:p w14:paraId="52C6E87B">
      <w:pPr>
        <w:pStyle w:val="86"/>
        <w:spacing w:line="480" w:lineRule="exact"/>
        <w:ind w:firstLine="480"/>
        <w:rPr>
          <w:rFonts w:hint="eastAsia" w:cs="宋体"/>
          <w:color w:val="auto"/>
          <w:lang w:val="zh-CN"/>
        </w:rPr>
      </w:pPr>
      <w:r>
        <w:rPr>
          <w:rFonts w:hint="eastAsia" w:cs="宋体"/>
          <w:color w:val="auto"/>
          <w:lang w:val="zh-CN"/>
        </w:rPr>
        <w:t>在施工中，设备碾压、人员踩踏等都会对土壤的紧实度产生影响，而开挖作业则会改变土壤层次。机械碾压和人员踩踏致使土壤紧实度增高，地表水入渗减少，土壤团粒结构遭到破坏，土壤养分流失，不利于植物生长。各种车辆（尤其是重型卡车）反复碾压后的土壤，植物很难再生长。管道的开挖和回填过程中势必会对土壤原有层次产生扰动和破坏，若不同质地、不同层次的土壤混合，将直接影响植物的生长。</w:t>
      </w:r>
    </w:p>
    <w:p w14:paraId="33D1A414">
      <w:pPr>
        <w:pStyle w:val="86"/>
        <w:spacing w:line="480" w:lineRule="exact"/>
        <w:ind w:firstLine="480"/>
        <w:rPr>
          <w:rFonts w:hint="eastAsia" w:cs="宋体"/>
          <w:color w:val="auto"/>
          <w:lang w:val="zh-CN"/>
        </w:rPr>
      </w:pPr>
      <w:r>
        <w:rPr>
          <w:rFonts w:hint="eastAsia" w:cs="宋体"/>
          <w:color w:val="auto"/>
          <w:lang w:val="zh-CN"/>
        </w:rPr>
        <w:t>（</w:t>
      </w:r>
      <w:r>
        <w:rPr>
          <w:rFonts w:cs="宋体"/>
          <w:color w:val="auto"/>
          <w:lang w:val="zh-CN"/>
        </w:rPr>
        <w:t>2</w:t>
      </w:r>
      <w:r>
        <w:rPr>
          <w:rFonts w:hint="eastAsia" w:cs="宋体"/>
          <w:color w:val="auto"/>
          <w:lang w:val="zh-CN"/>
        </w:rPr>
        <w:t>）废弃物排放对土壤环境的影响分析</w:t>
      </w:r>
    </w:p>
    <w:p w14:paraId="0C90749A">
      <w:pPr>
        <w:pStyle w:val="86"/>
        <w:spacing w:line="480" w:lineRule="exact"/>
        <w:ind w:firstLine="480"/>
        <w:rPr>
          <w:rFonts w:hint="eastAsia" w:cs="宋体"/>
          <w:color w:val="auto"/>
          <w:lang w:val="zh-CN"/>
        </w:rPr>
      </w:pPr>
      <w:r>
        <w:rPr>
          <w:rFonts w:hint="eastAsia" w:cs="宋体"/>
          <w:color w:val="auto"/>
          <w:lang w:val="zh-CN"/>
        </w:rPr>
        <w:t>施工期各种原辅料堆放，如各类施工设备、原辅料堆放及各类施工废弃物暂存等，若遇防渗措施破损或大雨淋滤等情况，导致物料泄漏、废弃物渗滤液直接进入土壤，对土壤造成污染影响。</w:t>
      </w:r>
    </w:p>
    <w:p w14:paraId="1CD5E98D">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施工期生态环境影响分析</w:t>
      </w:r>
    </w:p>
    <w:p w14:paraId="556D8323">
      <w:pPr>
        <w:pStyle w:val="86"/>
        <w:spacing w:line="480" w:lineRule="exact"/>
        <w:ind w:firstLine="480"/>
        <w:rPr>
          <w:rFonts w:hint="eastAsia"/>
          <w:bCs/>
          <w:color w:val="auto"/>
        </w:rPr>
      </w:pPr>
      <w:r>
        <w:rPr>
          <w:rFonts w:hint="eastAsia"/>
          <w:bCs/>
          <w:color w:val="auto"/>
        </w:rPr>
        <w:t>（1）对土地利用类型的影响分析</w:t>
      </w:r>
    </w:p>
    <w:p w14:paraId="654CC967">
      <w:pPr>
        <w:pStyle w:val="86"/>
        <w:ind w:firstLine="480"/>
        <w:rPr>
          <w:rFonts w:hint="eastAsia"/>
          <w:color w:val="auto"/>
        </w:rPr>
      </w:pPr>
      <w:r>
        <w:rPr>
          <w:rFonts w:hint="eastAsia"/>
          <w:color w:val="auto"/>
        </w:rPr>
        <w:t>施工结束后，永久占地被永久性构筑物代替，井场占地范围内的土地利用类型由</w:t>
      </w:r>
      <w:bookmarkStart w:id="659" w:name="OLE_LINK67"/>
      <w:r>
        <w:rPr>
          <w:rFonts w:hint="eastAsia"/>
          <w:color w:val="auto"/>
        </w:rPr>
        <w:t>灌木林地</w:t>
      </w:r>
      <w:bookmarkEnd w:id="659"/>
      <w:r>
        <w:rPr>
          <w:rFonts w:hint="eastAsia"/>
          <w:color w:val="auto"/>
        </w:rPr>
        <w:t>变为工矿用地，项目永久占地面积相对较小，不会使区域土地利用类型发生明显改变。单井采油管线为临时占地，施工结束后对临时占地进行恢复平整，植被主要靠自然恢复，不改变占地范围内的土地利用类型。类比石西油田作业区现有油田生产设施对土地利用类型的影响来说明项目实施后对土地利用类型的影响分析，根据《石西油田作业区2020年～2024年环境影响后评价报告书》评价结论：“总体上以荒漠生态景观为主；评价时段其他草地、盐碱地、裸土地占比呈逐年减少趋势，这种变化与油气田开发作业活动关系甚微。总体而言，区域的土地利用类型受油气田开发活动的影响较小。”本项目与石西油田作业区现有生产设施基本相同、集输工艺相近、气候相似，具有可类比性。综上所述，项目实施后对土地利用类型影响不大。</w:t>
      </w:r>
    </w:p>
    <w:p w14:paraId="4DD75FA4">
      <w:pPr>
        <w:pStyle w:val="86"/>
        <w:spacing w:line="480" w:lineRule="exact"/>
        <w:ind w:firstLine="480"/>
        <w:rPr>
          <w:rFonts w:hint="eastAsia"/>
          <w:bCs/>
          <w:color w:val="auto"/>
        </w:rPr>
      </w:pPr>
      <w:bookmarkStart w:id="660" w:name="_Hlk147587115"/>
      <w:r>
        <w:rPr>
          <w:rFonts w:hint="eastAsia"/>
          <w:bCs/>
          <w:color w:val="auto"/>
        </w:rPr>
        <w:t>（2）对植被的影响分析</w:t>
      </w:r>
    </w:p>
    <w:p w14:paraId="5A7CEDA5">
      <w:pPr>
        <w:pStyle w:val="86"/>
        <w:ind w:firstLine="480"/>
        <w:rPr>
          <w:rFonts w:hint="eastAsia"/>
          <w:color w:val="auto"/>
        </w:rPr>
      </w:pPr>
      <w:r>
        <w:rPr>
          <w:rFonts w:hint="eastAsia"/>
          <w:color w:val="auto"/>
        </w:rPr>
        <w:t>井场、单井采油管线等占地以及施工人员活动会对植被造成一定的影响。</w:t>
      </w:r>
      <w:r>
        <w:rPr>
          <w:rFonts w:hint="eastAsia"/>
          <w:bCs/>
          <w:color w:val="auto"/>
        </w:rPr>
        <w:t>施工阶段对占地范围内的植物进行了清理，井场、道路等永久占地范围内对植物造成了永久的破坏；</w:t>
      </w:r>
      <w:r>
        <w:rPr>
          <w:rFonts w:hint="eastAsia"/>
          <w:color w:val="auto"/>
        </w:rPr>
        <w:t>单井采油管线</w:t>
      </w:r>
      <w:r>
        <w:rPr>
          <w:rFonts w:hint="eastAsia"/>
          <w:bCs/>
          <w:color w:val="auto"/>
        </w:rPr>
        <w:t>临时占地范围内地表结构、土壤理化性质发生了变化，随着地表结构及土壤理化性质的恢复，地表植被在一定时期内</w:t>
      </w:r>
      <w:r>
        <w:rPr>
          <w:color w:val="auto"/>
        </w:rPr>
        <w:t>得到初步恢复</w:t>
      </w:r>
      <w:r>
        <w:rPr>
          <w:rFonts w:hint="eastAsia"/>
          <w:color w:val="auto"/>
        </w:rPr>
        <w:t>，由施工人员踩踏及机械碾压的植被在一定时间内得到恢复，故项目实施后不会使区域植被覆盖度发生明显变化；临时占地范围内的植被恢复后的植被覆盖率不应低于区域范围内同类型土地植被覆盖率，植被类型应与原有类型相似，并与周边自然景观协调，不得使用外来有害物种进行占地范围内的植被恢复，故项目实施不会使区域植被类型发生明显变化。</w:t>
      </w:r>
    </w:p>
    <w:p w14:paraId="05B5AF55">
      <w:pPr>
        <w:pStyle w:val="86"/>
        <w:spacing w:line="480" w:lineRule="exact"/>
        <w:ind w:firstLine="480"/>
        <w:rPr>
          <w:rFonts w:hint="eastAsia"/>
          <w:color w:val="auto"/>
        </w:rPr>
      </w:pPr>
      <w:r>
        <w:rPr>
          <w:rFonts w:hint="eastAsia"/>
          <w:bCs/>
          <w:color w:val="auto"/>
        </w:rPr>
        <w:t>项目位于古尔班通古特沙漠边缘，</w:t>
      </w:r>
      <w:r>
        <w:rPr>
          <w:rFonts w:hint="eastAsia" w:cs="宋体"/>
          <w:color w:val="auto"/>
          <w:lang w:val="zh-CN" w:bidi="ar"/>
        </w:rPr>
        <w:t>属于</w:t>
      </w:r>
      <w:r>
        <w:rPr>
          <w:rFonts w:hint="eastAsia" w:cs="宋体"/>
          <w:color w:val="auto"/>
          <w:lang w:bidi="ar"/>
        </w:rPr>
        <w:t>发展的</w:t>
      </w:r>
      <w:r>
        <w:rPr>
          <w:rFonts w:hint="eastAsia" w:cs="宋体"/>
          <w:color w:val="auto"/>
          <w:lang w:val="zh-CN" w:bidi="ar"/>
        </w:rPr>
        <w:t>荒漠化，在施工结束的2a～3a中，将影响占地范围之内的植被初级生产力，其生物损失量</w:t>
      </w:r>
      <w:r>
        <w:rPr>
          <w:rFonts w:hint="eastAsia"/>
          <w:color w:val="auto"/>
          <w:lang w:bidi="ar"/>
        </w:rPr>
        <w:t>根据《陆地石油天然气开发建设项目环境影响评价技术导则》（H</w:t>
      </w:r>
      <w:r>
        <w:rPr>
          <w:color w:val="auto"/>
          <w:lang w:bidi="ar"/>
        </w:rPr>
        <w:t>J/T349-2007</w:t>
      </w:r>
      <w:r>
        <w:rPr>
          <w:rFonts w:hint="eastAsia"/>
          <w:color w:val="auto"/>
          <w:lang w:bidi="ar"/>
        </w:rPr>
        <w:t>）</w:t>
      </w:r>
      <w:r>
        <w:rPr>
          <w:rFonts w:hint="eastAsia" w:cs="宋体"/>
          <w:color w:val="auto"/>
          <w:lang w:val="zh-CN" w:bidi="ar"/>
        </w:rPr>
        <w:t>中荒漠化量化指标</w:t>
      </w:r>
      <w:r>
        <w:rPr>
          <w:rFonts w:cs="宋体"/>
          <w:color w:val="auto"/>
        </w:rPr>
        <w:t>1.4</w:t>
      </w:r>
      <w:r>
        <w:rPr>
          <w:rFonts w:hint="eastAsia" w:cs="宋体"/>
          <w:color w:val="auto"/>
          <w:lang w:val="zh-CN"/>
        </w:rPr>
        <w:t>t/（hm</w:t>
      </w:r>
      <w:r>
        <w:rPr>
          <w:rFonts w:hint="eastAsia" w:cs="宋体"/>
          <w:color w:val="auto"/>
          <w:vertAlign w:val="superscript"/>
          <w:lang w:val="zh-CN"/>
        </w:rPr>
        <w:t>2</w:t>
      </w:r>
      <w:r>
        <w:rPr>
          <w:rFonts w:hint="eastAsia" w:cs="宋体"/>
          <w:color w:val="auto"/>
          <w:lang w:val="zh-CN"/>
        </w:rPr>
        <w:t>·a）</w:t>
      </w:r>
      <w:r>
        <w:rPr>
          <w:rFonts w:hint="eastAsia" w:cs="宋体"/>
          <w:color w:val="auto"/>
          <w:lang w:val="zh-CN" w:bidi="ar"/>
        </w:rPr>
        <w:t>计算，</w:t>
      </w:r>
      <w:r>
        <w:rPr>
          <w:rFonts w:hint="eastAsia" w:cs="宋体"/>
          <w:color w:val="auto"/>
          <w:lang w:bidi="ar"/>
        </w:rPr>
        <w:t>约为5t/a，当临时性占地的植被得到初步恢</w:t>
      </w:r>
      <w:r>
        <w:rPr>
          <w:rFonts w:hint="eastAsia"/>
          <w:color w:val="auto"/>
        </w:rPr>
        <w:t>复后，这种损失将逐渐减少。</w:t>
      </w:r>
    </w:p>
    <w:bookmarkEnd w:id="660"/>
    <w:p w14:paraId="261401EF">
      <w:pPr>
        <w:pStyle w:val="86"/>
        <w:adjustRightInd w:val="0"/>
        <w:snapToGrid w:val="0"/>
        <w:ind w:firstLine="480"/>
        <w:rPr>
          <w:rFonts w:hint="eastAsia" w:cs="宋体"/>
          <w:color w:val="auto"/>
          <w:lang w:bidi="ar"/>
        </w:rPr>
      </w:pPr>
      <w:r>
        <w:rPr>
          <w:rFonts w:hint="eastAsia"/>
          <w:color w:val="auto"/>
        </w:rPr>
        <w:t>（3）</w:t>
      </w:r>
      <w:r>
        <w:rPr>
          <w:rFonts w:hint="eastAsia" w:cs="宋体"/>
          <w:color w:val="auto"/>
          <w:lang w:bidi="ar"/>
        </w:rPr>
        <w:t>对野生动物影响分析</w:t>
      </w:r>
    </w:p>
    <w:p w14:paraId="689AEE2F">
      <w:pPr>
        <w:pStyle w:val="86"/>
        <w:adjustRightInd w:val="0"/>
        <w:snapToGrid w:val="0"/>
        <w:ind w:firstLine="480"/>
        <w:rPr>
          <w:rFonts w:hint="eastAsia" w:cs="宋体"/>
          <w:color w:val="auto"/>
          <w:lang w:val="zh-CN" w:bidi="ar"/>
        </w:rPr>
      </w:pPr>
      <w:r>
        <w:rPr>
          <w:rFonts w:hint="eastAsia" w:cs="宋体"/>
          <w:color w:val="auto"/>
          <w:lang w:val="zh-CN" w:bidi="ar"/>
        </w:rPr>
        <w:t>井场、道路、管线和输电线路施工对野生动物生存环境、分布范围和种群数量的影响主要分为直接影响和间接影响两个方面。直接影响主要表现为项目占地使野生动物的原始生存环境被破坏或改变；间接影响主要表现为由于植被的减少或污染破坏而引起野生动物食物来源减少。工程施工过程中，由于机械设备的轰鸣惊扰、人群活动的增加，使区域内单位面积上的动物种群数量下降。但此类影响对爬行类和小型啮齿动物的干扰不大，它们能很快适应当地的环境，并重建新栖息地。</w:t>
      </w:r>
    </w:p>
    <w:p w14:paraId="1AB08267">
      <w:pPr>
        <w:pStyle w:val="86"/>
        <w:ind w:firstLine="480"/>
        <w:rPr>
          <w:rFonts w:hint="eastAsia"/>
          <w:color w:val="auto"/>
        </w:rPr>
      </w:pPr>
      <w:r>
        <w:rPr>
          <w:rFonts w:hint="eastAsia"/>
          <w:color w:val="auto"/>
        </w:rPr>
        <w:t>（4）对生态系统结构、功能的影响</w:t>
      </w:r>
    </w:p>
    <w:p w14:paraId="00877087">
      <w:pPr>
        <w:pStyle w:val="86"/>
        <w:ind w:firstLine="480"/>
        <w:rPr>
          <w:rFonts w:hint="eastAsia"/>
          <w:color w:val="auto"/>
        </w:rPr>
      </w:pPr>
      <w:r>
        <w:rPr>
          <w:rFonts w:hint="eastAsia"/>
          <w:color w:val="auto"/>
        </w:rPr>
        <w:t>采油井场、管线等建设活动对原有生态系统结构的完整性有一定的影响，会降低生态系统的生产力，导致生态系统部分物质循环受阻，能量流动终断，因此将对区域内生物的栖息环境产生不良影响。同时区域系统自我调节能力减弱，受扰动后恢复能力降低，生态稳定性降低，生物种群、数量将受到一定程度的影响。但项目占地面积小，对生态系统结构和功能的影响较小，评价范围内生态完整性受本项目的影响亦较小。油田开发加大了评价区人为干扰的力度，同时也加剧局部区域由自然荒漠生态系统向人工生态系统演替的趋势。区域地表植被稀疏，由工程造成的生物量损失较小，不会造成区域的生物多样性下降，区域生态系统仍保持开放、物质循环和能量流动。因此对于评价区生态系统的完整性影响较小，其生态稳定性、结构与功能不会发生明显变化，项目实施造成的不利影响均在可接受的范围内。</w:t>
      </w:r>
    </w:p>
    <w:p w14:paraId="66F4ACFA">
      <w:pPr>
        <w:pStyle w:val="86"/>
        <w:adjustRightInd w:val="0"/>
        <w:snapToGrid w:val="0"/>
        <w:ind w:firstLine="480"/>
        <w:rPr>
          <w:rFonts w:hint="eastAsia" w:cs="宋体"/>
          <w:color w:val="auto"/>
          <w:kern w:val="0"/>
          <w:lang w:bidi="ar"/>
        </w:rPr>
      </w:pPr>
      <w:r>
        <w:rPr>
          <w:rFonts w:hint="eastAsia" w:cs="宋体"/>
          <w:color w:val="auto"/>
          <w:lang w:bidi="ar"/>
        </w:rPr>
        <w:t>（</w:t>
      </w:r>
      <w:r>
        <w:rPr>
          <w:rFonts w:cs="宋体"/>
          <w:color w:val="auto"/>
          <w:lang w:bidi="ar"/>
        </w:rPr>
        <w:t>5</w:t>
      </w:r>
      <w:r>
        <w:rPr>
          <w:rFonts w:hint="eastAsia" w:cs="宋体"/>
          <w:color w:val="auto"/>
          <w:lang w:bidi="ar"/>
        </w:rPr>
        <w:t>）对区域景观影响分析</w:t>
      </w:r>
    </w:p>
    <w:p w14:paraId="539CED07">
      <w:pPr>
        <w:pStyle w:val="86"/>
        <w:ind w:firstLine="480"/>
        <w:rPr>
          <w:rFonts w:hint="eastAsia"/>
          <w:color w:val="auto"/>
        </w:rPr>
      </w:pPr>
      <w:r>
        <w:rPr>
          <w:rFonts w:hint="eastAsia"/>
          <w:color w:val="auto"/>
        </w:rPr>
        <w:t>景观是指地表空间相对稳定的景物或景象，是一个空间高度异质性的区域，由相互作用的景观元素或生态系统，按一定的空间组合规律及相似的形式重复出现而形成。</w:t>
      </w:r>
    </w:p>
    <w:p w14:paraId="463E14A9">
      <w:pPr>
        <w:pStyle w:val="86"/>
        <w:ind w:firstLine="480"/>
        <w:rPr>
          <w:rFonts w:hint="eastAsia" w:cs="Times New Roman"/>
          <w:color w:val="auto"/>
          <w:kern w:val="0"/>
        </w:rPr>
      </w:pPr>
      <w:r>
        <w:rPr>
          <w:rFonts w:hint="eastAsia"/>
          <w:color w:val="auto"/>
        </w:rPr>
        <w:t>单井采油管线为临时占地，施工结束后自然恢复，不会改变区域景观；井场、站场等永久占地，被永久性构筑物代替，可能对周围景观产生一定的影响，根据《石西油</w:t>
      </w:r>
      <w:r>
        <w:rPr>
          <w:rFonts w:hint="eastAsia" w:cs="Times New Roman"/>
          <w:color w:val="auto"/>
          <w:kern w:val="0"/>
        </w:rPr>
        <w:t>田作业区2020年～2024年环境影响后评价报告书》评价结论：“对比分析项目区评价时段内土地利用类型的变化情况，油气田开发区域内用地类型仍以</w:t>
      </w:r>
      <w:r>
        <w:rPr>
          <w:rFonts w:cs="Times New Roman"/>
          <w:color w:val="auto"/>
          <w:kern w:val="0"/>
        </w:rPr>
        <w:t>荒漠</w:t>
      </w:r>
      <w:r>
        <w:rPr>
          <w:rFonts w:hint="eastAsia" w:cs="Times New Roman"/>
          <w:color w:val="auto"/>
          <w:kern w:val="0"/>
        </w:rPr>
        <w:t>为主</w:t>
      </w:r>
      <w:r>
        <w:rPr>
          <w:rFonts w:cs="Times New Roman"/>
          <w:color w:val="auto"/>
          <w:kern w:val="0"/>
        </w:rPr>
        <w:t>，</w:t>
      </w:r>
      <w:r>
        <w:rPr>
          <w:rFonts w:hint="eastAsia" w:cs="Times New Roman"/>
          <w:color w:val="auto"/>
          <w:kern w:val="0"/>
        </w:rPr>
        <w:t>新增场站多为计量站等小型站场，占地面积小，对区域景观格局改变不大。”本项目与石西油田作业区现有生产设施基本相同、集输工艺相近、气候相似，具有可类比性。综上所述，本项目的建设对区域景观影响不大。</w:t>
      </w:r>
    </w:p>
    <w:p w14:paraId="56AB7F8B">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水土流失影响分析</w:t>
      </w:r>
    </w:p>
    <w:p w14:paraId="0C48E3C5">
      <w:pPr>
        <w:pStyle w:val="86"/>
        <w:ind w:firstLine="480"/>
        <w:rPr>
          <w:rFonts w:hint="eastAsia"/>
          <w:color w:val="auto"/>
        </w:rPr>
      </w:pPr>
      <w:bookmarkStart w:id="661" w:name="_Hlk160376615"/>
      <w:r>
        <w:rPr>
          <w:rFonts w:hint="eastAsia"/>
          <w:color w:val="auto"/>
        </w:rPr>
        <w:t>对水土流失影响的方式包括地表扰动、植被损坏、管沟开挖及破坏原地貌、地表土壤结构。施工时场地平整、土方堆放、机械作业人员活动等都会加剧水土流失。</w:t>
      </w:r>
    </w:p>
    <w:p w14:paraId="6356C219">
      <w:pPr>
        <w:pStyle w:val="86"/>
        <w:ind w:firstLine="480"/>
        <w:rPr>
          <w:rFonts w:hint="eastAsia"/>
          <w:color w:val="auto"/>
        </w:rPr>
      </w:pPr>
      <w:r>
        <w:rPr>
          <w:rFonts w:hint="eastAsia"/>
          <w:color w:val="auto"/>
        </w:rPr>
        <w:t>井场、道路等永久占地范围内进行砾石铺垫或地面硬化处理，不会加剧区域水土流失。</w:t>
      </w:r>
    </w:p>
    <w:p w14:paraId="12612881">
      <w:pPr>
        <w:pStyle w:val="86"/>
        <w:ind w:firstLine="480"/>
        <w:rPr>
          <w:rFonts w:hint="eastAsia"/>
          <w:color w:val="auto"/>
        </w:rPr>
      </w:pPr>
      <w:r>
        <w:rPr>
          <w:rFonts w:hint="eastAsia"/>
          <w:color w:val="auto"/>
        </w:rPr>
        <w:t>单井采油管线施工时施工车辆对地表的大面积碾压，使所经过地段的植被和地表结构遭到不同程度的破坏，</w:t>
      </w:r>
      <w:r>
        <w:rPr>
          <w:color w:val="auto"/>
        </w:rPr>
        <w:t>降低了项目占地范围内的土壤抗侵蚀能力，若在施工过程中不加以治理和防护，遇大风天气易产生严重的水土流失现象。</w:t>
      </w:r>
      <w:r>
        <w:rPr>
          <w:rFonts w:hint="eastAsia"/>
          <w:color w:val="auto"/>
        </w:rPr>
        <w:t>临时占地范围内的土壤地表表层遭到破坏，下层的粉细物质暴露在地层表面，在风力的作用下，风蚀量会明显加大，这种影响在短时间内不会完全恢复。但随着时间的推移，风蚀量会随着地表新保护层的逐渐形成而减弱。管沟开挖土方在管道一侧临时堆放。施工期内，管沟边堆起一道临时土垄，在大风状态下易发生风力侵蚀，即使在堆土回填后风蚀量会有所减少，但地表仍为疏松地带，需要一个较长的恢复阶段。</w:t>
      </w:r>
    </w:p>
    <w:bookmarkEnd w:id="661"/>
    <w:p w14:paraId="345B9429">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土地沙化环境影响分析</w:t>
      </w:r>
    </w:p>
    <w:p w14:paraId="384FC4AF">
      <w:pPr>
        <w:pStyle w:val="86"/>
        <w:spacing w:line="480" w:lineRule="exact"/>
        <w:ind w:firstLine="480"/>
        <w:rPr>
          <w:rFonts w:hint="eastAsia"/>
          <w:color w:val="auto"/>
        </w:rPr>
      </w:pPr>
      <w:r>
        <w:rPr>
          <w:rFonts w:hint="eastAsia"/>
          <w:color w:val="auto"/>
        </w:rPr>
        <w:t>井场、单井采油管线和充装区等地面工程施工过程中将会破坏占地范围内的土壤表层稳定砾幕和地表荒漠植被，</w:t>
      </w:r>
      <w:r>
        <w:rPr>
          <w:color w:val="auto"/>
        </w:rPr>
        <w:t>管沟开挖过程中，若未采取分层开挖、分层回填措施，可能导致土壤的蓄水保肥能力降低，影响区域植被生长，造成土壤逐渐沙化。</w:t>
      </w:r>
      <w:r>
        <w:rPr>
          <w:rFonts w:hint="eastAsia"/>
          <w:color w:val="auto"/>
        </w:rPr>
        <w:t>项目所在区域具有多风、降水量偏低等气候特征，地表稳定结皮被破坏后，在大风天气条件下，项目施工会使占地范围内的土地就地起沙，局部形成沙化土地。</w:t>
      </w:r>
    </w:p>
    <w:p w14:paraId="6739349B">
      <w:pPr>
        <w:pStyle w:val="86"/>
        <w:spacing w:line="480" w:lineRule="exact"/>
        <w:ind w:firstLine="480"/>
        <w:rPr>
          <w:rFonts w:hint="eastAsia"/>
          <w:color w:val="auto"/>
        </w:rPr>
      </w:pPr>
      <w:bookmarkStart w:id="662" w:name="_Hlk165554901"/>
      <w:r>
        <w:rPr>
          <w:rFonts w:hint="eastAsia"/>
          <w:color w:val="auto"/>
        </w:rPr>
        <w:t>但是由于项目占地范围较小，施工结束后对永久占地进行地面硬化，以减少风蚀量，对临时占地范围内场地进行平整和清理，尽量利用施工时产生的表层弃土对临时占地进行覆盖，采用自然恢复的方式对区域植被进行恢复。采取以上措施后，本项目对区域土地沙化影响不大。</w:t>
      </w:r>
    </w:p>
    <w:bookmarkEnd w:id="662"/>
    <w:p w14:paraId="18A3FFA5">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663" w:name="_Toc224406018"/>
      <w:r>
        <w:rPr>
          <w:rFonts w:hint="eastAsia" w:ascii="黑体" w:hAnsi="黑体" w:eastAsia="黑体" w:cs="Times New Roman"/>
          <w:bCs/>
          <w:color w:val="auto"/>
          <w:sz w:val="28"/>
          <w:szCs w:val="32"/>
          <w14:ligatures w14:val="none"/>
        </w:rPr>
        <w:t>运营期环境影响预测与评价</w:t>
      </w:r>
      <w:bookmarkEnd w:id="663"/>
    </w:p>
    <w:bookmarkEnd w:id="642"/>
    <w:bookmarkEnd w:id="643"/>
    <w:bookmarkEnd w:id="644"/>
    <w:p w14:paraId="66930E8B">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664" w:name="_Toc474416139"/>
      <w:bookmarkStart w:id="665" w:name="_Toc459026579"/>
      <w:r>
        <w:rPr>
          <w:rFonts w:hint="eastAsia" w:ascii="黑体" w:hAnsi="黑体" w:eastAsia="黑体" w:cs="Times New Roman"/>
          <w:color w:val="auto"/>
          <w:sz w:val="24"/>
          <w:szCs w:val="21"/>
          <w:lang w:val="zh-CN"/>
          <w14:ligatures w14:val="none"/>
        </w:rPr>
        <w:t>运营期大气环境影响预测与评价</w:t>
      </w:r>
      <w:bookmarkEnd w:id="664"/>
      <w:bookmarkEnd w:id="665"/>
    </w:p>
    <w:p w14:paraId="32A1CDC7">
      <w:pPr>
        <w:pStyle w:val="115"/>
        <w:spacing w:line="480" w:lineRule="exact"/>
        <w:ind w:firstLine="480"/>
        <w:rPr>
          <w:rFonts w:hint="eastAsia" w:ascii="宋体" w:hAnsi="宋体" w:eastAsia="宋体"/>
          <w:color w:val="auto"/>
        </w:rPr>
      </w:pPr>
      <w:r>
        <w:rPr>
          <w:rFonts w:hint="eastAsia" w:ascii="宋体" w:hAnsi="宋体" w:eastAsia="宋体"/>
          <w:color w:val="auto"/>
        </w:rPr>
        <w:t>（</w:t>
      </w:r>
      <w:r>
        <w:rPr>
          <w:rFonts w:ascii="宋体" w:hAnsi="宋体" w:eastAsia="宋体"/>
          <w:color w:val="auto"/>
        </w:rPr>
        <w:t>1）相关判定</w:t>
      </w:r>
    </w:p>
    <w:p w14:paraId="0460189F">
      <w:pPr>
        <w:pStyle w:val="86"/>
        <w:spacing w:line="480" w:lineRule="exact"/>
        <w:ind w:firstLine="480"/>
        <w:rPr>
          <w:rFonts w:hint="eastAsia" w:cs="宋体"/>
          <w:color w:val="auto"/>
        </w:rPr>
      </w:pPr>
      <w:r>
        <w:rPr>
          <w:rFonts w:hint="eastAsia"/>
          <w:color w:val="auto"/>
        </w:rPr>
        <w:t>本项目大气环境影响评价等级为二级，根据</w:t>
      </w:r>
      <w:r>
        <w:rPr>
          <w:color w:val="auto"/>
        </w:rPr>
        <w:t>《环境影响评价技术导则 大气环境》（HJ2.2-2018）</w:t>
      </w:r>
      <w:r>
        <w:rPr>
          <w:rFonts w:hint="eastAsia"/>
          <w:color w:val="auto"/>
        </w:rPr>
        <w:t>的相关规定，</w:t>
      </w:r>
      <w:r>
        <w:rPr>
          <w:rFonts w:hint="eastAsia" w:cs="宋体"/>
          <w:color w:val="auto"/>
        </w:rPr>
        <w:t>本次采用</w:t>
      </w:r>
      <w:r>
        <w:rPr>
          <w:color w:val="auto"/>
        </w:rPr>
        <w:t>AERSCREEN模式预测的结果进行评价，不进行进一步预测</w:t>
      </w:r>
      <w:r>
        <w:rPr>
          <w:rFonts w:hint="eastAsia" w:cs="宋体"/>
          <w:color w:val="auto"/>
        </w:rPr>
        <w:t>。</w:t>
      </w:r>
    </w:p>
    <w:p w14:paraId="759D509E">
      <w:pPr>
        <w:pStyle w:val="115"/>
        <w:spacing w:line="480" w:lineRule="exact"/>
        <w:ind w:firstLine="480"/>
        <w:rPr>
          <w:rFonts w:hint="eastAsia" w:ascii="宋体" w:hAnsi="宋体" w:eastAsia="宋体"/>
          <w:color w:val="auto"/>
        </w:rPr>
      </w:pPr>
      <w:r>
        <w:rPr>
          <w:rFonts w:hint="eastAsia" w:ascii="宋体" w:hAnsi="宋体" w:eastAsia="宋体"/>
          <w:color w:val="auto"/>
        </w:rPr>
        <w:t>（</w:t>
      </w:r>
      <w:r>
        <w:rPr>
          <w:rFonts w:ascii="宋体" w:hAnsi="宋体" w:eastAsia="宋体"/>
          <w:color w:val="auto"/>
        </w:rPr>
        <w:t>2）模型选用</w:t>
      </w:r>
    </w:p>
    <w:p w14:paraId="2F2ABAD4">
      <w:pPr>
        <w:pStyle w:val="115"/>
        <w:spacing w:line="480" w:lineRule="exact"/>
        <w:ind w:firstLine="480"/>
        <w:rPr>
          <w:rFonts w:hint="eastAsia" w:ascii="宋体" w:hAnsi="宋体" w:eastAsia="宋体"/>
          <w:color w:val="auto"/>
        </w:rPr>
      </w:pPr>
      <w:r>
        <w:rPr>
          <w:rFonts w:hint="eastAsia" w:ascii="宋体" w:hAnsi="宋体" w:eastAsia="宋体"/>
          <w:color w:val="auto"/>
        </w:rPr>
        <w:t>采用</w:t>
      </w:r>
      <w:r>
        <w:rPr>
          <w:rFonts w:ascii="宋体" w:hAnsi="宋体" w:eastAsia="宋体"/>
          <w:color w:val="auto"/>
        </w:rPr>
        <w:t>《环境影响评价技术导则 大气环境》（HJ2.2-2018）</w:t>
      </w:r>
      <w:r>
        <w:rPr>
          <w:rFonts w:hint="eastAsia" w:ascii="宋体" w:hAnsi="宋体" w:eastAsia="宋体"/>
          <w:color w:val="auto"/>
        </w:rPr>
        <w:t>中推荐的估算模型</w:t>
      </w:r>
      <w:r>
        <w:rPr>
          <w:rFonts w:ascii="宋体" w:hAnsi="宋体" w:eastAsia="宋体"/>
          <w:color w:val="auto"/>
        </w:rPr>
        <w:t>AERSCREEN</w:t>
      </w:r>
      <w:r>
        <w:rPr>
          <w:rFonts w:hint="eastAsia" w:ascii="宋体" w:hAnsi="宋体" w:eastAsia="宋体"/>
          <w:color w:val="auto"/>
        </w:rPr>
        <w:t>进行估算。</w:t>
      </w:r>
    </w:p>
    <w:p w14:paraId="154E338E">
      <w:pPr>
        <w:pStyle w:val="115"/>
        <w:spacing w:line="480" w:lineRule="exact"/>
        <w:ind w:firstLine="480"/>
        <w:rPr>
          <w:rFonts w:hint="eastAsia" w:ascii="宋体" w:hAnsi="宋体" w:eastAsia="宋体"/>
          <w:color w:val="auto"/>
        </w:rPr>
      </w:pPr>
      <w:r>
        <w:rPr>
          <w:rFonts w:hint="eastAsia" w:ascii="宋体" w:hAnsi="宋体" w:eastAsia="宋体"/>
          <w:color w:val="auto"/>
        </w:rPr>
        <w:t>（</w:t>
      </w:r>
      <w:r>
        <w:rPr>
          <w:rFonts w:ascii="宋体" w:hAnsi="宋体" w:eastAsia="宋体"/>
          <w:color w:val="auto"/>
        </w:rPr>
        <w:t>3）估算模型使用数据来源</w:t>
      </w:r>
    </w:p>
    <w:p w14:paraId="741C8E92">
      <w:pPr>
        <w:pStyle w:val="115"/>
        <w:spacing w:line="480" w:lineRule="exact"/>
        <w:ind w:firstLine="480"/>
        <w:rPr>
          <w:rFonts w:hint="eastAsia" w:ascii="宋体" w:hAnsi="宋体" w:eastAsia="宋体"/>
          <w:color w:val="auto"/>
        </w:rPr>
      </w:pPr>
      <w:r>
        <w:rPr>
          <w:rFonts w:hint="eastAsia" w:ascii="宋体" w:hAnsi="宋体" w:eastAsia="宋体"/>
          <w:color w:val="auto"/>
        </w:rPr>
        <w:t>①地形数据</w:t>
      </w:r>
    </w:p>
    <w:p w14:paraId="06967BE4">
      <w:pPr>
        <w:pStyle w:val="115"/>
        <w:spacing w:line="480" w:lineRule="exact"/>
        <w:ind w:firstLine="480"/>
        <w:rPr>
          <w:rFonts w:hint="eastAsia" w:ascii="宋体" w:hAnsi="宋体" w:eastAsia="宋体"/>
          <w:color w:val="auto"/>
        </w:rPr>
      </w:pPr>
      <w:r>
        <w:rPr>
          <w:rFonts w:hint="eastAsia" w:ascii="宋体" w:hAnsi="宋体" w:eastAsia="宋体"/>
          <w:color w:val="auto"/>
        </w:rPr>
        <w:t>估算模型使用的原始地形数据为美国</w:t>
      </w:r>
      <w:r>
        <w:rPr>
          <w:rFonts w:ascii="宋体" w:hAnsi="宋体" w:eastAsia="宋体"/>
          <w:color w:val="auto"/>
        </w:rPr>
        <w:t>NASA和NIMA联合测量并公布的全球90</w:t>
      </w:r>
      <w:r>
        <w:rPr>
          <w:rFonts w:hint="eastAsia" w:ascii="宋体" w:hAnsi="宋体" w:eastAsia="宋体"/>
          <w:color w:val="auto"/>
        </w:rPr>
        <w:t>m</w:t>
      </w:r>
      <w:r>
        <w:rPr>
          <w:rFonts w:ascii="宋体" w:hAnsi="宋体" w:eastAsia="宋体"/>
          <w:color w:val="auto"/>
        </w:rPr>
        <w:t>×90m地形数据，自CSI的SRTM网站获取（http：//srtm.csi.cgiar.org），符合导则要求。</w:t>
      </w:r>
    </w:p>
    <w:p w14:paraId="561B8F40">
      <w:pPr>
        <w:pStyle w:val="115"/>
        <w:spacing w:line="480" w:lineRule="exact"/>
        <w:ind w:firstLine="480" w:firstLineChars="0"/>
        <w:rPr>
          <w:rFonts w:hint="eastAsia" w:ascii="宋体" w:hAnsi="宋体" w:eastAsia="宋体"/>
          <w:color w:val="auto"/>
        </w:rPr>
      </w:pPr>
      <w:r>
        <w:rPr>
          <w:rFonts w:hint="eastAsia" w:ascii="宋体" w:hAnsi="宋体" w:eastAsia="宋体"/>
          <w:color w:val="auto"/>
        </w:rPr>
        <w:t>②地表参数</w:t>
      </w:r>
    </w:p>
    <w:p w14:paraId="7A5377A4">
      <w:pPr>
        <w:pStyle w:val="86"/>
        <w:spacing w:line="480" w:lineRule="exact"/>
        <w:ind w:firstLine="480"/>
        <w:rPr>
          <w:rFonts w:hint="eastAsia"/>
          <w:color w:val="auto"/>
        </w:rPr>
      </w:pPr>
      <w:r>
        <w:rPr>
          <w:rFonts w:hint="eastAsia"/>
          <w:color w:val="auto"/>
        </w:rPr>
        <w:t>大气评价</w:t>
      </w:r>
      <w:r>
        <w:rPr>
          <w:color w:val="auto"/>
        </w:rPr>
        <w:t>范围</w:t>
      </w:r>
      <w:r>
        <w:rPr>
          <w:rFonts w:hint="eastAsia"/>
          <w:color w:val="auto"/>
        </w:rPr>
        <w:t>内通用地表类型为沙漠化荒地，通用地表湿度为干燥气候，</w:t>
      </w:r>
      <w:r>
        <w:rPr>
          <w:color w:val="auto"/>
        </w:rPr>
        <w:t>该类型土地的经验参数，见</w:t>
      </w:r>
      <w:r>
        <w:rPr>
          <w:rFonts w:hint="eastAsia"/>
          <w:color w:val="auto"/>
        </w:rPr>
        <w:t>表</w:t>
      </w:r>
      <w:r>
        <w:rPr>
          <w:color w:val="auto"/>
        </w:rPr>
        <w:t>5</w:t>
      </w:r>
      <w:r>
        <w:rPr>
          <w:rFonts w:hint="eastAsia"/>
          <w:color w:val="auto"/>
        </w:rPr>
        <w:t>.2-1。</w:t>
      </w:r>
    </w:p>
    <w:p w14:paraId="6F21D645">
      <w:pPr>
        <w:pStyle w:val="15"/>
        <w:rPr>
          <w:rFonts w:hint="eastAsia"/>
          <w:color w:val="auto"/>
        </w:rPr>
      </w:pPr>
      <w:r>
        <w:rPr>
          <w:rFonts w:hint="eastAsia"/>
          <w:color w:val="auto"/>
        </w:rPr>
        <w:t>表</w:t>
      </w:r>
      <w:r>
        <w:rPr>
          <w:color w:val="auto"/>
        </w:rPr>
        <w:t>5</w:t>
      </w:r>
      <w:r>
        <w:rPr>
          <w:rFonts w:hint="eastAsia"/>
          <w:color w:val="auto"/>
        </w:rPr>
        <w:t>.2-1</w:t>
      </w:r>
      <w:r>
        <w:rPr>
          <w:color w:val="auto"/>
        </w:rPr>
        <w:t xml:space="preserve">  </w:t>
      </w:r>
      <w:r>
        <w:rPr>
          <w:rFonts w:hint="eastAsia"/>
          <w:color w:val="auto"/>
        </w:rPr>
        <w:t>地表特征参数一览表</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90"/>
        <w:gridCol w:w="1789"/>
        <w:gridCol w:w="1789"/>
        <w:gridCol w:w="1789"/>
        <w:gridCol w:w="1789"/>
      </w:tblGrid>
      <w:tr w14:paraId="63FF2E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790" w:type="dxa"/>
            <w:vAlign w:val="center"/>
          </w:tcPr>
          <w:p w14:paraId="0026137A">
            <w:pPr>
              <w:pStyle w:val="115"/>
              <w:adjustRightInd w:val="0"/>
              <w:snapToGrid w:val="0"/>
              <w:spacing w:line="300" w:lineRule="exact"/>
              <w:ind w:firstLine="0" w:firstLineChars="0"/>
              <w:jc w:val="center"/>
              <w:rPr>
                <w:rFonts w:hint="eastAsia" w:ascii="宋体" w:hAnsi="宋体" w:eastAsia="宋体"/>
                <w:color w:val="auto"/>
                <w:sz w:val="21"/>
                <w:szCs w:val="21"/>
              </w:rPr>
            </w:pPr>
            <w:r>
              <w:rPr>
                <w:rFonts w:hint="eastAsia" w:ascii="宋体" w:hAnsi="宋体" w:eastAsia="宋体"/>
                <w:color w:val="auto"/>
                <w:sz w:val="21"/>
                <w:szCs w:val="21"/>
              </w:rPr>
              <w:t>扇区</w:t>
            </w:r>
          </w:p>
        </w:tc>
        <w:tc>
          <w:tcPr>
            <w:tcW w:w="1789" w:type="dxa"/>
            <w:vAlign w:val="center"/>
          </w:tcPr>
          <w:p w14:paraId="4FC5CCEB">
            <w:pPr>
              <w:pStyle w:val="115"/>
              <w:adjustRightInd w:val="0"/>
              <w:snapToGrid w:val="0"/>
              <w:spacing w:line="300" w:lineRule="exact"/>
              <w:ind w:firstLine="0" w:firstLineChars="0"/>
              <w:jc w:val="center"/>
              <w:rPr>
                <w:rFonts w:hint="eastAsia" w:ascii="宋体" w:hAnsi="宋体" w:eastAsia="宋体"/>
                <w:color w:val="auto"/>
                <w:sz w:val="21"/>
                <w:szCs w:val="21"/>
              </w:rPr>
            </w:pPr>
            <w:r>
              <w:rPr>
                <w:rFonts w:hint="eastAsia" w:ascii="宋体" w:hAnsi="宋体" w:eastAsia="宋体"/>
                <w:color w:val="auto"/>
                <w:sz w:val="21"/>
                <w:szCs w:val="21"/>
              </w:rPr>
              <w:t>时段</w:t>
            </w:r>
          </w:p>
        </w:tc>
        <w:tc>
          <w:tcPr>
            <w:tcW w:w="1789" w:type="dxa"/>
            <w:vAlign w:val="center"/>
          </w:tcPr>
          <w:p w14:paraId="7253238B">
            <w:pPr>
              <w:pStyle w:val="115"/>
              <w:adjustRightInd w:val="0"/>
              <w:snapToGrid w:val="0"/>
              <w:spacing w:line="300" w:lineRule="exact"/>
              <w:ind w:firstLine="0" w:firstLineChars="0"/>
              <w:jc w:val="center"/>
              <w:rPr>
                <w:rFonts w:hint="eastAsia" w:ascii="宋体" w:hAnsi="宋体" w:eastAsia="宋体"/>
                <w:color w:val="auto"/>
                <w:sz w:val="21"/>
                <w:szCs w:val="21"/>
              </w:rPr>
            </w:pPr>
            <w:r>
              <w:rPr>
                <w:rFonts w:hint="eastAsia" w:ascii="宋体" w:hAnsi="宋体" w:eastAsia="宋体"/>
                <w:color w:val="auto"/>
                <w:sz w:val="21"/>
                <w:szCs w:val="21"/>
              </w:rPr>
              <w:t>正午反照率</w:t>
            </w:r>
          </w:p>
        </w:tc>
        <w:tc>
          <w:tcPr>
            <w:tcW w:w="1789" w:type="dxa"/>
            <w:vAlign w:val="center"/>
          </w:tcPr>
          <w:p w14:paraId="7A87815B">
            <w:pPr>
              <w:pStyle w:val="115"/>
              <w:adjustRightInd w:val="0"/>
              <w:snapToGrid w:val="0"/>
              <w:spacing w:line="300" w:lineRule="exact"/>
              <w:ind w:firstLine="0" w:firstLineChars="0"/>
              <w:jc w:val="center"/>
              <w:rPr>
                <w:rFonts w:hint="eastAsia" w:ascii="宋体" w:hAnsi="宋体" w:eastAsia="宋体"/>
                <w:color w:val="auto"/>
                <w:sz w:val="21"/>
                <w:szCs w:val="21"/>
              </w:rPr>
            </w:pPr>
            <w:r>
              <w:rPr>
                <w:rFonts w:ascii="宋体" w:hAnsi="宋体" w:eastAsia="宋体"/>
                <w:color w:val="auto"/>
                <w:sz w:val="21"/>
                <w:szCs w:val="21"/>
              </w:rPr>
              <w:t>BOWEN</w:t>
            </w:r>
          </w:p>
        </w:tc>
        <w:tc>
          <w:tcPr>
            <w:tcW w:w="1789" w:type="dxa"/>
            <w:vAlign w:val="center"/>
          </w:tcPr>
          <w:p w14:paraId="3B7A759F">
            <w:pPr>
              <w:pStyle w:val="115"/>
              <w:adjustRightInd w:val="0"/>
              <w:snapToGrid w:val="0"/>
              <w:spacing w:line="300" w:lineRule="exact"/>
              <w:ind w:firstLine="0" w:firstLineChars="0"/>
              <w:jc w:val="center"/>
              <w:rPr>
                <w:rFonts w:hint="eastAsia" w:ascii="宋体" w:hAnsi="宋体" w:eastAsia="宋体"/>
                <w:color w:val="auto"/>
                <w:sz w:val="21"/>
                <w:szCs w:val="21"/>
              </w:rPr>
            </w:pPr>
            <w:r>
              <w:rPr>
                <w:rFonts w:hint="eastAsia" w:ascii="宋体" w:hAnsi="宋体" w:eastAsia="宋体"/>
                <w:color w:val="auto"/>
                <w:sz w:val="21"/>
                <w:szCs w:val="21"/>
              </w:rPr>
              <w:t>粗糙度</w:t>
            </w:r>
          </w:p>
        </w:tc>
      </w:tr>
      <w:tr w14:paraId="3D7434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1790" w:type="dxa"/>
            <w:vAlign w:val="center"/>
          </w:tcPr>
          <w:p w14:paraId="4FA5DBE0">
            <w:pPr>
              <w:pStyle w:val="115"/>
              <w:adjustRightInd w:val="0"/>
              <w:snapToGrid w:val="0"/>
              <w:spacing w:line="300" w:lineRule="exact"/>
              <w:ind w:firstLine="0" w:firstLineChars="0"/>
              <w:jc w:val="center"/>
              <w:rPr>
                <w:rFonts w:hint="eastAsia" w:ascii="宋体" w:hAnsi="宋体" w:eastAsia="宋体"/>
                <w:color w:val="auto"/>
                <w:sz w:val="21"/>
                <w:szCs w:val="21"/>
              </w:rPr>
            </w:pPr>
            <w:r>
              <w:rPr>
                <w:rFonts w:ascii="宋体" w:hAnsi="宋体" w:eastAsia="宋体"/>
                <w:color w:val="auto"/>
                <w:sz w:val="21"/>
                <w:szCs w:val="21"/>
              </w:rPr>
              <w:t>0</w:t>
            </w:r>
            <w:r>
              <w:rPr>
                <w:rFonts w:hint="eastAsia" w:ascii="宋体" w:hAnsi="宋体" w:eastAsia="宋体"/>
                <w:color w:val="auto"/>
                <w:sz w:val="21"/>
                <w:szCs w:val="21"/>
              </w:rPr>
              <w:t>～</w:t>
            </w:r>
            <w:r>
              <w:rPr>
                <w:rFonts w:ascii="宋体" w:hAnsi="宋体" w:eastAsia="宋体"/>
                <w:color w:val="auto"/>
                <w:sz w:val="21"/>
                <w:szCs w:val="21"/>
              </w:rPr>
              <w:t>360</w:t>
            </w:r>
          </w:p>
        </w:tc>
        <w:tc>
          <w:tcPr>
            <w:tcW w:w="1789" w:type="dxa"/>
            <w:vAlign w:val="center"/>
          </w:tcPr>
          <w:p w14:paraId="28F10202">
            <w:pPr>
              <w:pStyle w:val="115"/>
              <w:adjustRightInd w:val="0"/>
              <w:snapToGrid w:val="0"/>
              <w:spacing w:line="300" w:lineRule="exact"/>
              <w:ind w:firstLine="0" w:firstLineChars="0"/>
              <w:jc w:val="center"/>
              <w:rPr>
                <w:rFonts w:hint="eastAsia" w:ascii="宋体" w:hAnsi="宋体" w:eastAsia="宋体"/>
                <w:color w:val="auto"/>
                <w:sz w:val="21"/>
                <w:szCs w:val="21"/>
              </w:rPr>
            </w:pPr>
            <w:r>
              <w:rPr>
                <w:rFonts w:hint="eastAsia" w:ascii="宋体" w:hAnsi="宋体" w:eastAsia="宋体"/>
                <w:color w:val="auto"/>
                <w:sz w:val="21"/>
                <w:szCs w:val="21"/>
              </w:rPr>
              <w:t>全年</w:t>
            </w:r>
          </w:p>
        </w:tc>
        <w:tc>
          <w:tcPr>
            <w:tcW w:w="1789" w:type="dxa"/>
            <w:vAlign w:val="center"/>
          </w:tcPr>
          <w:p w14:paraId="40E6D434">
            <w:pPr>
              <w:pStyle w:val="115"/>
              <w:adjustRightInd w:val="0"/>
              <w:snapToGrid w:val="0"/>
              <w:spacing w:line="300" w:lineRule="exact"/>
              <w:ind w:firstLine="0" w:firstLineChars="0"/>
              <w:jc w:val="center"/>
              <w:rPr>
                <w:rFonts w:hint="eastAsia" w:ascii="宋体" w:hAnsi="宋体" w:eastAsia="宋体"/>
                <w:color w:val="auto"/>
                <w:sz w:val="21"/>
                <w:szCs w:val="21"/>
              </w:rPr>
            </w:pPr>
            <w:r>
              <w:rPr>
                <w:rFonts w:hint="eastAsia" w:ascii="宋体" w:hAnsi="宋体" w:eastAsia="宋体"/>
                <w:color w:val="auto"/>
                <w:sz w:val="21"/>
                <w:szCs w:val="21"/>
              </w:rPr>
              <w:t>0.3275</w:t>
            </w:r>
          </w:p>
        </w:tc>
        <w:tc>
          <w:tcPr>
            <w:tcW w:w="1789" w:type="dxa"/>
            <w:vAlign w:val="center"/>
          </w:tcPr>
          <w:p w14:paraId="7267A1AF">
            <w:pPr>
              <w:pStyle w:val="115"/>
              <w:adjustRightInd w:val="0"/>
              <w:snapToGrid w:val="0"/>
              <w:spacing w:line="300" w:lineRule="exact"/>
              <w:ind w:firstLine="0" w:firstLineChars="0"/>
              <w:jc w:val="center"/>
              <w:rPr>
                <w:rFonts w:hint="eastAsia" w:ascii="宋体" w:hAnsi="宋体" w:eastAsia="宋体"/>
                <w:color w:val="auto"/>
                <w:sz w:val="21"/>
                <w:szCs w:val="21"/>
              </w:rPr>
            </w:pPr>
            <w:r>
              <w:rPr>
                <w:rFonts w:hint="eastAsia" w:ascii="宋体" w:hAnsi="宋体" w:eastAsia="宋体"/>
                <w:color w:val="auto"/>
                <w:sz w:val="21"/>
                <w:szCs w:val="21"/>
              </w:rPr>
              <w:t>7.75</w:t>
            </w:r>
          </w:p>
        </w:tc>
        <w:tc>
          <w:tcPr>
            <w:tcW w:w="1789" w:type="dxa"/>
            <w:vAlign w:val="center"/>
          </w:tcPr>
          <w:p w14:paraId="0CB2ABC4">
            <w:pPr>
              <w:pStyle w:val="115"/>
              <w:adjustRightInd w:val="0"/>
              <w:snapToGrid w:val="0"/>
              <w:spacing w:line="300" w:lineRule="exact"/>
              <w:ind w:firstLine="0" w:firstLineChars="0"/>
              <w:jc w:val="center"/>
              <w:rPr>
                <w:rFonts w:hint="eastAsia" w:ascii="宋体" w:hAnsi="宋体" w:eastAsia="宋体"/>
                <w:color w:val="auto"/>
                <w:sz w:val="21"/>
                <w:szCs w:val="21"/>
              </w:rPr>
            </w:pPr>
            <w:r>
              <w:rPr>
                <w:rFonts w:hint="eastAsia" w:ascii="宋体" w:hAnsi="宋体" w:eastAsia="宋体"/>
                <w:color w:val="auto"/>
                <w:sz w:val="21"/>
                <w:szCs w:val="21"/>
              </w:rPr>
              <w:t>0.2625</w:t>
            </w:r>
          </w:p>
        </w:tc>
      </w:tr>
    </w:tbl>
    <w:p w14:paraId="2E212C32">
      <w:pPr>
        <w:pStyle w:val="115"/>
        <w:ind w:firstLine="480" w:firstLineChars="0"/>
        <w:rPr>
          <w:rFonts w:hint="eastAsia" w:ascii="宋体" w:hAnsi="宋体" w:eastAsia="宋体"/>
          <w:color w:val="auto"/>
        </w:rPr>
      </w:pPr>
      <w:r>
        <w:rPr>
          <w:rFonts w:hint="eastAsia" w:ascii="宋体" w:hAnsi="宋体" w:eastAsia="宋体"/>
          <w:color w:val="auto"/>
        </w:rPr>
        <w:t>③气象数据</w:t>
      </w:r>
    </w:p>
    <w:p w14:paraId="49A937AE">
      <w:pPr>
        <w:pStyle w:val="115"/>
        <w:ind w:firstLine="480"/>
        <w:rPr>
          <w:rStyle w:val="218"/>
          <w:rFonts w:hint="eastAsia"/>
          <w:color w:val="auto"/>
        </w:rPr>
      </w:pPr>
      <w:r>
        <w:rPr>
          <w:rFonts w:hint="eastAsia" w:ascii="宋体" w:hAnsi="宋体" w:eastAsia="宋体"/>
          <w:color w:val="auto"/>
        </w:rPr>
        <w:t>以下资料为项目区近</w:t>
      </w:r>
      <w:r>
        <w:rPr>
          <w:rStyle w:val="218"/>
          <w:rFonts w:hint="eastAsia"/>
          <w:color w:val="auto"/>
        </w:rPr>
        <w:t>20年气象数据统计分析，具体详见表</w:t>
      </w:r>
      <w:r>
        <w:rPr>
          <w:rStyle w:val="218"/>
          <w:color w:val="auto"/>
        </w:rPr>
        <w:t>5</w:t>
      </w:r>
      <w:r>
        <w:rPr>
          <w:rStyle w:val="218"/>
          <w:rFonts w:hint="eastAsia"/>
          <w:color w:val="auto"/>
        </w:rPr>
        <w:t>.2-2。</w:t>
      </w:r>
    </w:p>
    <w:p w14:paraId="7BC9ECEB">
      <w:pPr>
        <w:pStyle w:val="134"/>
        <w:ind w:firstLine="480"/>
        <w:rPr>
          <w:rFonts w:hint="eastAsia"/>
          <w:color w:val="auto"/>
        </w:rPr>
      </w:pPr>
      <w:r>
        <w:rPr>
          <w:rFonts w:hint="eastAsia"/>
          <w:color w:val="auto"/>
        </w:rPr>
        <w:t>表</w:t>
      </w:r>
      <w:r>
        <w:rPr>
          <w:color w:val="auto"/>
        </w:rPr>
        <w:t>5</w:t>
      </w:r>
      <w:r>
        <w:rPr>
          <w:rFonts w:hint="eastAsia"/>
          <w:color w:val="auto"/>
        </w:rPr>
        <w:t>.2-2</w:t>
      </w:r>
      <w:r>
        <w:rPr>
          <w:color w:val="auto"/>
        </w:rPr>
        <w:t xml:space="preserve">  </w:t>
      </w:r>
      <w:r>
        <w:rPr>
          <w:rFonts w:hint="eastAsia"/>
          <w:color w:val="auto"/>
        </w:rPr>
        <w:t>气象数据一览表</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1789"/>
        <w:gridCol w:w="1790"/>
        <w:gridCol w:w="1789"/>
        <w:gridCol w:w="1789"/>
      </w:tblGrid>
      <w:tr w14:paraId="5D48B6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9" w:type="dxa"/>
            <w:vAlign w:val="center"/>
          </w:tcPr>
          <w:p w14:paraId="0C92E3FE">
            <w:pPr>
              <w:pStyle w:val="115"/>
              <w:spacing w:line="300" w:lineRule="exact"/>
              <w:ind w:firstLine="0" w:firstLineChars="0"/>
              <w:jc w:val="center"/>
              <w:rPr>
                <w:rFonts w:hint="eastAsia" w:ascii="宋体" w:hAnsi="宋体" w:eastAsia="宋体"/>
                <w:color w:val="auto"/>
                <w:sz w:val="21"/>
                <w:szCs w:val="21"/>
              </w:rPr>
            </w:pPr>
            <w:r>
              <w:rPr>
                <w:rFonts w:hint="eastAsia" w:ascii="宋体" w:hAnsi="宋体" w:eastAsia="宋体"/>
                <w:color w:val="auto"/>
                <w:sz w:val="21"/>
                <w:szCs w:val="21"/>
              </w:rPr>
              <w:t>统计时间</w:t>
            </w:r>
          </w:p>
        </w:tc>
        <w:tc>
          <w:tcPr>
            <w:tcW w:w="1789" w:type="dxa"/>
            <w:vAlign w:val="center"/>
          </w:tcPr>
          <w:p w14:paraId="7A413B0C">
            <w:pPr>
              <w:pStyle w:val="115"/>
              <w:spacing w:line="300" w:lineRule="exact"/>
              <w:ind w:firstLine="0" w:firstLineChars="0"/>
              <w:jc w:val="center"/>
              <w:rPr>
                <w:rFonts w:hint="eastAsia" w:ascii="宋体" w:hAnsi="宋体" w:eastAsia="宋体"/>
                <w:color w:val="auto"/>
                <w:sz w:val="21"/>
                <w:szCs w:val="21"/>
              </w:rPr>
            </w:pPr>
            <w:r>
              <w:rPr>
                <w:rFonts w:hint="eastAsia" w:ascii="宋体" w:hAnsi="宋体" w:eastAsia="宋体"/>
                <w:color w:val="auto"/>
                <w:sz w:val="21"/>
                <w:szCs w:val="21"/>
              </w:rPr>
              <w:t>最低温度</w:t>
            </w:r>
          </w:p>
        </w:tc>
        <w:tc>
          <w:tcPr>
            <w:tcW w:w="1790" w:type="dxa"/>
            <w:vAlign w:val="center"/>
          </w:tcPr>
          <w:p w14:paraId="338328E8">
            <w:pPr>
              <w:pStyle w:val="115"/>
              <w:spacing w:line="300" w:lineRule="exact"/>
              <w:ind w:firstLine="0" w:firstLineChars="0"/>
              <w:jc w:val="center"/>
              <w:rPr>
                <w:rFonts w:hint="eastAsia" w:ascii="宋体" w:hAnsi="宋体" w:eastAsia="宋体"/>
                <w:color w:val="auto"/>
                <w:sz w:val="21"/>
                <w:szCs w:val="21"/>
              </w:rPr>
            </w:pPr>
            <w:r>
              <w:rPr>
                <w:rFonts w:hint="eastAsia" w:ascii="宋体" w:hAnsi="宋体" w:eastAsia="宋体"/>
                <w:color w:val="auto"/>
                <w:sz w:val="21"/>
                <w:szCs w:val="21"/>
              </w:rPr>
              <w:t>最高温度</w:t>
            </w:r>
          </w:p>
        </w:tc>
        <w:tc>
          <w:tcPr>
            <w:tcW w:w="1789" w:type="dxa"/>
            <w:vAlign w:val="center"/>
          </w:tcPr>
          <w:p w14:paraId="49C51556">
            <w:pPr>
              <w:pStyle w:val="115"/>
              <w:spacing w:line="300" w:lineRule="exact"/>
              <w:ind w:firstLine="0" w:firstLineChars="0"/>
              <w:jc w:val="center"/>
              <w:rPr>
                <w:rFonts w:hint="eastAsia" w:ascii="宋体" w:hAnsi="宋体" w:eastAsia="宋体"/>
                <w:color w:val="auto"/>
                <w:sz w:val="21"/>
                <w:szCs w:val="21"/>
              </w:rPr>
            </w:pPr>
            <w:r>
              <w:rPr>
                <w:rFonts w:hint="eastAsia" w:ascii="宋体" w:hAnsi="宋体" w:eastAsia="宋体"/>
                <w:color w:val="auto"/>
                <w:sz w:val="21"/>
                <w:szCs w:val="21"/>
              </w:rPr>
              <w:t>最小风速</w:t>
            </w:r>
          </w:p>
        </w:tc>
        <w:tc>
          <w:tcPr>
            <w:tcW w:w="1789" w:type="dxa"/>
            <w:vAlign w:val="center"/>
          </w:tcPr>
          <w:p w14:paraId="28D061E7">
            <w:pPr>
              <w:pStyle w:val="115"/>
              <w:spacing w:line="300" w:lineRule="exact"/>
              <w:ind w:firstLine="0" w:firstLineChars="0"/>
              <w:jc w:val="center"/>
              <w:rPr>
                <w:rFonts w:hint="eastAsia" w:ascii="宋体" w:hAnsi="宋体" w:eastAsia="宋体"/>
                <w:color w:val="auto"/>
                <w:sz w:val="21"/>
                <w:szCs w:val="21"/>
              </w:rPr>
            </w:pPr>
            <w:r>
              <w:rPr>
                <w:rFonts w:hint="eastAsia" w:ascii="宋体" w:hAnsi="宋体" w:eastAsia="宋体"/>
                <w:color w:val="auto"/>
                <w:sz w:val="21"/>
                <w:szCs w:val="21"/>
              </w:rPr>
              <w:t>测风高度</w:t>
            </w:r>
          </w:p>
        </w:tc>
      </w:tr>
      <w:tr w14:paraId="5BAFD3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9" w:type="dxa"/>
            <w:vAlign w:val="center"/>
          </w:tcPr>
          <w:p w14:paraId="499604C9">
            <w:pPr>
              <w:pStyle w:val="115"/>
              <w:spacing w:line="300" w:lineRule="exact"/>
              <w:ind w:firstLine="0" w:firstLineChars="0"/>
              <w:jc w:val="center"/>
              <w:rPr>
                <w:rFonts w:hint="eastAsia" w:ascii="宋体" w:hAnsi="宋体" w:eastAsia="宋体"/>
                <w:color w:val="auto"/>
                <w:sz w:val="21"/>
                <w:szCs w:val="21"/>
              </w:rPr>
            </w:pPr>
            <w:r>
              <w:rPr>
                <w:rFonts w:ascii="宋体" w:hAnsi="宋体" w:eastAsia="宋体"/>
                <w:color w:val="auto"/>
                <w:sz w:val="21"/>
                <w:szCs w:val="21"/>
              </w:rPr>
              <w:t>20</w:t>
            </w:r>
            <w:r>
              <w:rPr>
                <w:rFonts w:hint="eastAsia" w:ascii="宋体" w:hAnsi="宋体" w:eastAsia="宋体"/>
                <w:color w:val="auto"/>
                <w:sz w:val="21"/>
                <w:szCs w:val="21"/>
              </w:rPr>
              <w:t>年</w:t>
            </w:r>
          </w:p>
        </w:tc>
        <w:tc>
          <w:tcPr>
            <w:tcW w:w="1789" w:type="dxa"/>
            <w:vAlign w:val="center"/>
          </w:tcPr>
          <w:p w14:paraId="1B42745B">
            <w:pPr>
              <w:pStyle w:val="115"/>
              <w:spacing w:line="300" w:lineRule="exact"/>
              <w:ind w:firstLine="0" w:firstLineChars="0"/>
              <w:jc w:val="center"/>
              <w:rPr>
                <w:rFonts w:hint="eastAsia" w:ascii="宋体" w:hAnsi="宋体" w:eastAsia="宋体"/>
                <w:color w:val="auto"/>
                <w:sz w:val="21"/>
                <w:szCs w:val="21"/>
              </w:rPr>
            </w:pPr>
            <w:r>
              <w:rPr>
                <w:rFonts w:hint="eastAsia" w:ascii="宋体" w:hAnsi="宋体" w:eastAsia="宋体"/>
                <w:color w:val="auto"/>
                <w:sz w:val="21"/>
                <w:szCs w:val="21"/>
              </w:rPr>
              <w:t>-37.4℃</w:t>
            </w:r>
          </w:p>
        </w:tc>
        <w:tc>
          <w:tcPr>
            <w:tcW w:w="1790" w:type="dxa"/>
            <w:vAlign w:val="center"/>
          </w:tcPr>
          <w:p w14:paraId="5F7678A9">
            <w:pPr>
              <w:pStyle w:val="115"/>
              <w:spacing w:line="300" w:lineRule="exact"/>
              <w:ind w:firstLine="0" w:firstLineChars="0"/>
              <w:jc w:val="center"/>
              <w:rPr>
                <w:rFonts w:hint="eastAsia" w:ascii="宋体" w:hAnsi="宋体" w:eastAsia="宋体"/>
                <w:color w:val="auto"/>
                <w:sz w:val="21"/>
                <w:szCs w:val="21"/>
              </w:rPr>
            </w:pPr>
            <w:r>
              <w:rPr>
                <w:rFonts w:hint="eastAsia" w:ascii="宋体" w:hAnsi="宋体" w:eastAsia="宋体"/>
                <w:color w:val="auto"/>
                <w:sz w:val="21"/>
                <w:szCs w:val="21"/>
              </w:rPr>
              <w:t>39.6℃</w:t>
            </w:r>
          </w:p>
        </w:tc>
        <w:tc>
          <w:tcPr>
            <w:tcW w:w="1789" w:type="dxa"/>
            <w:vAlign w:val="center"/>
          </w:tcPr>
          <w:p w14:paraId="5EFFCEAC">
            <w:pPr>
              <w:pStyle w:val="115"/>
              <w:spacing w:line="300" w:lineRule="exact"/>
              <w:ind w:firstLine="0" w:firstLineChars="0"/>
              <w:jc w:val="center"/>
              <w:rPr>
                <w:rFonts w:hint="eastAsia" w:ascii="宋体" w:hAnsi="宋体" w:eastAsia="宋体"/>
                <w:color w:val="auto"/>
                <w:sz w:val="21"/>
                <w:szCs w:val="21"/>
              </w:rPr>
            </w:pPr>
            <w:r>
              <w:rPr>
                <w:rFonts w:ascii="宋体" w:hAnsi="宋体" w:eastAsia="宋体"/>
                <w:color w:val="auto"/>
                <w:sz w:val="21"/>
                <w:szCs w:val="21"/>
              </w:rPr>
              <w:t>0.5m/s</w:t>
            </w:r>
          </w:p>
        </w:tc>
        <w:tc>
          <w:tcPr>
            <w:tcW w:w="1789" w:type="dxa"/>
            <w:vAlign w:val="center"/>
          </w:tcPr>
          <w:p w14:paraId="16A8902D">
            <w:pPr>
              <w:pStyle w:val="115"/>
              <w:spacing w:line="300" w:lineRule="exact"/>
              <w:ind w:firstLine="0" w:firstLineChars="0"/>
              <w:jc w:val="center"/>
              <w:rPr>
                <w:rFonts w:hint="eastAsia" w:ascii="宋体" w:hAnsi="宋体" w:eastAsia="宋体"/>
                <w:color w:val="auto"/>
                <w:sz w:val="21"/>
                <w:szCs w:val="21"/>
              </w:rPr>
            </w:pPr>
            <w:r>
              <w:rPr>
                <w:rFonts w:ascii="宋体" w:hAnsi="宋体" w:eastAsia="宋体"/>
                <w:color w:val="auto"/>
                <w:sz w:val="21"/>
                <w:szCs w:val="21"/>
              </w:rPr>
              <w:t>10</w:t>
            </w:r>
            <w:r>
              <w:rPr>
                <w:rFonts w:hint="eastAsia" w:ascii="宋体" w:hAnsi="宋体" w:eastAsia="宋体"/>
                <w:color w:val="auto"/>
                <w:sz w:val="21"/>
                <w:szCs w:val="21"/>
              </w:rPr>
              <w:t>m</w:t>
            </w:r>
          </w:p>
        </w:tc>
      </w:tr>
    </w:tbl>
    <w:p w14:paraId="03466F53">
      <w:pPr>
        <w:pStyle w:val="115"/>
        <w:ind w:firstLine="480"/>
        <w:rPr>
          <w:rFonts w:hint="eastAsia" w:ascii="宋体" w:hAnsi="宋体" w:eastAsia="宋体"/>
          <w:color w:val="auto"/>
        </w:rPr>
      </w:pPr>
      <w:r>
        <w:rPr>
          <w:rFonts w:hint="eastAsia" w:ascii="宋体" w:hAnsi="宋体" w:eastAsia="宋体"/>
          <w:color w:val="auto"/>
        </w:rPr>
        <w:t>（</w:t>
      </w:r>
      <w:r>
        <w:rPr>
          <w:rFonts w:ascii="宋体" w:hAnsi="宋体" w:eastAsia="宋体"/>
          <w:color w:val="auto"/>
        </w:rPr>
        <w:t>4）估算模型参数</w:t>
      </w:r>
    </w:p>
    <w:p w14:paraId="4029792D">
      <w:pPr>
        <w:pStyle w:val="115"/>
        <w:ind w:firstLine="480"/>
        <w:rPr>
          <w:rStyle w:val="85"/>
          <w:rFonts w:hint="eastAsia"/>
          <w:color w:val="auto"/>
        </w:rPr>
      </w:pPr>
      <w:r>
        <w:rPr>
          <w:rFonts w:hint="eastAsia" w:ascii="宋体" w:hAnsi="宋体" w:eastAsia="宋体"/>
          <w:color w:val="auto"/>
        </w:rPr>
        <w:t>估算模型参数</w:t>
      </w:r>
      <w:r>
        <w:rPr>
          <w:rStyle w:val="85"/>
          <w:rFonts w:hint="eastAsia"/>
          <w:color w:val="auto"/>
        </w:rPr>
        <w:t>选择见表</w:t>
      </w:r>
      <w:r>
        <w:rPr>
          <w:rStyle w:val="85"/>
          <w:color w:val="auto"/>
        </w:rPr>
        <w:t>5</w:t>
      </w:r>
      <w:r>
        <w:rPr>
          <w:rStyle w:val="85"/>
          <w:rFonts w:hint="eastAsia"/>
          <w:color w:val="auto"/>
        </w:rPr>
        <w:t>.2-3。</w:t>
      </w:r>
    </w:p>
    <w:p w14:paraId="121A8BC5">
      <w:pPr>
        <w:pStyle w:val="134"/>
        <w:ind w:firstLine="480"/>
        <w:rPr>
          <w:rFonts w:hint="eastAsia"/>
          <w:color w:val="auto"/>
        </w:rPr>
      </w:pPr>
      <w:r>
        <w:rPr>
          <w:rFonts w:hint="eastAsia"/>
          <w:color w:val="auto"/>
        </w:rPr>
        <w:t>表</w:t>
      </w:r>
      <w:r>
        <w:rPr>
          <w:color w:val="auto"/>
        </w:rPr>
        <w:t>5</w:t>
      </w:r>
      <w:r>
        <w:rPr>
          <w:rFonts w:hint="eastAsia"/>
          <w:color w:val="auto"/>
        </w:rPr>
        <w:t>.2-3</w:t>
      </w:r>
      <w:r>
        <w:rPr>
          <w:color w:val="auto"/>
        </w:rPr>
        <w:t xml:space="preserve">  </w:t>
      </w:r>
      <w:r>
        <w:rPr>
          <w:rFonts w:hint="eastAsia"/>
          <w:color w:val="auto"/>
        </w:rPr>
        <w:t>估算模型参数选择一览表</w:t>
      </w:r>
    </w:p>
    <w:tbl>
      <w:tblPr>
        <w:tblStyle w:val="51"/>
        <w:tblW w:w="0" w:type="auto"/>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1932"/>
        <w:gridCol w:w="4437"/>
        <w:gridCol w:w="2361"/>
      </w:tblGrid>
      <w:tr w14:paraId="0D56861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6369" w:type="dxa"/>
            <w:gridSpan w:val="2"/>
            <w:vAlign w:val="center"/>
          </w:tcPr>
          <w:p w14:paraId="1F70B592">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参数</w:t>
            </w:r>
          </w:p>
        </w:tc>
        <w:tc>
          <w:tcPr>
            <w:tcW w:w="2361" w:type="dxa"/>
            <w:vAlign w:val="center"/>
          </w:tcPr>
          <w:p w14:paraId="41F273F0">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取值</w:t>
            </w:r>
          </w:p>
        </w:tc>
      </w:tr>
      <w:tr w14:paraId="57682C3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932" w:type="dxa"/>
            <w:vMerge w:val="restart"/>
            <w:vAlign w:val="center"/>
          </w:tcPr>
          <w:p w14:paraId="4B641520">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城市/农村选项</w:t>
            </w:r>
          </w:p>
        </w:tc>
        <w:tc>
          <w:tcPr>
            <w:tcW w:w="4437" w:type="dxa"/>
            <w:vAlign w:val="center"/>
          </w:tcPr>
          <w:p w14:paraId="598B3980">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城市/农村</w:t>
            </w:r>
          </w:p>
        </w:tc>
        <w:tc>
          <w:tcPr>
            <w:tcW w:w="2361" w:type="dxa"/>
            <w:vAlign w:val="center"/>
          </w:tcPr>
          <w:p w14:paraId="4D29CB46">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农村</w:t>
            </w:r>
          </w:p>
        </w:tc>
      </w:tr>
      <w:tr w14:paraId="567ABF3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932" w:type="dxa"/>
            <w:vMerge w:val="continue"/>
            <w:vAlign w:val="center"/>
          </w:tcPr>
          <w:p w14:paraId="527560D8">
            <w:pPr>
              <w:adjustRightInd w:val="0"/>
              <w:spacing w:line="300" w:lineRule="exact"/>
              <w:jc w:val="center"/>
              <w:textAlignment w:val="baseline"/>
              <w:rPr>
                <w:rFonts w:hint="eastAsia" w:ascii="宋体" w:hAnsi="宋体" w:cs="宋体"/>
                <w:color w:val="auto"/>
                <w:kern w:val="0"/>
                <w:szCs w:val="21"/>
              </w:rPr>
            </w:pPr>
          </w:p>
        </w:tc>
        <w:tc>
          <w:tcPr>
            <w:tcW w:w="4437" w:type="dxa"/>
            <w:vAlign w:val="center"/>
          </w:tcPr>
          <w:p w14:paraId="7C112C03">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人口数（城市选项时）</w:t>
            </w:r>
          </w:p>
        </w:tc>
        <w:tc>
          <w:tcPr>
            <w:tcW w:w="2361" w:type="dxa"/>
            <w:vAlign w:val="center"/>
          </w:tcPr>
          <w:p w14:paraId="39D25E5C">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w:t>
            </w:r>
          </w:p>
        </w:tc>
      </w:tr>
      <w:tr w14:paraId="401686B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6369" w:type="dxa"/>
            <w:gridSpan w:val="2"/>
            <w:vAlign w:val="center"/>
          </w:tcPr>
          <w:p w14:paraId="3E06B257">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最高环境温度/℃</w:t>
            </w:r>
          </w:p>
        </w:tc>
        <w:tc>
          <w:tcPr>
            <w:tcW w:w="2361" w:type="dxa"/>
            <w:vAlign w:val="center"/>
          </w:tcPr>
          <w:p w14:paraId="21F49C22">
            <w:pPr>
              <w:adjustRightInd w:val="0"/>
              <w:spacing w:line="300" w:lineRule="exact"/>
              <w:jc w:val="center"/>
              <w:textAlignment w:val="baseline"/>
              <w:rPr>
                <w:rFonts w:hint="eastAsia" w:ascii="宋体" w:hAnsi="宋体" w:cs="宋体"/>
                <w:color w:val="auto"/>
                <w:kern w:val="0"/>
                <w:szCs w:val="21"/>
              </w:rPr>
            </w:pPr>
            <w:r>
              <w:rPr>
                <w:rFonts w:hint="eastAsia" w:ascii="宋体" w:hAnsi="宋体"/>
                <w:color w:val="auto"/>
                <w:szCs w:val="21"/>
              </w:rPr>
              <w:t>39.6℃</w:t>
            </w:r>
          </w:p>
        </w:tc>
      </w:tr>
      <w:tr w14:paraId="68498B1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6369" w:type="dxa"/>
            <w:gridSpan w:val="2"/>
            <w:vAlign w:val="center"/>
          </w:tcPr>
          <w:p w14:paraId="3B3BD7F4">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最低环境温度/℃</w:t>
            </w:r>
          </w:p>
        </w:tc>
        <w:tc>
          <w:tcPr>
            <w:tcW w:w="2361" w:type="dxa"/>
            <w:vAlign w:val="center"/>
          </w:tcPr>
          <w:p w14:paraId="01D87693">
            <w:pPr>
              <w:adjustRightInd w:val="0"/>
              <w:spacing w:line="300" w:lineRule="exact"/>
              <w:jc w:val="center"/>
              <w:textAlignment w:val="baseline"/>
              <w:rPr>
                <w:rFonts w:hint="eastAsia" w:ascii="宋体" w:hAnsi="宋体" w:cs="宋体"/>
                <w:color w:val="auto"/>
                <w:kern w:val="0"/>
                <w:szCs w:val="21"/>
              </w:rPr>
            </w:pPr>
            <w:r>
              <w:rPr>
                <w:rFonts w:hint="eastAsia" w:ascii="宋体" w:hAnsi="宋体"/>
                <w:color w:val="auto"/>
                <w:szCs w:val="21"/>
              </w:rPr>
              <w:t>-37.4℃</w:t>
            </w:r>
          </w:p>
        </w:tc>
      </w:tr>
      <w:tr w14:paraId="1118D2F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6369" w:type="dxa"/>
            <w:gridSpan w:val="2"/>
            <w:vAlign w:val="center"/>
          </w:tcPr>
          <w:p w14:paraId="6869D935">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土地利用类型</w:t>
            </w:r>
          </w:p>
        </w:tc>
        <w:tc>
          <w:tcPr>
            <w:tcW w:w="2361" w:type="dxa"/>
            <w:vAlign w:val="center"/>
          </w:tcPr>
          <w:p w14:paraId="3FBEADA8">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荒漠</w:t>
            </w:r>
          </w:p>
        </w:tc>
      </w:tr>
      <w:tr w14:paraId="5C16F01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6369" w:type="dxa"/>
            <w:gridSpan w:val="2"/>
            <w:vAlign w:val="center"/>
          </w:tcPr>
          <w:p w14:paraId="0062D5EF">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区域湿度条件</w:t>
            </w:r>
          </w:p>
        </w:tc>
        <w:tc>
          <w:tcPr>
            <w:tcW w:w="2361" w:type="dxa"/>
            <w:vAlign w:val="center"/>
          </w:tcPr>
          <w:p w14:paraId="6AB5D0C4">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干燥气候</w:t>
            </w:r>
          </w:p>
        </w:tc>
      </w:tr>
      <w:tr w14:paraId="1F4A139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932" w:type="dxa"/>
            <w:vMerge w:val="restart"/>
            <w:vAlign w:val="center"/>
          </w:tcPr>
          <w:p w14:paraId="770527AC">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是否考虑地形</w:t>
            </w:r>
          </w:p>
        </w:tc>
        <w:tc>
          <w:tcPr>
            <w:tcW w:w="4437" w:type="dxa"/>
            <w:vAlign w:val="center"/>
          </w:tcPr>
          <w:p w14:paraId="1BCFEDB8">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考虑地形</w:t>
            </w:r>
          </w:p>
        </w:tc>
        <w:tc>
          <w:tcPr>
            <w:tcW w:w="2361" w:type="dxa"/>
            <w:vAlign w:val="center"/>
          </w:tcPr>
          <w:p w14:paraId="12DF659E">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sym w:font="Wingdings 2" w:char="0052"/>
            </w:r>
            <w:r>
              <w:rPr>
                <w:rFonts w:hint="eastAsia" w:ascii="宋体" w:hAnsi="宋体" w:cs="宋体"/>
                <w:color w:val="auto"/>
                <w:kern w:val="0"/>
                <w:szCs w:val="21"/>
              </w:rPr>
              <w:t xml:space="preserve">是  </w:t>
            </w:r>
            <w:r>
              <w:rPr>
                <w:rFonts w:hint="eastAsia" w:ascii="宋体" w:hAnsi="宋体" w:cs="宋体"/>
                <w:color w:val="auto"/>
                <w:kern w:val="0"/>
                <w:szCs w:val="21"/>
              </w:rPr>
              <w:fldChar w:fldCharType="begin"/>
            </w:r>
            <w:r>
              <w:rPr>
                <w:rFonts w:hint="eastAsia" w:ascii="宋体" w:hAnsi="宋体" w:cs="宋体"/>
                <w:color w:val="auto"/>
                <w:kern w:val="0"/>
                <w:szCs w:val="21"/>
              </w:rPr>
              <w:instrText xml:space="preserve"> eq \o\ac(</w:instrText>
            </w:r>
            <w:r>
              <w:rPr>
                <w:rFonts w:hint="eastAsia" w:ascii="宋体" w:hAnsi="宋体" w:cs="宋体"/>
                <w:color w:val="auto"/>
                <w:kern w:val="0"/>
                <w:position w:val="-4"/>
                <w:sz w:val="31"/>
                <w:szCs w:val="21"/>
              </w:rPr>
              <w:instrText xml:space="preserve">□</w:instrText>
            </w:r>
            <w:r>
              <w:rPr>
                <w:rFonts w:hint="eastAsia" w:ascii="宋体" w:hAnsi="宋体" w:cs="宋体"/>
                <w:color w:val="auto"/>
                <w:kern w:val="0"/>
                <w:szCs w:val="21"/>
              </w:rPr>
              <w:instrText xml:space="preserve">)</w:instrText>
            </w:r>
            <w:r>
              <w:rPr>
                <w:rFonts w:hint="eastAsia" w:ascii="宋体" w:hAnsi="宋体" w:cs="宋体"/>
                <w:color w:val="auto"/>
                <w:kern w:val="0"/>
                <w:szCs w:val="21"/>
              </w:rPr>
              <w:fldChar w:fldCharType="end"/>
            </w:r>
            <w:r>
              <w:rPr>
                <w:rFonts w:hint="eastAsia" w:ascii="宋体" w:hAnsi="宋体" w:cs="宋体"/>
                <w:color w:val="auto"/>
                <w:kern w:val="0"/>
                <w:szCs w:val="21"/>
              </w:rPr>
              <w:t>否</w:t>
            </w:r>
          </w:p>
        </w:tc>
      </w:tr>
      <w:tr w14:paraId="3D71600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932" w:type="dxa"/>
            <w:vMerge w:val="continue"/>
            <w:vAlign w:val="center"/>
          </w:tcPr>
          <w:p w14:paraId="77DEAD12">
            <w:pPr>
              <w:adjustRightInd w:val="0"/>
              <w:spacing w:line="300" w:lineRule="exact"/>
              <w:jc w:val="center"/>
              <w:textAlignment w:val="baseline"/>
              <w:rPr>
                <w:rFonts w:hint="eastAsia" w:ascii="宋体" w:hAnsi="宋体" w:cs="宋体"/>
                <w:color w:val="auto"/>
                <w:kern w:val="0"/>
                <w:szCs w:val="21"/>
              </w:rPr>
            </w:pPr>
          </w:p>
        </w:tc>
        <w:tc>
          <w:tcPr>
            <w:tcW w:w="4437" w:type="dxa"/>
            <w:vAlign w:val="center"/>
          </w:tcPr>
          <w:p w14:paraId="34A2793C">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地形数据分辨率/m</w:t>
            </w:r>
          </w:p>
        </w:tc>
        <w:tc>
          <w:tcPr>
            <w:tcW w:w="2361" w:type="dxa"/>
            <w:vAlign w:val="center"/>
          </w:tcPr>
          <w:p w14:paraId="5811C9A3">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90</w:t>
            </w:r>
          </w:p>
        </w:tc>
      </w:tr>
      <w:tr w14:paraId="21EDA7A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932" w:type="dxa"/>
            <w:vMerge w:val="restart"/>
            <w:vAlign w:val="center"/>
          </w:tcPr>
          <w:p w14:paraId="417F043A">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是否考虑岸线熏烟</w:t>
            </w:r>
          </w:p>
        </w:tc>
        <w:tc>
          <w:tcPr>
            <w:tcW w:w="4437" w:type="dxa"/>
            <w:vAlign w:val="center"/>
          </w:tcPr>
          <w:p w14:paraId="40D20AAC">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考虑岸线熏烟</w:t>
            </w:r>
          </w:p>
        </w:tc>
        <w:tc>
          <w:tcPr>
            <w:tcW w:w="2361" w:type="dxa"/>
            <w:vAlign w:val="center"/>
          </w:tcPr>
          <w:p w14:paraId="54F04E03">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 xml:space="preserve">□是 </w:t>
            </w:r>
            <w:r>
              <w:rPr>
                <w:rFonts w:hint="eastAsia" w:ascii="宋体" w:hAnsi="宋体" w:cs="宋体"/>
                <w:color w:val="auto"/>
                <w:kern w:val="0"/>
                <w:szCs w:val="21"/>
              </w:rPr>
              <w:fldChar w:fldCharType="begin"/>
            </w:r>
            <w:r>
              <w:rPr>
                <w:rFonts w:hint="eastAsia" w:ascii="宋体" w:hAnsi="宋体" w:cs="宋体"/>
                <w:color w:val="auto"/>
                <w:kern w:val="0"/>
                <w:szCs w:val="21"/>
              </w:rPr>
              <w:instrText xml:space="preserve"> eq \o\ac(</w:instrText>
            </w:r>
            <w:r>
              <w:rPr>
                <w:rFonts w:hint="eastAsia" w:ascii="宋体" w:hAnsi="宋体" w:cs="宋体"/>
                <w:color w:val="auto"/>
                <w:kern w:val="0"/>
                <w:position w:val="-4"/>
                <w:sz w:val="31"/>
                <w:szCs w:val="21"/>
              </w:rPr>
              <w:instrText xml:space="preserve">□</w:instrText>
            </w:r>
            <w:r>
              <w:rPr>
                <w:rFonts w:hint="eastAsia" w:ascii="宋体" w:hAnsi="宋体" w:cs="宋体"/>
                <w:color w:val="auto"/>
                <w:kern w:val="0"/>
                <w:szCs w:val="21"/>
              </w:rPr>
              <w:instrText xml:space="preserve">,√)</w:instrText>
            </w:r>
            <w:r>
              <w:rPr>
                <w:rFonts w:hint="eastAsia" w:ascii="宋体" w:hAnsi="宋体" w:cs="宋体"/>
                <w:color w:val="auto"/>
                <w:kern w:val="0"/>
                <w:szCs w:val="21"/>
              </w:rPr>
              <w:fldChar w:fldCharType="end"/>
            </w:r>
            <w:r>
              <w:rPr>
                <w:rFonts w:hint="eastAsia" w:ascii="宋体" w:hAnsi="宋体" w:cs="宋体"/>
                <w:color w:val="auto"/>
                <w:kern w:val="0"/>
                <w:szCs w:val="21"/>
              </w:rPr>
              <w:t>否</w:t>
            </w:r>
          </w:p>
        </w:tc>
      </w:tr>
      <w:tr w14:paraId="3639154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932" w:type="dxa"/>
            <w:vMerge w:val="continue"/>
            <w:vAlign w:val="center"/>
          </w:tcPr>
          <w:p w14:paraId="35456DFC">
            <w:pPr>
              <w:adjustRightInd w:val="0"/>
              <w:spacing w:line="300" w:lineRule="exact"/>
              <w:jc w:val="center"/>
              <w:textAlignment w:val="baseline"/>
              <w:rPr>
                <w:rFonts w:hint="eastAsia" w:ascii="宋体" w:hAnsi="宋体" w:cs="宋体"/>
                <w:color w:val="auto"/>
                <w:kern w:val="0"/>
                <w:szCs w:val="21"/>
              </w:rPr>
            </w:pPr>
          </w:p>
        </w:tc>
        <w:tc>
          <w:tcPr>
            <w:tcW w:w="4437" w:type="dxa"/>
            <w:vAlign w:val="center"/>
          </w:tcPr>
          <w:p w14:paraId="43993EDA">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岸线距离/km</w:t>
            </w:r>
          </w:p>
        </w:tc>
        <w:tc>
          <w:tcPr>
            <w:tcW w:w="2361" w:type="dxa"/>
            <w:vAlign w:val="center"/>
          </w:tcPr>
          <w:p w14:paraId="690D1705">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w:t>
            </w:r>
          </w:p>
        </w:tc>
      </w:tr>
      <w:tr w14:paraId="3B91995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932" w:type="dxa"/>
            <w:vMerge w:val="continue"/>
            <w:vAlign w:val="center"/>
          </w:tcPr>
          <w:p w14:paraId="46F10A72">
            <w:pPr>
              <w:adjustRightInd w:val="0"/>
              <w:spacing w:line="300" w:lineRule="exact"/>
              <w:jc w:val="center"/>
              <w:textAlignment w:val="baseline"/>
              <w:rPr>
                <w:rFonts w:hint="eastAsia" w:ascii="宋体" w:hAnsi="宋体" w:cs="宋体"/>
                <w:color w:val="auto"/>
                <w:kern w:val="0"/>
                <w:szCs w:val="21"/>
              </w:rPr>
            </w:pPr>
          </w:p>
        </w:tc>
        <w:tc>
          <w:tcPr>
            <w:tcW w:w="4437" w:type="dxa"/>
            <w:vAlign w:val="center"/>
          </w:tcPr>
          <w:p w14:paraId="282A9B38">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岸线方向/°</w:t>
            </w:r>
          </w:p>
        </w:tc>
        <w:tc>
          <w:tcPr>
            <w:tcW w:w="2361" w:type="dxa"/>
            <w:vAlign w:val="center"/>
          </w:tcPr>
          <w:p w14:paraId="05918B17">
            <w:pPr>
              <w:adjustRightInd w:val="0"/>
              <w:spacing w:line="300" w:lineRule="exact"/>
              <w:jc w:val="center"/>
              <w:textAlignment w:val="baseline"/>
              <w:rPr>
                <w:rFonts w:hint="eastAsia" w:ascii="宋体" w:hAnsi="宋体" w:cs="宋体"/>
                <w:color w:val="auto"/>
                <w:kern w:val="0"/>
                <w:szCs w:val="21"/>
              </w:rPr>
            </w:pPr>
            <w:r>
              <w:rPr>
                <w:rFonts w:hint="eastAsia" w:ascii="宋体" w:hAnsi="宋体" w:cs="宋体"/>
                <w:color w:val="auto"/>
                <w:kern w:val="0"/>
                <w:szCs w:val="21"/>
              </w:rPr>
              <w:t>/</w:t>
            </w:r>
          </w:p>
        </w:tc>
      </w:tr>
    </w:tbl>
    <w:p w14:paraId="5BB584D6">
      <w:pPr>
        <w:pStyle w:val="86"/>
        <w:ind w:firstLine="480"/>
        <w:rPr>
          <w:rFonts w:hint="eastAsia"/>
          <w:color w:val="auto"/>
        </w:rPr>
      </w:pPr>
      <w:bookmarkStart w:id="666" w:name="_Hlk147587577"/>
      <w:r>
        <w:rPr>
          <w:rFonts w:hint="eastAsia"/>
          <w:color w:val="auto"/>
        </w:rPr>
        <w:t>（</w:t>
      </w:r>
      <w:r>
        <w:rPr>
          <w:color w:val="auto"/>
        </w:rPr>
        <w:t>5</w:t>
      </w:r>
      <w:r>
        <w:rPr>
          <w:rFonts w:hint="eastAsia"/>
          <w:color w:val="auto"/>
        </w:rPr>
        <w:t>）污染源参数</w:t>
      </w:r>
    </w:p>
    <w:p w14:paraId="5DB5EFD7">
      <w:pPr>
        <w:pStyle w:val="115"/>
        <w:ind w:firstLine="480"/>
        <w:rPr>
          <w:rFonts w:hint="eastAsia" w:ascii="宋体" w:hAnsi="宋体" w:eastAsia="宋体"/>
          <w:color w:val="auto"/>
        </w:rPr>
      </w:pPr>
      <w:bookmarkStart w:id="667" w:name="_Ref78375761"/>
      <w:r>
        <w:rPr>
          <w:rFonts w:hint="eastAsia" w:ascii="宋体" w:hAnsi="宋体" w:eastAsia="宋体"/>
          <w:color w:val="auto"/>
        </w:rPr>
        <w:t>根据3</w:t>
      </w:r>
      <w:r>
        <w:rPr>
          <w:rFonts w:ascii="宋体" w:hAnsi="宋体" w:eastAsia="宋体"/>
          <w:color w:val="auto"/>
        </w:rPr>
        <w:t>.3</w:t>
      </w:r>
      <w:r>
        <w:rPr>
          <w:rFonts w:hint="eastAsia" w:ascii="宋体" w:hAnsi="宋体" w:eastAsia="宋体"/>
          <w:color w:val="auto"/>
        </w:rPr>
        <w:t>污染源源强核算章节可知，正常工况下废气排放情况见表</w:t>
      </w:r>
      <w:r>
        <w:rPr>
          <w:rFonts w:ascii="宋体" w:hAnsi="宋体" w:eastAsia="宋体"/>
          <w:color w:val="auto"/>
        </w:rPr>
        <w:t>5.2</w:t>
      </w:r>
      <w:r>
        <w:rPr>
          <w:rFonts w:hint="eastAsia" w:ascii="宋体" w:hAnsi="宋体" w:eastAsia="宋体"/>
          <w:color w:val="auto"/>
        </w:rPr>
        <w:t>-</w:t>
      </w:r>
      <w:r>
        <w:rPr>
          <w:rFonts w:ascii="宋体" w:hAnsi="宋体" w:eastAsia="宋体"/>
          <w:color w:val="auto"/>
        </w:rPr>
        <w:t>4</w:t>
      </w:r>
      <w:r>
        <w:rPr>
          <w:rFonts w:hint="eastAsia" w:ascii="宋体" w:hAnsi="宋体" w:eastAsia="宋体"/>
          <w:color w:val="auto"/>
        </w:rPr>
        <w:t>和表5.2-5。</w:t>
      </w:r>
    </w:p>
    <w:p w14:paraId="27BEECBD">
      <w:pPr>
        <w:pStyle w:val="86"/>
        <w:ind w:firstLine="480"/>
        <w:rPr>
          <w:rFonts w:hint="eastAsia"/>
          <w:color w:val="auto"/>
        </w:rPr>
      </w:pPr>
      <w:r>
        <w:rPr>
          <w:rFonts w:hint="eastAsia"/>
          <w:color w:val="auto"/>
        </w:rPr>
        <w:t>（6）预测结果</w:t>
      </w:r>
    </w:p>
    <w:p w14:paraId="628CDC22">
      <w:pPr>
        <w:pStyle w:val="86"/>
        <w:ind w:firstLine="480"/>
        <w:rPr>
          <w:rFonts w:hint="eastAsia"/>
          <w:color w:val="auto"/>
        </w:rPr>
      </w:pPr>
      <w:r>
        <w:rPr>
          <w:rFonts w:hint="eastAsia"/>
          <w:color w:val="auto"/>
        </w:rPr>
        <w:t>预测结果详见表</w:t>
      </w:r>
      <w:r>
        <w:rPr>
          <w:color w:val="auto"/>
        </w:rPr>
        <w:t>5.2</w:t>
      </w:r>
      <w:r>
        <w:rPr>
          <w:rFonts w:hint="eastAsia"/>
          <w:color w:val="auto"/>
        </w:rPr>
        <w:t>-6和表5.2-7。</w:t>
      </w:r>
    </w:p>
    <w:p w14:paraId="50E5FD83">
      <w:pPr>
        <w:pStyle w:val="115"/>
        <w:ind w:firstLine="480"/>
        <w:rPr>
          <w:rFonts w:hint="eastAsia" w:ascii="宋体" w:hAnsi="宋体" w:eastAsia="宋体"/>
          <w:color w:val="auto"/>
        </w:rPr>
      </w:pPr>
    </w:p>
    <w:p w14:paraId="223B596B">
      <w:pPr>
        <w:pStyle w:val="115"/>
        <w:ind w:firstLine="480"/>
        <w:rPr>
          <w:rFonts w:hint="eastAsia" w:ascii="宋体" w:hAnsi="宋体" w:eastAsia="宋体"/>
          <w:color w:val="auto"/>
        </w:rPr>
      </w:pPr>
    </w:p>
    <w:p w14:paraId="59E214A4">
      <w:pPr>
        <w:pStyle w:val="115"/>
        <w:ind w:firstLine="480"/>
        <w:rPr>
          <w:rFonts w:hint="eastAsia" w:ascii="宋体" w:hAnsi="宋体" w:eastAsia="宋体"/>
          <w:color w:val="auto"/>
        </w:rPr>
        <w:sectPr>
          <w:headerReference r:id="rId25" w:type="default"/>
          <w:footerReference r:id="rId26" w:type="default"/>
          <w:pgSz w:w="11906" w:h="16838"/>
          <w:pgMar w:top="1418" w:right="1588" w:bottom="1418" w:left="1588" w:header="1020" w:footer="1020" w:gutter="0"/>
          <w:cols w:space="720" w:num="1"/>
          <w:docGrid w:type="lines" w:linePitch="312" w:charSpace="0"/>
        </w:sectPr>
      </w:pPr>
    </w:p>
    <w:bookmarkEnd w:id="666"/>
    <w:bookmarkEnd w:id="667"/>
    <w:p w14:paraId="513ECF50">
      <w:pPr>
        <w:pStyle w:val="15"/>
        <w:rPr>
          <w:rFonts w:hint="eastAsia"/>
          <w:bCs/>
          <w:color w:val="auto"/>
        </w:rPr>
      </w:pPr>
      <w:bookmarkStart w:id="668" w:name="_Hlk147587602"/>
      <w:r>
        <w:rPr>
          <w:rFonts w:hint="eastAsia"/>
          <w:color w:val="auto"/>
        </w:rPr>
        <w:t>表5.2-4</w:t>
      </w:r>
      <w:r>
        <w:rPr>
          <w:rFonts w:hint="eastAsia"/>
          <w:bCs/>
          <w:color w:val="auto"/>
        </w:rPr>
        <w:t xml:space="preserve"> </w:t>
      </w:r>
      <w:r>
        <w:rPr>
          <w:bCs/>
          <w:color w:val="auto"/>
        </w:rPr>
        <w:t xml:space="preserve"> </w:t>
      </w:r>
      <w:r>
        <w:rPr>
          <w:rFonts w:hint="eastAsia"/>
          <w:bCs/>
          <w:color w:val="auto"/>
        </w:rPr>
        <w:t>点源污染源参数一览表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99"/>
        <w:gridCol w:w="1099"/>
        <w:gridCol w:w="919"/>
        <w:gridCol w:w="919"/>
        <w:gridCol w:w="1130"/>
        <w:gridCol w:w="1074"/>
        <w:gridCol w:w="1096"/>
        <w:gridCol w:w="810"/>
        <w:gridCol w:w="1048"/>
        <w:gridCol w:w="933"/>
        <w:gridCol w:w="782"/>
        <w:gridCol w:w="933"/>
        <w:gridCol w:w="782"/>
        <w:gridCol w:w="934"/>
        <w:gridCol w:w="744"/>
      </w:tblGrid>
      <w:tr w14:paraId="339FC0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5" w:type="pct"/>
            <w:vMerge w:val="restart"/>
            <w:vAlign w:val="center"/>
          </w:tcPr>
          <w:p w14:paraId="71A413F0">
            <w:pPr>
              <w:spacing w:line="300" w:lineRule="exact"/>
              <w:jc w:val="center"/>
              <w:rPr>
                <w:rFonts w:hint="eastAsia" w:ascii="宋体" w:hAnsi="宋体" w:cs="宋体"/>
                <w:bCs/>
                <w:color w:val="auto"/>
                <w:szCs w:val="21"/>
              </w:rPr>
            </w:pPr>
            <w:r>
              <w:rPr>
                <w:rFonts w:hint="eastAsia" w:ascii="宋体" w:hAnsi="宋体" w:cs="宋体"/>
                <w:bCs/>
                <w:color w:val="auto"/>
                <w:szCs w:val="21"/>
              </w:rPr>
              <w:t>编号</w:t>
            </w:r>
          </w:p>
        </w:tc>
        <w:tc>
          <w:tcPr>
            <w:tcW w:w="392" w:type="pct"/>
            <w:vMerge w:val="restart"/>
            <w:vAlign w:val="center"/>
          </w:tcPr>
          <w:p w14:paraId="3E9DE343">
            <w:pPr>
              <w:spacing w:line="300" w:lineRule="exact"/>
              <w:jc w:val="center"/>
              <w:rPr>
                <w:rFonts w:hint="eastAsia" w:ascii="宋体" w:hAnsi="宋体" w:cs="宋体"/>
                <w:bCs/>
                <w:color w:val="auto"/>
                <w:szCs w:val="21"/>
              </w:rPr>
            </w:pPr>
            <w:r>
              <w:rPr>
                <w:rFonts w:hint="eastAsia" w:ascii="宋体" w:hAnsi="宋体" w:cs="宋体"/>
                <w:bCs/>
                <w:color w:val="auto"/>
                <w:szCs w:val="21"/>
              </w:rPr>
              <w:t>名称</w:t>
            </w:r>
          </w:p>
        </w:tc>
        <w:tc>
          <w:tcPr>
            <w:tcW w:w="328" w:type="pct"/>
            <w:vMerge w:val="restart"/>
            <w:vAlign w:val="center"/>
          </w:tcPr>
          <w:p w14:paraId="4A244B98">
            <w:pPr>
              <w:spacing w:line="300" w:lineRule="exact"/>
              <w:jc w:val="center"/>
              <w:rPr>
                <w:rFonts w:hint="eastAsia" w:ascii="宋体" w:hAnsi="宋体" w:cs="宋体"/>
                <w:bCs/>
                <w:color w:val="auto"/>
                <w:szCs w:val="21"/>
              </w:rPr>
            </w:pPr>
            <w:r>
              <w:rPr>
                <w:rFonts w:hint="eastAsia" w:ascii="宋体" w:hAnsi="宋体" w:cs="宋体"/>
                <w:bCs/>
                <w:color w:val="auto"/>
                <w:szCs w:val="21"/>
              </w:rPr>
              <w:t>排气筒底部海拔高度（m）</w:t>
            </w:r>
          </w:p>
        </w:tc>
        <w:tc>
          <w:tcPr>
            <w:tcW w:w="328" w:type="pct"/>
            <w:vMerge w:val="restart"/>
            <w:vAlign w:val="center"/>
          </w:tcPr>
          <w:p w14:paraId="6D74E048">
            <w:pPr>
              <w:spacing w:line="300" w:lineRule="exact"/>
              <w:jc w:val="center"/>
              <w:rPr>
                <w:rFonts w:hint="eastAsia" w:ascii="宋体" w:hAnsi="宋体" w:cs="宋体"/>
                <w:bCs/>
                <w:color w:val="auto"/>
                <w:szCs w:val="21"/>
              </w:rPr>
            </w:pPr>
            <w:r>
              <w:rPr>
                <w:rFonts w:hint="eastAsia" w:ascii="宋体" w:hAnsi="宋体" w:cs="宋体"/>
                <w:bCs/>
                <w:color w:val="auto"/>
                <w:szCs w:val="21"/>
              </w:rPr>
              <w:t>排气筒高度（m）</w:t>
            </w:r>
          </w:p>
        </w:tc>
        <w:tc>
          <w:tcPr>
            <w:tcW w:w="403" w:type="pct"/>
            <w:vMerge w:val="restart"/>
            <w:vAlign w:val="center"/>
          </w:tcPr>
          <w:p w14:paraId="37CD10BC">
            <w:pPr>
              <w:spacing w:line="300" w:lineRule="exact"/>
              <w:jc w:val="center"/>
              <w:rPr>
                <w:rFonts w:hint="eastAsia" w:ascii="宋体" w:hAnsi="宋体" w:cs="宋体"/>
                <w:bCs/>
                <w:color w:val="auto"/>
                <w:szCs w:val="21"/>
              </w:rPr>
            </w:pPr>
            <w:r>
              <w:rPr>
                <w:rFonts w:hint="eastAsia" w:ascii="宋体" w:hAnsi="宋体" w:cs="宋体"/>
                <w:bCs/>
                <w:color w:val="auto"/>
                <w:szCs w:val="21"/>
              </w:rPr>
              <w:t>排气筒出口内径（m）</w:t>
            </w:r>
          </w:p>
        </w:tc>
        <w:tc>
          <w:tcPr>
            <w:tcW w:w="383" w:type="pct"/>
            <w:vMerge w:val="restart"/>
            <w:vAlign w:val="center"/>
          </w:tcPr>
          <w:p w14:paraId="5107C966">
            <w:pPr>
              <w:spacing w:line="300" w:lineRule="exact"/>
              <w:jc w:val="center"/>
              <w:rPr>
                <w:rFonts w:hint="eastAsia" w:ascii="宋体" w:hAnsi="宋体" w:cs="宋体"/>
                <w:bCs/>
                <w:color w:val="auto"/>
                <w:szCs w:val="21"/>
              </w:rPr>
            </w:pPr>
            <w:r>
              <w:rPr>
                <w:rFonts w:hint="eastAsia" w:ascii="宋体" w:hAnsi="宋体" w:cs="宋体"/>
                <w:bCs/>
                <w:color w:val="auto"/>
                <w:szCs w:val="21"/>
              </w:rPr>
              <w:t>烟气流速（m/s）</w:t>
            </w:r>
          </w:p>
        </w:tc>
        <w:tc>
          <w:tcPr>
            <w:tcW w:w="391" w:type="pct"/>
            <w:vMerge w:val="restart"/>
            <w:vAlign w:val="center"/>
          </w:tcPr>
          <w:p w14:paraId="32C62460">
            <w:pPr>
              <w:spacing w:line="300" w:lineRule="exact"/>
              <w:jc w:val="center"/>
              <w:rPr>
                <w:rFonts w:hint="eastAsia" w:ascii="宋体" w:hAnsi="宋体" w:cs="宋体"/>
                <w:bCs/>
                <w:color w:val="auto"/>
                <w:szCs w:val="21"/>
              </w:rPr>
            </w:pPr>
            <w:r>
              <w:rPr>
                <w:rFonts w:hint="eastAsia" w:ascii="宋体" w:hAnsi="宋体" w:cs="宋体"/>
                <w:bCs/>
                <w:color w:val="auto"/>
                <w:szCs w:val="21"/>
              </w:rPr>
              <w:t>烟气温度（℃）</w:t>
            </w:r>
          </w:p>
        </w:tc>
        <w:tc>
          <w:tcPr>
            <w:tcW w:w="289" w:type="pct"/>
            <w:vMerge w:val="restart"/>
            <w:vAlign w:val="center"/>
          </w:tcPr>
          <w:p w14:paraId="766E33F0">
            <w:pPr>
              <w:spacing w:line="300" w:lineRule="exact"/>
              <w:jc w:val="center"/>
              <w:rPr>
                <w:rFonts w:hint="eastAsia" w:ascii="宋体" w:hAnsi="宋体" w:cs="宋体"/>
                <w:bCs/>
                <w:color w:val="auto"/>
                <w:szCs w:val="21"/>
              </w:rPr>
            </w:pPr>
            <w:r>
              <w:rPr>
                <w:rFonts w:hint="eastAsia" w:ascii="宋体" w:hAnsi="宋体" w:cs="宋体"/>
                <w:bCs/>
                <w:color w:val="auto"/>
                <w:szCs w:val="21"/>
              </w:rPr>
              <w:t>年排放小时数（h）</w:t>
            </w:r>
          </w:p>
        </w:tc>
        <w:tc>
          <w:tcPr>
            <w:tcW w:w="374" w:type="pct"/>
            <w:vMerge w:val="restart"/>
            <w:vAlign w:val="center"/>
          </w:tcPr>
          <w:p w14:paraId="7CCB7FCF">
            <w:pPr>
              <w:spacing w:line="300" w:lineRule="exact"/>
              <w:jc w:val="center"/>
              <w:rPr>
                <w:rFonts w:hint="eastAsia" w:ascii="宋体" w:hAnsi="宋体" w:cs="宋体"/>
                <w:bCs/>
                <w:color w:val="auto"/>
                <w:szCs w:val="21"/>
              </w:rPr>
            </w:pPr>
            <w:r>
              <w:rPr>
                <w:rFonts w:hint="eastAsia" w:ascii="宋体" w:hAnsi="宋体" w:cs="宋体"/>
                <w:bCs/>
                <w:color w:val="auto"/>
                <w:szCs w:val="21"/>
              </w:rPr>
              <w:t>排放工况</w:t>
            </w:r>
          </w:p>
        </w:tc>
        <w:tc>
          <w:tcPr>
            <w:tcW w:w="612" w:type="pct"/>
            <w:gridSpan w:val="2"/>
            <w:vAlign w:val="center"/>
          </w:tcPr>
          <w:p w14:paraId="25F331B2">
            <w:pPr>
              <w:spacing w:line="300" w:lineRule="exact"/>
              <w:jc w:val="center"/>
              <w:rPr>
                <w:rFonts w:hint="eastAsia" w:ascii="宋体" w:hAnsi="宋体" w:cs="宋体"/>
                <w:bCs/>
                <w:color w:val="auto"/>
                <w:szCs w:val="21"/>
              </w:rPr>
            </w:pPr>
            <w:r>
              <w:rPr>
                <w:rFonts w:hint="eastAsia" w:ascii="宋体" w:hAnsi="宋体" w:cs="宋体"/>
                <w:bCs/>
                <w:color w:val="auto"/>
                <w:szCs w:val="21"/>
              </w:rPr>
              <w:t>氮氧化物排放速率及排放量</w:t>
            </w:r>
          </w:p>
        </w:tc>
        <w:tc>
          <w:tcPr>
            <w:tcW w:w="612" w:type="pct"/>
            <w:gridSpan w:val="2"/>
            <w:vAlign w:val="center"/>
          </w:tcPr>
          <w:p w14:paraId="7DC63920">
            <w:pPr>
              <w:spacing w:line="300" w:lineRule="exact"/>
              <w:jc w:val="center"/>
              <w:rPr>
                <w:rFonts w:hint="eastAsia" w:ascii="宋体" w:hAnsi="宋体" w:cs="宋体"/>
                <w:bCs/>
                <w:color w:val="auto"/>
                <w:szCs w:val="21"/>
              </w:rPr>
            </w:pPr>
            <w:r>
              <w:rPr>
                <w:rFonts w:hint="eastAsia" w:ascii="宋体" w:hAnsi="宋体" w:cs="宋体"/>
                <w:bCs/>
                <w:color w:val="auto"/>
                <w:szCs w:val="21"/>
              </w:rPr>
              <w:t>二氧化硫排放速率及排放量</w:t>
            </w:r>
          </w:p>
        </w:tc>
        <w:tc>
          <w:tcPr>
            <w:tcW w:w="598" w:type="pct"/>
            <w:gridSpan w:val="2"/>
            <w:vAlign w:val="center"/>
          </w:tcPr>
          <w:p w14:paraId="388A7B0F">
            <w:pPr>
              <w:spacing w:line="300" w:lineRule="exact"/>
              <w:jc w:val="center"/>
              <w:rPr>
                <w:rFonts w:hint="eastAsia" w:ascii="宋体" w:hAnsi="宋体" w:cs="宋体"/>
                <w:bCs/>
                <w:color w:val="auto"/>
                <w:szCs w:val="21"/>
              </w:rPr>
            </w:pPr>
            <w:r>
              <w:rPr>
                <w:rFonts w:hint="eastAsia" w:ascii="宋体" w:hAnsi="宋体" w:cs="宋体"/>
                <w:bCs/>
                <w:color w:val="auto"/>
                <w:szCs w:val="21"/>
              </w:rPr>
              <w:t>颗粒物排放速率及排放量</w:t>
            </w:r>
          </w:p>
        </w:tc>
      </w:tr>
      <w:tr w14:paraId="60E3D7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5" w:type="pct"/>
            <w:vMerge w:val="continue"/>
            <w:vAlign w:val="center"/>
          </w:tcPr>
          <w:p w14:paraId="12B41D7E">
            <w:pPr>
              <w:spacing w:line="300" w:lineRule="exact"/>
              <w:jc w:val="center"/>
              <w:rPr>
                <w:rFonts w:hint="eastAsia" w:ascii="宋体" w:hAnsi="宋体" w:cs="宋体"/>
                <w:bCs/>
                <w:color w:val="auto"/>
                <w:szCs w:val="21"/>
              </w:rPr>
            </w:pPr>
          </w:p>
        </w:tc>
        <w:tc>
          <w:tcPr>
            <w:tcW w:w="392" w:type="pct"/>
            <w:vMerge w:val="continue"/>
            <w:vAlign w:val="center"/>
          </w:tcPr>
          <w:p w14:paraId="22DC13E9">
            <w:pPr>
              <w:spacing w:line="300" w:lineRule="exact"/>
              <w:jc w:val="center"/>
              <w:rPr>
                <w:rFonts w:hint="eastAsia" w:ascii="宋体" w:hAnsi="宋体" w:cs="宋体"/>
                <w:bCs/>
                <w:color w:val="auto"/>
                <w:szCs w:val="21"/>
              </w:rPr>
            </w:pPr>
          </w:p>
        </w:tc>
        <w:tc>
          <w:tcPr>
            <w:tcW w:w="328" w:type="pct"/>
            <w:vMerge w:val="continue"/>
            <w:vAlign w:val="center"/>
          </w:tcPr>
          <w:p w14:paraId="6FF4A0C4">
            <w:pPr>
              <w:spacing w:line="300" w:lineRule="exact"/>
              <w:jc w:val="center"/>
              <w:rPr>
                <w:rFonts w:hint="eastAsia" w:ascii="宋体" w:hAnsi="宋体" w:cs="宋体"/>
                <w:bCs/>
                <w:color w:val="auto"/>
                <w:szCs w:val="21"/>
              </w:rPr>
            </w:pPr>
          </w:p>
        </w:tc>
        <w:tc>
          <w:tcPr>
            <w:tcW w:w="328" w:type="pct"/>
            <w:vMerge w:val="continue"/>
            <w:vAlign w:val="center"/>
          </w:tcPr>
          <w:p w14:paraId="16C87837">
            <w:pPr>
              <w:spacing w:line="300" w:lineRule="exact"/>
              <w:jc w:val="center"/>
              <w:rPr>
                <w:rFonts w:hint="eastAsia" w:ascii="宋体" w:hAnsi="宋体" w:cs="宋体"/>
                <w:bCs/>
                <w:color w:val="auto"/>
                <w:szCs w:val="21"/>
              </w:rPr>
            </w:pPr>
          </w:p>
        </w:tc>
        <w:tc>
          <w:tcPr>
            <w:tcW w:w="403" w:type="pct"/>
            <w:vMerge w:val="continue"/>
            <w:vAlign w:val="center"/>
          </w:tcPr>
          <w:p w14:paraId="23B896F2">
            <w:pPr>
              <w:spacing w:line="300" w:lineRule="exact"/>
              <w:jc w:val="center"/>
              <w:rPr>
                <w:rFonts w:hint="eastAsia" w:ascii="宋体" w:hAnsi="宋体" w:cs="宋体"/>
                <w:bCs/>
                <w:color w:val="auto"/>
                <w:szCs w:val="21"/>
              </w:rPr>
            </w:pPr>
          </w:p>
        </w:tc>
        <w:tc>
          <w:tcPr>
            <w:tcW w:w="383" w:type="pct"/>
            <w:vMerge w:val="continue"/>
            <w:vAlign w:val="center"/>
          </w:tcPr>
          <w:p w14:paraId="7B8387E5">
            <w:pPr>
              <w:spacing w:line="300" w:lineRule="exact"/>
              <w:jc w:val="center"/>
              <w:rPr>
                <w:rFonts w:hint="eastAsia" w:ascii="宋体" w:hAnsi="宋体" w:cs="宋体"/>
                <w:bCs/>
                <w:color w:val="auto"/>
                <w:szCs w:val="21"/>
              </w:rPr>
            </w:pPr>
          </w:p>
        </w:tc>
        <w:tc>
          <w:tcPr>
            <w:tcW w:w="391" w:type="pct"/>
            <w:vMerge w:val="continue"/>
            <w:vAlign w:val="center"/>
          </w:tcPr>
          <w:p w14:paraId="00014F10">
            <w:pPr>
              <w:spacing w:line="300" w:lineRule="exact"/>
              <w:jc w:val="center"/>
              <w:rPr>
                <w:rFonts w:hint="eastAsia" w:ascii="宋体" w:hAnsi="宋体" w:cs="宋体"/>
                <w:bCs/>
                <w:color w:val="auto"/>
                <w:szCs w:val="21"/>
              </w:rPr>
            </w:pPr>
          </w:p>
        </w:tc>
        <w:tc>
          <w:tcPr>
            <w:tcW w:w="289" w:type="pct"/>
            <w:vMerge w:val="continue"/>
            <w:vAlign w:val="center"/>
          </w:tcPr>
          <w:p w14:paraId="4D42B775">
            <w:pPr>
              <w:spacing w:line="300" w:lineRule="exact"/>
              <w:jc w:val="center"/>
              <w:rPr>
                <w:rFonts w:hint="eastAsia" w:ascii="宋体" w:hAnsi="宋体" w:cs="宋体"/>
                <w:bCs/>
                <w:color w:val="auto"/>
                <w:szCs w:val="21"/>
              </w:rPr>
            </w:pPr>
          </w:p>
        </w:tc>
        <w:tc>
          <w:tcPr>
            <w:tcW w:w="374" w:type="pct"/>
            <w:vMerge w:val="continue"/>
            <w:vAlign w:val="center"/>
          </w:tcPr>
          <w:p w14:paraId="1384E883">
            <w:pPr>
              <w:spacing w:line="300" w:lineRule="exact"/>
              <w:jc w:val="center"/>
              <w:rPr>
                <w:rFonts w:hint="eastAsia" w:ascii="宋体" w:hAnsi="宋体" w:cs="宋体"/>
                <w:bCs/>
                <w:color w:val="auto"/>
                <w:szCs w:val="21"/>
              </w:rPr>
            </w:pPr>
          </w:p>
        </w:tc>
        <w:tc>
          <w:tcPr>
            <w:tcW w:w="333" w:type="pct"/>
            <w:vAlign w:val="center"/>
          </w:tcPr>
          <w:p w14:paraId="6CD8A53B">
            <w:pPr>
              <w:spacing w:line="300" w:lineRule="exact"/>
              <w:jc w:val="center"/>
              <w:rPr>
                <w:rFonts w:hint="eastAsia" w:ascii="宋体" w:hAnsi="宋体" w:cs="宋体"/>
                <w:bCs/>
                <w:color w:val="auto"/>
                <w:szCs w:val="21"/>
              </w:rPr>
            </w:pPr>
            <w:r>
              <w:rPr>
                <w:rFonts w:hint="eastAsia" w:ascii="宋体" w:hAnsi="宋体" w:cs="宋体"/>
                <w:bCs/>
                <w:color w:val="auto"/>
                <w:szCs w:val="21"/>
              </w:rPr>
              <w:t>kg/h</w:t>
            </w:r>
          </w:p>
        </w:tc>
        <w:tc>
          <w:tcPr>
            <w:tcW w:w="278" w:type="pct"/>
            <w:vAlign w:val="center"/>
          </w:tcPr>
          <w:p w14:paraId="4E47B8C0">
            <w:pPr>
              <w:spacing w:line="300" w:lineRule="exact"/>
              <w:jc w:val="center"/>
              <w:rPr>
                <w:rFonts w:hint="eastAsia" w:ascii="宋体" w:hAnsi="宋体" w:cs="宋体"/>
                <w:bCs/>
                <w:color w:val="auto"/>
                <w:szCs w:val="21"/>
              </w:rPr>
            </w:pPr>
            <w:r>
              <w:rPr>
                <w:rFonts w:hint="eastAsia" w:ascii="宋体" w:hAnsi="宋体" w:cs="宋体"/>
                <w:bCs/>
                <w:color w:val="auto"/>
                <w:szCs w:val="21"/>
              </w:rPr>
              <w:t>t/a</w:t>
            </w:r>
          </w:p>
        </w:tc>
        <w:tc>
          <w:tcPr>
            <w:tcW w:w="333" w:type="pct"/>
            <w:vAlign w:val="center"/>
          </w:tcPr>
          <w:p w14:paraId="30878261">
            <w:pPr>
              <w:spacing w:line="300" w:lineRule="exact"/>
              <w:jc w:val="center"/>
              <w:rPr>
                <w:rFonts w:hint="eastAsia" w:ascii="宋体" w:hAnsi="宋体" w:cs="宋体"/>
                <w:bCs/>
                <w:color w:val="auto"/>
                <w:szCs w:val="21"/>
              </w:rPr>
            </w:pPr>
            <w:r>
              <w:rPr>
                <w:rFonts w:hint="eastAsia" w:ascii="宋体" w:hAnsi="宋体" w:cs="宋体"/>
                <w:bCs/>
                <w:color w:val="auto"/>
                <w:szCs w:val="21"/>
              </w:rPr>
              <w:t>kg/h</w:t>
            </w:r>
          </w:p>
        </w:tc>
        <w:tc>
          <w:tcPr>
            <w:tcW w:w="278" w:type="pct"/>
            <w:vAlign w:val="center"/>
          </w:tcPr>
          <w:p w14:paraId="59A19AE7">
            <w:pPr>
              <w:spacing w:line="300" w:lineRule="exact"/>
              <w:jc w:val="center"/>
              <w:rPr>
                <w:rFonts w:hint="eastAsia" w:ascii="宋体" w:hAnsi="宋体" w:cs="宋体"/>
                <w:bCs/>
                <w:color w:val="auto"/>
                <w:szCs w:val="21"/>
              </w:rPr>
            </w:pPr>
            <w:r>
              <w:rPr>
                <w:rFonts w:hint="eastAsia" w:ascii="宋体" w:hAnsi="宋体" w:cs="宋体"/>
                <w:bCs/>
                <w:color w:val="auto"/>
                <w:szCs w:val="21"/>
              </w:rPr>
              <w:t>t/a</w:t>
            </w:r>
          </w:p>
        </w:tc>
        <w:tc>
          <w:tcPr>
            <w:tcW w:w="333" w:type="pct"/>
            <w:vAlign w:val="center"/>
          </w:tcPr>
          <w:p w14:paraId="27C07DB1">
            <w:pPr>
              <w:spacing w:line="300" w:lineRule="exact"/>
              <w:jc w:val="center"/>
              <w:rPr>
                <w:rFonts w:hint="eastAsia" w:ascii="宋体" w:hAnsi="宋体" w:cs="宋体"/>
                <w:bCs/>
                <w:color w:val="auto"/>
                <w:szCs w:val="21"/>
              </w:rPr>
            </w:pPr>
            <w:r>
              <w:rPr>
                <w:rFonts w:hint="eastAsia" w:ascii="宋体" w:hAnsi="宋体" w:cs="宋体"/>
                <w:bCs/>
                <w:color w:val="auto"/>
                <w:szCs w:val="21"/>
              </w:rPr>
              <w:t>kg/h</w:t>
            </w:r>
          </w:p>
        </w:tc>
        <w:tc>
          <w:tcPr>
            <w:tcW w:w="264" w:type="pct"/>
            <w:vAlign w:val="center"/>
          </w:tcPr>
          <w:p w14:paraId="1EA2A6C0">
            <w:pPr>
              <w:spacing w:line="300" w:lineRule="exact"/>
              <w:jc w:val="center"/>
              <w:rPr>
                <w:rFonts w:hint="eastAsia" w:ascii="宋体" w:hAnsi="宋体" w:cs="宋体"/>
                <w:bCs/>
                <w:color w:val="auto"/>
                <w:szCs w:val="21"/>
              </w:rPr>
            </w:pPr>
            <w:r>
              <w:rPr>
                <w:rFonts w:hint="eastAsia" w:ascii="宋体" w:hAnsi="宋体" w:cs="宋体"/>
                <w:bCs/>
                <w:color w:val="auto"/>
                <w:szCs w:val="21"/>
              </w:rPr>
              <w:t>t/a</w:t>
            </w:r>
          </w:p>
        </w:tc>
      </w:tr>
      <w:tr w14:paraId="18EC19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5" w:type="pct"/>
            <w:vAlign w:val="center"/>
          </w:tcPr>
          <w:p w14:paraId="1FC03254">
            <w:pPr>
              <w:spacing w:line="300" w:lineRule="exact"/>
              <w:jc w:val="center"/>
              <w:rPr>
                <w:rFonts w:hint="eastAsia" w:ascii="宋体" w:hAnsi="宋体"/>
                <w:snapToGrid w:val="0"/>
                <w:color w:val="auto"/>
                <w:szCs w:val="21"/>
              </w:rPr>
            </w:pPr>
            <w:r>
              <w:rPr>
                <w:rFonts w:hint="eastAsia" w:ascii="宋体" w:hAnsi="宋体"/>
                <w:snapToGrid w:val="0"/>
                <w:color w:val="auto"/>
                <w:szCs w:val="21"/>
              </w:rPr>
              <w:t>DA001</w:t>
            </w:r>
          </w:p>
        </w:tc>
        <w:tc>
          <w:tcPr>
            <w:tcW w:w="392" w:type="pct"/>
            <w:vAlign w:val="center"/>
          </w:tcPr>
          <w:p w14:paraId="2B577C3C">
            <w:pPr>
              <w:spacing w:line="300" w:lineRule="exact"/>
              <w:jc w:val="center"/>
              <w:rPr>
                <w:rFonts w:hint="eastAsia" w:ascii="宋体" w:hAnsi="宋体" w:cs="宋体"/>
                <w:bCs/>
                <w:color w:val="auto"/>
                <w:szCs w:val="21"/>
              </w:rPr>
            </w:pPr>
            <w:r>
              <w:rPr>
                <w:rFonts w:hint="eastAsia" w:ascii="宋体" w:hAnsi="宋体" w:cs="宋体"/>
                <w:bCs/>
                <w:color w:val="auto"/>
                <w:szCs w:val="21"/>
              </w:rPr>
              <w:t>燃气发电机燃烧烟气</w:t>
            </w:r>
          </w:p>
        </w:tc>
        <w:tc>
          <w:tcPr>
            <w:tcW w:w="328" w:type="pct"/>
            <w:vAlign w:val="center"/>
          </w:tcPr>
          <w:p w14:paraId="5645DAB8">
            <w:pPr>
              <w:spacing w:line="300" w:lineRule="exact"/>
              <w:jc w:val="center"/>
              <w:rPr>
                <w:rFonts w:hint="eastAsia" w:ascii="宋体" w:hAnsi="宋体" w:cs="宋体"/>
                <w:bCs/>
                <w:color w:val="auto"/>
                <w:szCs w:val="21"/>
              </w:rPr>
            </w:pPr>
            <w:r>
              <w:rPr>
                <w:rFonts w:hint="eastAsia" w:ascii="宋体" w:hAnsi="宋体" w:cs="宋体"/>
                <w:bCs/>
                <w:color w:val="auto"/>
                <w:szCs w:val="21"/>
              </w:rPr>
              <w:t>361</w:t>
            </w:r>
          </w:p>
        </w:tc>
        <w:tc>
          <w:tcPr>
            <w:tcW w:w="328" w:type="pct"/>
            <w:vAlign w:val="center"/>
          </w:tcPr>
          <w:p w14:paraId="50E4A547">
            <w:pPr>
              <w:spacing w:line="300" w:lineRule="exact"/>
              <w:jc w:val="center"/>
              <w:rPr>
                <w:rFonts w:hint="eastAsia" w:ascii="宋体" w:hAnsi="宋体" w:cs="宋体"/>
                <w:bCs/>
                <w:color w:val="auto"/>
                <w:szCs w:val="21"/>
              </w:rPr>
            </w:pPr>
            <w:r>
              <w:rPr>
                <w:rFonts w:hint="eastAsia" w:ascii="宋体" w:hAnsi="宋体" w:cs="宋体"/>
                <w:bCs/>
                <w:color w:val="auto"/>
                <w:szCs w:val="21"/>
              </w:rPr>
              <w:t>3.5</w:t>
            </w:r>
          </w:p>
        </w:tc>
        <w:tc>
          <w:tcPr>
            <w:tcW w:w="403" w:type="pct"/>
            <w:vAlign w:val="center"/>
          </w:tcPr>
          <w:p w14:paraId="6EA565DD">
            <w:pPr>
              <w:spacing w:line="300" w:lineRule="exact"/>
              <w:jc w:val="center"/>
              <w:rPr>
                <w:rFonts w:hint="eastAsia" w:ascii="宋体" w:hAnsi="宋体" w:cs="宋体"/>
                <w:bCs/>
                <w:color w:val="auto"/>
                <w:szCs w:val="21"/>
              </w:rPr>
            </w:pPr>
            <w:r>
              <w:rPr>
                <w:rFonts w:hint="eastAsia" w:ascii="宋体" w:hAnsi="宋体" w:cs="宋体"/>
                <w:bCs/>
                <w:color w:val="auto"/>
                <w:szCs w:val="21"/>
              </w:rPr>
              <w:t>0.15</w:t>
            </w:r>
          </w:p>
        </w:tc>
        <w:tc>
          <w:tcPr>
            <w:tcW w:w="383" w:type="pct"/>
            <w:vAlign w:val="center"/>
          </w:tcPr>
          <w:p w14:paraId="5A41BDA7">
            <w:pPr>
              <w:spacing w:line="300" w:lineRule="exact"/>
              <w:jc w:val="center"/>
              <w:rPr>
                <w:rFonts w:hint="eastAsia" w:ascii="宋体" w:hAnsi="宋体" w:cs="宋体"/>
                <w:bCs/>
                <w:color w:val="auto"/>
                <w:szCs w:val="21"/>
              </w:rPr>
            </w:pPr>
            <w:r>
              <w:rPr>
                <w:rFonts w:hint="eastAsia" w:ascii="宋体" w:hAnsi="宋体" w:cs="宋体"/>
                <w:bCs/>
                <w:color w:val="auto"/>
                <w:szCs w:val="21"/>
              </w:rPr>
              <w:t>2.12</w:t>
            </w:r>
          </w:p>
        </w:tc>
        <w:tc>
          <w:tcPr>
            <w:tcW w:w="391" w:type="pct"/>
            <w:vAlign w:val="center"/>
          </w:tcPr>
          <w:p w14:paraId="27159EF0">
            <w:pPr>
              <w:spacing w:line="300" w:lineRule="exact"/>
              <w:jc w:val="center"/>
              <w:rPr>
                <w:rFonts w:hint="eastAsia" w:ascii="宋体" w:hAnsi="宋体" w:cs="宋体"/>
                <w:bCs/>
                <w:color w:val="auto"/>
                <w:szCs w:val="21"/>
              </w:rPr>
            </w:pPr>
            <w:r>
              <w:rPr>
                <w:rFonts w:hint="eastAsia" w:ascii="宋体" w:hAnsi="宋体" w:cs="宋体"/>
                <w:bCs/>
                <w:color w:val="auto"/>
                <w:szCs w:val="21"/>
              </w:rPr>
              <w:t>150</w:t>
            </w:r>
          </w:p>
        </w:tc>
        <w:tc>
          <w:tcPr>
            <w:tcW w:w="289" w:type="pct"/>
            <w:vAlign w:val="center"/>
          </w:tcPr>
          <w:p w14:paraId="037F2CEA">
            <w:pPr>
              <w:spacing w:line="300" w:lineRule="exact"/>
              <w:jc w:val="center"/>
              <w:rPr>
                <w:rFonts w:hint="eastAsia" w:ascii="宋体" w:hAnsi="宋体" w:cs="宋体"/>
                <w:bCs/>
                <w:color w:val="auto"/>
                <w:szCs w:val="21"/>
              </w:rPr>
            </w:pPr>
            <w:r>
              <w:rPr>
                <w:rFonts w:hint="eastAsia" w:ascii="宋体" w:hAnsi="宋体" w:cs="宋体"/>
                <w:bCs/>
                <w:color w:val="auto"/>
                <w:szCs w:val="21"/>
              </w:rPr>
              <w:t>7920</w:t>
            </w:r>
          </w:p>
        </w:tc>
        <w:tc>
          <w:tcPr>
            <w:tcW w:w="374" w:type="pct"/>
            <w:vAlign w:val="center"/>
          </w:tcPr>
          <w:p w14:paraId="40EACAAD">
            <w:pPr>
              <w:spacing w:line="300" w:lineRule="exact"/>
              <w:jc w:val="center"/>
              <w:rPr>
                <w:rFonts w:hint="eastAsia" w:ascii="宋体" w:hAnsi="宋体" w:cs="宋体"/>
                <w:bCs/>
                <w:color w:val="auto"/>
                <w:szCs w:val="21"/>
              </w:rPr>
            </w:pPr>
            <w:r>
              <w:rPr>
                <w:rFonts w:hint="eastAsia" w:ascii="宋体" w:hAnsi="宋体" w:cs="宋体"/>
                <w:bCs/>
                <w:color w:val="auto"/>
                <w:szCs w:val="21"/>
              </w:rPr>
              <w:t>正常工况</w:t>
            </w:r>
          </w:p>
        </w:tc>
        <w:tc>
          <w:tcPr>
            <w:tcW w:w="333" w:type="pct"/>
            <w:vAlign w:val="center"/>
          </w:tcPr>
          <w:p w14:paraId="0A6E1522">
            <w:pPr>
              <w:spacing w:line="300" w:lineRule="exact"/>
              <w:jc w:val="center"/>
              <w:rPr>
                <w:rFonts w:hint="eastAsia" w:ascii="宋体" w:hAnsi="宋体"/>
                <w:color w:val="auto"/>
                <w:kern w:val="0"/>
                <w:szCs w:val="21"/>
              </w:rPr>
            </w:pPr>
            <w:r>
              <w:rPr>
                <w:rFonts w:hint="eastAsia" w:ascii="宋体" w:hAnsi="宋体"/>
                <w:color w:val="auto"/>
                <w:kern w:val="0"/>
                <w:szCs w:val="21"/>
              </w:rPr>
              <w:t>0.022</w:t>
            </w:r>
          </w:p>
        </w:tc>
        <w:tc>
          <w:tcPr>
            <w:tcW w:w="278" w:type="pct"/>
            <w:vAlign w:val="center"/>
          </w:tcPr>
          <w:p w14:paraId="3C2D7B5D">
            <w:pPr>
              <w:spacing w:line="300" w:lineRule="exact"/>
              <w:jc w:val="center"/>
              <w:rPr>
                <w:rFonts w:hint="eastAsia" w:ascii="宋体" w:hAnsi="宋体"/>
                <w:color w:val="auto"/>
                <w:kern w:val="0"/>
                <w:szCs w:val="21"/>
              </w:rPr>
            </w:pPr>
            <w:r>
              <w:rPr>
                <w:rFonts w:hint="eastAsia" w:ascii="宋体" w:hAnsi="宋体"/>
                <w:color w:val="auto"/>
                <w:kern w:val="0"/>
                <w:szCs w:val="21"/>
              </w:rPr>
              <w:t>0.17424</w:t>
            </w:r>
          </w:p>
        </w:tc>
        <w:tc>
          <w:tcPr>
            <w:tcW w:w="333" w:type="pct"/>
            <w:vAlign w:val="center"/>
          </w:tcPr>
          <w:p w14:paraId="37E27999">
            <w:pPr>
              <w:spacing w:line="300" w:lineRule="exact"/>
              <w:jc w:val="center"/>
              <w:rPr>
                <w:rFonts w:hint="eastAsia" w:ascii="宋体" w:hAnsi="宋体"/>
                <w:color w:val="auto"/>
                <w:kern w:val="0"/>
                <w:szCs w:val="21"/>
              </w:rPr>
            </w:pPr>
            <w:r>
              <w:rPr>
                <w:rFonts w:hint="eastAsia" w:ascii="宋体" w:hAnsi="宋体"/>
                <w:color w:val="auto"/>
                <w:kern w:val="0"/>
                <w:szCs w:val="21"/>
              </w:rPr>
              <w:t>0.0023</w:t>
            </w:r>
          </w:p>
        </w:tc>
        <w:tc>
          <w:tcPr>
            <w:tcW w:w="278" w:type="pct"/>
            <w:vAlign w:val="center"/>
          </w:tcPr>
          <w:p w14:paraId="065FC21F">
            <w:pPr>
              <w:spacing w:line="300" w:lineRule="exact"/>
              <w:jc w:val="center"/>
              <w:rPr>
                <w:rFonts w:hint="eastAsia" w:ascii="宋体" w:hAnsi="宋体"/>
                <w:color w:val="auto"/>
                <w:kern w:val="0"/>
                <w:szCs w:val="21"/>
              </w:rPr>
            </w:pPr>
            <w:r>
              <w:rPr>
                <w:rFonts w:hint="eastAsia" w:ascii="宋体" w:hAnsi="宋体"/>
                <w:color w:val="auto"/>
                <w:kern w:val="0"/>
                <w:szCs w:val="21"/>
              </w:rPr>
              <w:t>0.01782</w:t>
            </w:r>
          </w:p>
        </w:tc>
        <w:tc>
          <w:tcPr>
            <w:tcW w:w="333" w:type="pct"/>
            <w:vAlign w:val="center"/>
          </w:tcPr>
          <w:p w14:paraId="22A6C314">
            <w:pPr>
              <w:spacing w:line="300" w:lineRule="exact"/>
              <w:jc w:val="center"/>
              <w:rPr>
                <w:rFonts w:hint="eastAsia" w:ascii="宋体" w:hAnsi="宋体"/>
                <w:color w:val="auto"/>
                <w:kern w:val="0"/>
                <w:szCs w:val="21"/>
              </w:rPr>
            </w:pPr>
            <w:r>
              <w:rPr>
                <w:rFonts w:hint="eastAsia" w:ascii="宋体" w:hAnsi="宋体"/>
                <w:color w:val="auto"/>
                <w:kern w:val="0"/>
                <w:szCs w:val="21"/>
              </w:rPr>
              <w:t>0.0018</w:t>
            </w:r>
          </w:p>
        </w:tc>
        <w:tc>
          <w:tcPr>
            <w:tcW w:w="264" w:type="pct"/>
            <w:vAlign w:val="center"/>
          </w:tcPr>
          <w:p w14:paraId="7296A95C">
            <w:pPr>
              <w:spacing w:line="300" w:lineRule="exact"/>
              <w:jc w:val="center"/>
              <w:rPr>
                <w:rFonts w:hint="eastAsia" w:ascii="宋体" w:hAnsi="宋体"/>
                <w:color w:val="auto"/>
                <w:kern w:val="0"/>
                <w:szCs w:val="21"/>
              </w:rPr>
            </w:pPr>
            <w:r>
              <w:rPr>
                <w:rFonts w:hint="eastAsia" w:ascii="宋体" w:hAnsi="宋体"/>
                <w:color w:val="auto"/>
                <w:kern w:val="0"/>
                <w:szCs w:val="21"/>
              </w:rPr>
              <w:t>0.01386</w:t>
            </w:r>
          </w:p>
        </w:tc>
      </w:tr>
      <w:tr w14:paraId="0ACAC0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5" w:type="pct"/>
            <w:vAlign w:val="center"/>
          </w:tcPr>
          <w:p w14:paraId="348C86EA">
            <w:pPr>
              <w:spacing w:line="300" w:lineRule="exact"/>
              <w:jc w:val="center"/>
              <w:rPr>
                <w:rFonts w:hint="eastAsia" w:ascii="宋体" w:hAnsi="宋体"/>
                <w:snapToGrid w:val="0"/>
                <w:color w:val="auto"/>
                <w:szCs w:val="21"/>
              </w:rPr>
            </w:pPr>
            <w:r>
              <w:rPr>
                <w:rFonts w:hint="eastAsia" w:ascii="宋体" w:hAnsi="宋体"/>
                <w:snapToGrid w:val="0"/>
                <w:color w:val="auto"/>
                <w:szCs w:val="21"/>
              </w:rPr>
              <w:t>DA007</w:t>
            </w:r>
          </w:p>
        </w:tc>
        <w:tc>
          <w:tcPr>
            <w:tcW w:w="392" w:type="pct"/>
            <w:vAlign w:val="center"/>
          </w:tcPr>
          <w:p w14:paraId="0E2091E2">
            <w:pPr>
              <w:spacing w:line="300" w:lineRule="exact"/>
              <w:jc w:val="center"/>
              <w:rPr>
                <w:rFonts w:hint="eastAsia" w:ascii="宋体" w:hAnsi="宋体" w:cs="宋体"/>
                <w:bCs/>
                <w:color w:val="auto"/>
                <w:szCs w:val="21"/>
              </w:rPr>
            </w:pPr>
            <w:r>
              <w:rPr>
                <w:rFonts w:hint="eastAsia" w:ascii="宋体" w:hAnsi="宋体" w:cs="宋体"/>
                <w:bCs/>
                <w:color w:val="auto"/>
                <w:szCs w:val="21"/>
              </w:rPr>
              <w:t>燃气发电机燃烧烟气</w:t>
            </w:r>
          </w:p>
        </w:tc>
        <w:tc>
          <w:tcPr>
            <w:tcW w:w="328" w:type="pct"/>
            <w:vAlign w:val="center"/>
          </w:tcPr>
          <w:p w14:paraId="12893A89">
            <w:pPr>
              <w:spacing w:line="300" w:lineRule="exact"/>
              <w:jc w:val="center"/>
              <w:rPr>
                <w:rFonts w:hint="eastAsia" w:ascii="宋体" w:hAnsi="宋体" w:cs="宋体"/>
                <w:bCs/>
                <w:color w:val="auto"/>
                <w:szCs w:val="21"/>
              </w:rPr>
            </w:pPr>
            <w:r>
              <w:rPr>
                <w:rFonts w:hint="eastAsia" w:ascii="宋体" w:hAnsi="宋体" w:cs="宋体"/>
                <w:bCs/>
                <w:color w:val="auto"/>
                <w:szCs w:val="21"/>
              </w:rPr>
              <w:t>383</w:t>
            </w:r>
          </w:p>
        </w:tc>
        <w:tc>
          <w:tcPr>
            <w:tcW w:w="328" w:type="pct"/>
            <w:vAlign w:val="center"/>
          </w:tcPr>
          <w:p w14:paraId="35974C6C">
            <w:pPr>
              <w:spacing w:line="300" w:lineRule="exact"/>
              <w:jc w:val="center"/>
              <w:rPr>
                <w:rFonts w:hint="eastAsia" w:ascii="宋体" w:hAnsi="宋体" w:cs="宋体"/>
                <w:bCs/>
                <w:color w:val="auto"/>
                <w:szCs w:val="21"/>
              </w:rPr>
            </w:pPr>
            <w:r>
              <w:rPr>
                <w:rFonts w:hint="eastAsia" w:ascii="宋体" w:hAnsi="宋体" w:cs="宋体"/>
                <w:bCs/>
                <w:color w:val="auto"/>
                <w:szCs w:val="21"/>
              </w:rPr>
              <w:t>3.5</w:t>
            </w:r>
          </w:p>
        </w:tc>
        <w:tc>
          <w:tcPr>
            <w:tcW w:w="403" w:type="pct"/>
            <w:vAlign w:val="center"/>
          </w:tcPr>
          <w:p w14:paraId="085B9CFC">
            <w:pPr>
              <w:spacing w:line="300" w:lineRule="exact"/>
              <w:jc w:val="center"/>
              <w:rPr>
                <w:rFonts w:hint="eastAsia" w:ascii="宋体" w:hAnsi="宋体" w:cs="宋体"/>
                <w:bCs/>
                <w:color w:val="auto"/>
                <w:szCs w:val="21"/>
              </w:rPr>
            </w:pPr>
            <w:r>
              <w:rPr>
                <w:rFonts w:hint="eastAsia" w:ascii="宋体" w:hAnsi="宋体" w:cs="宋体"/>
                <w:bCs/>
                <w:color w:val="auto"/>
                <w:szCs w:val="21"/>
              </w:rPr>
              <w:t>0.15</w:t>
            </w:r>
          </w:p>
        </w:tc>
        <w:tc>
          <w:tcPr>
            <w:tcW w:w="383" w:type="pct"/>
            <w:vAlign w:val="center"/>
          </w:tcPr>
          <w:p w14:paraId="3DA2298B">
            <w:pPr>
              <w:spacing w:line="300" w:lineRule="exact"/>
              <w:jc w:val="center"/>
              <w:rPr>
                <w:rFonts w:hint="eastAsia" w:ascii="宋体" w:hAnsi="宋体" w:cs="宋体"/>
                <w:bCs/>
                <w:color w:val="auto"/>
                <w:szCs w:val="21"/>
              </w:rPr>
            </w:pPr>
            <w:r>
              <w:rPr>
                <w:rFonts w:hint="eastAsia" w:ascii="宋体" w:hAnsi="宋体" w:cs="宋体"/>
                <w:bCs/>
                <w:color w:val="auto"/>
                <w:szCs w:val="21"/>
              </w:rPr>
              <w:t>2.12</w:t>
            </w:r>
          </w:p>
        </w:tc>
        <w:tc>
          <w:tcPr>
            <w:tcW w:w="391" w:type="pct"/>
            <w:vAlign w:val="center"/>
          </w:tcPr>
          <w:p w14:paraId="1120839A">
            <w:pPr>
              <w:spacing w:line="300" w:lineRule="exact"/>
              <w:jc w:val="center"/>
              <w:rPr>
                <w:rFonts w:hint="eastAsia" w:ascii="宋体" w:hAnsi="宋体" w:cs="宋体"/>
                <w:bCs/>
                <w:color w:val="auto"/>
                <w:szCs w:val="21"/>
              </w:rPr>
            </w:pPr>
            <w:r>
              <w:rPr>
                <w:rFonts w:hint="eastAsia" w:ascii="宋体" w:hAnsi="宋体" w:cs="宋体"/>
                <w:bCs/>
                <w:color w:val="auto"/>
                <w:szCs w:val="21"/>
              </w:rPr>
              <w:t>150</w:t>
            </w:r>
          </w:p>
        </w:tc>
        <w:tc>
          <w:tcPr>
            <w:tcW w:w="289" w:type="pct"/>
            <w:vAlign w:val="center"/>
          </w:tcPr>
          <w:p w14:paraId="27657713">
            <w:pPr>
              <w:spacing w:line="300" w:lineRule="exact"/>
              <w:jc w:val="center"/>
              <w:rPr>
                <w:rFonts w:hint="eastAsia" w:ascii="宋体" w:hAnsi="宋体" w:cs="宋体"/>
                <w:bCs/>
                <w:color w:val="auto"/>
                <w:szCs w:val="21"/>
              </w:rPr>
            </w:pPr>
            <w:r>
              <w:rPr>
                <w:rFonts w:hint="eastAsia" w:ascii="宋体" w:hAnsi="宋体" w:cs="宋体"/>
                <w:bCs/>
                <w:color w:val="auto"/>
                <w:szCs w:val="21"/>
              </w:rPr>
              <w:t>7920</w:t>
            </w:r>
          </w:p>
        </w:tc>
        <w:tc>
          <w:tcPr>
            <w:tcW w:w="374" w:type="pct"/>
            <w:vAlign w:val="center"/>
          </w:tcPr>
          <w:p w14:paraId="7A95DC5B">
            <w:pPr>
              <w:spacing w:line="300" w:lineRule="exact"/>
              <w:jc w:val="center"/>
              <w:rPr>
                <w:rFonts w:hint="eastAsia" w:ascii="宋体" w:hAnsi="宋体" w:cs="宋体"/>
                <w:bCs/>
                <w:color w:val="auto"/>
                <w:szCs w:val="21"/>
              </w:rPr>
            </w:pPr>
            <w:r>
              <w:rPr>
                <w:rFonts w:hint="eastAsia" w:ascii="宋体" w:hAnsi="宋体" w:cs="宋体"/>
                <w:bCs/>
                <w:color w:val="auto"/>
                <w:szCs w:val="21"/>
              </w:rPr>
              <w:t>正常工况</w:t>
            </w:r>
          </w:p>
        </w:tc>
        <w:tc>
          <w:tcPr>
            <w:tcW w:w="333" w:type="pct"/>
            <w:vAlign w:val="center"/>
          </w:tcPr>
          <w:p w14:paraId="623381B2">
            <w:pPr>
              <w:spacing w:line="300" w:lineRule="exact"/>
              <w:jc w:val="center"/>
              <w:rPr>
                <w:rFonts w:hint="eastAsia" w:ascii="宋体" w:hAnsi="宋体"/>
                <w:color w:val="auto"/>
                <w:kern w:val="0"/>
                <w:szCs w:val="21"/>
              </w:rPr>
            </w:pPr>
            <w:r>
              <w:rPr>
                <w:rFonts w:hint="eastAsia" w:ascii="宋体" w:hAnsi="宋体"/>
                <w:color w:val="auto"/>
                <w:kern w:val="0"/>
                <w:szCs w:val="21"/>
              </w:rPr>
              <w:t>0.022</w:t>
            </w:r>
          </w:p>
        </w:tc>
        <w:tc>
          <w:tcPr>
            <w:tcW w:w="278" w:type="pct"/>
            <w:vAlign w:val="center"/>
          </w:tcPr>
          <w:p w14:paraId="6D038691">
            <w:pPr>
              <w:spacing w:line="300" w:lineRule="exact"/>
              <w:jc w:val="center"/>
              <w:rPr>
                <w:rFonts w:hint="eastAsia" w:ascii="宋体" w:hAnsi="宋体"/>
                <w:color w:val="auto"/>
                <w:kern w:val="0"/>
                <w:szCs w:val="21"/>
              </w:rPr>
            </w:pPr>
            <w:r>
              <w:rPr>
                <w:rFonts w:hint="eastAsia" w:ascii="宋体" w:hAnsi="宋体"/>
                <w:color w:val="auto"/>
                <w:kern w:val="0"/>
                <w:szCs w:val="21"/>
              </w:rPr>
              <w:t>0.17424</w:t>
            </w:r>
          </w:p>
        </w:tc>
        <w:tc>
          <w:tcPr>
            <w:tcW w:w="333" w:type="pct"/>
            <w:vAlign w:val="center"/>
          </w:tcPr>
          <w:p w14:paraId="3B4E6103">
            <w:pPr>
              <w:spacing w:line="300" w:lineRule="exact"/>
              <w:jc w:val="center"/>
              <w:rPr>
                <w:rFonts w:hint="eastAsia" w:ascii="宋体" w:hAnsi="宋体"/>
                <w:color w:val="auto"/>
                <w:kern w:val="0"/>
                <w:szCs w:val="21"/>
              </w:rPr>
            </w:pPr>
            <w:r>
              <w:rPr>
                <w:rFonts w:hint="eastAsia" w:ascii="宋体" w:hAnsi="宋体"/>
                <w:color w:val="auto"/>
                <w:kern w:val="0"/>
                <w:szCs w:val="21"/>
              </w:rPr>
              <w:t>0.0023</w:t>
            </w:r>
          </w:p>
        </w:tc>
        <w:tc>
          <w:tcPr>
            <w:tcW w:w="278" w:type="pct"/>
            <w:vAlign w:val="center"/>
          </w:tcPr>
          <w:p w14:paraId="48EC7F24">
            <w:pPr>
              <w:spacing w:line="300" w:lineRule="exact"/>
              <w:jc w:val="center"/>
              <w:rPr>
                <w:rFonts w:hint="eastAsia" w:ascii="宋体" w:hAnsi="宋体"/>
                <w:color w:val="auto"/>
                <w:kern w:val="0"/>
                <w:szCs w:val="21"/>
              </w:rPr>
            </w:pPr>
            <w:r>
              <w:rPr>
                <w:rFonts w:hint="eastAsia" w:ascii="宋体" w:hAnsi="宋体"/>
                <w:color w:val="auto"/>
                <w:kern w:val="0"/>
                <w:szCs w:val="21"/>
              </w:rPr>
              <w:t>0.01782</w:t>
            </w:r>
          </w:p>
        </w:tc>
        <w:tc>
          <w:tcPr>
            <w:tcW w:w="333" w:type="pct"/>
            <w:vAlign w:val="center"/>
          </w:tcPr>
          <w:p w14:paraId="33D653C2">
            <w:pPr>
              <w:spacing w:line="300" w:lineRule="exact"/>
              <w:jc w:val="center"/>
              <w:rPr>
                <w:rFonts w:hint="eastAsia" w:ascii="宋体" w:hAnsi="宋体"/>
                <w:color w:val="auto"/>
                <w:kern w:val="0"/>
                <w:szCs w:val="21"/>
              </w:rPr>
            </w:pPr>
            <w:r>
              <w:rPr>
                <w:rFonts w:hint="eastAsia" w:ascii="宋体" w:hAnsi="宋体"/>
                <w:color w:val="auto"/>
                <w:kern w:val="0"/>
                <w:szCs w:val="21"/>
              </w:rPr>
              <w:t>0.0018</w:t>
            </w:r>
          </w:p>
        </w:tc>
        <w:tc>
          <w:tcPr>
            <w:tcW w:w="264" w:type="pct"/>
            <w:vAlign w:val="center"/>
          </w:tcPr>
          <w:p w14:paraId="4057FE7C">
            <w:pPr>
              <w:spacing w:line="300" w:lineRule="exact"/>
              <w:jc w:val="center"/>
              <w:rPr>
                <w:rFonts w:hint="eastAsia" w:ascii="宋体" w:hAnsi="宋体"/>
                <w:color w:val="auto"/>
                <w:kern w:val="0"/>
                <w:szCs w:val="21"/>
              </w:rPr>
            </w:pPr>
            <w:r>
              <w:rPr>
                <w:rFonts w:hint="eastAsia" w:ascii="宋体" w:hAnsi="宋体"/>
                <w:color w:val="auto"/>
                <w:kern w:val="0"/>
                <w:szCs w:val="21"/>
              </w:rPr>
              <w:t>0.01386</w:t>
            </w:r>
          </w:p>
        </w:tc>
      </w:tr>
    </w:tbl>
    <w:p w14:paraId="1F3686DF">
      <w:pPr>
        <w:jc w:val="center"/>
        <w:rPr>
          <w:rFonts w:hint="eastAsia" w:ascii="黑体" w:hAnsi="黑体" w:eastAsia="黑体"/>
          <w:bCs/>
          <w:color w:val="auto"/>
          <w:szCs w:val="21"/>
        </w:rPr>
      </w:pPr>
      <w:r>
        <w:rPr>
          <w:rFonts w:hint="eastAsia" w:ascii="黑体" w:hAnsi="黑体" w:eastAsia="黑体"/>
          <w:bCs/>
          <w:color w:val="auto"/>
          <w:szCs w:val="21"/>
        </w:rPr>
        <w:t>表</w:t>
      </w:r>
      <w:r>
        <w:rPr>
          <w:rFonts w:ascii="黑体" w:hAnsi="黑体" w:eastAsia="黑体"/>
          <w:bCs/>
          <w:color w:val="auto"/>
          <w:szCs w:val="21"/>
        </w:rPr>
        <w:t>5</w:t>
      </w:r>
      <w:r>
        <w:rPr>
          <w:rFonts w:hint="eastAsia" w:ascii="黑体" w:hAnsi="黑体" w:eastAsia="黑体"/>
          <w:bCs/>
          <w:color w:val="auto"/>
          <w:szCs w:val="21"/>
        </w:rPr>
        <w:t xml:space="preserve">.2-5 </w:t>
      </w:r>
      <w:r>
        <w:rPr>
          <w:rFonts w:ascii="黑体" w:hAnsi="黑体" w:eastAsia="黑体"/>
          <w:bCs/>
          <w:color w:val="auto"/>
          <w:szCs w:val="21"/>
        </w:rPr>
        <w:t xml:space="preserve"> </w:t>
      </w:r>
      <w:r>
        <w:rPr>
          <w:rFonts w:hint="eastAsia" w:ascii="黑体" w:hAnsi="黑体" w:eastAsia="黑体"/>
          <w:bCs/>
          <w:color w:val="auto"/>
          <w:szCs w:val="21"/>
        </w:rPr>
        <w:t>面源污染源参数一览表</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33"/>
        <w:gridCol w:w="991"/>
        <w:gridCol w:w="991"/>
        <w:gridCol w:w="991"/>
        <w:gridCol w:w="1243"/>
        <w:gridCol w:w="1175"/>
        <w:gridCol w:w="880"/>
        <w:gridCol w:w="1723"/>
        <w:gridCol w:w="1425"/>
        <w:gridCol w:w="1425"/>
        <w:gridCol w:w="1425"/>
      </w:tblGrid>
      <w:tr w14:paraId="070D7F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1733" w:type="dxa"/>
            <w:vAlign w:val="center"/>
          </w:tcPr>
          <w:p w14:paraId="09E0CBD1">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站场</w:t>
            </w:r>
          </w:p>
        </w:tc>
        <w:tc>
          <w:tcPr>
            <w:tcW w:w="991" w:type="dxa"/>
            <w:vAlign w:val="center"/>
          </w:tcPr>
          <w:p w14:paraId="0FF7CA40">
            <w:pPr>
              <w:spacing w:line="300" w:lineRule="exact"/>
              <w:jc w:val="center"/>
              <w:rPr>
                <w:rFonts w:hint="eastAsia" w:ascii="宋体" w:hAnsi="宋体" w:cs="宋体"/>
                <w:bCs/>
                <w:color w:val="auto"/>
                <w:szCs w:val="21"/>
              </w:rPr>
            </w:pPr>
            <w:r>
              <w:rPr>
                <w:rFonts w:hint="eastAsia" w:ascii="宋体" w:hAnsi="宋体" w:cs="宋体"/>
                <w:bCs/>
                <w:color w:val="auto"/>
                <w:szCs w:val="21"/>
              </w:rPr>
              <w:t>海拔高度（m）</w:t>
            </w:r>
          </w:p>
        </w:tc>
        <w:tc>
          <w:tcPr>
            <w:tcW w:w="991" w:type="dxa"/>
            <w:vAlign w:val="center"/>
          </w:tcPr>
          <w:p w14:paraId="3016AB01">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面源长度（m）</w:t>
            </w:r>
          </w:p>
        </w:tc>
        <w:tc>
          <w:tcPr>
            <w:tcW w:w="991" w:type="dxa"/>
            <w:vAlign w:val="center"/>
          </w:tcPr>
          <w:p w14:paraId="70AB1037">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面源宽度（m）</w:t>
            </w:r>
          </w:p>
        </w:tc>
        <w:tc>
          <w:tcPr>
            <w:tcW w:w="1243" w:type="dxa"/>
            <w:vAlign w:val="center"/>
          </w:tcPr>
          <w:p w14:paraId="6D99F96D">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有效排放高度（m）</w:t>
            </w:r>
          </w:p>
        </w:tc>
        <w:tc>
          <w:tcPr>
            <w:tcW w:w="1175" w:type="dxa"/>
            <w:vAlign w:val="center"/>
          </w:tcPr>
          <w:p w14:paraId="4702B6B8">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年排放小时数（h）</w:t>
            </w:r>
          </w:p>
        </w:tc>
        <w:tc>
          <w:tcPr>
            <w:tcW w:w="880" w:type="dxa"/>
            <w:vAlign w:val="center"/>
          </w:tcPr>
          <w:p w14:paraId="4E288EE1">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排放工况</w:t>
            </w:r>
          </w:p>
        </w:tc>
        <w:tc>
          <w:tcPr>
            <w:tcW w:w="1723" w:type="dxa"/>
            <w:vAlign w:val="center"/>
          </w:tcPr>
          <w:p w14:paraId="04FE2602">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NMHC排放速率（kg/h）</w:t>
            </w:r>
          </w:p>
        </w:tc>
        <w:tc>
          <w:tcPr>
            <w:tcW w:w="1425" w:type="dxa"/>
            <w:vAlign w:val="center"/>
          </w:tcPr>
          <w:p w14:paraId="2504CD28">
            <w:pPr>
              <w:adjustRightInd w:val="0"/>
              <w:snapToGrid w:val="0"/>
              <w:spacing w:line="300" w:lineRule="exact"/>
              <w:jc w:val="center"/>
              <w:rPr>
                <w:rFonts w:hint="eastAsia" w:ascii="宋体" w:hAnsi="宋体" w:cs="宋体"/>
                <w:bCs/>
                <w:color w:val="auto"/>
                <w:szCs w:val="21"/>
              </w:rPr>
            </w:pPr>
            <w:r>
              <w:rPr>
                <w:rFonts w:hint="eastAsia"/>
                <w:bCs/>
                <w:color w:val="auto"/>
                <w:szCs w:val="21"/>
              </w:rPr>
              <w:t>氮氧化物</w:t>
            </w:r>
            <w:r>
              <w:rPr>
                <w:rFonts w:hint="eastAsia" w:ascii="宋体" w:hAnsi="宋体" w:cs="宋体"/>
                <w:bCs/>
                <w:color w:val="auto"/>
                <w:szCs w:val="21"/>
              </w:rPr>
              <w:t>排放速率（kg/h）</w:t>
            </w:r>
          </w:p>
        </w:tc>
        <w:tc>
          <w:tcPr>
            <w:tcW w:w="1425" w:type="dxa"/>
            <w:vAlign w:val="center"/>
          </w:tcPr>
          <w:p w14:paraId="443F3460">
            <w:pPr>
              <w:adjustRightInd w:val="0"/>
              <w:snapToGrid w:val="0"/>
              <w:spacing w:line="300" w:lineRule="exact"/>
              <w:jc w:val="center"/>
              <w:rPr>
                <w:rFonts w:hint="eastAsia" w:ascii="宋体" w:hAnsi="宋体" w:cs="宋体"/>
                <w:bCs/>
                <w:color w:val="auto"/>
                <w:szCs w:val="21"/>
              </w:rPr>
            </w:pPr>
            <w:r>
              <w:rPr>
                <w:rFonts w:hint="eastAsia"/>
                <w:bCs/>
                <w:color w:val="auto"/>
                <w:szCs w:val="21"/>
              </w:rPr>
              <w:t>二氧化硫</w:t>
            </w:r>
            <w:r>
              <w:rPr>
                <w:rFonts w:hint="eastAsia" w:ascii="宋体" w:hAnsi="宋体" w:cs="宋体"/>
                <w:bCs/>
                <w:color w:val="auto"/>
                <w:szCs w:val="21"/>
              </w:rPr>
              <w:t>排放速率（kg/h）</w:t>
            </w:r>
          </w:p>
        </w:tc>
        <w:tc>
          <w:tcPr>
            <w:tcW w:w="1425" w:type="dxa"/>
            <w:vAlign w:val="center"/>
          </w:tcPr>
          <w:p w14:paraId="47C90D3C">
            <w:pPr>
              <w:adjustRightInd w:val="0"/>
              <w:snapToGrid w:val="0"/>
              <w:spacing w:line="300" w:lineRule="exact"/>
              <w:jc w:val="center"/>
              <w:rPr>
                <w:rFonts w:hint="eastAsia" w:ascii="宋体" w:hAnsi="宋体" w:cs="宋体"/>
                <w:bCs/>
                <w:color w:val="auto"/>
                <w:szCs w:val="21"/>
              </w:rPr>
            </w:pPr>
            <w:r>
              <w:rPr>
                <w:rFonts w:hint="eastAsia"/>
                <w:bCs/>
                <w:color w:val="auto"/>
                <w:szCs w:val="21"/>
              </w:rPr>
              <w:t>颗粒物</w:t>
            </w:r>
            <w:r>
              <w:rPr>
                <w:rFonts w:hint="eastAsia" w:ascii="宋体" w:hAnsi="宋体" w:cs="宋体"/>
                <w:bCs/>
                <w:color w:val="auto"/>
                <w:szCs w:val="21"/>
              </w:rPr>
              <w:t>排放速率（kg/h）</w:t>
            </w:r>
          </w:p>
        </w:tc>
      </w:tr>
      <w:tr w14:paraId="5F8DBB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3" w:type="dxa"/>
            <w:vAlign w:val="center"/>
          </w:tcPr>
          <w:p w14:paraId="2BEBCBFD">
            <w:pPr>
              <w:spacing w:line="300" w:lineRule="exact"/>
              <w:jc w:val="center"/>
              <w:rPr>
                <w:rFonts w:hint="eastAsia" w:ascii="宋体" w:hAnsi="宋体" w:cs="宋体"/>
                <w:bCs/>
                <w:color w:val="auto"/>
                <w:szCs w:val="21"/>
              </w:rPr>
            </w:pPr>
            <w:r>
              <w:rPr>
                <w:rFonts w:hint="eastAsia" w:ascii="宋体" w:hAnsi="宋体" w:cs="宋体"/>
                <w:bCs/>
                <w:color w:val="auto"/>
                <w:szCs w:val="21"/>
              </w:rPr>
              <w:t>莫27井</w:t>
            </w:r>
          </w:p>
        </w:tc>
        <w:tc>
          <w:tcPr>
            <w:tcW w:w="991" w:type="dxa"/>
            <w:vAlign w:val="center"/>
          </w:tcPr>
          <w:p w14:paraId="0FFD6275">
            <w:pPr>
              <w:spacing w:line="300" w:lineRule="exact"/>
              <w:jc w:val="center"/>
              <w:rPr>
                <w:rFonts w:hint="eastAsia" w:ascii="宋体" w:hAnsi="宋体" w:cs="宋体"/>
                <w:bCs/>
                <w:color w:val="auto"/>
                <w:szCs w:val="21"/>
              </w:rPr>
            </w:pPr>
            <w:r>
              <w:rPr>
                <w:rFonts w:hint="eastAsia" w:ascii="宋体" w:hAnsi="宋体" w:cs="宋体"/>
                <w:bCs/>
                <w:color w:val="auto"/>
                <w:szCs w:val="21"/>
              </w:rPr>
              <w:t>368</w:t>
            </w:r>
          </w:p>
        </w:tc>
        <w:tc>
          <w:tcPr>
            <w:tcW w:w="991" w:type="dxa"/>
            <w:vAlign w:val="center"/>
          </w:tcPr>
          <w:p w14:paraId="06B6E92A">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90</w:t>
            </w:r>
          </w:p>
        </w:tc>
        <w:tc>
          <w:tcPr>
            <w:tcW w:w="991" w:type="dxa"/>
            <w:vAlign w:val="center"/>
          </w:tcPr>
          <w:p w14:paraId="321BAEC0">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80</w:t>
            </w:r>
          </w:p>
        </w:tc>
        <w:tc>
          <w:tcPr>
            <w:tcW w:w="1243" w:type="dxa"/>
            <w:vAlign w:val="center"/>
          </w:tcPr>
          <w:p w14:paraId="6B0BC1F5">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3</w:t>
            </w:r>
          </w:p>
        </w:tc>
        <w:tc>
          <w:tcPr>
            <w:tcW w:w="1175" w:type="dxa"/>
            <w:vAlign w:val="center"/>
          </w:tcPr>
          <w:p w14:paraId="3D1CB569">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7920</w:t>
            </w:r>
          </w:p>
        </w:tc>
        <w:tc>
          <w:tcPr>
            <w:tcW w:w="880" w:type="dxa"/>
            <w:vMerge w:val="restart"/>
            <w:vAlign w:val="center"/>
          </w:tcPr>
          <w:p w14:paraId="11685C15">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正常工况</w:t>
            </w:r>
          </w:p>
        </w:tc>
        <w:tc>
          <w:tcPr>
            <w:tcW w:w="1723" w:type="dxa"/>
            <w:vAlign w:val="center"/>
          </w:tcPr>
          <w:p w14:paraId="6BA14A6C">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0.00066</w:t>
            </w:r>
          </w:p>
        </w:tc>
        <w:tc>
          <w:tcPr>
            <w:tcW w:w="1425" w:type="dxa"/>
          </w:tcPr>
          <w:p w14:paraId="25B1054D">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w:t>
            </w:r>
          </w:p>
        </w:tc>
        <w:tc>
          <w:tcPr>
            <w:tcW w:w="1425" w:type="dxa"/>
          </w:tcPr>
          <w:p w14:paraId="13251C63">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w:t>
            </w:r>
          </w:p>
        </w:tc>
        <w:tc>
          <w:tcPr>
            <w:tcW w:w="1425" w:type="dxa"/>
          </w:tcPr>
          <w:p w14:paraId="11BECB66">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w:t>
            </w:r>
          </w:p>
        </w:tc>
      </w:tr>
      <w:tr w14:paraId="0FA5DC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3" w:type="dxa"/>
            <w:vAlign w:val="center"/>
          </w:tcPr>
          <w:p w14:paraId="5B6BA18F">
            <w:pPr>
              <w:spacing w:line="300" w:lineRule="exact"/>
              <w:jc w:val="center"/>
              <w:rPr>
                <w:rFonts w:hint="eastAsia" w:ascii="宋体" w:hAnsi="宋体" w:cs="宋体"/>
                <w:bCs/>
                <w:color w:val="auto"/>
                <w:szCs w:val="21"/>
              </w:rPr>
            </w:pPr>
            <w:r>
              <w:rPr>
                <w:rFonts w:hint="eastAsia" w:ascii="宋体" w:hAnsi="宋体" w:cs="宋体"/>
                <w:bCs/>
                <w:color w:val="auto"/>
                <w:szCs w:val="21"/>
              </w:rPr>
              <w:t>莫172H井（包括CNG天然气撬装处理装置和充装区）</w:t>
            </w:r>
          </w:p>
        </w:tc>
        <w:tc>
          <w:tcPr>
            <w:tcW w:w="991" w:type="dxa"/>
            <w:vAlign w:val="center"/>
          </w:tcPr>
          <w:p w14:paraId="4B21DA38">
            <w:pPr>
              <w:spacing w:line="300" w:lineRule="exact"/>
              <w:jc w:val="center"/>
              <w:rPr>
                <w:rFonts w:hint="eastAsia" w:ascii="宋体" w:hAnsi="宋体" w:cs="宋体"/>
                <w:bCs/>
                <w:color w:val="auto"/>
                <w:szCs w:val="21"/>
              </w:rPr>
            </w:pPr>
            <w:r>
              <w:rPr>
                <w:rFonts w:hint="eastAsia" w:ascii="宋体" w:hAnsi="宋体" w:cs="宋体"/>
                <w:bCs/>
                <w:color w:val="auto"/>
                <w:szCs w:val="21"/>
              </w:rPr>
              <w:t>362</w:t>
            </w:r>
          </w:p>
        </w:tc>
        <w:tc>
          <w:tcPr>
            <w:tcW w:w="991" w:type="dxa"/>
            <w:vAlign w:val="center"/>
          </w:tcPr>
          <w:p w14:paraId="6CBD6611">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360</w:t>
            </w:r>
          </w:p>
        </w:tc>
        <w:tc>
          <w:tcPr>
            <w:tcW w:w="991" w:type="dxa"/>
            <w:vAlign w:val="center"/>
          </w:tcPr>
          <w:p w14:paraId="39017E35">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200</w:t>
            </w:r>
          </w:p>
        </w:tc>
        <w:tc>
          <w:tcPr>
            <w:tcW w:w="1243" w:type="dxa"/>
            <w:vAlign w:val="center"/>
          </w:tcPr>
          <w:p w14:paraId="09537D9E">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11</w:t>
            </w:r>
          </w:p>
        </w:tc>
        <w:tc>
          <w:tcPr>
            <w:tcW w:w="1175" w:type="dxa"/>
            <w:vAlign w:val="center"/>
          </w:tcPr>
          <w:p w14:paraId="6306B903">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7920</w:t>
            </w:r>
          </w:p>
        </w:tc>
        <w:tc>
          <w:tcPr>
            <w:tcW w:w="880" w:type="dxa"/>
            <w:vMerge w:val="continue"/>
            <w:vAlign w:val="center"/>
          </w:tcPr>
          <w:p w14:paraId="13F4A526">
            <w:pPr>
              <w:adjustRightInd w:val="0"/>
              <w:snapToGrid w:val="0"/>
              <w:spacing w:line="300" w:lineRule="exact"/>
              <w:jc w:val="center"/>
              <w:rPr>
                <w:rFonts w:hint="eastAsia" w:ascii="宋体" w:hAnsi="宋体" w:cs="宋体"/>
                <w:bCs/>
                <w:color w:val="auto"/>
                <w:szCs w:val="21"/>
              </w:rPr>
            </w:pPr>
          </w:p>
        </w:tc>
        <w:tc>
          <w:tcPr>
            <w:tcW w:w="1723" w:type="dxa"/>
            <w:vAlign w:val="center"/>
          </w:tcPr>
          <w:p w14:paraId="2B705C5A">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0.1251</w:t>
            </w:r>
          </w:p>
        </w:tc>
        <w:tc>
          <w:tcPr>
            <w:tcW w:w="1425" w:type="dxa"/>
            <w:vAlign w:val="center"/>
          </w:tcPr>
          <w:p w14:paraId="1093AF5B">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0.132</w:t>
            </w:r>
          </w:p>
        </w:tc>
        <w:tc>
          <w:tcPr>
            <w:tcW w:w="1425" w:type="dxa"/>
            <w:vAlign w:val="center"/>
          </w:tcPr>
          <w:p w14:paraId="0CBAF48D">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0.0138</w:t>
            </w:r>
          </w:p>
        </w:tc>
        <w:tc>
          <w:tcPr>
            <w:tcW w:w="1425" w:type="dxa"/>
            <w:vAlign w:val="center"/>
          </w:tcPr>
          <w:p w14:paraId="7B448B6D">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0.0108</w:t>
            </w:r>
          </w:p>
        </w:tc>
      </w:tr>
      <w:tr w14:paraId="2CF287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3" w:type="dxa"/>
            <w:vAlign w:val="center"/>
          </w:tcPr>
          <w:p w14:paraId="6903E115">
            <w:pPr>
              <w:spacing w:line="300" w:lineRule="exact"/>
              <w:jc w:val="center"/>
              <w:rPr>
                <w:rFonts w:hint="eastAsia" w:ascii="宋体" w:hAnsi="宋体" w:cs="宋体"/>
                <w:bCs/>
                <w:color w:val="auto"/>
                <w:szCs w:val="21"/>
              </w:rPr>
            </w:pPr>
            <w:bookmarkStart w:id="669" w:name="OLE_LINK95"/>
            <w:r>
              <w:rPr>
                <w:rFonts w:hint="eastAsia" w:ascii="宋体" w:hAnsi="宋体" w:cs="宋体"/>
                <w:bCs/>
                <w:color w:val="auto"/>
                <w:szCs w:val="21"/>
              </w:rPr>
              <w:t>莫174H井</w:t>
            </w:r>
            <w:bookmarkEnd w:id="669"/>
            <w:r>
              <w:rPr>
                <w:rFonts w:hint="eastAsia" w:ascii="宋体" w:hAnsi="宋体" w:cs="宋体"/>
                <w:bCs/>
                <w:color w:val="auto"/>
                <w:szCs w:val="21"/>
              </w:rPr>
              <w:t>（包括CNG天然气撬装处理装置）</w:t>
            </w:r>
          </w:p>
        </w:tc>
        <w:tc>
          <w:tcPr>
            <w:tcW w:w="991" w:type="dxa"/>
            <w:vAlign w:val="center"/>
          </w:tcPr>
          <w:p w14:paraId="54DEC1C9">
            <w:pPr>
              <w:spacing w:line="300" w:lineRule="exact"/>
              <w:jc w:val="center"/>
              <w:rPr>
                <w:rFonts w:hint="eastAsia" w:ascii="宋体" w:hAnsi="宋体" w:cs="宋体"/>
                <w:bCs/>
                <w:color w:val="auto"/>
                <w:szCs w:val="21"/>
              </w:rPr>
            </w:pPr>
            <w:r>
              <w:rPr>
                <w:rFonts w:hint="eastAsia" w:ascii="宋体" w:hAnsi="宋体" w:cs="宋体"/>
                <w:bCs/>
                <w:color w:val="auto"/>
                <w:szCs w:val="21"/>
              </w:rPr>
              <w:t>364</w:t>
            </w:r>
          </w:p>
        </w:tc>
        <w:tc>
          <w:tcPr>
            <w:tcW w:w="991" w:type="dxa"/>
            <w:vAlign w:val="center"/>
          </w:tcPr>
          <w:p w14:paraId="00BD3016">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145</w:t>
            </w:r>
          </w:p>
        </w:tc>
        <w:tc>
          <w:tcPr>
            <w:tcW w:w="991" w:type="dxa"/>
            <w:vAlign w:val="center"/>
          </w:tcPr>
          <w:p w14:paraId="74EA7D54">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110</w:t>
            </w:r>
          </w:p>
        </w:tc>
        <w:tc>
          <w:tcPr>
            <w:tcW w:w="1243" w:type="dxa"/>
            <w:vAlign w:val="center"/>
          </w:tcPr>
          <w:p w14:paraId="62D6E857">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11</w:t>
            </w:r>
          </w:p>
        </w:tc>
        <w:tc>
          <w:tcPr>
            <w:tcW w:w="1175" w:type="dxa"/>
            <w:vAlign w:val="center"/>
          </w:tcPr>
          <w:p w14:paraId="699C3B7A">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7920</w:t>
            </w:r>
          </w:p>
        </w:tc>
        <w:tc>
          <w:tcPr>
            <w:tcW w:w="880" w:type="dxa"/>
            <w:vMerge w:val="continue"/>
            <w:vAlign w:val="center"/>
          </w:tcPr>
          <w:p w14:paraId="29A2AA69">
            <w:pPr>
              <w:adjustRightInd w:val="0"/>
              <w:snapToGrid w:val="0"/>
              <w:spacing w:line="300" w:lineRule="exact"/>
              <w:jc w:val="center"/>
              <w:rPr>
                <w:rFonts w:hint="eastAsia" w:ascii="宋体" w:hAnsi="宋体" w:cs="宋体"/>
                <w:bCs/>
                <w:color w:val="auto"/>
                <w:szCs w:val="21"/>
              </w:rPr>
            </w:pPr>
          </w:p>
        </w:tc>
        <w:tc>
          <w:tcPr>
            <w:tcW w:w="1723" w:type="dxa"/>
            <w:vAlign w:val="center"/>
          </w:tcPr>
          <w:p w14:paraId="607057FB">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0.0707</w:t>
            </w:r>
          </w:p>
        </w:tc>
        <w:tc>
          <w:tcPr>
            <w:tcW w:w="1425" w:type="dxa"/>
            <w:vAlign w:val="center"/>
          </w:tcPr>
          <w:p w14:paraId="50EC3038">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0.066</w:t>
            </w:r>
          </w:p>
        </w:tc>
        <w:tc>
          <w:tcPr>
            <w:tcW w:w="1425" w:type="dxa"/>
            <w:vAlign w:val="center"/>
          </w:tcPr>
          <w:p w14:paraId="1002ADBD">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0.0069</w:t>
            </w:r>
          </w:p>
        </w:tc>
        <w:tc>
          <w:tcPr>
            <w:tcW w:w="1425" w:type="dxa"/>
            <w:vAlign w:val="center"/>
          </w:tcPr>
          <w:p w14:paraId="51CFD385">
            <w:pPr>
              <w:adjustRightInd w:val="0"/>
              <w:snapToGrid w:val="0"/>
              <w:spacing w:line="300" w:lineRule="exact"/>
              <w:jc w:val="center"/>
              <w:rPr>
                <w:rFonts w:hint="eastAsia" w:ascii="宋体" w:hAnsi="宋体" w:cs="宋体"/>
                <w:bCs/>
                <w:color w:val="auto"/>
                <w:szCs w:val="21"/>
              </w:rPr>
            </w:pPr>
            <w:r>
              <w:rPr>
                <w:rFonts w:hint="eastAsia" w:ascii="宋体" w:hAnsi="宋体" w:cs="宋体"/>
                <w:bCs/>
                <w:color w:val="auto"/>
                <w:szCs w:val="21"/>
              </w:rPr>
              <w:t>0.0054</w:t>
            </w:r>
          </w:p>
        </w:tc>
      </w:tr>
    </w:tbl>
    <w:p w14:paraId="6F42794D">
      <w:pPr>
        <w:jc w:val="center"/>
        <w:rPr>
          <w:rFonts w:hint="eastAsia" w:ascii="黑体" w:hAnsi="黑体" w:eastAsia="黑体"/>
          <w:bCs/>
          <w:color w:val="auto"/>
          <w:szCs w:val="21"/>
        </w:rPr>
      </w:pPr>
      <w:r>
        <w:rPr>
          <w:rFonts w:hint="eastAsia" w:ascii="黑体" w:hAnsi="黑体" w:eastAsia="黑体"/>
          <w:bCs/>
          <w:color w:val="auto"/>
          <w:szCs w:val="21"/>
        </w:rPr>
        <w:t>表5</w:t>
      </w:r>
      <w:r>
        <w:rPr>
          <w:rFonts w:ascii="黑体" w:hAnsi="黑体" w:eastAsia="黑体"/>
          <w:bCs/>
          <w:color w:val="auto"/>
          <w:szCs w:val="21"/>
        </w:rPr>
        <w:t>.2</w:t>
      </w:r>
      <w:r>
        <w:rPr>
          <w:rFonts w:hint="eastAsia" w:ascii="黑体" w:hAnsi="黑体" w:eastAsia="黑体"/>
          <w:bCs/>
          <w:color w:val="auto"/>
          <w:szCs w:val="21"/>
        </w:rPr>
        <w:t xml:space="preserve">-6 </w:t>
      </w:r>
      <w:r>
        <w:rPr>
          <w:rFonts w:ascii="黑体" w:hAnsi="黑体" w:eastAsia="黑体"/>
          <w:bCs/>
          <w:color w:val="auto"/>
          <w:szCs w:val="21"/>
        </w:rPr>
        <w:t xml:space="preserve"> </w:t>
      </w:r>
      <w:r>
        <w:rPr>
          <w:rFonts w:hint="eastAsia" w:ascii="黑体" w:hAnsi="黑体" w:eastAsia="黑体"/>
          <w:bCs/>
          <w:color w:val="auto"/>
          <w:szCs w:val="21"/>
        </w:rPr>
        <w:t>氮氧化物、二氧化硫和颗粒物预测结果一览表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1129"/>
        <w:gridCol w:w="1103"/>
        <w:gridCol w:w="1129"/>
        <w:gridCol w:w="981"/>
        <w:gridCol w:w="1129"/>
        <w:gridCol w:w="1038"/>
        <w:gridCol w:w="768"/>
        <w:gridCol w:w="1129"/>
        <w:gridCol w:w="916"/>
        <w:gridCol w:w="1129"/>
        <w:gridCol w:w="916"/>
        <w:gridCol w:w="1129"/>
        <w:gridCol w:w="904"/>
      </w:tblGrid>
      <w:tr w14:paraId="798D99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76" w:type="pct"/>
            <w:gridSpan w:val="7"/>
            <w:vAlign w:val="center"/>
          </w:tcPr>
          <w:p w14:paraId="64345FDA">
            <w:pPr>
              <w:pStyle w:val="288"/>
              <w:adjustRightInd w:val="0"/>
              <w:snapToGrid w:val="0"/>
              <w:spacing w:line="300" w:lineRule="exact"/>
              <w:rPr>
                <w:rFonts w:hint="eastAsia" w:eastAsia="宋体"/>
                <w:color w:val="auto"/>
              </w:rPr>
            </w:pPr>
            <w:r>
              <w:rPr>
                <w:rFonts w:hint="eastAsia" w:eastAsia="宋体" w:cs="宋体"/>
                <w:bCs/>
                <w:color w:val="auto"/>
              </w:rPr>
              <w:t>莫172H井燃气发电机</w:t>
            </w:r>
            <w:r>
              <w:rPr>
                <w:rFonts w:hint="eastAsia" w:eastAsia="宋体"/>
                <w:color w:val="auto"/>
              </w:rPr>
              <w:t>燃烧烟气</w:t>
            </w:r>
          </w:p>
        </w:tc>
        <w:tc>
          <w:tcPr>
            <w:tcW w:w="2423" w:type="pct"/>
            <w:gridSpan w:val="7"/>
          </w:tcPr>
          <w:p w14:paraId="484E2927">
            <w:pPr>
              <w:pStyle w:val="288"/>
              <w:adjustRightInd w:val="0"/>
              <w:snapToGrid w:val="0"/>
              <w:spacing w:line="300" w:lineRule="exact"/>
              <w:rPr>
                <w:rFonts w:hint="eastAsia" w:eastAsia="宋体"/>
                <w:color w:val="auto"/>
              </w:rPr>
            </w:pPr>
            <w:r>
              <w:rPr>
                <w:rFonts w:hint="eastAsia" w:eastAsia="宋体" w:cs="宋体"/>
                <w:bCs/>
                <w:color w:val="auto"/>
              </w:rPr>
              <w:t>莫174H井燃气发电机</w:t>
            </w:r>
            <w:r>
              <w:rPr>
                <w:rFonts w:hint="eastAsia" w:eastAsia="宋体"/>
                <w:color w:val="auto"/>
              </w:rPr>
              <w:t>燃烧烟气</w:t>
            </w:r>
          </w:p>
        </w:tc>
      </w:tr>
      <w:tr w14:paraId="43676A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Merge w:val="restart"/>
            <w:vAlign w:val="center"/>
          </w:tcPr>
          <w:p w14:paraId="4851549D">
            <w:pPr>
              <w:pStyle w:val="288"/>
              <w:adjustRightInd w:val="0"/>
              <w:snapToGrid w:val="0"/>
              <w:spacing w:line="300" w:lineRule="exact"/>
              <w:rPr>
                <w:rFonts w:hint="eastAsia" w:eastAsia="宋体"/>
                <w:color w:val="auto"/>
              </w:rPr>
            </w:pPr>
            <w:r>
              <w:rPr>
                <w:rFonts w:hint="eastAsia" w:eastAsia="宋体"/>
                <w:color w:val="auto"/>
              </w:rPr>
              <w:t>离源距离（m）</w:t>
            </w:r>
          </w:p>
        </w:tc>
        <w:tc>
          <w:tcPr>
            <w:tcW w:w="785" w:type="pct"/>
            <w:gridSpan w:val="2"/>
            <w:vAlign w:val="center"/>
          </w:tcPr>
          <w:p w14:paraId="7327E579">
            <w:pPr>
              <w:pStyle w:val="288"/>
              <w:adjustRightInd w:val="0"/>
              <w:snapToGrid w:val="0"/>
              <w:spacing w:line="300" w:lineRule="exact"/>
              <w:rPr>
                <w:rFonts w:hint="eastAsia" w:eastAsia="宋体"/>
                <w:color w:val="auto"/>
              </w:rPr>
            </w:pPr>
            <w:r>
              <w:rPr>
                <w:rFonts w:hint="eastAsia" w:eastAsia="宋体"/>
                <w:color w:val="auto"/>
              </w:rPr>
              <w:t>二氧化硫</w:t>
            </w:r>
          </w:p>
        </w:tc>
        <w:tc>
          <w:tcPr>
            <w:tcW w:w="742" w:type="pct"/>
            <w:gridSpan w:val="2"/>
            <w:vAlign w:val="center"/>
          </w:tcPr>
          <w:p w14:paraId="5C9B3603">
            <w:pPr>
              <w:pStyle w:val="288"/>
              <w:adjustRightInd w:val="0"/>
              <w:snapToGrid w:val="0"/>
              <w:spacing w:line="300" w:lineRule="exact"/>
              <w:rPr>
                <w:rFonts w:hint="eastAsia" w:eastAsia="宋体"/>
                <w:color w:val="auto"/>
              </w:rPr>
            </w:pPr>
            <w:r>
              <w:rPr>
                <w:rFonts w:hint="eastAsia" w:eastAsia="宋体"/>
                <w:color w:val="auto"/>
              </w:rPr>
              <w:t>氮氧化物</w:t>
            </w:r>
          </w:p>
        </w:tc>
        <w:tc>
          <w:tcPr>
            <w:tcW w:w="759" w:type="pct"/>
            <w:gridSpan w:val="2"/>
            <w:vAlign w:val="center"/>
          </w:tcPr>
          <w:p w14:paraId="4973F006">
            <w:pPr>
              <w:pStyle w:val="288"/>
              <w:adjustRightInd w:val="0"/>
              <w:snapToGrid w:val="0"/>
              <w:spacing w:line="300" w:lineRule="exact"/>
              <w:rPr>
                <w:rFonts w:hint="eastAsia" w:eastAsia="宋体"/>
                <w:color w:val="auto"/>
              </w:rPr>
            </w:pPr>
            <w:r>
              <w:rPr>
                <w:rFonts w:hint="eastAsia" w:eastAsia="宋体"/>
                <w:color w:val="auto"/>
              </w:rPr>
              <w:t>颗粒物</w:t>
            </w:r>
          </w:p>
        </w:tc>
        <w:tc>
          <w:tcPr>
            <w:tcW w:w="270" w:type="pct"/>
            <w:vMerge w:val="restart"/>
            <w:vAlign w:val="center"/>
          </w:tcPr>
          <w:p w14:paraId="7FCBF556">
            <w:pPr>
              <w:pStyle w:val="288"/>
              <w:adjustRightInd w:val="0"/>
              <w:snapToGrid w:val="0"/>
              <w:spacing w:line="300" w:lineRule="exact"/>
              <w:rPr>
                <w:rFonts w:hint="eastAsia" w:eastAsia="宋体"/>
                <w:color w:val="auto"/>
              </w:rPr>
            </w:pPr>
            <w:r>
              <w:rPr>
                <w:rFonts w:hint="eastAsia" w:eastAsia="宋体"/>
                <w:color w:val="auto"/>
              </w:rPr>
              <w:t>离源距离（m）</w:t>
            </w:r>
          </w:p>
        </w:tc>
        <w:tc>
          <w:tcPr>
            <w:tcW w:w="719" w:type="pct"/>
            <w:gridSpan w:val="2"/>
            <w:vAlign w:val="center"/>
          </w:tcPr>
          <w:p w14:paraId="4E8FD84E">
            <w:pPr>
              <w:pStyle w:val="288"/>
              <w:adjustRightInd w:val="0"/>
              <w:snapToGrid w:val="0"/>
              <w:spacing w:line="300" w:lineRule="exact"/>
              <w:rPr>
                <w:rFonts w:hint="eastAsia" w:eastAsia="宋体"/>
                <w:color w:val="auto"/>
              </w:rPr>
            </w:pPr>
            <w:r>
              <w:rPr>
                <w:rFonts w:hint="eastAsia" w:eastAsia="宋体"/>
                <w:color w:val="auto"/>
              </w:rPr>
              <w:t>二氧化硫</w:t>
            </w:r>
          </w:p>
        </w:tc>
        <w:tc>
          <w:tcPr>
            <w:tcW w:w="719" w:type="pct"/>
            <w:gridSpan w:val="2"/>
            <w:vAlign w:val="center"/>
          </w:tcPr>
          <w:p w14:paraId="7F6A101C">
            <w:pPr>
              <w:pStyle w:val="288"/>
              <w:adjustRightInd w:val="0"/>
              <w:snapToGrid w:val="0"/>
              <w:spacing w:line="300" w:lineRule="exact"/>
              <w:rPr>
                <w:rFonts w:hint="eastAsia" w:eastAsia="宋体"/>
                <w:color w:val="auto"/>
              </w:rPr>
            </w:pPr>
            <w:r>
              <w:rPr>
                <w:rFonts w:hint="eastAsia" w:eastAsia="宋体"/>
                <w:color w:val="auto"/>
              </w:rPr>
              <w:t>氮氧化物</w:t>
            </w:r>
          </w:p>
        </w:tc>
        <w:tc>
          <w:tcPr>
            <w:tcW w:w="714" w:type="pct"/>
            <w:gridSpan w:val="2"/>
            <w:vAlign w:val="center"/>
          </w:tcPr>
          <w:p w14:paraId="22F8F1F8">
            <w:pPr>
              <w:pStyle w:val="288"/>
              <w:adjustRightInd w:val="0"/>
              <w:snapToGrid w:val="0"/>
              <w:spacing w:line="300" w:lineRule="exact"/>
              <w:rPr>
                <w:rFonts w:hint="eastAsia" w:eastAsia="宋体"/>
                <w:color w:val="auto"/>
              </w:rPr>
            </w:pPr>
            <w:r>
              <w:rPr>
                <w:rFonts w:hint="eastAsia" w:eastAsia="宋体"/>
                <w:color w:val="auto"/>
              </w:rPr>
              <w:t>颗粒物</w:t>
            </w:r>
          </w:p>
        </w:tc>
      </w:tr>
      <w:tr w14:paraId="553B22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Merge w:val="continue"/>
            <w:vAlign w:val="center"/>
          </w:tcPr>
          <w:p w14:paraId="717BB431">
            <w:pPr>
              <w:pStyle w:val="288"/>
              <w:adjustRightInd w:val="0"/>
              <w:snapToGrid w:val="0"/>
              <w:spacing w:line="300" w:lineRule="exact"/>
              <w:rPr>
                <w:rFonts w:hint="eastAsia" w:eastAsia="宋体"/>
                <w:color w:val="auto"/>
              </w:rPr>
            </w:pPr>
          </w:p>
        </w:tc>
        <w:tc>
          <w:tcPr>
            <w:tcW w:w="397" w:type="pct"/>
            <w:vAlign w:val="center"/>
          </w:tcPr>
          <w:p w14:paraId="31BCAB12">
            <w:pPr>
              <w:pStyle w:val="288"/>
              <w:adjustRightInd w:val="0"/>
              <w:snapToGrid w:val="0"/>
              <w:spacing w:line="300" w:lineRule="exact"/>
              <w:rPr>
                <w:rFonts w:hint="eastAsia" w:eastAsia="宋体"/>
                <w:color w:val="auto"/>
              </w:rPr>
            </w:pPr>
            <w:r>
              <w:rPr>
                <w:rFonts w:hint="eastAsia" w:eastAsia="宋体"/>
                <w:color w:val="auto"/>
              </w:rPr>
              <w:t>浓度（u</w:t>
            </w:r>
            <w:r>
              <w:rPr>
                <w:rFonts w:eastAsia="宋体"/>
                <w:color w:val="auto"/>
              </w:rPr>
              <w:t>g/m</w:t>
            </w:r>
            <w:r>
              <w:rPr>
                <w:rFonts w:eastAsia="宋体"/>
                <w:color w:val="auto"/>
                <w:vertAlign w:val="superscript"/>
              </w:rPr>
              <w:t>3</w:t>
            </w:r>
            <w:r>
              <w:rPr>
                <w:rFonts w:hint="eastAsia" w:eastAsia="宋体"/>
                <w:color w:val="auto"/>
              </w:rPr>
              <w:t>）</w:t>
            </w:r>
          </w:p>
        </w:tc>
        <w:tc>
          <w:tcPr>
            <w:tcW w:w="388" w:type="pct"/>
            <w:vAlign w:val="center"/>
          </w:tcPr>
          <w:p w14:paraId="2DFBA157">
            <w:pPr>
              <w:pStyle w:val="288"/>
              <w:adjustRightInd w:val="0"/>
              <w:snapToGrid w:val="0"/>
              <w:spacing w:line="300" w:lineRule="exact"/>
              <w:rPr>
                <w:rFonts w:hint="eastAsia" w:eastAsia="宋体"/>
                <w:color w:val="auto"/>
              </w:rPr>
            </w:pPr>
            <w:r>
              <w:rPr>
                <w:rFonts w:hint="eastAsia" w:eastAsia="宋体"/>
                <w:color w:val="auto"/>
              </w:rPr>
              <w:t>占标率（%）</w:t>
            </w:r>
          </w:p>
        </w:tc>
        <w:tc>
          <w:tcPr>
            <w:tcW w:w="397" w:type="pct"/>
            <w:vAlign w:val="center"/>
          </w:tcPr>
          <w:p w14:paraId="29694B3E">
            <w:pPr>
              <w:pStyle w:val="288"/>
              <w:adjustRightInd w:val="0"/>
              <w:snapToGrid w:val="0"/>
              <w:spacing w:line="300" w:lineRule="exact"/>
              <w:rPr>
                <w:rFonts w:hint="eastAsia" w:eastAsia="宋体"/>
                <w:color w:val="auto"/>
              </w:rPr>
            </w:pPr>
            <w:r>
              <w:rPr>
                <w:rFonts w:hint="eastAsia" w:eastAsia="宋体"/>
                <w:color w:val="auto"/>
              </w:rPr>
              <w:t>浓度（u</w:t>
            </w:r>
            <w:r>
              <w:rPr>
                <w:rFonts w:eastAsia="宋体"/>
                <w:color w:val="auto"/>
              </w:rPr>
              <w:t>g/m</w:t>
            </w:r>
            <w:r>
              <w:rPr>
                <w:rFonts w:eastAsia="宋体"/>
                <w:color w:val="auto"/>
                <w:vertAlign w:val="superscript"/>
              </w:rPr>
              <w:t>3</w:t>
            </w:r>
            <w:r>
              <w:rPr>
                <w:rFonts w:hint="eastAsia" w:eastAsia="宋体"/>
                <w:color w:val="auto"/>
              </w:rPr>
              <w:t>）</w:t>
            </w:r>
          </w:p>
        </w:tc>
        <w:tc>
          <w:tcPr>
            <w:tcW w:w="344" w:type="pct"/>
            <w:vAlign w:val="center"/>
          </w:tcPr>
          <w:p w14:paraId="47784BAF">
            <w:pPr>
              <w:pStyle w:val="288"/>
              <w:adjustRightInd w:val="0"/>
              <w:snapToGrid w:val="0"/>
              <w:spacing w:line="300" w:lineRule="exact"/>
              <w:rPr>
                <w:rFonts w:hint="eastAsia" w:eastAsia="宋体"/>
                <w:color w:val="auto"/>
              </w:rPr>
            </w:pPr>
            <w:r>
              <w:rPr>
                <w:rFonts w:hint="eastAsia" w:eastAsia="宋体"/>
                <w:color w:val="auto"/>
              </w:rPr>
              <w:t>占标率（%）</w:t>
            </w:r>
          </w:p>
        </w:tc>
        <w:tc>
          <w:tcPr>
            <w:tcW w:w="397" w:type="pct"/>
            <w:vAlign w:val="center"/>
          </w:tcPr>
          <w:p w14:paraId="6CFC6152">
            <w:pPr>
              <w:pStyle w:val="288"/>
              <w:adjustRightInd w:val="0"/>
              <w:snapToGrid w:val="0"/>
              <w:spacing w:line="300" w:lineRule="exact"/>
              <w:rPr>
                <w:rFonts w:hint="eastAsia" w:eastAsia="宋体"/>
                <w:color w:val="auto"/>
              </w:rPr>
            </w:pPr>
            <w:r>
              <w:rPr>
                <w:rFonts w:hint="eastAsia" w:eastAsia="宋体"/>
                <w:color w:val="auto"/>
              </w:rPr>
              <w:t>浓度（u</w:t>
            </w:r>
            <w:r>
              <w:rPr>
                <w:rFonts w:eastAsia="宋体"/>
                <w:color w:val="auto"/>
              </w:rPr>
              <w:t>g/m</w:t>
            </w:r>
            <w:r>
              <w:rPr>
                <w:rFonts w:eastAsia="宋体"/>
                <w:color w:val="auto"/>
                <w:vertAlign w:val="superscript"/>
              </w:rPr>
              <w:t>3</w:t>
            </w:r>
            <w:r>
              <w:rPr>
                <w:rFonts w:hint="eastAsia" w:eastAsia="宋体"/>
                <w:color w:val="auto"/>
              </w:rPr>
              <w:t>）</w:t>
            </w:r>
          </w:p>
        </w:tc>
        <w:tc>
          <w:tcPr>
            <w:tcW w:w="362" w:type="pct"/>
            <w:vAlign w:val="center"/>
          </w:tcPr>
          <w:p w14:paraId="292E8472">
            <w:pPr>
              <w:pStyle w:val="288"/>
              <w:adjustRightInd w:val="0"/>
              <w:snapToGrid w:val="0"/>
              <w:spacing w:line="300" w:lineRule="exact"/>
              <w:rPr>
                <w:rFonts w:hint="eastAsia" w:eastAsia="宋体"/>
                <w:color w:val="auto"/>
              </w:rPr>
            </w:pPr>
            <w:r>
              <w:rPr>
                <w:rFonts w:hint="eastAsia" w:eastAsia="宋体"/>
                <w:color w:val="auto"/>
              </w:rPr>
              <w:t>占标率（%）</w:t>
            </w:r>
          </w:p>
        </w:tc>
        <w:tc>
          <w:tcPr>
            <w:tcW w:w="270" w:type="pct"/>
            <w:vMerge w:val="continue"/>
            <w:vAlign w:val="center"/>
          </w:tcPr>
          <w:p w14:paraId="789BD46A">
            <w:pPr>
              <w:pStyle w:val="288"/>
              <w:adjustRightInd w:val="0"/>
              <w:snapToGrid w:val="0"/>
              <w:spacing w:line="300" w:lineRule="exact"/>
              <w:rPr>
                <w:rFonts w:hint="eastAsia" w:eastAsia="宋体"/>
                <w:color w:val="auto"/>
              </w:rPr>
            </w:pPr>
          </w:p>
        </w:tc>
        <w:tc>
          <w:tcPr>
            <w:tcW w:w="397" w:type="pct"/>
            <w:vAlign w:val="center"/>
          </w:tcPr>
          <w:p w14:paraId="0D30DFE5">
            <w:pPr>
              <w:pStyle w:val="288"/>
              <w:adjustRightInd w:val="0"/>
              <w:snapToGrid w:val="0"/>
              <w:spacing w:line="300" w:lineRule="exact"/>
              <w:rPr>
                <w:rFonts w:hint="eastAsia" w:eastAsia="宋体"/>
                <w:color w:val="auto"/>
              </w:rPr>
            </w:pPr>
            <w:r>
              <w:rPr>
                <w:rFonts w:hint="eastAsia" w:eastAsia="宋体"/>
                <w:color w:val="auto"/>
              </w:rPr>
              <w:t>浓度（u</w:t>
            </w:r>
            <w:r>
              <w:rPr>
                <w:rFonts w:eastAsia="宋体"/>
                <w:color w:val="auto"/>
              </w:rPr>
              <w:t>g/m</w:t>
            </w:r>
            <w:r>
              <w:rPr>
                <w:rFonts w:eastAsia="宋体"/>
                <w:color w:val="auto"/>
                <w:vertAlign w:val="superscript"/>
              </w:rPr>
              <w:t>3</w:t>
            </w:r>
            <w:r>
              <w:rPr>
                <w:rFonts w:hint="eastAsia" w:eastAsia="宋体"/>
                <w:color w:val="auto"/>
              </w:rPr>
              <w:t>）</w:t>
            </w:r>
          </w:p>
        </w:tc>
        <w:tc>
          <w:tcPr>
            <w:tcW w:w="322" w:type="pct"/>
            <w:vAlign w:val="center"/>
          </w:tcPr>
          <w:p w14:paraId="270A118F">
            <w:pPr>
              <w:pStyle w:val="288"/>
              <w:adjustRightInd w:val="0"/>
              <w:snapToGrid w:val="0"/>
              <w:spacing w:line="300" w:lineRule="exact"/>
              <w:rPr>
                <w:rFonts w:hint="eastAsia" w:eastAsia="宋体"/>
                <w:color w:val="auto"/>
              </w:rPr>
            </w:pPr>
            <w:r>
              <w:rPr>
                <w:rFonts w:hint="eastAsia" w:eastAsia="宋体"/>
                <w:color w:val="auto"/>
              </w:rPr>
              <w:t>占标率（%）</w:t>
            </w:r>
          </w:p>
        </w:tc>
        <w:tc>
          <w:tcPr>
            <w:tcW w:w="397" w:type="pct"/>
            <w:vAlign w:val="center"/>
          </w:tcPr>
          <w:p w14:paraId="48506BB9">
            <w:pPr>
              <w:pStyle w:val="288"/>
              <w:adjustRightInd w:val="0"/>
              <w:snapToGrid w:val="0"/>
              <w:spacing w:line="300" w:lineRule="exact"/>
              <w:rPr>
                <w:rFonts w:hint="eastAsia" w:eastAsia="宋体"/>
                <w:color w:val="auto"/>
              </w:rPr>
            </w:pPr>
            <w:r>
              <w:rPr>
                <w:rFonts w:hint="eastAsia" w:eastAsia="宋体"/>
                <w:color w:val="auto"/>
              </w:rPr>
              <w:t>浓度（u</w:t>
            </w:r>
            <w:r>
              <w:rPr>
                <w:rFonts w:eastAsia="宋体"/>
                <w:color w:val="auto"/>
              </w:rPr>
              <w:t>g/m</w:t>
            </w:r>
            <w:r>
              <w:rPr>
                <w:rFonts w:eastAsia="宋体"/>
                <w:color w:val="auto"/>
                <w:vertAlign w:val="superscript"/>
              </w:rPr>
              <w:t>3</w:t>
            </w:r>
            <w:r>
              <w:rPr>
                <w:rFonts w:hint="eastAsia" w:eastAsia="宋体"/>
                <w:color w:val="auto"/>
              </w:rPr>
              <w:t>）</w:t>
            </w:r>
          </w:p>
        </w:tc>
        <w:tc>
          <w:tcPr>
            <w:tcW w:w="322" w:type="pct"/>
            <w:vAlign w:val="center"/>
          </w:tcPr>
          <w:p w14:paraId="50416AB4">
            <w:pPr>
              <w:pStyle w:val="288"/>
              <w:adjustRightInd w:val="0"/>
              <w:snapToGrid w:val="0"/>
              <w:spacing w:line="300" w:lineRule="exact"/>
              <w:rPr>
                <w:rFonts w:hint="eastAsia" w:eastAsia="宋体"/>
                <w:color w:val="auto"/>
              </w:rPr>
            </w:pPr>
            <w:r>
              <w:rPr>
                <w:rFonts w:hint="eastAsia" w:eastAsia="宋体"/>
                <w:color w:val="auto"/>
              </w:rPr>
              <w:t>占标率（%）</w:t>
            </w:r>
          </w:p>
        </w:tc>
        <w:tc>
          <w:tcPr>
            <w:tcW w:w="397" w:type="pct"/>
            <w:vAlign w:val="center"/>
          </w:tcPr>
          <w:p w14:paraId="78A754B4">
            <w:pPr>
              <w:pStyle w:val="288"/>
              <w:adjustRightInd w:val="0"/>
              <w:snapToGrid w:val="0"/>
              <w:spacing w:line="300" w:lineRule="exact"/>
              <w:rPr>
                <w:rFonts w:hint="eastAsia" w:eastAsia="宋体"/>
                <w:color w:val="auto"/>
              </w:rPr>
            </w:pPr>
            <w:r>
              <w:rPr>
                <w:rFonts w:hint="eastAsia" w:eastAsia="宋体"/>
                <w:color w:val="auto"/>
              </w:rPr>
              <w:t>浓度（u</w:t>
            </w:r>
            <w:r>
              <w:rPr>
                <w:rFonts w:eastAsia="宋体"/>
                <w:color w:val="auto"/>
              </w:rPr>
              <w:t>g/m</w:t>
            </w:r>
            <w:r>
              <w:rPr>
                <w:rFonts w:eastAsia="宋体"/>
                <w:color w:val="auto"/>
                <w:vertAlign w:val="superscript"/>
              </w:rPr>
              <w:t>3</w:t>
            </w:r>
            <w:r>
              <w:rPr>
                <w:rFonts w:hint="eastAsia" w:eastAsia="宋体"/>
                <w:color w:val="auto"/>
              </w:rPr>
              <w:t>）</w:t>
            </w:r>
          </w:p>
        </w:tc>
        <w:tc>
          <w:tcPr>
            <w:tcW w:w="317" w:type="pct"/>
            <w:vAlign w:val="center"/>
          </w:tcPr>
          <w:p w14:paraId="46696B03">
            <w:pPr>
              <w:pStyle w:val="288"/>
              <w:adjustRightInd w:val="0"/>
              <w:snapToGrid w:val="0"/>
              <w:spacing w:line="300" w:lineRule="exact"/>
              <w:rPr>
                <w:rFonts w:hint="eastAsia" w:eastAsia="宋体"/>
                <w:color w:val="auto"/>
              </w:rPr>
            </w:pPr>
            <w:r>
              <w:rPr>
                <w:rFonts w:hint="eastAsia" w:eastAsia="宋体"/>
                <w:color w:val="auto"/>
              </w:rPr>
              <w:t>占标率（%）</w:t>
            </w:r>
          </w:p>
        </w:tc>
      </w:tr>
      <w:tr w14:paraId="08213B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5895AC34">
            <w:pPr>
              <w:pStyle w:val="288"/>
              <w:adjustRightInd w:val="0"/>
              <w:snapToGrid w:val="0"/>
              <w:spacing w:line="300" w:lineRule="exact"/>
              <w:rPr>
                <w:rFonts w:hint="eastAsia" w:eastAsia="宋体"/>
                <w:color w:val="auto"/>
              </w:rPr>
            </w:pPr>
            <w:r>
              <w:rPr>
                <w:rFonts w:hint="eastAsia"/>
                <w:color w:val="auto"/>
                <w:sz w:val="22"/>
                <w:szCs w:val="22"/>
              </w:rPr>
              <w:t>10</w:t>
            </w:r>
          </w:p>
        </w:tc>
        <w:tc>
          <w:tcPr>
            <w:tcW w:w="397" w:type="pct"/>
            <w:vAlign w:val="center"/>
          </w:tcPr>
          <w:p w14:paraId="00FC272D">
            <w:pPr>
              <w:pStyle w:val="288"/>
              <w:adjustRightInd w:val="0"/>
              <w:snapToGrid w:val="0"/>
              <w:spacing w:line="300" w:lineRule="exact"/>
              <w:rPr>
                <w:rFonts w:hint="eastAsia" w:eastAsia="宋体"/>
                <w:color w:val="auto"/>
              </w:rPr>
            </w:pPr>
            <w:r>
              <w:rPr>
                <w:rFonts w:hint="eastAsia"/>
                <w:color w:val="auto"/>
                <w:sz w:val="22"/>
                <w:szCs w:val="22"/>
              </w:rPr>
              <w:t>0.7132</w:t>
            </w:r>
          </w:p>
        </w:tc>
        <w:tc>
          <w:tcPr>
            <w:tcW w:w="388" w:type="pct"/>
            <w:vAlign w:val="center"/>
          </w:tcPr>
          <w:p w14:paraId="6477AC7B">
            <w:pPr>
              <w:pStyle w:val="288"/>
              <w:adjustRightInd w:val="0"/>
              <w:snapToGrid w:val="0"/>
              <w:spacing w:line="300" w:lineRule="exact"/>
              <w:rPr>
                <w:rFonts w:hint="eastAsia" w:eastAsia="宋体"/>
                <w:color w:val="auto"/>
              </w:rPr>
            </w:pPr>
            <w:r>
              <w:rPr>
                <w:rFonts w:hint="eastAsia"/>
                <w:color w:val="auto"/>
                <w:sz w:val="22"/>
                <w:szCs w:val="22"/>
              </w:rPr>
              <w:t>0.14</w:t>
            </w:r>
          </w:p>
        </w:tc>
        <w:tc>
          <w:tcPr>
            <w:tcW w:w="397" w:type="pct"/>
            <w:vAlign w:val="center"/>
          </w:tcPr>
          <w:p w14:paraId="5E20E14B">
            <w:pPr>
              <w:pStyle w:val="288"/>
              <w:adjustRightInd w:val="0"/>
              <w:snapToGrid w:val="0"/>
              <w:spacing w:line="300" w:lineRule="exact"/>
              <w:rPr>
                <w:rFonts w:hint="eastAsia" w:eastAsia="宋体"/>
                <w:color w:val="auto"/>
              </w:rPr>
            </w:pPr>
            <w:r>
              <w:rPr>
                <w:rFonts w:hint="eastAsia"/>
                <w:color w:val="auto"/>
                <w:sz w:val="22"/>
                <w:szCs w:val="22"/>
              </w:rPr>
              <w:t>6.8223</w:t>
            </w:r>
          </w:p>
        </w:tc>
        <w:tc>
          <w:tcPr>
            <w:tcW w:w="344" w:type="pct"/>
            <w:vAlign w:val="center"/>
          </w:tcPr>
          <w:p w14:paraId="2E6FF428">
            <w:pPr>
              <w:pStyle w:val="288"/>
              <w:adjustRightInd w:val="0"/>
              <w:snapToGrid w:val="0"/>
              <w:spacing w:line="300" w:lineRule="exact"/>
              <w:rPr>
                <w:rFonts w:hint="eastAsia" w:eastAsia="宋体"/>
                <w:color w:val="auto"/>
              </w:rPr>
            </w:pPr>
            <w:r>
              <w:rPr>
                <w:rFonts w:hint="eastAsia"/>
                <w:color w:val="auto"/>
                <w:sz w:val="22"/>
                <w:szCs w:val="22"/>
              </w:rPr>
              <w:t>2.73</w:t>
            </w:r>
          </w:p>
        </w:tc>
        <w:tc>
          <w:tcPr>
            <w:tcW w:w="397" w:type="pct"/>
            <w:vAlign w:val="center"/>
          </w:tcPr>
          <w:p w14:paraId="17F66A51">
            <w:pPr>
              <w:pStyle w:val="288"/>
              <w:adjustRightInd w:val="0"/>
              <w:snapToGrid w:val="0"/>
              <w:spacing w:line="300" w:lineRule="exact"/>
              <w:rPr>
                <w:rFonts w:hint="eastAsia" w:eastAsia="宋体"/>
                <w:color w:val="auto"/>
              </w:rPr>
            </w:pPr>
            <w:r>
              <w:rPr>
                <w:rFonts w:hint="eastAsia"/>
                <w:color w:val="auto"/>
                <w:sz w:val="22"/>
                <w:szCs w:val="22"/>
              </w:rPr>
              <w:t>0.5582</w:t>
            </w:r>
          </w:p>
        </w:tc>
        <w:tc>
          <w:tcPr>
            <w:tcW w:w="362" w:type="pct"/>
            <w:vAlign w:val="center"/>
          </w:tcPr>
          <w:p w14:paraId="63595959">
            <w:pPr>
              <w:pStyle w:val="288"/>
              <w:adjustRightInd w:val="0"/>
              <w:snapToGrid w:val="0"/>
              <w:spacing w:line="300" w:lineRule="exact"/>
              <w:rPr>
                <w:rFonts w:hint="eastAsia" w:eastAsia="宋体"/>
                <w:color w:val="auto"/>
              </w:rPr>
            </w:pPr>
            <w:r>
              <w:rPr>
                <w:rFonts w:hint="eastAsia"/>
                <w:color w:val="auto"/>
                <w:sz w:val="22"/>
                <w:szCs w:val="22"/>
              </w:rPr>
              <w:t>0.06</w:t>
            </w:r>
          </w:p>
        </w:tc>
        <w:tc>
          <w:tcPr>
            <w:tcW w:w="270" w:type="pct"/>
            <w:vAlign w:val="center"/>
          </w:tcPr>
          <w:p w14:paraId="75C5A6D0">
            <w:pPr>
              <w:pStyle w:val="288"/>
              <w:adjustRightInd w:val="0"/>
              <w:snapToGrid w:val="0"/>
              <w:spacing w:line="300" w:lineRule="exact"/>
              <w:rPr>
                <w:rFonts w:hint="eastAsia" w:eastAsia="宋体"/>
                <w:color w:val="auto"/>
              </w:rPr>
            </w:pPr>
            <w:r>
              <w:rPr>
                <w:rFonts w:hint="eastAsia"/>
                <w:color w:val="auto"/>
                <w:sz w:val="22"/>
                <w:szCs w:val="22"/>
              </w:rPr>
              <w:t>10</w:t>
            </w:r>
          </w:p>
        </w:tc>
        <w:tc>
          <w:tcPr>
            <w:tcW w:w="397" w:type="pct"/>
            <w:vAlign w:val="center"/>
          </w:tcPr>
          <w:p w14:paraId="3A9D6097">
            <w:pPr>
              <w:pStyle w:val="288"/>
              <w:adjustRightInd w:val="0"/>
              <w:snapToGrid w:val="0"/>
              <w:spacing w:line="300" w:lineRule="exact"/>
              <w:rPr>
                <w:rFonts w:hint="eastAsia" w:eastAsia="宋体"/>
                <w:color w:val="auto"/>
              </w:rPr>
            </w:pPr>
            <w:r>
              <w:rPr>
                <w:rFonts w:hint="eastAsia"/>
                <w:color w:val="auto"/>
                <w:sz w:val="22"/>
                <w:szCs w:val="22"/>
              </w:rPr>
              <w:t>0.7782</w:t>
            </w:r>
          </w:p>
        </w:tc>
        <w:tc>
          <w:tcPr>
            <w:tcW w:w="322" w:type="pct"/>
            <w:vAlign w:val="center"/>
          </w:tcPr>
          <w:p w14:paraId="428F5167">
            <w:pPr>
              <w:pStyle w:val="288"/>
              <w:adjustRightInd w:val="0"/>
              <w:snapToGrid w:val="0"/>
              <w:spacing w:line="300" w:lineRule="exact"/>
              <w:rPr>
                <w:rFonts w:hint="eastAsia" w:eastAsia="宋体"/>
                <w:color w:val="auto"/>
              </w:rPr>
            </w:pPr>
            <w:r>
              <w:rPr>
                <w:rFonts w:hint="eastAsia"/>
                <w:color w:val="auto"/>
                <w:sz w:val="22"/>
                <w:szCs w:val="22"/>
              </w:rPr>
              <w:t>0.16</w:t>
            </w:r>
          </w:p>
        </w:tc>
        <w:tc>
          <w:tcPr>
            <w:tcW w:w="397" w:type="pct"/>
            <w:vAlign w:val="center"/>
          </w:tcPr>
          <w:p w14:paraId="0F32C060">
            <w:pPr>
              <w:pStyle w:val="288"/>
              <w:adjustRightInd w:val="0"/>
              <w:snapToGrid w:val="0"/>
              <w:spacing w:line="300" w:lineRule="exact"/>
              <w:rPr>
                <w:rFonts w:hint="eastAsia" w:eastAsia="宋体"/>
                <w:color w:val="auto"/>
              </w:rPr>
            </w:pPr>
            <w:r>
              <w:rPr>
                <w:rFonts w:hint="eastAsia"/>
                <w:color w:val="auto"/>
                <w:sz w:val="22"/>
                <w:szCs w:val="22"/>
              </w:rPr>
              <w:t>7.4436</w:t>
            </w:r>
          </w:p>
        </w:tc>
        <w:tc>
          <w:tcPr>
            <w:tcW w:w="322" w:type="pct"/>
            <w:vAlign w:val="center"/>
          </w:tcPr>
          <w:p w14:paraId="290AE231">
            <w:pPr>
              <w:pStyle w:val="288"/>
              <w:adjustRightInd w:val="0"/>
              <w:snapToGrid w:val="0"/>
              <w:spacing w:line="300" w:lineRule="exact"/>
              <w:rPr>
                <w:rFonts w:hint="eastAsia" w:eastAsia="宋体"/>
                <w:color w:val="auto"/>
              </w:rPr>
            </w:pPr>
            <w:r>
              <w:rPr>
                <w:rFonts w:hint="eastAsia"/>
                <w:color w:val="auto"/>
                <w:sz w:val="22"/>
                <w:szCs w:val="22"/>
              </w:rPr>
              <w:t>2.98</w:t>
            </w:r>
          </w:p>
        </w:tc>
        <w:tc>
          <w:tcPr>
            <w:tcW w:w="397" w:type="pct"/>
            <w:vAlign w:val="center"/>
          </w:tcPr>
          <w:p w14:paraId="219437F0">
            <w:pPr>
              <w:pStyle w:val="288"/>
              <w:adjustRightInd w:val="0"/>
              <w:snapToGrid w:val="0"/>
              <w:spacing w:line="300" w:lineRule="exact"/>
              <w:rPr>
                <w:rFonts w:hint="eastAsia" w:eastAsia="宋体"/>
                <w:color w:val="auto"/>
              </w:rPr>
            </w:pPr>
            <w:r>
              <w:rPr>
                <w:rFonts w:hint="eastAsia"/>
                <w:color w:val="auto"/>
                <w:sz w:val="22"/>
                <w:szCs w:val="22"/>
              </w:rPr>
              <w:t>0.609</w:t>
            </w:r>
          </w:p>
        </w:tc>
        <w:tc>
          <w:tcPr>
            <w:tcW w:w="317" w:type="pct"/>
            <w:vAlign w:val="center"/>
          </w:tcPr>
          <w:p w14:paraId="4E32A643">
            <w:pPr>
              <w:pStyle w:val="288"/>
              <w:adjustRightInd w:val="0"/>
              <w:snapToGrid w:val="0"/>
              <w:spacing w:line="300" w:lineRule="exact"/>
              <w:rPr>
                <w:rFonts w:hint="eastAsia" w:eastAsia="宋体"/>
                <w:color w:val="auto"/>
              </w:rPr>
            </w:pPr>
            <w:r>
              <w:rPr>
                <w:rFonts w:hint="eastAsia"/>
                <w:color w:val="auto"/>
                <w:sz w:val="22"/>
                <w:szCs w:val="22"/>
              </w:rPr>
              <w:t>0.07</w:t>
            </w:r>
          </w:p>
        </w:tc>
      </w:tr>
      <w:tr w14:paraId="4D5147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7DF07079">
            <w:pPr>
              <w:pStyle w:val="288"/>
              <w:adjustRightInd w:val="0"/>
              <w:snapToGrid w:val="0"/>
              <w:spacing w:line="300" w:lineRule="exact"/>
              <w:rPr>
                <w:rFonts w:hint="eastAsia" w:eastAsia="宋体"/>
                <w:color w:val="auto"/>
              </w:rPr>
            </w:pPr>
            <w:r>
              <w:rPr>
                <w:rFonts w:hint="eastAsia"/>
                <w:color w:val="auto"/>
                <w:sz w:val="22"/>
                <w:szCs w:val="22"/>
              </w:rPr>
              <w:t>100</w:t>
            </w:r>
          </w:p>
        </w:tc>
        <w:tc>
          <w:tcPr>
            <w:tcW w:w="397" w:type="pct"/>
            <w:vAlign w:val="center"/>
          </w:tcPr>
          <w:p w14:paraId="0C17C98C">
            <w:pPr>
              <w:pStyle w:val="288"/>
              <w:adjustRightInd w:val="0"/>
              <w:snapToGrid w:val="0"/>
              <w:spacing w:line="300" w:lineRule="exact"/>
              <w:rPr>
                <w:rFonts w:hint="eastAsia" w:eastAsia="宋体"/>
                <w:color w:val="auto"/>
              </w:rPr>
            </w:pPr>
            <w:r>
              <w:rPr>
                <w:rFonts w:hint="eastAsia"/>
                <w:color w:val="auto"/>
                <w:sz w:val="22"/>
                <w:szCs w:val="22"/>
              </w:rPr>
              <w:t>1.1573</w:t>
            </w:r>
          </w:p>
        </w:tc>
        <w:tc>
          <w:tcPr>
            <w:tcW w:w="388" w:type="pct"/>
            <w:vAlign w:val="center"/>
          </w:tcPr>
          <w:p w14:paraId="079BAF71">
            <w:pPr>
              <w:pStyle w:val="288"/>
              <w:adjustRightInd w:val="0"/>
              <w:snapToGrid w:val="0"/>
              <w:spacing w:line="300" w:lineRule="exact"/>
              <w:rPr>
                <w:rFonts w:hint="eastAsia" w:eastAsia="宋体"/>
                <w:color w:val="auto"/>
              </w:rPr>
            </w:pPr>
            <w:r>
              <w:rPr>
                <w:rFonts w:hint="eastAsia"/>
                <w:color w:val="auto"/>
                <w:sz w:val="22"/>
                <w:szCs w:val="22"/>
              </w:rPr>
              <w:t>0.23</w:t>
            </w:r>
          </w:p>
        </w:tc>
        <w:tc>
          <w:tcPr>
            <w:tcW w:w="397" w:type="pct"/>
            <w:vAlign w:val="center"/>
          </w:tcPr>
          <w:p w14:paraId="7AA642A3">
            <w:pPr>
              <w:pStyle w:val="288"/>
              <w:adjustRightInd w:val="0"/>
              <w:snapToGrid w:val="0"/>
              <w:spacing w:line="300" w:lineRule="exact"/>
              <w:rPr>
                <w:rFonts w:hint="eastAsia" w:eastAsia="宋体"/>
                <w:color w:val="auto"/>
              </w:rPr>
            </w:pPr>
            <w:r>
              <w:rPr>
                <w:rFonts w:hint="eastAsia"/>
                <w:color w:val="auto"/>
                <w:sz w:val="22"/>
                <w:szCs w:val="22"/>
              </w:rPr>
              <w:t>11.0698</w:t>
            </w:r>
          </w:p>
        </w:tc>
        <w:tc>
          <w:tcPr>
            <w:tcW w:w="344" w:type="pct"/>
            <w:vAlign w:val="center"/>
          </w:tcPr>
          <w:p w14:paraId="57575715">
            <w:pPr>
              <w:pStyle w:val="288"/>
              <w:adjustRightInd w:val="0"/>
              <w:snapToGrid w:val="0"/>
              <w:spacing w:line="300" w:lineRule="exact"/>
              <w:rPr>
                <w:rFonts w:hint="eastAsia" w:eastAsia="宋体"/>
                <w:color w:val="auto"/>
              </w:rPr>
            </w:pPr>
            <w:r>
              <w:rPr>
                <w:rFonts w:hint="eastAsia"/>
                <w:color w:val="auto"/>
                <w:sz w:val="22"/>
                <w:szCs w:val="22"/>
              </w:rPr>
              <w:t>4.43</w:t>
            </w:r>
          </w:p>
        </w:tc>
        <w:tc>
          <w:tcPr>
            <w:tcW w:w="397" w:type="pct"/>
            <w:vAlign w:val="center"/>
          </w:tcPr>
          <w:p w14:paraId="4CB4A1CF">
            <w:pPr>
              <w:pStyle w:val="288"/>
              <w:adjustRightInd w:val="0"/>
              <w:snapToGrid w:val="0"/>
              <w:spacing w:line="300" w:lineRule="exact"/>
              <w:rPr>
                <w:rFonts w:hint="eastAsia" w:eastAsia="宋体"/>
                <w:color w:val="auto"/>
              </w:rPr>
            </w:pPr>
            <w:r>
              <w:rPr>
                <w:rFonts w:hint="eastAsia"/>
                <w:color w:val="auto"/>
                <w:sz w:val="22"/>
                <w:szCs w:val="22"/>
              </w:rPr>
              <w:t>0.9057</w:t>
            </w:r>
          </w:p>
        </w:tc>
        <w:tc>
          <w:tcPr>
            <w:tcW w:w="362" w:type="pct"/>
            <w:vAlign w:val="center"/>
          </w:tcPr>
          <w:p w14:paraId="48B07297">
            <w:pPr>
              <w:pStyle w:val="288"/>
              <w:adjustRightInd w:val="0"/>
              <w:snapToGrid w:val="0"/>
              <w:spacing w:line="300" w:lineRule="exact"/>
              <w:rPr>
                <w:rFonts w:hint="eastAsia" w:eastAsia="宋体"/>
                <w:color w:val="auto"/>
              </w:rPr>
            </w:pPr>
            <w:r>
              <w:rPr>
                <w:rFonts w:hint="eastAsia"/>
                <w:color w:val="auto"/>
                <w:sz w:val="22"/>
                <w:szCs w:val="22"/>
              </w:rPr>
              <w:t>0.1</w:t>
            </w:r>
          </w:p>
        </w:tc>
        <w:tc>
          <w:tcPr>
            <w:tcW w:w="270" w:type="pct"/>
            <w:vAlign w:val="center"/>
          </w:tcPr>
          <w:p w14:paraId="3428F661">
            <w:pPr>
              <w:pStyle w:val="288"/>
              <w:adjustRightInd w:val="0"/>
              <w:snapToGrid w:val="0"/>
              <w:spacing w:line="300" w:lineRule="exact"/>
              <w:rPr>
                <w:rFonts w:hint="eastAsia" w:eastAsia="宋体"/>
                <w:color w:val="auto"/>
              </w:rPr>
            </w:pPr>
            <w:r>
              <w:rPr>
                <w:rFonts w:hint="eastAsia"/>
                <w:color w:val="auto"/>
                <w:sz w:val="22"/>
                <w:szCs w:val="22"/>
              </w:rPr>
              <w:t>89</w:t>
            </w:r>
          </w:p>
        </w:tc>
        <w:tc>
          <w:tcPr>
            <w:tcW w:w="397" w:type="pct"/>
            <w:vAlign w:val="center"/>
          </w:tcPr>
          <w:p w14:paraId="2280B3D1">
            <w:pPr>
              <w:pStyle w:val="288"/>
              <w:adjustRightInd w:val="0"/>
              <w:snapToGrid w:val="0"/>
              <w:spacing w:line="300" w:lineRule="exact"/>
              <w:rPr>
                <w:rFonts w:hint="eastAsia" w:eastAsia="宋体"/>
                <w:color w:val="auto"/>
              </w:rPr>
            </w:pPr>
            <w:r>
              <w:rPr>
                <w:rFonts w:hint="eastAsia"/>
                <w:color w:val="auto"/>
                <w:sz w:val="22"/>
                <w:szCs w:val="22"/>
              </w:rPr>
              <w:t>1.267</w:t>
            </w:r>
          </w:p>
        </w:tc>
        <w:tc>
          <w:tcPr>
            <w:tcW w:w="322" w:type="pct"/>
            <w:vAlign w:val="center"/>
          </w:tcPr>
          <w:p w14:paraId="3E7F24D4">
            <w:pPr>
              <w:pStyle w:val="288"/>
              <w:adjustRightInd w:val="0"/>
              <w:snapToGrid w:val="0"/>
              <w:spacing w:line="300" w:lineRule="exact"/>
              <w:rPr>
                <w:rFonts w:hint="eastAsia" w:eastAsia="宋体"/>
                <w:color w:val="auto"/>
              </w:rPr>
            </w:pPr>
            <w:r>
              <w:rPr>
                <w:rFonts w:hint="eastAsia"/>
                <w:color w:val="auto"/>
                <w:sz w:val="22"/>
                <w:szCs w:val="22"/>
              </w:rPr>
              <w:t>0.25</w:t>
            </w:r>
          </w:p>
        </w:tc>
        <w:tc>
          <w:tcPr>
            <w:tcW w:w="397" w:type="pct"/>
            <w:vAlign w:val="center"/>
          </w:tcPr>
          <w:p w14:paraId="2EB4B2EE">
            <w:pPr>
              <w:pStyle w:val="288"/>
              <w:adjustRightInd w:val="0"/>
              <w:snapToGrid w:val="0"/>
              <w:spacing w:line="300" w:lineRule="exact"/>
              <w:rPr>
                <w:rFonts w:hint="eastAsia" w:eastAsia="宋体"/>
                <w:color w:val="auto"/>
              </w:rPr>
            </w:pPr>
            <w:r>
              <w:rPr>
                <w:rFonts w:hint="eastAsia"/>
                <w:color w:val="auto"/>
                <w:sz w:val="22"/>
                <w:szCs w:val="22"/>
              </w:rPr>
              <w:t>12.1191</w:t>
            </w:r>
          </w:p>
        </w:tc>
        <w:tc>
          <w:tcPr>
            <w:tcW w:w="322" w:type="pct"/>
            <w:vAlign w:val="center"/>
          </w:tcPr>
          <w:p w14:paraId="65412D19">
            <w:pPr>
              <w:pStyle w:val="288"/>
              <w:adjustRightInd w:val="0"/>
              <w:snapToGrid w:val="0"/>
              <w:spacing w:line="300" w:lineRule="exact"/>
              <w:rPr>
                <w:rFonts w:hint="eastAsia" w:eastAsia="宋体"/>
                <w:color w:val="auto"/>
              </w:rPr>
            </w:pPr>
            <w:r>
              <w:rPr>
                <w:rFonts w:hint="eastAsia"/>
                <w:color w:val="auto"/>
                <w:sz w:val="22"/>
                <w:szCs w:val="22"/>
              </w:rPr>
              <w:t>4.85</w:t>
            </w:r>
          </w:p>
        </w:tc>
        <w:tc>
          <w:tcPr>
            <w:tcW w:w="397" w:type="pct"/>
            <w:vAlign w:val="center"/>
          </w:tcPr>
          <w:p w14:paraId="106C13B8">
            <w:pPr>
              <w:pStyle w:val="288"/>
              <w:adjustRightInd w:val="0"/>
              <w:snapToGrid w:val="0"/>
              <w:spacing w:line="300" w:lineRule="exact"/>
              <w:rPr>
                <w:rFonts w:hint="eastAsia" w:eastAsia="宋体"/>
                <w:color w:val="auto"/>
              </w:rPr>
            </w:pPr>
            <w:r>
              <w:rPr>
                <w:rFonts w:hint="eastAsia"/>
                <w:color w:val="auto"/>
                <w:sz w:val="22"/>
                <w:szCs w:val="22"/>
              </w:rPr>
              <w:t>0.9916</w:t>
            </w:r>
          </w:p>
        </w:tc>
        <w:tc>
          <w:tcPr>
            <w:tcW w:w="317" w:type="pct"/>
            <w:vAlign w:val="center"/>
          </w:tcPr>
          <w:p w14:paraId="1D3D2215">
            <w:pPr>
              <w:pStyle w:val="288"/>
              <w:adjustRightInd w:val="0"/>
              <w:snapToGrid w:val="0"/>
              <w:spacing w:line="300" w:lineRule="exact"/>
              <w:rPr>
                <w:rFonts w:hint="eastAsia" w:eastAsia="宋体"/>
                <w:color w:val="auto"/>
              </w:rPr>
            </w:pPr>
            <w:r>
              <w:rPr>
                <w:rFonts w:hint="eastAsia"/>
                <w:color w:val="auto"/>
                <w:sz w:val="22"/>
                <w:szCs w:val="22"/>
              </w:rPr>
              <w:t>0.11</w:t>
            </w:r>
          </w:p>
        </w:tc>
      </w:tr>
      <w:tr w14:paraId="72701E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423EA0A8">
            <w:pPr>
              <w:pStyle w:val="288"/>
              <w:adjustRightInd w:val="0"/>
              <w:snapToGrid w:val="0"/>
              <w:spacing w:line="300" w:lineRule="exact"/>
              <w:rPr>
                <w:rFonts w:hint="eastAsia" w:eastAsia="宋体"/>
                <w:color w:val="auto"/>
              </w:rPr>
            </w:pPr>
            <w:r>
              <w:rPr>
                <w:rFonts w:hint="eastAsia"/>
                <w:color w:val="auto"/>
                <w:sz w:val="22"/>
                <w:szCs w:val="22"/>
              </w:rPr>
              <w:t>200</w:t>
            </w:r>
          </w:p>
        </w:tc>
        <w:tc>
          <w:tcPr>
            <w:tcW w:w="397" w:type="pct"/>
            <w:vAlign w:val="center"/>
          </w:tcPr>
          <w:p w14:paraId="77A62FC9">
            <w:pPr>
              <w:pStyle w:val="288"/>
              <w:adjustRightInd w:val="0"/>
              <w:snapToGrid w:val="0"/>
              <w:spacing w:line="300" w:lineRule="exact"/>
              <w:rPr>
                <w:rFonts w:hint="eastAsia" w:eastAsia="宋体"/>
                <w:color w:val="auto"/>
              </w:rPr>
            </w:pPr>
            <w:r>
              <w:rPr>
                <w:rFonts w:hint="eastAsia"/>
                <w:color w:val="auto"/>
                <w:sz w:val="22"/>
                <w:szCs w:val="22"/>
              </w:rPr>
              <w:t>1.5909</w:t>
            </w:r>
          </w:p>
        </w:tc>
        <w:tc>
          <w:tcPr>
            <w:tcW w:w="388" w:type="pct"/>
            <w:vAlign w:val="center"/>
          </w:tcPr>
          <w:p w14:paraId="3D841B4B">
            <w:pPr>
              <w:pStyle w:val="288"/>
              <w:adjustRightInd w:val="0"/>
              <w:snapToGrid w:val="0"/>
              <w:spacing w:line="300" w:lineRule="exact"/>
              <w:rPr>
                <w:rFonts w:hint="eastAsia" w:eastAsia="宋体"/>
                <w:color w:val="auto"/>
              </w:rPr>
            </w:pPr>
            <w:r>
              <w:rPr>
                <w:rFonts w:hint="eastAsia"/>
                <w:color w:val="auto"/>
                <w:sz w:val="22"/>
                <w:szCs w:val="22"/>
              </w:rPr>
              <w:t>0.32</w:t>
            </w:r>
          </w:p>
        </w:tc>
        <w:tc>
          <w:tcPr>
            <w:tcW w:w="397" w:type="pct"/>
            <w:vAlign w:val="center"/>
          </w:tcPr>
          <w:p w14:paraId="1017EE08">
            <w:pPr>
              <w:pStyle w:val="288"/>
              <w:adjustRightInd w:val="0"/>
              <w:snapToGrid w:val="0"/>
              <w:spacing w:line="300" w:lineRule="exact"/>
              <w:rPr>
                <w:rFonts w:hint="eastAsia" w:eastAsia="宋体"/>
                <w:color w:val="auto"/>
              </w:rPr>
            </w:pPr>
            <w:r>
              <w:rPr>
                <w:rFonts w:hint="eastAsia"/>
                <w:color w:val="auto"/>
                <w:sz w:val="22"/>
                <w:szCs w:val="22"/>
              </w:rPr>
              <w:t>15.2173</w:t>
            </w:r>
          </w:p>
        </w:tc>
        <w:tc>
          <w:tcPr>
            <w:tcW w:w="344" w:type="pct"/>
            <w:vAlign w:val="center"/>
          </w:tcPr>
          <w:p w14:paraId="01135DF6">
            <w:pPr>
              <w:pStyle w:val="288"/>
              <w:adjustRightInd w:val="0"/>
              <w:snapToGrid w:val="0"/>
              <w:spacing w:line="300" w:lineRule="exact"/>
              <w:rPr>
                <w:rFonts w:hint="eastAsia" w:eastAsia="宋体"/>
                <w:color w:val="auto"/>
              </w:rPr>
            </w:pPr>
            <w:r>
              <w:rPr>
                <w:rFonts w:hint="eastAsia"/>
                <w:color w:val="auto"/>
                <w:sz w:val="22"/>
                <w:szCs w:val="22"/>
              </w:rPr>
              <w:t>6.09</w:t>
            </w:r>
          </w:p>
        </w:tc>
        <w:tc>
          <w:tcPr>
            <w:tcW w:w="397" w:type="pct"/>
            <w:vAlign w:val="center"/>
          </w:tcPr>
          <w:p w14:paraId="5F084A8E">
            <w:pPr>
              <w:pStyle w:val="288"/>
              <w:adjustRightInd w:val="0"/>
              <w:snapToGrid w:val="0"/>
              <w:spacing w:line="300" w:lineRule="exact"/>
              <w:rPr>
                <w:rFonts w:hint="eastAsia" w:eastAsia="宋体"/>
                <w:color w:val="auto"/>
              </w:rPr>
            </w:pPr>
            <w:r>
              <w:rPr>
                <w:rFonts w:hint="eastAsia"/>
                <w:color w:val="auto"/>
                <w:sz w:val="22"/>
                <w:szCs w:val="22"/>
              </w:rPr>
              <w:t>1.2451</w:t>
            </w:r>
          </w:p>
        </w:tc>
        <w:tc>
          <w:tcPr>
            <w:tcW w:w="362" w:type="pct"/>
            <w:vAlign w:val="center"/>
          </w:tcPr>
          <w:p w14:paraId="5C211F86">
            <w:pPr>
              <w:pStyle w:val="288"/>
              <w:adjustRightInd w:val="0"/>
              <w:snapToGrid w:val="0"/>
              <w:spacing w:line="300" w:lineRule="exact"/>
              <w:rPr>
                <w:rFonts w:hint="eastAsia" w:eastAsia="宋体"/>
                <w:color w:val="auto"/>
              </w:rPr>
            </w:pPr>
            <w:r>
              <w:rPr>
                <w:rFonts w:hint="eastAsia"/>
                <w:color w:val="auto"/>
                <w:sz w:val="22"/>
                <w:szCs w:val="22"/>
              </w:rPr>
              <w:t>0.14</w:t>
            </w:r>
          </w:p>
        </w:tc>
        <w:tc>
          <w:tcPr>
            <w:tcW w:w="270" w:type="pct"/>
            <w:vAlign w:val="center"/>
          </w:tcPr>
          <w:p w14:paraId="7DC3393C">
            <w:pPr>
              <w:pStyle w:val="288"/>
              <w:adjustRightInd w:val="0"/>
              <w:snapToGrid w:val="0"/>
              <w:spacing w:line="300" w:lineRule="exact"/>
              <w:rPr>
                <w:rFonts w:hint="eastAsia" w:eastAsia="宋体"/>
                <w:color w:val="auto"/>
              </w:rPr>
            </w:pPr>
            <w:r>
              <w:rPr>
                <w:rFonts w:hint="eastAsia"/>
                <w:color w:val="auto"/>
                <w:sz w:val="22"/>
                <w:szCs w:val="22"/>
              </w:rPr>
              <w:t>100</w:t>
            </w:r>
          </w:p>
        </w:tc>
        <w:tc>
          <w:tcPr>
            <w:tcW w:w="397" w:type="pct"/>
            <w:vAlign w:val="center"/>
          </w:tcPr>
          <w:p w14:paraId="45779FAB">
            <w:pPr>
              <w:pStyle w:val="288"/>
              <w:adjustRightInd w:val="0"/>
              <w:snapToGrid w:val="0"/>
              <w:spacing w:line="300" w:lineRule="exact"/>
              <w:rPr>
                <w:rFonts w:hint="eastAsia" w:eastAsia="宋体"/>
                <w:color w:val="auto"/>
              </w:rPr>
            </w:pPr>
            <w:r>
              <w:rPr>
                <w:rFonts w:hint="eastAsia"/>
                <w:color w:val="auto"/>
                <w:sz w:val="22"/>
                <w:szCs w:val="22"/>
              </w:rPr>
              <w:t>1.2343</w:t>
            </w:r>
          </w:p>
        </w:tc>
        <w:tc>
          <w:tcPr>
            <w:tcW w:w="322" w:type="pct"/>
            <w:vAlign w:val="center"/>
          </w:tcPr>
          <w:p w14:paraId="19353A1E">
            <w:pPr>
              <w:pStyle w:val="288"/>
              <w:adjustRightInd w:val="0"/>
              <w:snapToGrid w:val="0"/>
              <w:spacing w:line="300" w:lineRule="exact"/>
              <w:rPr>
                <w:rFonts w:hint="eastAsia" w:eastAsia="宋体"/>
                <w:color w:val="auto"/>
              </w:rPr>
            </w:pPr>
            <w:r>
              <w:rPr>
                <w:rFonts w:hint="eastAsia"/>
                <w:color w:val="auto"/>
                <w:sz w:val="22"/>
                <w:szCs w:val="22"/>
              </w:rPr>
              <w:t>0.25</w:t>
            </w:r>
          </w:p>
        </w:tc>
        <w:tc>
          <w:tcPr>
            <w:tcW w:w="397" w:type="pct"/>
            <w:vAlign w:val="center"/>
          </w:tcPr>
          <w:p w14:paraId="2A033FF4">
            <w:pPr>
              <w:pStyle w:val="288"/>
              <w:adjustRightInd w:val="0"/>
              <w:snapToGrid w:val="0"/>
              <w:spacing w:line="300" w:lineRule="exact"/>
              <w:rPr>
                <w:rFonts w:hint="eastAsia" w:eastAsia="宋体"/>
                <w:color w:val="auto"/>
              </w:rPr>
            </w:pPr>
            <w:r>
              <w:rPr>
                <w:rFonts w:hint="eastAsia"/>
                <w:color w:val="auto"/>
                <w:sz w:val="22"/>
                <w:szCs w:val="22"/>
              </w:rPr>
              <w:t>11.8064</w:t>
            </w:r>
          </w:p>
        </w:tc>
        <w:tc>
          <w:tcPr>
            <w:tcW w:w="322" w:type="pct"/>
            <w:vAlign w:val="center"/>
          </w:tcPr>
          <w:p w14:paraId="59B9502D">
            <w:pPr>
              <w:pStyle w:val="288"/>
              <w:adjustRightInd w:val="0"/>
              <w:snapToGrid w:val="0"/>
              <w:spacing w:line="300" w:lineRule="exact"/>
              <w:rPr>
                <w:rFonts w:hint="eastAsia" w:eastAsia="宋体"/>
                <w:color w:val="auto"/>
              </w:rPr>
            </w:pPr>
            <w:r>
              <w:rPr>
                <w:rFonts w:hint="eastAsia"/>
                <w:color w:val="auto"/>
                <w:sz w:val="22"/>
                <w:szCs w:val="22"/>
              </w:rPr>
              <w:t>4.72</w:t>
            </w:r>
          </w:p>
        </w:tc>
        <w:tc>
          <w:tcPr>
            <w:tcW w:w="397" w:type="pct"/>
            <w:vAlign w:val="center"/>
          </w:tcPr>
          <w:p w14:paraId="3545B4B3">
            <w:pPr>
              <w:pStyle w:val="288"/>
              <w:adjustRightInd w:val="0"/>
              <w:snapToGrid w:val="0"/>
              <w:spacing w:line="300" w:lineRule="exact"/>
              <w:rPr>
                <w:rFonts w:hint="eastAsia" w:eastAsia="宋体"/>
                <w:color w:val="auto"/>
              </w:rPr>
            </w:pPr>
            <w:r>
              <w:rPr>
                <w:rFonts w:hint="eastAsia"/>
                <w:color w:val="auto"/>
                <w:sz w:val="22"/>
                <w:szCs w:val="22"/>
              </w:rPr>
              <w:t>0.966</w:t>
            </w:r>
          </w:p>
        </w:tc>
        <w:tc>
          <w:tcPr>
            <w:tcW w:w="317" w:type="pct"/>
            <w:vAlign w:val="center"/>
          </w:tcPr>
          <w:p w14:paraId="4E321583">
            <w:pPr>
              <w:pStyle w:val="288"/>
              <w:adjustRightInd w:val="0"/>
              <w:snapToGrid w:val="0"/>
              <w:spacing w:line="300" w:lineRule="exact"/>
              <w:rPr>
                <w:rFonts w:hint="eastAsia" w:eastAsia="宋体"/>
                <w:color w:val="auto"/>
              </w:rPr>
            </w:pPr>
            <w:r>
              <w:rPr>
                <w:rFonts w:hint="eastAsia"/>
                <w:color w:val="auto"/>
                <w:sz w:val="22"/>
                <w:szCs w:val="22"/>
              </w:rPr>
              <w:t>0.11</w:t>
            </w:r>
          </w:p>
        </w:tc>
      </w:tr>
      <w:tr w14:paraId="58EFF1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52475666">
            <w:pPr>
              <w:pStyle w:val="288"/>
              <w:adjustRightInd w:val="0"/>
              <w:snapToGrid w:val="0"/>
              <w:spacing w:line="300" w:lineRule="exact"/>
              <w:rPr>
                <w:rFonts w:hint="eastAsia" w:eastAsia="宋体"/>
                <w:color w:val="auto"/>
              </w:rPr>
            </w:pPr>
            <w:r>
              <w:rPr>
                <w:rFonts w:hint="eastAsia"/>
                <w:color w:val="auto"/>
                <w:sz w:val="22"/>
                <w:szCs w:val="22"/>
              </w:rPr>
              <w:t>289</w:t>
            </w:r>
          </w:p>
        </w:tc>
        <w:tc>
          <w:tcPr>
            <w:tcW w:w="397" w:type="pct"/>
            <w:vAlign w:val="center"/>
          </w:tcPr>
          <w:p w14:paraId="15CA6C96">
            <w:pPr>
              <w:pStyle w:val="288"/>
              <w:adjustRightInd w:val="0"/>
              <w:snapToGrid w:val="0"/>
              <w:spacing w:line="300" w:lineRule="exact"/>
              <w:rPr>
                <w:rFonts w:hint="eastAsia" w:eastAsia="宋体"/>
                <w:color w:val="auto"/>
              </w:rPr>
            </w:pPr>
            <w:r>
              <w:rPr>
                <w:rFonts w:hint="eastAsia"/>
                <w:color w:val="auto"/>
                <w:sz w:val="22"/>
                <w:szCs w:val="22"/>
              </w:rPr>
              <w:t>1.6921</w:t>
            </w:r>
          </w:p>
        </w:tc>
        <w:tc>
          <w:tcPr>
            <w:tcW w:w="388" w:type="pct"/>
            <w:vAlign w:val="center"/>
          </w:tcPr>
          <w:p w14:paraId="11B46EB1">
            <w:pPr>
              <w:pStyle w:val="288"/>
              <w:adjustRightInd w:val="0"/>
              <w:snapToGrid w:val="0"/>
              <w:spacing w:line="300" w:lineRule="exact"/>
              <w:rPr>
                <w:rFonts w:hint="eastAsia" w:eastAsia="宋体"/>
                <w:color w:val="auto"/>
              </w:rPr>
            </w:pPr>
            <w:r>
              <w:rPr>
                <w:rFonts w:hint="eastAsia"/>
                <w:color w:val="auto"/>
                <w:sz w:val="22"/>
                <w:szCs w:val="22"/>
              </w:rPr>
              <w:t>0.34</w:t>
            </w:r>
          </w:p>
        </w:tc>
        <w:tc>
          <w:tcPr>
            <w:tcW w:w="397" w:type="pct"/>
            <w:vAlign w:val="center"/>
          </w:tcPr>
          <w:p w14:paraId="5207389E">
            <w:pPr>
              <w:pStyle w:val="288"/>
              <w:adjustRightInd w:val="0"/>
              <w:snapToGrid w:val="0"/>
              <w:spacing w:line="300" w:lineRule="exact"/>
              <w:rPr>
                <w:rFonts w:hint="eastAsia" w:eastAsia="宋体"/>
                <w:color w:val="auto"/>
              </w:rPr>
            </w:pPr>
            <w:r>
              <w:rPr>
                <w:rFonts w:hint="eastAsia"/>
                <w:color w:val="auto"/>
                <w:sz w:val="22"/>
                <w:szCs w:val="22"/>
              </w:rPr>
              <w:t>16.1853</w:t>
            </w:r>
          </w:p>
        </w:tc>
        <w:tc>
          <w:tcPr>
            <w:tcW w:w="344" w:type="pct"/>
            <w:vAlign w:val="center"/>
          </w:tcPr>
          <w:p w14:paraId="7A13E7B3">
            <w:pPr>
              <w:pStyle w:val="288"/>
              <w:adjustRightInd w:val="0"/>
              <w:snapToGrid w:val="0"/>
              <w:spacing w:line="300" w:lineRule="exact"/>
              <w:rPr>
                <w:rFonts w:hint="eastAsia" w:eastAsia="宋体"/>
                <w:color w:val="auto"/>
              </w:rPr>
            </w:pPr>
            <w:r>
              <w:rPr>
                <w:rFonts w:hint="eastAsia"/>
                <w:color w:val="auto"/>
                <w:sz w:val="22"/>
                <w:szCs w:val="22"/>
              </w:rPr>
              <w:t>6.47</w:t>
            </w:r>
          </w:p>
        </w:tc>
        <w:tc>
          <w:tcPr>
            <w:tcW w:w="397" w:type="pct"/>
            <w:vAlign w:val="center"/>
          </w:tcPr>
          <w:p w14:paraId="68ACCA37">
            <w:pPr>
              <w:pStyle w:val="288"/>
              <w:adjustRightInd w:val="0"/>
              <w:snapToGrid w:val="0"/>
              <w:spacing w:line="300" w:lineRule="exact"/>
              <w:rPr>
                <w:rFonts w:hint="eastAsia" w:eastAsia="宋体"/>
                <w:color w:val="auto"/>
              </w:rPr>
            </w:pPr>
            <w:r>
              <w:rPr>
                <w:rFonts w:hint="eastAsia"/>
                <w:color w:val="auto"/>
                <w:sz w:val="22"/>
                <w:szCs w:val="22"/>
              </w:rPr>
              <w:t>1.3243</w:t>
            </w:r>
          </w:p>
        </w:tc>
        <w:tc>
          <w:tcPr>
            <w:tcW w:w="362" w:type="pct"/>
            <w:vAlign w:val="center"/>
          </w:tcPr>
          <w:p w14:paraId="47D69A7D">
            <w:pPr>
              <w:pStyle w:val="288"/>
              <w:adjustRightInd w:val="0"/>
              <w:snapToGrid w:val="0"/>
              <w:spacing w:line="300" w:lineRule="exact"/>
              <w:rPr>
                <w:rFonts w:hint="eastAsia" w:eastAsia="宋体"/>
                <w:color w:val="auto"/>
              </w:rPr>
            </w:pPr>
            <w:r>
              <w:rPr>
                <w:rFonts w:hint="eastAsia"/>
                <w:color w:val="auto"/>
                <w:sz w:val="22"/>
                <w:szCs w:val="22"/>
              </w:rPr>
              <w:t>0.15</w:t>
            </w:r>
          </w:p>
        </w:tc>
        <w:tc>
          <w:tcPr>
            <w:tcW w:w="270" w:type="pct"/>
            <w:vAlign w:val="center"/>
          </w:tcPr>
          <w:p w14:paraId="0EF18694">
            <w:pPr>
              <w:pStyle w:val="288"/>
              <w:adjustRightInd w:val="0"/>
              <w:snapToGrid w:val="0"/>
              <w:spacing w:line="300" w:lineRule="exact"/>
              <w:rPr>
                <w:rFonts w:hint="eastAsia" w:eastAsia="宋体"/>
                <w:color w:val="auto"/>
              </w:rPr>
            </w:pPr>
            <w:r>
              <w:rPr>
                <w:rFonts w:hint="eastAsia"/>
                <w:color w:val="auto"/>
                <w:sz w:val="22"/>
                <w:szCs w:val="22"/>
              </w:rPr>
              <w:t>200</w:t>
            </w:r>
          </w:p>
        </w:tc>
        <w:tc>
          <w:tcPr>
            <w:tcW w:w="397" w:type="pct"/>
            <w:vAlign w:val="center"/>
          </w:tcPr>
          <w:p w14:paraId="62C49515">
            <w:pPr>
              <w:pStyle w:val="288"/>
              <w:adjustRightInd w:val="0"/>
              <w:snapToGrid w:val="0"/>
              <w:spacing w:line="300" w:lineRule="exact"/>
              <w:rPr>
                <w:rFonts w:hint="eastAsia" w:eastAsia="宋体"/>
                <w:color w:val="auto"/>
              </w:rPr>
            </w:pPr>
            <w:r>
              <w:rPr>
                <w:rFonts w:hint="eastAsia"/>
                <w:color w:val="auto"/>
                <w:sz w:val="22"/>
                <w:szCs w:val="22"/>
              </w:rPr>
              <w:t>0.8974</w:t>
            </w:r>
          </w:p>
        </w:tc>
        <w:tc>
          <w:tcPr>
            <w:tcW w:w="322" w:type="pct"/>
            <w:vAlign w:val="center"/>
          </w:tcPr>
          <w:p w14:paraId="2A98451C">
            <w:pPr>
              <w:pStyle w:val="288"/>
              <w:adjustRightInd w:val="0"/>
              <w:snapToGrid w:val="0"/>
              <w:spacing w:line="300" w:lineRule="exact"/>
              <w:rPr>
                <w:rFonts w:hint="eastAsia" w:eastAsia="宋体"/>
                <w:color w:val="auto"/>
              </w:rPr>
            </w:pPr>
            <w:r>
              <w:rPr>
                <w:rFonts w:hint="eastAsia"/>
                <w:color w:val="auto"/>
                <w:sz w:val="22"/>
                <w:szCs w:val="22"/>
              </w:rPr>
              <w:t>0.18</w:t>
            </w:r>
          </w:p>
        </w:tc>
        <w:tc>
          <w:tcPr>
            <w:tcW w:w="397" w:type="pct"/>
            <w:vAlign w:val="center"/>
          </w:tcPr>
          <w:p w14:paraId="2EA00E07">
            <w:pPr>
              <w:pStyle w:val="288"/>
              <w:adjustRightInd w:val="0"/>
              <w:snapToGrid w:val="0"/>
              <w:spacing w:line="300" w:lineRule="exact"/>
              <w:rPr>
                <w:rFonts w:hint="eastAsia" w:eastAsia="宋体"/>
                <w:color w:val="auto"/>
              </w:rPr>
            </w:pPr>
            <w:r>
              <w:rPr>
                <w:rFonts w:hint="eastAsia"/>
                <w:color w:val="auto"/>
                <w:sz w:val="22"/>
                <w:szCs w:val="22"/>
              </w:rPr>
              <w:t>8.584</w:t>
            </w:r>
          </w:p>
        </w:tc>
        <w:tc>
          <w:tcPr>
            <w:tcW w:w="322" w:type="pct"/>
            <w:vAlign w:val="center"/>
          </w:tcPr>
          <w:p w14:paraId="4D46E7A0">
            <w:pPr>
              <w:pStyle w:val="288"/>
              <w:adjustRightInd w:val="0"/>
              <w:snapToGrid w:val="0"/>
              <w:spacing w:line="300" w:lineRule="exact"/>
              <w:rPr>
                <w:rFonts w:hint="eastAsia" w:eastAsia="宋体"/>
                <w:color w:val="auto"/>
              </w:rPr>
            </w:pPr>
            <w:r>
              <w:rPr>
                <w:rFonts w:hint="eastAsia"/>
                <w:color w:val="auto"/>
                <w:sz w:val="22"/>
                <w:szCs w:val="22"/>
              </w:rPr>
              <w:t>3.43</w:t>
            </w:r>
          </w:p>
        </w:tc>
        <w:tc>
          <w:tcPr>
            <w:tcW w:w="397" w:type="pct"/>
            <w:vAlign w:val="center"/>
          </w:tcPr>
          <w:p w14:paraId="3430D119">
            <w:pPr>
              <w:pStyle w:val="288"/>
              <w:adjustRightInd w:val="0"/>
              <w:snapToGrid w:val="0"/>
              <w:spacing w:line="300" w:lineRule="exact"/>
              <w:rPr>
                <w:rFonts w:hint="eastAsia" w:eastAsia="宋体"/>
                <w:color w:val="auto"/>
              </w:rPr>
            </w:pPr>
            <w:r>
              <w:rPr>
                <w:rFonts w:hint="eastAsia"/>
                <w:color w:val="auto"/>
                <w:sz w:val="22"/>
                <w:szCs w:val="22"/>
              </w:rPr>
              <w:t>0.7023</w:t>
            </w:r>
          </w:p>
        </w:tc>
        <w:tc>
          <w:tcPr>
            <w:tcW w:w="317" w:type="pct"/>
            <w:vAlign w:val="center"/>
          </w:tcPr>
          <w:p w14:paraId="4FD27C1B">
            <w:pPr>
              <w:pStyle w:val="288"/>
              <w:adjustRightInd w:val="0"/>
              <w:snapToGrid w:val="0"/>
              <w:spacing w:line="300" w:lineRule="exact"/>
              <w:rPr>
                <w:rFonts w:hint="eastAsia" w:eastAsia="宋体"/>
                <w:color w:val="auto"/>
              </w:rPr>
            </w:pPr>
            <w:r>
              <w:rPr>
                <w:rFonts w:hint="eastAsia"/>
                <w:color w:val="auto"/>
                <w:sz w:val="22"/>
                <w:szCs w:val="22"/>
              </w:rPr>
              <w:t>0.08</w:t>
            </w:r>
          </w:p>
        </w:tc>
      </w:tr>
      <w:tr w14:paraId="30D2F3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080ABF7F">
            <w:pPr>
              <w:pStyle w:val="288"/>
              <w:adjustRightInd w:val="0"/>
              <w:snapToGrid w:val="0"/>
              <w:spacing w:line="300" w:lineRule="exact"/>
              <w:rPr>
                <w:rFonts w:hint="eastAsia" w:eastAsia="宋体"/>
                <w:color w:val="auto"/>
              </w:rPr>
            </w:pPr>
            <w:r>
              <w:rPr>
                <w:rFonts w:hint="eastAsia"/>
                <w:color w:val="auto"/>
                <w:sz w:val="22"/>
                <w:szCs w:val="22"/>
              </w:rPr>
              <w:t>300</w:t>
            </w:r>
          </w:p>
        </w:tc>
        <w:tc>
          <w:tcPr>
            <w:tcW w:w="397" w:type="pct"/>
            <w:vAlign w:val="center"/>
          </w:tcPr>
          <w:p w14:paraId="1F612EA6">
            <w:pPr>
              <w:pStyle w:val="288"/>
              <w:adjustRightInd w:val="0"/>
              <w:snapToGrid w:val="0"/>
              <w:spacing w:line="300" w:lineRule="exact"/>
              <w:rPr>
                <w:rFonts w:hint="eastAsia" w:eastAsia="宋体"/>
                <w:color w:val="auto"/>
              </w:rPr>
            </w:pPr>
            <w:r>
              <w:rPr>
                <w:rFonts w:hint="eastAsia"/>
                <w:color w:val="auto"/>
                <w:sz w:val="22"/>
                <w:szCs w:val="22"/>
              </w:rPr>
              <w:t>1.6916</w:t>
            </w:r>
          </w:p>
        </w:tc>
        <w:tc>
          <w:tcPr>
            <w:tcW w:w="388" w:type="pct"/>
            <w:vAlign w:val="center"/>
          </w:tcPr>
          <w:p w14:paraId="6E476307">
            <w:pPr>
              <w:pStyle w:val="288"/>
              <w:adjustRightInd w:val="0"/>
              <w:snapToGrid w:val="0"/>
              <w:spacing w:line="300" w:lineRule="exact"/>
              <w:rPr>
                <w:rFonts w:hint="eastAsia" w:eastAsia="宋体"/>
                <w:color w:val="auto"/>
              </w:rPr>
            </w:pPr>
            <w:r>
              <w:rPr>
                <w:rFonts w:hint="eastAsia"/>
                <w:color w:val="auto"/>
                <w:sz w:val="22"/>
                <w:szCs w:val="22"/>
              </w:rPr>
              <w:t>0.34</w:t>
            </w:r>
          </w:p>
        </w:tc>
        <w:tc>
          <w:tcPr>
            <w:tcW w:w="397" w:type="pct"/>
            <w:vAlign w:val="center"/>
          </w:tcPr>
          <w:p w14:paraId="43AF03BF">
            <w:pPr>
              <w:pStyle w:val="288"/>
              <w:adjustRightInd w:val="0"/>
              <w:snapToGrid w:val="0"/>
              <w:spacing w:line="300" w:lineRule="exact"/>
              <w:rPr>
                <w:rFonts w:hint="eastAsia" w:eastAsia="宋体"/>
                <w:color w:val="auto"/>
              </w:rPr>
            </w:pPr>
            <w:r>
              <w:rPr>
                <w:rFonts w:hint="eastAsia"/>
                <w:color w:val="auto"/>
                <w:sz w:val="22"/>
                <w:szCs w:val="22"/>
              </w:rPr>
              <w:t>16.1805</w:t>
            </w:r>
          </w:p>
        </w:tc>
        <w:tc>
          <w:tcPr>
            <w:tcW w:w="344" w:type="pct"/>
            <w:vAlign w:val="center"/>
          </w:tcPr>
          <w:p w14:paraId="2C2F8823">
            <w:pPr>
              <w:pStyle w:val="288"/>
              <w:adjustRightInd w:val="0"/>
              <w:snapToGrid w:val="0"/>
              <w:spacing w:line="300" w:lineRule="exact"/>
              <w:rPr>
                <w:rFonts w:hint="eastAsia" w:eastAsia="宋体"/>
                <w:color w:val="auto"/>
              </w:rPr>
            </w:pPr>
            <w:r>
              <w:rPr>
                <w:rFonts w:hint="eastAsia"/>
                <w:color w:val="auto"/>
                <w:sz w:val="22"/>
                <w:szCs w:val="22"/>
              </w:rPr>
              <w:t>6.47</w:t>
            </w:r>
          </w:p>
        </w:tc>
        <w:tc>
          <w:tcPr>
            <w:tcW w:w="397" w:type="pct"/>
            <w:vAlign w:val="center"/>
          </w:tcPr>
          <w:p w14:paraId="368660B6">
            <w:pPr>
              <w:pStyle w:val="288"/>
              <w:adjustRightInd w:val="0"/>
              <w:snapToGrid w:val="0"/>
              <w:spacing w:line="300" w:lineRule="exact"/>
              <w:rPr>
                <w:rFonts w:hint="eastAsia" w:eastAsia="宋体"/>
                <w:color w:val="auto"/>
              </w:rPr>
            </w:pPr>
            <w:r>
              <w:rPr>
                <w:rFonts w:hint="eastAsia"/>
                <w:color w:val="auto"/>
                <w:sz w:val="22"/>
                <w:szCs w:val="22"/>
              </w:rPr>
              <w:t>1.3239</w:t>
            </w:r>
          </w:p>
        </w:tc>
        <w:tc>
          <w:tcPr>
            <w:tcW w:w="362" w:type="pct"/>
            <w:vAlign w:val="center"/>
          </w:tcPr>
          <w:p w14:paraId="5C38F038">
            <w:pPr>
              <w:pStyle w:val="288"/>
              <w:adjustRightInd w:val="0"/>
              <w:snapToGrid w:val="0"/>
              <w:spacing w:line="300" w:lineRule="exact"/>
              <w:rPr>
                <w:rFonts w:hint="eastAsia" w:eastAsia="宋体"/>
                <w:color w:val="auto"/>
              </w:rPr>
            </w:pPr>
            <w:r>
              <w:rPr>
                <w:rFonts w:hint="eastAsia"/>
                <w:color w:val="auto"/>
                <w:sz w:val="22"/>
                <w:szCs w:val="22"/>
              </w:rPr>
              <w:t>0.15</w:t>
            </w:r>
          </w:p>
        </w:tc>
        <w:tc>
          <w:tcPr>
            <w:tcW w:w="270" w:type="pct"/>
            <w:vAlign w:val="center"/>
          </w:tcPr>
          <w:p w14:paraId="0F6486D6">
            <w:pPr>
              <w:pStyle w:val="288"/>
              <w:adjustRightInd w:val="0"/>
              <w:snapToGrid w:val="0"/>
              <w:spacing w:line="300" w:lineRule="exact"/>
              <w:rPr>
                <w:rFonts w:hint="eastAsia" w:eastAsia="宋体"/>
                <w:color w:val="auto"/>
              </w:rPr>
            </w:pPr>
            <w:r>
              <w:rPr>
                <w:rFonts w:hint="eastAsia"/>
                <w:color w:val="auto"/>
                <w:sz w:val="22"/>
                <w:szCs w:val="22"/>
              </w:rPr>
              <w:t>300</w:t>
            </w:r>
          </w:p>
        </w:tc>
        <w:tc>
          <w:tcPr>
            <w:tcW w:w="397" w:type="pct"/>
            <w:vAlign w:val="center"/>
          </w:tcPr>
          <w:p w14:paraId="1E958833">
            <w:pPr>
              <w:pStyle w:val="288"/>
              <w:adjustRightInd w:val="0"/>
              <w:snapToGrid w:val="0"/>
              <w:spacing w:line="300" w:lineRule="exact"/>
              <w:rPr>
                <w:rFonts w:hint="eastAsia" w:eastAsia="宋体"/>
                <w:color w:val="auto"/>
              </w:rPr>
            </w:pPr>
            <w:r>
              <w:rPr>
                <w:rFonts w:hint="eastAsia"/>
                <w:color w:val="auto"/>
                <w:sz w:val="22"/>
                <w:szCs w:val="22"/>
              </w:rPr>
              <w:t>0.8385</w:t>
            </w:r>
          </w:p>
        </w:tc>
        <w:tc>
          <w:tcPr>
            <w:tcW w:w="322" w:type="pct"/>
            <w:vAlign w:val="center"/>
          </w:tcPr>
          <w:p w14:paraId="6996D8CD">
            <w:pPr>
              <w:pStyle w:val="288"/>
              <w:adjustRightInd w:val="0"/>
              <w:snapToGrid w:val="0"/>
              <w:spacing w:line="300" w:lineRule="exact"/>
              <w:rPr>
                <w:rFonts w:hint="eastAsia" w:eastAsia="宋体"/>
                <w:color w:val="auto"/>
              </w:rPr>
            </w:pPr>
            <w:r>
              <w:rPr>
                <w:rFonts w:hint="eastAsia"/>
                <w:color w:val="auto"/>
                <w:sz w:val="22"/>
                <w:szCs w:val="22"/>
              </w:rPr>
              <w:t>0.17</w:t>
            </w:r>
          </w:p>
        </w:tc>
        <w:tc>
          <w:tcPr>
            <w:tcW w:w="397" w:type="pct"/>
            <w:vAlign w:val="center"/>
          </w:tcPr>
          <w:p w14:paraId="5B082D3A">
            <w:pPr>
              <w:pStyle w:val="288"/>
              <w:adjustRightInd w:val="0"/>
              <w:snapToGrid w:val="0"/>
              <w:spacing w:line="300" w:lineRule="exact"/>
              <w:rPr>
                <w:rFonts w:hint="eastAsia" w:eastAsia="宋体"/>
                <w:color w:val="auto"/>
              </w:rPr>
            </w:pPr>
            <w:r>
              <w:rPr>
                <w:rFonts w:hint="eastAsia"/>
                <w:color w:val="auto"/>
                <w:sz w:val="22"/>
                <w:szCs w:val="22"/>
              </w:rPr>
              <w:t>8.0201</w:t>
            </w:r>
          </w:p>
        </w:tc>
        <w:tc>
          <w:tcPr>
            <w:tcW w:w="322" w:type="pct"/>
            <w:vAlign w:val="center"/>
          </w:tcPr>
          <w:p w14:paraId="63BBF477">
            <w:pPr>
              <w:pStyle w:val="288"/>
              <w:adjustRightInd w:val="0"/>
              <w:snapToGrid w:val="0"/>
              <w:spacing w:line="300" w:lineRule="exact"/>
              <w:rPr>
                <w:rFonts w:hint="eastAsia" w:eastAsia="宋体"/>
                <w:color w:val="auto"/>
              </w:rPr>
            </w:pPr>
            <w:r>
              <w:rPr>
                <w:rFonts w:hint="eastAsia"/>
                <w:color w:val="auto"/>
                <w:sz w:val="22"/>
                <w:szCs w:val="22"/>
              </w:rPr>
              <w:t>3.21</w:t>
            </w:r>
          </w:p>
        </w:tc>
        <w:tc>
          <w:tcPr>
            <w:tcW w:w="397" w:type="pct"/>
            <w:vAlign w:val="center"/>
          </w:tcPr>
          <w:p w14:paraId="3C9E76BC">
            <w:pPr>
              <w:pStyle w:val="288"/>
              <w:adjustRightInd w:val="0"/>
              <w:snapToGrid w:val="0"/>
              <w:spacing w:line="300" w:lineRule="exact"/>
              <w:rPr>
                <w:rFonts w:hint="eastAsia" w:eastAsia="宋体"/>
                <w:color w:val="auto"/>
              </w:rPr>
            </w:pPr>
            <w:r>
              <w:rPr>
                <w:rFonts w:hint="eastAsia"/>
                <w:color w:val="auto"/>
                <w:sz w:val="22"/>
                <w:szCs w:val="22"/>
              </w:rPr>
              <w:t>0.6562</w:t>
            </w:r>
          </w:p>
        </w:tc>
        <w:tc>
          <w:tcPr>
            <w:tcW w:w="317" w:type="pct"/>
            <w:vAlign w:val="center"/>
          </w:tcPr>
          <w:p w14:paraId="263DEDA7">
            <w:pPr>
              <w:pStyle w:val="288"/>
              <w:adjustRightInd w:val="0"/>
              <w:snapToGrid w:val="0"/>
              <w:spacing w:line="300" w:lineRule="exact"/>
              <w:rPr>
                <w:rFonts w:hint="eastAsia" w:eastAsia="宋体"/>
                <w:color w:val="auto"/>
              </w:rPr>
            </w:pPr>
            <w:r>
              <w:rPr>
                <w:rFonts w:hint="eastAsia"/>
                <w:color w:val="auto"/>
                <w:sz w:val="22"/>
                <w:szCs w:val="22"/>
              </w:rPr>
              <w:t>0.07</w:t>
            </w:r>
          </w:p>
        </w:tc>
      </w:tr>
      <w:tr w14:paraId="250DA6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27E60B78">
            <w:pPr>
              <w:pStyle w:val="288"/>
              <w:adjustRightInd w:val="0"/>
              <w:snapToGrid w:val="0"/>
              <w:spacing w:line="300" w:lineRule="exact"/>
              <w:rPr>
                <w:rFonts w:hint="eastAsia" w:eastAsia="宋体"/>
                <w:color w:val="auto"/>
              </w:rPr>
            </w:pPr>
            <w:r>
              <w:rPr>
                <w:rFonts w:hint="eastAsia"/>
                <w:color w:val="auto"/>
                <w:sz w:val="22"/>
                <w:szCs w:val="22"/>
              </w:rPr>
              <w:t>400</w:t>
            </w:r>
          </w:p>
        </w:tc>
        <w:tc>
          <w:tcPr>
            <w:tcW w:w="397" w:type="pct"/>
            <w:vAlign w:val="center"/>
          </w:tcPr>
          <w:p w14:paraId="3F52D209">
            <w:pPr>
              <w:pStyle w:val="288"/>
              <w:adjustRightInd w:val="0"/>
              <w:snapToGrid w:val="0"/>
              <w:spacing w:line="300" w:lineRule="exact"/>
              <w:rPr>
                <w:rFonts w:hint="eastAsia" w:eastAsia="宋体"/>
                <w:color w:val="auto"/>
              </w:rPr>
            </w:pPr>
            <w:r>
              <w:rPr>
                <w:rFonts w:hint="eastAsia"/>
                <w:color w:val="auto"/>
                <w:sz w:val="22"/>
                <w:szCs w:val="22"/>
              </w:rPr>
              <w:t>1.6139</w:t>
            </w:r>
          </w:p>
        </w:tc>
        <w:tc>
          <w:tcPr>
            <w:tcW w:w="388" w:type="pct"/>
            <w:vAlign w:val="center"/>
          </w:tcPr>
          <w:p w14:paraId="67507C22">
            <w:pPr>
              <w:pStyle w:val="288"/>
              <w:adjustRightInd w:val="0"/>
              <w:snapToGrid w:val="0"/>
              <w:spacing w:line="300" w:lineRule="exact"/>
              <w:rPr>
                <w:rFonts w:hint="eastAsia" w:eastAsia="宋体"/>
                <w:color w:val="auto"/>
              </w:rPr>
            </w:pPr>
            <w:r>
              <w:rPr>
                <w:rFonts w:hint="eastAsia"/>
                <w:color w:val="auto"/>
                <w:sz w:val="22"/>
                <w:szCs w:val="22"/>
              </w:rPr>
              <w:t>0.32</w:t>
            </w:r>
          </w:p>
        </w:tc>
        <w:tc>
          <w:tcPr>
            <w:tcW w:w="397" w:type="pct"/>
            <w:vAlign w:val="center"/>
          </w:tcPr>
          <w:p w14:paraId="15B70E87">
            <w:pPr>
              <w:pStyle w:val="288"/>
              <w:adjustRightInd w:val="0"/>
              <w:snapToGrid w:val="0"/>
              <w:spacing w:line="300" w:lineRule="exact"/>
              <w:rPr>
                <w:rFonts w:hint="eastAsia" w:eastAsia="宋体"/>
                <w:color w:val="auto"/>
              </w:rPr>
            </w:pPr>
            <w:r>
              <w:rPr>
                <w:rFonts w:hint="eastAsia"/>
                <w:color w:val="auto"/>
                <w:sz w:val="22"/>
                <w:szCs w:val="22"/>
              </w:rPr>
              <w:t>15.4373</w:t>
            </w:r>
          </w:p>
        </w:tc>
        <w:tc>
          <w:tcPr>
            <w:tcW w:w="344" w:type="pct"/>
            <w:vAlign w:val="center"/>
          </w:tcPr>
          <w:p w14:paraId="2AB51348">
            <w:pPr>
              <w:pStyle w:val="288"/>
              <w:adjustRightInd w:val="0"/>
              <w:snapToGrid w:val="0"/>
              <w:spacing w:line="300" w:lineRule="exact"/>
              <w:rPr>
                <w:rFonts w:hint="eastAsia" w:eastAsia="宋体"/>
                <w:color w:val="auto"/>
              </w:rPr>
            </w:pPr>
            <w:r>
              <w:rPr>
                <w:rFonts w:hint="eastAsia"/>
                <w:color w:val="auto"/>
                <w:sz w:val="22"/>
                <w:szCs w:val="22"/>
              </w:rPr>
              <w:t>6.17</w:t>
            </w:r>
          </w:p>
        </w:tc>
        <w:tc>
          <w:tcPr>
            <w:tcW w:w="397" w:type="pct"/>
            <w:vAlign w:val="center"/>
          </w:tcPr>
          <w:p w14:paraId="7FB17A82">
            <w:pPr>
              <w:pStyle w:val="288"/>
              <w:adjustRightInd w:val="0"/>
              <w:snapToGrid w:val="0"/>
              <w:spacing w:line="300" w:lineRule="exact"/>
              <w:rPr>
                <w:rFonts w:hint="eastAsia" w:eastAsia="宋体"/>
                <w:color w:val="auto"/>
              </w:rPr>
            </w:pPr>
            <w:r>
              <w:rPr>
                <w:rFonts w:hint="eastAsia"/>
                <w:color w:val="auto"/>
                <w:sz w:val="22"/>
                <w:szCs w:val="22"/>
              </w:rPr>
              <w:t>1.2631</w:t>
            </w:r>
          </w:p>
        </w:tc>
        <w:tc>
          <w:tcPr>
            <w:tcW w:w="362" w:type="pct"/>
            <w:vAlign w:val="center"/>
          </w:tcPr>
          <w:p w14:paraId="56B5C6C2">
            <w:pPr>
              <w:pStyle w:val="288"/>
              <w:adjustRightInd w:val="0"/>
              <w:snapToGrid w:val="0"/>
              <w:spacing w:line="300" w:lineRule="exact"/>
              <w:rPr>
                <w:rFonts w:hint="eastAsia" w:eastAsia="宋体"/>
                <w:color w:val="auto"/>
              </w:rPr>
            </w:pPr>
            <w:r>
              <w:rPr>
                <w:rFonts w:hint="eastAsia"/>
                <w:color w:val="auto"/>
                <w:sz w:val="22"/>
                <w:szCs w:val="22"/>
              </w:rPr>
              <w:t>0.14</w:t>
            </w:r>
          </w:p>
        </w:tc>
        <w:tc>
          <w:tcPr>
            <w:tcW w:w="270" w:type="pct"/>
            <w:vAlign w:val="center"/>
          </w:tcPr>
          <w:p w14:paraId="1696F24C">
            <w:pPr>
              <w:pStyle w:val="288"/>
              <w:adjustRightInd w:val="0"/>
              <w:snapToGrid w:val="0"/>
              <w:spacing w:line="300" w:lineRule="exact"/>
              <w:rPr>
                <w:rFonts w:hint="eastAsia" w:eastAsia="宋体"/>
                <w:color w:val="auto"/>
              </w:rPr>
            </w:pPr>
            <w:r>
              <w:rPr>
                <w:rFonts w:hint="eastAsia"/>
                <w:color w:val="auto"/>
                <w:sz w:val="22"/>
                <w:szCs w:val="22"/>
              </w:rPr>
              <w:t>400</w:t>
            </w:r>
          </w:p>
        </w:tc>
        <w:tc>
          <w:tcPr>
            <w:tcW w:w="397" w:type="pct"/>
            <w:vAlign w:val="center"/>
          </w:tcPr>
          <w:p w14:paraId="37D9FDB7">
            <w:pPr>
              <w:pStyle w:val="288"/>
              <w:adjustRightInd w:val="0"/>
              <w:snapToGrid w:val="0"/>
              <w:spacing w:line="300" w:lineRule="exact"/>
              <w:rPr>
                <w:rFonts w:hint="eastAsia" w:eastAsia="宋体"/>
                <w:color w:val="auto"/>
              </w:rPr>
            </w:pPr>
            <w:r>
              <w:rPr>
                <w:rFonts w:hint="eastAsia"/>
                <w:color w:val="auto"/>
                <w:sz w:val="22"/>
                <w:szCs w:val="22"/>
              </w:rPr>
              <w:t>0.8002</w:t>
            </w:r>
          </w:p>
        </w:tc>
        <w:tc>
          <w:tcPr>
            <w:tcW w:w="322" w:type="pct"/>
            <w:vAlign w:val="center"/>
          </w:tcPr>
          <w:p w14:paraId="40E7207C">
            <w:pPr>
              <w:pStyle w:val="288"/>
              <w:adjustRightInd w:val="0"/>
              <w:snapToGrid w:val="0"/>
              <w:spacing w:line="300" w:lineRule="exact"/>
              <w:rPr>
                <w:rFonts w:hint="eastAsia" w:eastAsia="宋体"/>
                <w:color w:val="auto"/>
              </w:rPr>
            </w:pPr>
            <w:r>
              <w:rPr>
                <w:rFonts w:hint="eastAsia"/>
                <w:color w:val="auto"/>
                <w:sz w:val="22"/>
                <w:szCs w:val="22"/>
              </w:rPr>
              <w:t>0.16</w:t>
            </w:r>
          </w:p>
        </w:tc>
        <w:tc>
          <w:tcPr>
            <w:tcW w:w="397" w:type="pct"/>
            <w:vAlign w:val="center"/>
          </w:tcPr>
          <w:p w14:paraId="7DD60810">
            <w:pPr>
              <w:pStyle w:val="288"/>
              <w:adjustRightInd w:val="0"/>
              <w:snapToGrid w:val="0"/>
              <w:spacing w:line="300" w:lineRule="exact"/>
              <w:rPr>
                <w:rFonts w:hint="eastAsia" w:eastAsia="宋体"/>
                <w:color w:val="auto"/>
              </w:rPr>
            </w:pPr>
            <w:r>
              <w:rPr>
                <w:rFonts w:hint="eastAsia"/>
                <w:color w:val="auto"/>
                <w:sz w:val="22"/>
                <w:szCs w:val="22"/>
              </w:rPr>
              <w:t>7.6542</w:t>
            </w:r>
          </w:p>
        </w:tc>
        <w:tc>
          <w:tcPr>
            <w:tcW w:w="322" w:type="pct"/>
            <w:vAlign w:val="center"/>
          </w:tcPr>
          <w:p w14:paraId="170057E8">
            <w:pPr>
              <w:pStyle w:val="288"/>
              <w:adjustRightInd w:val="0"/>
              <w:snapToGrid w:val="0"/>
              <w:spacing w:line="300" w:lineRule="exact"/>
              <w:rPr>
                <w:rFonts w:hint="eastAsia" w:eastAsia="宋体"/>
                <w:color w:val="auto"/>
              </w:rPr>
            </w:pPr>
            <w:r>
              <w:rPr>
                <w:rFonts w:hint="eastAsia"/>
                <w:color w:val="auto"/>
                <w:sz w:val="22"/>
                <w:szCs w:val="22"/>
              </w:rPr>
              <w:t>3.06</w:t>
            </w:r>
          </w:p>
        </w:tc>
        <w:tc>
          <w:tcPr>
            <w:tcW w:w="397" w:type="pct"/>
            <w:vAlign w:val="center"/>
          </w:tcPr>
          <w:p w14:paraId="03393022">
            <w:pPr>
              <w:pStyle w:val="288"/>
              <w:adjustRightInd w:val="0"/>
              <w:snapToGrid w:val="0"/>
              <w:spacing w:line="300" w:lineRule="exact"/>
              <w:rPr>
                <w:rFonts w:hint="eastAsia" w:eastAsia="宋体"/>
                <w:color w:val="auto"/>
              </w:rPr>
            </w:pPr>
            <w:r>
              <w:rPr>
                <w:rFonts w:hint="eastAsia"/>
                <w:color w:val="auto"/>
                <w:sz w:val="22"/>
                <w:szCs w:val="22"/>
              </w:rPr>
              <w:t>0.6263</w:t>
            </w:r>
          </w:p>
        </w:tc>
        <w:tc>
          <w:tcPr>
            <w:tcW w:w="317" w:type="pct"/>
            <w:vAlign w:val="center"/>
          </w:tcPr>
          <w:p w14:paraId="43F83B74">
            <w:pPr>
              <w:pStyle w:val="288"/>
              <w:adjustRightInd w:val="0"/>
              <w:snapToGrid w:val="0"/>
              <w:spacing w:line="300" w:lineRule="exact"/>
              <w:rPr>
                <w:rFonts w:hint="eastAsia" w:eastAsia="宋体"/>
                <w:color w:val="auto"/>
              </w:rPr>
            </w:pPr>
            <w:r>
              <w:rPr>
                <w:rFonts w:hint="eastAsia"/>
                <w:color w:val="auto"/>
                <w:sz w:val="22"/>
                <w:szCs w:val="22"/>
              </w:rPr>
              <w:t>0.07</w:t>
            </w:r>
          </w:p>
        </w:tc>
      </w:tr>
      <w:tr w14:paraId="5941D4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17B30FE1">
            <w:pPr>
              <w:pStyle w:val="288"/>
              <w:adjustRightInd w:val="0"/>
              <w:snapToGrid w:val="0"/>
              <w:spacing w:line="300" w:lineRule="exact"/>
              <w:rPr>
                <w:rFonts w:hint="eastAsia" w:eastAsia="宋体"/>
                <w:color w:val="auto"/>
              </w:rPr>
            </w:pPr>
            <w:r>
              <w:rPr>
                <w:rFonts w:hint="eastAsia"/>
                <w:color w:val="auto"/>
                <w:sz w:val="22"/>
                <w:szCs w:val="22"/>
              </w:rPr>
              <w:t>500</w:t>
            </w:r>
          </w:p>
        </w:tc>
        <w:tc>
          <w:tcPr>
            <w:tcW w:w="397" w:type="pct"/>
            <w:vAlign w:val="center"/>
          </w:tcPr>
          <w:p w14:paraId="4B74EE06">
            <w:pPr>
              <w:pStyle w:val="288"/>
              <w:adjustRightInd w:val="0"/>
              <w:snapToGrid w:val="0"/>
              <w:spacing w:line="300" w:lineRule="exact"/>
              <w:rPr>
                <w:rFonts w:hint="eastAsia" w:eastAsia="宋体"/>
                <w:color w:val="auto"/>
              </w:rPr>
            </w:pPr>
            <w:r>
              <w:rPr>
                <w:rFonts w:hint="eastAsia"/>
                <w:color w:val="auto"/>
                <w:sz w:val="22"/>
                <w:szCs w:val="22"/>
              </w:rPr>
              <w:t>1.5822</w:t>
            </w:r>
          </w:p>
        </w:tc>
        <w:tc>
          <w:tcPr>
            <w:tcW w:w="388" w:type="pct"/>
            <w:vAlign w:val="center"/>
          </w:tcPr>
          <w:p w14:paraId="5FDC3A5D">
            <w:pPr>
              <w:pStyle w:val="288"/>
              <w:adjustRightInd w:val="0"/>
              <w:snapToGrid w:val="0"/>
              <w:spacing w:line="300" w:lineRule="exact"/>
              <w:rPr>
                <w:rFonts w:hint="eastAsia" w:eastAsia="宋体"/>
                <w:color w:val="auto"/>
              </w:rPr>
            </w:pPr>
            <w:r>
              <w:rPr>
                <w:rFonts w:hint="eastAsia"/>
                <w:color w:val="auto"/>
                <w:sz w:val="22"/>
                <w:szCs w:val="22"/>
              </w:rPr>
              <w:t>0.32</w:t>
            </w:r>
          </w:p>
        </w:tc>
        <w:tc>
          <w:tcPr>
            <w:tcW w:w="397" w:type="pct"/>
            <w:vAlign w:val="center"/>
          </w:tcPr>
          <w:p w14:paraId="1EB7E7FD">
            <w:pPr>
              <w:pStyle w:val="288"/>
              <w:adjustRightInd w:val="0"/>
              <w:snapToGrid w:val="0"/>
              <w:spacing w:line="300" w:lineRule="exact"/>
              <w:rPr>
                <w:rFonts w:hint="eastAsia" w:eastAsia="宋体"/>
                <w:color w:val="auto"/>
              </w:rPr>
            </w:pPr>
            <w:r>
              <w:rPr>
                <w:rFonts w:hint="eastAsia"/>
                <w:color w:val="auto"/>
                <w:sz w:val="22"/>
                <w:szCs w:val="22"/>
              </w:rPr>
              <w:t>15.1341</w:t>
            </w:r>
          </w:p>
        </w:tc>
        <w:tc>
          <w:tcPr>
            <w:tcW w:w="344" w:type="pct"/>
            <w:vAlign w:val="center"/>
          </w:tcPr>
          <w:p w14:paraId="104BA576">
            <w:pPr>
              <w:pStyle w:val="288"/>
              <w:adjustRightInd w:val="0"/>
              <w:snapToGrid w:val="0"/>
              <w:spacing w:line="300" w:lineRule="exact"/>
              <w:rPr>
                <w:rFonts w:hint="eastAsia" w:eastAsia="宋体"/>
                <w:color w:val="auto"/>
              </w:rPr>
            </w:pPr>
            <w:r>
              <w:rPr>
                <w:rFonts w:hint="eastAsia"/>
                <w:color w:val="auto"/>
                <w:sz w:val="22"/>
                <w:szCs w:val="22"/>
              </w:rPr>
              <w:t>6.05</w:t>
            </w:r>
          </w:p>
        </w:tc>
        <w:tc>
          <w:tcPr>
            <w:tcW w:w="397" w:type="pct"/>
            <w:vAlign w:val="center"/>
          </w:tcPr>
          <w:p w14:paraId="41175D75">
            <w:pPr>
              <w:pStyle w:val="288"/>
              <w:adjustRightInd w:val="0"/>
              <w:snapToGrid w:val="0"/>
              <w:spacing w:line="300" w:lineRule="exact"/>
              <w:rPr>
                <w:rFonts w:hint="eastAsia" w:eastAsia="宋体"/>
                <w:color w:val="auto"/>
              </w:rPr>
            </w:pPr>
            <w:r>
              <w:rPr>
                <w:rFonts w:hint="eastAsia"/>
                <w:color w:val="auto"/>
                <w:sz w:val="22"/>
                <w:szCs w:val="22"/>
              </w:rPr>
              <w:t>1.2382</w:t>
            </w:r>
          </w:p>
        </w:tc>
        <w:tc>
          <w:tcPr>
            <w:tcW w:w="362" w:type="pct"/>
            <w:vAlign w:val="center"/>
          </w:tcPr>
          <w:p w14:paraId="3869372F">
            <w:pPr>
              <w:pStyle w:val="288"/>
              <w:adjustRightInd w:val="0"/>
              <w:snapToGrid w:val="0"/>
              <w:spacing w:line="300" w:lineRule="exact"/>
              <w:rPr>
                <w:rFonts w:hint="eastAsia" w:eastAsia="宋体"/>
                <w:color w:val="auto"/>
              </w:rPr>
            </w:pPr>
            <w:r>
              <w:rPr>
                <w:rFonts w:hint="eastAsia"/>
                <w:color w:val="auto"/>
                <w:sz w:val="22"/>
                <w:szCs w:val="22"/>
              </w:rPr>
              <w:t>0.14</w:t>
            </w:r>
          </w:p>
        </w:tc>
        <w:tc>
          <w:tcPr>
            <w:tcW w:w="270" w:type="pct"/>
            <w:vAlign w:val="center"/>
          </w:tcPr>
          <w:p w14:paraId="3776CC35">
            <w:pPr>
              <w:pStyle w:val="288"/>
              <w:adjustRightInd w:val="0"/>
              <w:snapToGrid w:val="0"/>
              <w:spacing w:line="300" w:lineRule="exact"/>
              <w:rPr>
                <w:rFonts w:hint="eastAsia" w:eastAsia="宋体"/>
                <w:color w:val="auto"/>
              </w:rPr>
            </w:pPr>
            <w:r>
              <w:rPr>
                <w:rFonts w:hint="eastAsia"/>
                <w:color w:val="auto"/>
                <w:sz w:val="22"/>
                <w:szCs w:val="22"/>
              </w:rPr>
              <w:t>500</w:t>
            </w:r>
          </w:p>
        </w:tc>
        <w:tc>
          <w:tcPr>
            <w:tcW w:w="397" w:type="pct"/>
            <w:vAlign w:val="center"/>
          </w:tcPr>
          <w:p w14:paraId="6384E7B1">
            <w:pPr>
              <w:pStyle w:val="288"/>
              <w:adjustRightInd w:val="0"/>
              <w:snapToGrid w:val="0"/>
              <w:spacing w:line="300" w:lineRule="exact"/>
              <w:rPr>
                <w:rFonts w:hint="eastAsia" w:eastAsia="宋体"/>
                <w:color w:val="auto"/>
              </w:rPr>
            </w:pPr>
            <w:r>
              <w:rPr>
                <w:rFonts w:hint="eastAsia"/>
                <w:color w:val="auto"/>
                <w:sz w:val="22"/>
                <w:szCs w:val="22"/>
              </w:rPr>
              <w:t>0.7638</w:t>
            </w:r>
          </w:p>
        </w:tc>
        <w:tc>
          <w:tcPr>
            <w:tcW w:w="322" w:type="pct"/>
            <w:vAlign w:val="center"/>
          </w:tcPr>
          <w:p w14:paraId="7CB9545A">
            <w:pPr>
              <w:pStyle w:val="288"/>
              <w:adjustRightInd w:val="0"/>
              <w:snapToGrid w:val="0"/>
              <w:spacing w:line="300" w:lineRule="exact"/>
              <w:rPr>
                <w:rFonts w:hint="eastAsia" w:eastAsia="宋体"/>
                <w:color w:val="auto"/>
              </w:rPr>
            </w:pPr>
            <w:r>
              <w:rPr>
                <w:rFonts w:hint="eastAsia"/>
                <w:color w:val="auto"/>
                <w:sz w:val="22"/>
                <w:szCs w:val="22"/>
              </w:rPr>
              <w:t>0.15</w:t>
            </w:r>
          </w:p>
        </w:tc>
        <w:tc>
          <w:tcPr>
            <w:tcW w:w="397" w:type="pct"/>
            <w:vAlign w:val="center"/>
          </w:tcPr>
          <w:p w14:paraId="6CE605D7">
            <w:pPr>
              <w:pStyle w:val="288"/>
              <w:adjustRightInd w:val="0"/>
              <w:snapToGrid w:val="0"/>
              <w:spacing w:line="300" w:lineRule="exact"/>
              <w:rPr>
                <w:rFonts w:hint="eastAsia" w:eastAsia="宋体"/>
                <w:color w:val="auto"/>
              </w:rPr>
            </w:pPr>
            <w:r>
              <w:rPr>
                <w:rFonts w:hint="eastAsia"/>
                <w:color w:val="auto"/>
                <w:sz w:val="22"/>
                <w:szCs w:val="22"/>
              </w:rPr>
              <w:t>7.3055</w:t>
            </w:r>
          </w:p>
        </w:tc>
        <w:tc>
          <w:tcPr>
            <w:tcW w:w="322" w:type="pct"/>
            <w:vAlign w:val="center"/>
          </w:tcPr>
          <w:p w14:paraId="4F7B00C4">
            <w:pPr>
              <w:pStyle w:val="288"/>
              <w:adjustRightInd w:val="0"/>
              <w:snapToGrid w:val="0"/>
              <w:spacing w:line="300" w:lineRule="exact"/>
              <w:rPr>
                <w:rFonts w:hint="eastAsia" w:eastAsia="宋体"/>
                <w:color w:val="auto"/>
              </w:rPr>
            </w:pPr>
            <w:r>
              <w:rPr>
                <w:rFonts w:hint="eastAsia"/>
                <w:color w:val="auto"/>
                <w:sz w:val="22"/>
                <w:szCs w:val="22"/>
              </w:rPr>
              <w:t>2.92</w:t>
            </w:r>
          </w:p>
        </w:tc>
        <w:tc>
          <w:tcPr>
            <w:tcW w:w="397" w:type="pct"/>
            <w:vAlign w:val="center"/>
          </w:tcPr>
          <w:p w14:paraId="3CD93C31">
            <w:pPr>
              <w:pStyle w:val="288"/>
              <w:adjustRightInd w:val="0"/>
              <w:snapToGrid w:val="0"/>
              <w:spacing w:line="300" w:lineRule="exact"/>
              <w:rPr>
                <w:rFonts w:hint="eastAsia" w:eastAsia="宋体"/>
                <w:color w:val="auto"/>
              </w:rPr>
            </w:pPr>
            <w:r>
              <w:rPr>
                <w:rFonts w:hint="eastAsia"/>
                <w:color w:val="auto"/>
                <w:sz w:val="22"/>
                <w:szCs w:val="22"/>
              </w:rPr>
              <w:t>0.5977</w:t>
            </w:r>
          </w:p>
        </w:tc>
        <w:tc>
          <w:tcPr>
            <w:tcW w:w="317" w:type="pct"/>
            <w:vAlign w:val="center"/>
          </w:tcPr>
          <w:p w14:paraId="74E6E73C">
            <w:pPr>
              <w:pStyle w:val="288"/>
              <w:adjustRightInd w:val="0"/>
              <w:snapToGrid w:val="0"/>
              <w:spacing w:line="300" w:lineRule="exact"/>
              <w:rPr>
                <w:rFonts w:hint="eastAsia" w:eastAsia="宋体"/>
                <w:color w:val="auto"/>
              </w:rPr>
            </w:pPr>
            <w:r>
              <w:rPr>
                <w:rFonts w:hint="eastAsia"/>
                <w:color w:val="auto"/>
                <w:sz w:val="22"/>
                <w:szCs w:val="22"/>
              </w:rPr>
              <w:t>0.07</w:t>
            </w:r>
          </w:p>
        </w:tc>
      </w:tr>
      <w:tr w14:paraId="5032D5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4D921968">
            <w:pPr>
              <w:pStyle w:val="288"/>
              <w:adjustRightInd w:val="0"/>
              <w:snapToGrid w:val="0"/>
              <w:spacing w:line="300" w:lineRule="exact"/>
              <w:rPr>
                <w:rFonts w:hint="eastAsia" w:eastAsia="宋体"/>
                <w:color w:val="auto"/>
              </w:rPr>
            </w:pPr>
            <w:r>
              <w:rPr>
                <w:rFonts w:hint="eastAsia"/>
                <w:color w:val="auto"/>
                <w:sz w:val="22"/>
                <w:szCs w:val="22"/>
              </w:rPr>
              <w:t>600</w:t>
            </w:r>
          </w:p>
        </w:tc>
        <w:tc>
          <w:tcPr>
            <w:tcW w:w="397" w:type="pct"/>
            <w:vAlign w:val="center"/>
          </w:tcPr>
          <w:p w14:paraId="78E5830B">
            <w:pPr>
              <w:pStyle w:val="288"/>
              <w:adjustRightInd w:val="0"/>
              <w:snapToGrid w:val="0"/>
              <w:spacing w:line="300" w:lineRule="exact"/>
              <w:rPr>
                <w:rFonts w:hint="eastAsia" w:eastAsia="宋体"/>
                <w:color w:val="auto"/>
              </w:rPr>
            </w:pPr>
            <w:r>
              <w:rPr>
                <w:rFonts w:hint="eastAsia"/>
                <w:color w:val="auto"/>
                <w:sz w:val="22"/>
                <w:szCs w:val="22"/>
              </w:rPr>
              <w:t>1.5651</w:t>
            </w:r>
          </w:p>
        </w:tc>
        <w:tc>
          <w:tcPr>
            <w:tcW w:w="388" w:type="pct"/>
            <w:vAlign w:val="center"/>
          </w:tcPr>
          <w:p w14:paraId="17E13C27">
            <w:pPr>
              <w:pStyle w:val="288"/>
              <w:adjustRightInd w:val="0"/>
              <w:snapToGrid w:val="0"/>
              <w:spacing w:line="300" w:lineRule="exact"/>
              <w:rPr>
                <w:rFonts w:hint="eastAsia" w:eastAsia="宋体"/>
                <w:color w:val="auto"/>
              </w:rPr>
            </w:pPr>
            <w:r>
              <w:rPr>
                <w:rFonts w:hint="eastAsia"/>
                <w:color w:val="auto"/>
                <w:sz w:val="22"/>
                <w:szCs w:val="22"/>
              </w:rPr>
              <w:t>0.31</w:t>
            </w:r>
          </w:p>
        </w:tc>
        <w:tc>
          <w:tcPr>
            <w:tcW w:w="397" w:type="pct"/>
            <w:vAlign w:val="center"/>
          </w:tcPr>
          <w:p w14:paraId="36CD6116">
            <w:pPr>
              <w:pStyle w:val="288"/>
              <w:adjustRightInd w:val="0"/>
              <w:snapToGrid w:val="0"/>
              <w:spacing w:line="300" w:lineRule="exact"/>
              <w:rPr>
                <w:rFonts w:hint="eastAsia" w:eastAsia="宋体"/>
                <w:color w:val="auto"/>
              </w:rPr>
            </w:pPr>
            <w:r>
              <w:rPr>
                <w:rFonts w:hint="eastAsia"/>
                <w:color w:val="auto"/>
                <w:sz w:val="22"/>
                <w:szCs w:val="22"/>
              </w:rPr>
              <w:t>14.9705</w:t>
            </w:r>
          </w:p>
        </w:tc>
        <w:tc>
          <w:tcPr>
            <w:tcW w:w="344" w:type="pct"/>
            <w:vAlign w:val="center"/>
          </w:tcPr>
          <w:p w14:paraId="00125653">
            <w:pPr>
              <w:pStyle w:val="288"/>
              <w:adjustRightInd w:val="0"/>
              <w:snapToGrid w:val="0"/>
              <w:spacing w:line="300" w:lineRule="exact"/>
              <w:rPr>
                <w:rFonts w:hint="eastAsia" w:eastAsia="宋体"/>
                <w:color w:val="auto"/>
              </w:rPr>
            </w:pPr>
            <w:r>
              <w:rPr>
                <w:rFonts w:hint="eastAsia"/>
                <w:color w:val="auto"/>
                <w:sz w:val="22"/>
                <w:szCs w:val="22"/>
              </w:rPr>
              <w:t>5.99</w:t>
            </w:r>
          </w:p>
        </w:tc>
        <w:tc>
          <w:tcPr>
            <w:tcW w:w="397" w:type="pct"/>
            <w:vAlign w:val="center"/>
          </w:tcPr>
          <w:p w14:paraId="5A864CA6">
            <w:pPr>
              <w:pStyle w:val="288"/>
              <w:adjustRightInd w:val="0"/>
              <w:snapToGrid w:val="0"/>
              <w:spacing w:line="300" w:lineRule="exact"/>
              <w:rPr>
                <w:rFonts w:hint="eastAsia" w:eastAsia="宋体"/>
                <w:color w:val="auto"/>
              </w:rPr>
            </w:pPr>
            <w:r>
              <w:rPr>
                <w:rFonts w:hint="eastAsia"/>
                <w:color w:val="auto"/>
                <w:sz w:val="22"/>
                <w:szCs w:val="22"/>
              </w:rPr>
              <w:t>1.2249</w:t>
            </w:r>
          </w:p>
        </w:tc>
        <w:tc>
          <w:tcPr>
            <w:tcW w:w="362" w:type="pct"/>
            <w:vAlign w:val="center"/>
          </w:tcPr>
          <w:p w14:paraId="6D37535F">
            <w:pPr>
              <w:pStyle w:val="288"/>
              <w:adjustRightInd w:val="0"/>
              <w:snapToGrid w:val="0"/>
              <w:spacing w:line="300" w:lineRule="exact"/>
              <w:rPr>
                <w:rFonts w:hint="eastAsia" w:eastAsia="宋体"/>
                <w:color w:val="auto"/>
              </w:rPr>
            </w:pPr>
            <w:r>
              <w:rPr>
                <w:rFonts w:hint="eastAsia"/>
                <w:color w:val="auto"/>
                <w:sz w:val="22"/>
                <w:szCs w:val="22"/>
              </w:rPr>
              <w:t>0.14</w:t>
            </w:r>
          </w:p>
        </w:tc>
        <w:tc>
          <w:tcPr>
            <w:tcW w:w="270" w:type="pct"/>
            <w:vAlign w:val="center"/>
          </w:tcPr>
          <w:p w14:paraId="7E864D88">
            <w:pPr>
              <w:pStyle w:val="288"/>
              <w:adjustRightInd w:val="0"/>
              <w:snapToGrid w:val="0"/>
              <w:spacing w:line="300" w:lineRule="exact"/>
              <w:rPr>
                <w:rFonts w:hint="eastAsia" w:eastAsia="宋体"/>
                <w:color w:val="auto"/>
              </w:rPr>
            </w:pPr>
            <w:r>
              <w:rPr>
                <w:rFonts w:hint="eastAsia"/>
                <w:color w:val="auto"/>
                <w:sz w:val="22"/>
                <w:szCs w:val="22"/>
              </w:rPr>
              <w:t>600</w:t>
            </w:r>
          </w:p>
        </w:tc>
        <w:tc>
          <w:tcPr>
            <w:tcW w:w="397" w:type="pct"/>
            <w:vAlign w:val="center"/>
          </w:tcPr>
          <w:p w14:paraId="01595B83">
            <w:pPr>
              <w:pStyle w:val="288"/>
              <w:adjustRightInd w:val="0"/>
              <w:snapToGrid w:val="0"/>
              <w:spacing w:line="300" w:lineRule="exact"/>
              <w:rPr>
                <w:rFonts w:hint="eastAsia" w:eastAsia="宋体"/>
                <w:color w:val="auto"/>
              </w:rPr>
            </w:pPr>
            <w:r>
              <w:rPr>
                <w:rFonts w:hint="eastAsia"/>
                <w:color w:val="auto"/>
                <w:sz w:val="22"/>
                <w:szCs w:val="22"/>
              </w:rPr>
              <w:t>0.7306</w:t>
            </w:r>
          </w:p>
        </w:tc>
        <w:tc>
          <w:tcPr>
            <w:tcW w:w="322" w:type="pct"/>
            <w:vAlign w:val="center"/>
          </w:tcPr>
          <w:p w14:paraId="5C1862DE">
            <w:pPr>
              <w:pStyle w:val="288"/>
              <w:adjustRightInd w:val="0"/>
              <w:snapToGrid w:val="0"/>
              <w:spacing w:line="300" w:lineRule="exact"/>
              <w:rPr>
                <w:rFonts w:hint="eastAsia" w:eastAsia="宋体"/>
                <w:color w:val="auto"/>
              </w:rPr>
            </w:pPr>
            <w:r>
              <w:rPr>
                <w:rFonts w:hint="eastAsia"/>
                <w:color w:val="auto"/>
                <w:sz w:val="22"/>
                <w:szCs w:val="22"/>
              </w:rPr>
              <w:t>0.15</w:t>
            </w:r>
          </w:p>
        </w:tc>
        <w:tc>
          <w:tcPr>
            <w:tcW w:w="397" w:type="pct"/>
            <w:vAlign w:val="center"/>
          </w:tcPr>
          <w:p w14:paraId="2E95B3EB">
            <w:pPr>
              <w:pStyle w:val="288"/>
              <w:adjustRightInd w:val="0"/>
              <w:snapToGrid w:val="0"/>
              <w:spacing w:line="300" w:lineRule="exact"/>
              <w:rPr>
                <w:rFonts w:hint="eastAsia" w:eastAsia="宋体"/>
                <w:color w:val="auto"/>
              </w:rPr>
            </w:pPr>
            <w:r>
              <w:rPr>
                <w:rFonts w:hint="eastAsia"/>
                <w:color w:val="auto"/>
                <w:sz w:val="22"/>
                <w:szCs w:val="22"/>
              </w:rPr>
              <w:t>6.9879</w:t>
            </w:r>
          </w:p>
        </w:tc>
        <w:tc>
          <w:tcPr>
            <w:tcW w:w="322" w:type="pct"/>
            <w:vAlign w:val="center"/>
          </w:tcPr>
          <w:p w14:paraId="4024186F">
            <w:pPr>
              <w:pStyle w:val="288"/>
              <w:adjustRightInd w:val="0"/>
              <w:snapToGrid w:val="0"/>
              <w:spacing w:line="300" w:lineRule="exact"/>
              <w:rPr>
                <w:rFonts w:hint="eastAsia" w:eastAsia="宋体"/>
                <w:color w:val="auto"/>
              </w:rPr>
            </w:pPr>
            <w:r>
              <w:rPr>
                <w:rFonts w:hint="eastAsia"/>
                <w:color w:val="auto"/>
                <w:sz w:val="22"/>
                <w:szCs w:val="22"/>
              </w:rPr>
              <w:t>2.8</w:t>
            </w:r>
          </w:p>
        </w:tc>
        <w:tc>
          <w:tcPr>
            <w:tcW w:w="397" w:type="pct"/>
            <w:vAlign w:val="center"/>
          </w:tcPr>
          <w:p w14:paraId="43CA40E7">
            <w:pPr>
              <w:pStyle w:val="288"/>
              <w:adjustRightInd w:val="0"/>
              <w:snapToGrid w:val="0"/>
              <w:spacing w:line="300" w:lineRule="exact"/>
              <w:rPr>
                <w:rFonts w:hint="eastAsia" w:eastAsia="宋体"/>
                <w:color w:val="auto"/>
              </w:rPr>
            </w:pPr>
            <w:r>
              <w:rPr>
                <w:rFonts w:hint="eastAsia"/>
                <w:color w:val="auto"/>
                <w:sz w:val="22"/>
                <w:szCs w:val="22"/>
              </w:rPr>
              <w:t>0.5717</w:t>
            </w:r>
          </w:p>
        </w:tc>
        <w:tc>
          <w:tcPr>
            <w:tcW w:w="317" w:type="pct"/>
            <w:vAlign w:val="center"/>
          </w:tcPr>
          <w:p w14:paraId="4128AAF2">
            <w:pPr>
              <w:pStyle w:val="288"/>
              <w:adjustRightInd w:val="0"/>
              <w:snapToGrid w:val="0"/>
              <w:spacing w:line="300" w:lineRule="exact"/>
              <w:rPr>
                <w:rFonts w:hint="eastAsia" w:eastAsia="宋体"/>
                <w:color w:val="auto"/>
              </w:rPr>
            </w:pPr>
            <w:r>
              <w:rPr>
                <w:rFonts w:hint="eastAsia"/>
                <w:color w:val="auto"/>
                <w:sz w:val="22"/>
                <w:szCs w:val="22"/>
              </w:rPr>
              <w:t>0.06</w:t>
            </w:r>
          </w:p>
        </w:tc>
      </w:tr>
      <w:tr w14:paraId="71CACA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492C52E4">
            <w:pPr>
              <w:pStyle w:val="288"/>
              <w:adjustRightInd w:val="0"/>
              <w:snapToGrid w:val="0"/>
              <w:spacing w:line="300" w:lineRule="exact"/>
              <w:rPr>
                <w:rFonts w:hint="eastAsia" w:eastAsia="宋体"/>
                <w:color w:val="auto"/>
              </w:rPr>
            </w:pPr>
            <w:r>
              <w:rPr>
                <w:rFonts w:hint="eastAsia"/>
                <w:color w:val="auto"/>
                <w:sz w:val="22"/>
                <w:szCs w:val="22"/>
              </w:rPr>
              <w:t>700</w:t>
            </w:r>
          </w:p>
        </w:tc>
        <w:tc>
          <w:tcPr>
            <w:tcW w:w="397" w:type="pct"/>
            <w:vAlign w:val="center"/>
          </w:tcPr>
          <w:p w14:paraId="4474CFB7">
            <w:pPr>
              <w:pStyle w:val="288"/>
              <w:adjustRightInd w:val="0"/>
              <w:snapToGrid w:val="0"/>
              <w:spacing w:line="300" w:lineRule="exact"/>
              <w:rPr>
                <w:rFonts w:hint="eastAsia" w:eastAsia="宋体"/>
                <w:color w:val="auto"/>
              </w:rPr>
            </w:pPr>
            <w:r>
              <w:rPr>
                <w:rFonts w:hint="eastAsia"/>
                <w:color w:val="auto"/>
                <w:sz w:val="22"/>
                <w:szCs w:val="22"/>
              </w:rPr>
              <w:t>1.53</w:t>
            </w:r>
          </w:p>
        </w:tc>
        <w:tc>
          <w:tcPr>
            <w:tcW w:w="388" w:type="pct"/>
            <w:vAlign w:val="center"/>
          </w:tcPr>
          <w:p w14:paraId="505185FB">
            <w:pPr>
              <w:pStyle w:val="288"/>
              <w:adjustRightInd w:val="0"/>
              <w:snapToGrid w:val="0"/>
              <w:spacing w:line="300" w:lineRule="exact"/>
              <w:rPr>
                <w:rFonts w:hint="eastAsia" w:eastAsia="宋体"/>
                <w:color w:val="auto"/>
              </w:rPr>
            </w:pPr>
            <w:r>
              <w:rPr>
                <w:rFonts w:hint="eastAsia"/>
                <w:color w:val="auto"/>
                <w:sz w:val="22"/>
                <w:szCs w:val="22"/>
              </w:rPr>
              <w:t>0.31</w:t>
            </w:r>
          </w:p>
        </w:tc>
        <w:tc>
          <w:tcPr>
            <w:tcW w:w="397" w:type="pct"/>
            <w:vAlign w:val="center"/>
          </w:tcPr>
          <w:p w14:paraId="628DDA9A">
            <w:pPr>
              <w:pStyle w:val="288"/>
              <w:adjustRightInd w:val="0"/>
              <w:snapToGrid w:val="0"/>
              <w:spacing w:line="300" w:lineRule="exact"/>
              <w:rPr>
                <w:rFonts w:hint="eastAsia" w:eastAsia="宋体"/>
                <w:color w:val="auto"/>
              </w:rPr>
            </w:pPr>
            <w:r>
              <w:rPr>
                <w:rFonts w:hint="eastAsia"/>
                <w:color w:val="auto"/>
                <w:sz w:val="22"/>
                <w:szCs w:val="22"/>
              </w:rPr>
              <w:t>14.6348</w:t>
            </w:r>
          </w:p>
        </w:tc>
        <w:tc>
          <w:tcPr>
            <w:tcW w:w="344" w:type="pct"/>
            <w:vAlign w:val="center"/>
          </w:tcPr>
          <w:p w14:paraId="77083FC7">
            <w:pPr>
              <w:pStyle w:val="288"/>
              <w:adjustRightInd w:val="0"/>
              <w:snapToGrid w:val="0"/>
              <w:spacing w:line="300" w:lineRule="exact"/>
              <w:rPr>
                <w:rFonts w:hint="eastAsia" w:eastAsia="宋体"/>
                <w:color w:val="auto"/>
              </w:rPr>
            </w:pPr>
            <w:r>
              <w:rPr>
                <w:rFonts w:hint="eastAsia"/>
                <w:color w:val="auto"/>
                <w:sz w:val="22"/>
                <w:szCs w:val="22"/>
              </w:rPr>
              <w:t>5.85</w:t>
            </w:r>
          </w:p>
        </w:tc>
        <w:tc>
          <w:tcPr>
            <w:tcW w:w="397" w:type="pct"/>
            <w:vAlign w:val="center"/>
          </w:tcPr>
          <w:p w14:paraId="12839C79">
            <w:pPr>
              <w:pStyle w:val="288"/>
              <w:adjustRightInd w:val="0"/>
              <w:snapToGrid w:val="0"/>
              <w:spacing w:line="300" w:lineRule="exact"/>
              <w:rPr>
                <w:rFonts w:hint="eastAsia" w:eastAsia="宋体"/>
                <w:color w:val="auto"/>
              </w:rPr>
            </w:pPr>
            <w:r>
              <w:rPr>
                <w:rFonts w:hint="eastAsia"/>
                <w:color w:val="auto"/>
                <w:sz w:val="22"/>
                <w:szCs w:val="22"/>
              </w:rPr>
              <w:t>1.1974</w:t>
            </w:r>
          </w:p>
        </w:tc>
        <w:tc>
          <w:tcPr>
            <w:tcW w:w="362" w:type="pct"/>
            <w:vAlign w:val="center"/>
          </w:tcPr>
          <w:p w14:paraId="5E168614">
            <w:pPr>
              <w:pStyle w:val="288"/>
              <w:adjustRightInd w:val="0"/>
              <w:snapToGrid w:val="0"/>
              <w:spacing w:line="300" w:lineRule="exact"/>
              <w:rPr>
                <w:rFonts w:hint="eastAsia" w:eastAsia="宋体"/>
                <w:color w:val="auto"/>
              </w:rPr>
            </w:pPr>
            <w:r>
              <w:rPr>
                <w:rFonts w:hint="eastAsia"/>
                <w:color w:val="auto"/>
                <w:sz w:val="22"/>
                <w:szCs w:val="22"/>
              </w:rPr>
              <w:t>0.13</w:t>
            </w:r>
          </w:p>
        </w:tc>
        <w:tc>
          <w:tcPr>
            <w:tcW w:w="270" w:type="pct"/>
            <w:vAlign w:val="center"/>
          </w:tcPr>
          <w:p w14:paraId="212288FB">
            <w:pPr>
              <w:pStyle w:val="288"/>
              <w:adjustRightInd w:val="0"/>
              <w:snapToGrid w:val="0"/>
              <w:spacing w:line="300" w:lineRule="exact"/>
              <w:rPr>
                <w:rFonts w:hint="eastAsia" w:eastAsia="宋体"/>
                <w:color w:val="auto"/>
              </w:rPr>
            </w:pPr>
            <w:r>
              <w:rPr>
                <w:rFonts w:hint="eastAsia"/>
                <w:color w:val="auto"/>
                <w:sz w:val="22"/>
                <w:szCs w:val="22"/>
              </w:rPr>
              <w:t>700</w:t>
            </w:r>
          </w:p>
        </w:tc>
        <w:tc>
          <w:tcPr>
            <w:tcW w:w="397" w:type="pct"/>
            <w:vAlign w:val="center"/>
          </w:tcPr>
          <w:p w14:paraId="44EDC53F">
            <w:pPr>
              <w:pStyle w:val="288"/>
              <w:adjustRightInd w:val="0"/>
              <w:snapToGrid w:val="0"/>
              <w:spacing w:line="300" w:lineRule="exact"/>
              <w:rPr>
                <w:rFonts w:hint="eastAsia" w:eastAsia="宋体"/>
                <w:color w:val="auto"/>
              </w:rPr>
            </w:pPr>
            <w:r>
              <w:rPr>
                <w:rFonts w:hint="eastAsia"/>
                <w:color w:val="auto"/>
                <w:sz w:val="22"/>
                <w:szCs w:val="22"/>
              </w:rPr>
              <w:t>0.6998</w:t>
            </w:r>
          </w:p>
        </w:tc>
        <w:tc>
          <w:tcPr>
            <w:tcW w:w="322" w:type="pct"/>
            <w:vAlign w:val="center"/>
          </w:tcPr>
          <w:p w14:paraId="70B4E756">
            <w:pPr>
              <w:pStyle w:val="288"/>
              <w:adjustRightInd w:val="0"/>
              <w:snapToGrid w:val="0"/>
              <w:spacing w:line="300" w:lineRule="exact"/>
              <w:rPr>
                <w:rFonts w:hint="eastAsia" w:eastAsia="宋体"/>
                <w:color w:val="auto"/>
              </w:rPr>
            </w:pPr>
            <w:r>
              <w:rPr>
                <w:rFonts w:hint="eastAsia"/>
                <w:color w:val="auto"/>
                <w:sz w:val="22"/>
                <w:szCs w:val="22"/>
              </w:rPr>
              <w:t>0.14</w:t>
            </w:r>
          </w:p>
        </w:tc>
        <w:tc>
          <w:tcPr>
            <w:tcW w:w="397" w:type="pct"/>
            <w:vAlign w:val="center"/>
          </w:tcPr>
          <w:p w14:paraId="671BCC32">
            <w:pPr>
              <w:pStyle w:val="288"/>
              <w:adjustRightInd w:val="0"/>
              <w:snapToGrid w:val="0"/>
              <w:spacing w:line="300" w:lineRule="exact"/>
              <w:rPr>
                <w:rFonts w:hint="eastAsia" w:eastAsia="宋体"/>
                <w:color w:val="auto"/>
              </w:rPr>
            </w:pPr>
            <w:r>
              <w:rPr>
                <w:rFonts w:hint="eastAsia"/>
                <w:color w:val="auto"/>
                <w:sz w:val="22"/>
                <w:szCs w:val="22"/>
              </w:rPr>
              <w:t>6.6934</w:t>
            </w:r>
          </w:p>
        </w:tc>
        <w:tc>
          <w:tcPr>
            <w:tcW w:w="322" w:type="pct"/>
            <w:vAlign w:val="center"/>
          </w:tcPr>
          <w:p w14:paraId="3075810B">
            <w:pPr>
              <w:pStyle w:val="288"/>
              <w:adjustRightInd w:val="0"/>
              <w:snapToGrid w:val="0"/>
              <w:spacing w:line="300" w:lineRule="exact"/>
              <w:rPr>
                <w:rFonts w:hint="eastAsia" w:eastAsia="宋体"/>
                <w:color w:val="auto"/>
              </w:rPr>
            </w:pPr>
            <w:r>
              <w:rPr>
                <w:rFonts w:hint="eastAsia"/>
                <w:color w:val="auto"/>
                <w:sz w:val="22"/>
                <w:szCs w:val="22"/>
              </w:rPr>
              <w:t>2.68</w:t>
            </w:r>
          </w:p>
        </w:tc>
        <w:tc>
          <w:tcPr>
            <w:tcW w:w="397" w:type="pct"/>
            <w:vAlign w:val="center"/>
          </w:tcPr>
          <w:p w14:paraId="26E44589">
            <w:pPr>
              <w:pStyle w:val="288"/>
              <w:adjustRightInd w:val="0"/>
              <w:snapToGrid w:val="0"/>
              <w:spacing w:line="300" w:lineRule="exact"/>
              <w:rPr>
                <w:rFonts w:hint="eastAsia" w:eastAsia="宋体"/>
                <w:color w:val="auto"/>
              </w:rPr>
            </w:pPr>
            <w:r>
              <w:rPr>
                <w:rFonts w:hint="eastAsia"/>
                <w:color w:val="auto"/>
                <w:sz w:val="22"/>
                <w:szCs w:val="22"/>
              </w:rPr>
              <w:t>0.5476</w:t>
            </w:r>
          </w:p>
        </w:tc>
        <w:tc>
          <w:tcPr>
            <w:tcW w:w="317" w:type="pct"/>
            <w:vAlign w:val="center"/>
          </w:tcPr>
          <w:p w14:paraId="1E4C57A3">
            <w:pPr>
              <w:pStyle w:val="288"/>
              <w:adjustRightInd w:val="0"/>
              <w:snapToGrid w:val="0"/>
              <w:spacing w:line="300" w:lineRule="exact"/>
              <w:rPr>
                <w:rFonts w:hint="eastAsia" w:eastAsia="宋体"/>
                <w:color w:val="auto"/>
              </w:rPr>
            </w:pPr>
            <w:r>
              <w:rPr>
                <w:rFonts w:hint="eastAsia"/>
                <w:color w:val="auto"/>
                <w:sz w:val="22"/>
                <w:szCs w:val="22"/>
              </w:rPr>
              <w:t>0.06</w:t>
            </w:r>
          </w:p>
        </w:tc>
      </w:tr>
      <w:tr w14:paraId="26521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0BD6CCB9">
            <w:pPr>
              <w:pStyle w:val="288"/>
              <w:adjustRightInd w:val="0"/>
              <w:snapToGrid w:val="0"/>
              <w:spacing w:line="300" w:lineRule="exact"/>
              <w:rPr>
                <w:rFonts w:hint="eastAsia" w:eastAsia="宋体"/>
                <w:color w:val="auto"/>
              </w:rPr>
            </w:pPr>
            <w:r>
              <w:rPr>
                <w:rFonts w:hint="eastAsia"/>
                <w:color w:val="auto"/>
                <w:sz w:val="22"/>
                <w:szCs w:val="22"/>
              </w:rPr>
              <w:t>800</w:t>
            </w:r>
          </w:p>
        </w:tc>
        <w:tc>
          <w:tcPr>
            <w:tcW w:w="397" w:type="pct"/>
            <w:vAlign w:val="center"/>
          </w:tcPr>
          <w:p w14:paraId="4A788FBA">
            <w:pPr>
              <w:pStyle w:val="288"/>
              <w:adjustRightInd w:val="0"/>
              <w:snapToGrid w:val="0"/>
              <w:spacing w:line="300" w:lineRule="exact"/>
              <w:rPr>
                <w:rFonts w:hint="eastAsia" w:eastAsia="宋体"/>
                <w:color w:val="auto"/>
              </w:rPr>
            </w:pPr>
            <w:r>
              <w:rPr>
                <w:rFonts w:hint="eastAsia"/>
                <w:color w:val="auto"/>
                <w:sz w:val="22"/>
                <w:szCs w:val="22"/>
              </w:rPr>
              <w:t>1.4859</w:t>
            </w:r>
          </w:p>
        </w:tc>
        <w:tc>
          <w:tcPr>
            <w:tcW w:w="388" w:type="pct"/>
            <w:vAlign w:val="center"/>
          </w:tcPr>
          <w:p w14:paraId="0E2EA718">
            <w:pPr>
              <w:pStyle w:val="288"/>
              <w:adjustRightInd w:val="0"/>
              <w:snapToGrid w:val="0"/>
              <w:spacing w:line="300" w:lineRule="exact"/>
              <w:rPr>
                <w:rFonts w:hint="eastAsia" w:eastAsia="宋体"/>
                <w:color w:val="auto"/>
              </w:rPr>
            </w:pPr>
            <w:r>
              <w:rPr>
                <w:rFonts w:hint="eastAsia"/>
                <w:color w:val="auto"/>
                <w:sz w:val="22"/>
                <w:szCs w:val="22"/>
              </w:rPr>
              <w:t>0.3</w:t>
            </w:r>
          </w:p>
        </w:tc>
        <w:tc>
          <w:tcPr>
            <w:tcW w:w="397" w:type="pct"/>
            <w:vAlign w:val="center"/>
          </w:tcPr>
          <w:p w14:paraId="2ECCF300">
            <w:pPr>
              <w:pStyle w:val="288"/>
              <w:adjustRightInd w:val="0"/>
              <w:snapToGrid w:val="0"/>
              <w:spacing w:line="300" w:lineRule="exact"/>
              <w:rPr>
                <w:rFonts w:hint="eastAsia" w:eastAsia="宋体"/>
                <w:color w:val="auto"/>
              </w:rPr>
            </w:pPr>
            <w:r>
              <w:rPr>
                <w:rFonts w:hint="eastAsia"/>
                <w:color w:val="auto"/>
                <w:sz w:val="22"/>
                <w:szCs w:val="22"/>
              </w:rPr>
              <w:t>14.213</w:t>
            </w:r>
          </w:p>
        </w:tc>
        <w:tc>
          <w:tcPr>
            <w:tcW w:w="344" w:type="pct"/>
            <w:vAlign w:val="center"/>
          </w:tcPr>
          <w:p w14:paraId="07931215">
            <w:pPr>
              <w:pStyle w:val="288"/>
              <w:adjustRightInd w:val="0"/>
              <w:snapToGrid w:val="0"/>
              <w:spacing w:line="300" w:lineRule="exact"/>
              <w:rPr>
                <w:rFonts w:hint="eastAsia" w:eastAsia="宋体"/>
                <w:color w:val="auto"/>
              </w:rPr>
            </w:pPr>
            <w:r>
              <w:rPr>
                <w:rFonts w:hint="eastAsia"/>
                <w:color w:val="auto"/>
                <w:sz w:val="22"/>
                <w:szCs w:val="22"/>
              </w:rPr>
              <w:t>5.69</w:t>
            </w:r>
          </w:p>
        </w:tc>
        <w:tc>
          <w:tcPr>
            <w:tcW w:w="397" w:type="pct"/>
            <w:vAlign w:val="center"/>
          </w:tcPr>
          <w:p w14:paraId="30296341">
            <w:pPr>
              <w:pStyle w:val="288"/>
              <w:adjustRightInd w:val="0"/>
              <w:snapToGrid w:val="0"/>
              <w:spacing w:line="300" w:lineRule="exact"/>
              <w:rPr>
                <w:rFonts w:hint="eastAsia" w:eastAsia="宋体"/>
                <w:color w:val="auto"/>
              </w:rPr>
            </w:pPr>
            <w:r>
              <w:rPr>
                <w:rFonts w:hint="eastAsia"/>
                <w:color w:val="auto"/>
                <w:sz w:val="22"/>
                <w:szCs w:val="22"/>
              </w:rPr>
              <w:t>1.1629</w:t>
            </w:r>
          </w:p>
        </w:tc>
        <w:tc>
          <w:tcPr>
            <w:tcW w:w="362" w:type="pct"/>
            <w:vAlign w:val="center"/>
          </w:tcPr>
          <w:p w14:paraId="3ED19439">
            <w:pPr>
              <w:pStyle w:val="288"/>
              <w:adjustRightInd w:val="0"/>
              <w:snapToGrid w:val="0"/>
              <w:spacing w:line="300" w:lineRule="exact"/>
              <w:rPr>
                <w:rFonts w:hint="eastAsia" w:eastAsia="宋体"/>
                <w:color w:val="auto"/>
              </w:rPr>
            </w:pPr>
            <w:r>
              <w:rPr>
                <w:rFonts w:hint="eastAsia"/>
                <w:color w:val="auto"/>
                <w:sz w:val="22"/>
                <w:szCs w:val="22"/>
              </w:rPr>
              <w:t>0.13</w:t>
            </w:r>
          </w:p>
        </w:tc>
        <w:tc>
          <w:tcPr>
            <w:tcW w:w="270" w:type="pct"/>
            <w:vAlign w:val="center"/>
          </w:tcPr>
          <w:p w14:paraId="09301FDC">
            <w:pPr>
              <w:pStyle w:val="288"/>
              <w:adjustRightInd w:val="0"/>
              <w:snapToGrid w:val="0"/>
              <w:spacing w:line="300" w:lineRule="exact"/>
              <w:rPr>
                <w:rFonts w:hint="eastAsia" w:eastAsia="宋体"/>
                <w:color w:val="auto"/>
              </w:rPr>
            </w:pPr>
            <w:r>
              <w:rPr>
                <w:rFonts w:hint="eastAsia"/>
                <w:color w:val="auto"/>
                <w:sz w:val="22"/>
                <w:szCs w:val="22"/>
              </w:rPr>
              <w:t>800</w:t>
            </w:r>
          </w:p>
        </w:tc>
        <w:tc>
          <w:tcPr>
            <w:tcW w:w="397" w:type="pct"/>
            <w:vAlign w:val="center"/>
          </w:tcPr>
          <w:p w14:paraId="1642E389">
            <w:pPr>
              <w:pStyle w:val="288"/>
              <w:adjustRightInd w:val="0"/>
              <w:snapToGrid w:val="0"/>
              <w:spacing w:line="300" w:lineRule="exact"/>
              <w:rPr>
                <w:rFonts w:hint="eastAsia" w:eastAsia="宋体"/>
                <w:color w:val="auto"/>
              </w:rPr>
            </w:pPr>
            <w:r>
              <w:rPr>
                <w:rFonts w:hint="eastAsia"/>
                <w:color w:val="auto"/>
                <w:sz w:val="22"/>
                <w:szCs w:val="22"/>
              </w:rPr>
              <w:t>0.671</w:t>
            </w:r>
          </w:p>
        </w:tc>
        <w:tc>
          <w:tcPr>
            <w:tcW w:w="322" w:type="pct"/>
            <w:vAlign w:val="center"/>
          </w:tcPr>
          <w:p w14:paraId="1F1FC37B">
            <w:pPr>
              <w:pStyle w:val="288"/>
              <w:adjustRightInd w:val="0"/>
              <w:snapToGrid w:val="0"/>
              <w:spacing w:line="300" w:lineRule="exact"/>
              <w:rPr>
                <w:rFonts w:hint="eastAsia" w:eastAsia="宋体"/>
                <w:color w:val="auto"/>
              </w:rPr>
            </w:pPr>
            <w:r>
              <w:rPr>
                <w:rFonts w:hint="eastAsia"/>
                <w:color w:val="auto"/>
                <w:sz w:val="22"/>
                <w:szCs w:val="22"/>
              </w:rPr>
              <w:t>0.13</w:t>
            </w:r>
          </w:p>
        </w:tc>
        <w:tc>
          <w:tcPr>
            <w:tcW w:w="397" w:type="pct"/>
            <w:vAlign w:val="center"/>
          </w:tcPr>
          <w:p w14:paraId="209B0ED1">
            <w:pPr>
              <w:pStyle w:val="288"/>
              <w:adjustRightInd w:val="0"/>
              <w:snapToGrid w:val="0"/>
              <w:spacing w:line="300" w:lineRule="exact"/>
              <w:rPr>
                <w:rFonts w:hint="eastAsia" w:eastAsia="宋体"/>
                <w:color w:val="auto"/>
              </w:rPr>
            </w:pPr>
            <w:r>
              <w:rPr>
                <w:rFonts w:hint="eastAsia"/>
                <w:color w:val="auto"/>
                <w:sz w:val="22"/>
                <w:szCs w:val="22"/>
              </w:rPr>
              <w:t>6.4186</w:t>
            </w:r>
          </w:p>
        </w:tc>
        <w:tc>
          <w:tcPr>
            <w:tcW w:w="322" w:type="pct"/>
            <w:vAlign w:val="center"/>
          </w:tcPr>
          <w:p w14:paraId="77942630">
            <w:pPr>
              <w:pStyle w:val="288"/>
              <w:adjustRightInd w:val="0"/>
              <w:snapToGrid w:val="0"/>
              <w:spacing w:line="300" w:lineRule="exact"/>
              <w:rPr>
                <w:rFonts w:hint="eastAsia" w:eastAsia="宋体"/>
                <w:color w:val="auto"/>
              </w:rPr>
            </w:pPr>
            <w:r>
              <w:rPr>
                <w:rFonts w:hint="eastAsia"/>
                <w:color w:val="auto"/>
                <w:sz w:val="22"/>
                <w:szCs w:val="22"/>
              </w:rPr>
              <w:t>2.57</w:t>
            </w:r>
          </w:p>
        </w:tc>
        <w:tc>
          <w:tcPr>
            <w:tcW w:w="397" w:type="pct"/>
            <w:vAlign w:val="center"/>
          </w:tcPr>
          <w:p w14:paraId="0989FD78">
            <w:pPr>
              <w:pStyle w:val="288"/>
              <w:adjustRightInd w:val="0"/>
              <w:snapToGrid w:val="0"/>
              <w:spacing w:line="300" w:lineRule="exact"/>
              <w:rPr>
                <w:rFonts w:hint="eastAsia" w:eastAsia="宋体"/>
                <w:color w:val="auto"/>
              </w:rPr>
            </w:pPr>
            <w:r>
              <w:rPr>
                <w:rFonts w:hint="eastAsia"/>
                <w:color w:val="auto"/>
                <w:sz w:val="22"/>
                <w:szCs w:val="22"/>
              </w:rPr>
              <w:t>0.5252</w:t>
            </w:r>
          </w:p>
        </w:tc>
        <w:tc>
          <w:tcPr>
            <w:tcW w:w="317" w:type="pct"/>
            <w:vAlign w:val="center"/>
          </w:tcPr>
          <w:p w14:paraId="0DCDAC27">
            <w:pPr>
              <w:pStyle w:val="288"/>
              <w:adjustRightInd w:val="0"/>
              <w:snapToGrid w:val="0"/>
              <w:spacing w:line="300" w:lineRule="exact"/>
              <w:rPr>
                <w:rFonts w:hint="eastAsia" w:eastAsia="宋体"/>
                <w:color w:val="auto"/>
              </w:rPr>
            </w:pPr>
            <w:r>
              <w:rPr>
                <w:rFonts w:hint="eastAsia"/>
                <w:color w:val="auto"/>
                <w:sz w:val="22"/>
                <w:szCs w:val="22"/>
              </w:rPr>
              <w:t>0.06</w:t>
            </w:r>
          </w:p>
        </w:tc>
      </w:tr>
      <w:tr w14:paraId="0739FE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36AB17B5">
            <w:pPr>
              <w:pStyle w:val="288"/>
              <w:adjustRightInd w:val="0"/>
              <w:snapToGrid w:val="0"/>
              <w:spacing w:line="300" w:lineRule="exact"/>
              <w:rPr>
                <w:rFonts w:hint="eastAsia" w:eastAsia="宋体"/>
                <w:color w:val="auto"/>
              </w:rPr>
            </w:pPr>
            <w:r>
              <w:rPr>
                <w:rFonts w:hint="eastAsia"/>
                <w:color w:val="auto"/>
                <w:sz w:val="22"/>
                <w:szCs w:val="22"/>
              </w:rPr>
              <w:t>900</w:t>
            </w:r>
          </w:p>
        </w:tc>
        <w:tc>
          <w:tcPr>
            <w:tcW w:w="397" w:type="pct"/>
            <w:vAlign w:val="center"/>
          </w:tcPr>
          <w:p w14:paraId="5CB93A4B">
            <w:pPr>
              <w:pStyle w:val="288"/>
              <w:adjustRightInd w:val="0"/>
              <w:snapToGrid w:val="0"/>
              <w:spacing w:line="300" w:lineRule="exact"/>
              <w:rPr>
                <w:rFonts w:hint="eastAsia" w:eastAsia="宋体"/>
                <w:color w:val="auto"/>
              </w:rPr>
            </w:pPr>
            <w:r>
              <w:rPr>
                <w:rFonts w:hint="eastAsia"/>
                <w:color w:val="auto"/>
                <w:sz w:val="22"/>
                <w:szCs w:val="22"/>
              </w:rPr>
              <w:t>1.4379</w:t>
            </w:r>
          </w:p>
        </w:tc>
        <w:tc>
          <w:tcPr>
            <w:tcW w:w="388" w:type="pct"/>
            <w:vAlign w:val="center"/>
          </w:tcPr>
          <w:p w14:paraId="48FE2A49">
            <w:pPr>
              <w:pStyle w:val="288"/>
              <w:adjustRightInd w:val="0"/>
              <w:snapToGrid w:val="0"/>
              <w:spacing w:line="300" w:lineRule="exact"/>
              <w:rPr>
                <w:rFonts w:hint="eastAsia" w:eastAsia="宋体"/>
                <w:color w:val="auto"/>
              </w:rPr>
            </w:pPr>
            <w:r>
              <w:rPr>
                <w:rFonts w:hint="eastAsia"/>
                <w:color w:val="auto"/>
                <w:sz w:val="22"/>
                <w:szCs w:val="22"/>
              </w:rPr>
              <w:t>0.29</w:t>
            </w:r>
          </w:p>
        </w:tc>
        <w:tc>
          <w:tcPr>
            <w:tcW w:w="397" w:type="pct"/>
            <w:vAlign w:val="center"/>
          </w:tcPr>
          <w:p w14:paraId="59A90098">
            <w:pPr>
              <w:pStyle w:val="288"/>
              <w:adjustRightInd w:val="0"/>
              <w:snapToGrid w:val="0"/>
              <w:spacing w:line="300" w:lineRule="exact"/>
              <w:rPr>
                <w:rFonts w:hint="eastAsia" w:eastAsia="宋体"/>
                <w:color w:val="auto"/>
              </w:rPr>
            </w:pPr>
            <w:r>
              <w:rPr>
                <w:rFonts w:hint="eastAsia"/>
                <w:color w:val="auto"/>
                <w:sz w:val="22"/>
                <w:szCs w:val="22"/>
              </w:rPr>
              <w:t>13.7538</w:t>
            </w:r>
          </w:p>
        </w:tc>
        <w:tc>
          <w:tcPr>
            <w:tcW w:w="344" w:type="pct"/>
            <w:vAlign w:val="center"/>
          </w:tcPr>
          <w:p w14:paraId="4388AB66">
            <w:pPr>
              <w:pStyle w:val="288"/>
              <w:adjustRightInd w:val="0"/>
              <w:snapToGrid w:val="0"/>
              <w:spacing w:line="300" w:lineRule="exact"/>
              <w:rPr>
                <w:rFonts w:hint="eastAsia" w:eastAsia="宋体"/>
                <w:color w:val="auto"/>
              </w:rPr>
            </w:pPr>
            <w:r>
              <w:rPr>
                <w:rFonts w:hint="eastAsia"/>
                <w:color w:val="auto"/>
                <w:sz w:val="22"/>
                <w:szCs w:val="22"/>
              </w:rPr>
              <w:t>5.5</w:t>
            </w:r>
          </w:p>
        </w:tc>
        <w:tc>
          <w:tcPr>
            <w:tcW w:w="397" w:type="pct"/>
            <w:vAlign w:val="center"/>
          </w:tcPr>
          <w:p w14:paraId="6D243C46">
            <w:pPr>
              <w:pStyle w:val="288"/>
              <w:adjustRightInd w:val="0"/>
              <w:snapToGrid w:val="0"/>
              <w:spacing w:line="300" w:lineRule="exact"/>
              <w:rPr>
                <w:rFonts w:hint="eastAsia" w:eastAsia="宋体"/>
                <w:color w:val="auto"/>
              </w:rPr>
            </w:pPr>
            <w:r>
              <w:rPr>
                <w:rFonts w:hint="eastAsia"/>
                <w:color w:val="auto"/>
                <w:sz w:val="22"/>
                <w:szCs w:val="22"/>
              </w:rPr>
              <w:t>1.1253</w:t>
            </w:r>
          </w:p>
        </w:tc>
        <w:tc>
          <w:tcPr>
            <w:tcW w:w="362" w:type="pct"/>
            <w:vAlign w:val="center"/>
          </w:tcPr>
          <w:p w14:paraId="22292991">
            <w:pPr>
              <w:pStyle w:val="288"/>
              <w:adjustRightInd w:val="0"/>
              <w:snapToGrid w:val="0"/>
              <w:spacing w:line="300" w:lineRule="exact"/>
              <w:rPr>
                <w:rFonts w:hint="eastAsia" w:eastAsia="宋体"/>
                <w:color w:val="auto"/>
              </w:rPr>
            </w:pPr>
            <w:r>
              <w:rPr>
                <w:rFonts w:hint="eastAsia"/>
                <w:color w:val="auto"/>
                <w:sz w:val="22"/>
                <w:szCs w:val="22"/>
              </w:rPr>
              <w:t>0.13</w:t>
            </w:r>
          </w:p>
        </w:tc>
        <w:tc>
          <w:tcPr>
            <w:tcW w:w="270" w:type="pct"/>
            <w:vAlign w:val="center"/>
          </w:tcPr>
          <w:p w14:paraId="202C54F4">
            <w:pPr>
              <w:pStyle w:val="288"/>
              <w:adjustRightInd w:val="0"/>
              <w:snapToGrid w:val="0"/>
              <w:spacing w:line="300" w:lineRule="exact"/>
              <w:rPr>
                <w:rFonts w:hint="eastAsia" w:eastAsia="宋体"/>
                <w:color w:val="auto"/>
              </w:rPr>
            </w:pPr>
            <w:r>
              <w:rPr>
                <w:rFonts w:hint="eastAsia"/>
                <w:color w:val="auto"/>
                <w:sz w:val="22"/>
                <w:szCs w:val="22"/>
              </w:rPr>
              <w:t>900</w:t>
            </w:r>
          </w:p>
        </w:tc>
        <w:tc>
          <w:tcPr>
            <w:tcW w:w="397" w:type="pct"/>
            <w:vAlign w:val="center"/>
          </w:tcPr>
          <w:p w14:paraId="5FC3CDBC">
            <w:pPr>
              <w:pStyle w:val="288"/>
              <w:adjustRightInd w:val="0"/>
              <w:snapToGrid w:val="0"/>
              <w:spacing w:line="300" w:lineRule="exact"/>
              <w:rPr>
                <w:rFonts w:hint="eastAsia" w:eastAsia="宋体"/>
                <w:color w:val="auto"/>
              </w:rPr>
            </w:pPr>
            <w:r>
              <w:rPr>
                <w:rFonts w:hint="eastAsia"/>
                <w:color w:val="auto"/>
                <w:sz w:val="22"/>
                <w:szCs w:val="22"/>
              </w:rPr>
              <w:t>0.6443</w:t>
            </w:r>
          </w:p>
        </w:tc>
        <w:tc>
          <w:tcPr>
            <w:tcW w:w="322" w:type="pct"/>
            <w:vAlign w:val="center"/>
          </w:tcPr>
          <w:p w14:paraId="75B88EDE">
            <w:pPr>
              <w:pStyle w:val="288"/>
              <w:adjustRightInd w:val="0"/>
              <w:snapToGrid w:val="0"/>
              <w:spacing w:line="300" w:lineRule="exact"/>
              <w:rPr>
                <w:rFonts w:hint="eastAsia" w:eastAsia="宋体"/>
                <w:color w:val="auto"/>
              </w:rPr>
            </w:pPr>
            <w:r>
              <w:rPr>
                <w:rFonts w:hint="eastAsia"/>
                <w:color w:val="auto"/>
                <w:sz w:val="22"/>
                <w:szCs w:val="22"/>
              </w:rPr>
              <w:t>0.13</w:t>
            </w:r>
          </w:p>
        </w:tc>
        <w:tc>
          <w:tcPr>
            <w:tcW w:w="397" w:type="pct"/>
            <w:vAlign w:val="center"/>
          </w:tcPr>
          <w:p w14:paraId="444DD83A">
            <w:pPr>
              <w:pStyle w:val="288"/>
              <w:adjustRightInd w:val="0"/>
              <w:snapToGrid w:val="0"/>
              <w:spacing w:line="300" w:lineRule="exact"/>
              <w:rPr>
                <w:rFonts w:hint="eastAsia" w:eastAsia="宋体"/>
                <w:color w:val="auto"/>
              </w:rPr>
            </w:pPr>
            <w:r>
              <w:rPr>
                <w:rFonts w:hint="eastAsia"/>
                <w:color w:val="auto"/>
                <w:sz w:val="22"/>
                <w:szCs w:val="22"/>
              </w:rPr>
              <w:t>6.1631</w:t>
            </w:r>
          </w:p>
        </w:tc>
        <w:tc>
          <w:tcPr>
            <w:tcW w:w="322" w:type="pct"/>
            <w:vAlign w:val="center"/>
          </w:tcPr>
          <w:p w14:paraId="796D1364">
            <w:pPr>
              <w:pStyle w:val="288"/>
              <w:adjustRightInd w:val="0"/>
              <w:snapToGrid w:val="0"/>
              <w:spacing w:line="300" w:lineRule="exact"/>
              <w:rPr>
                <w:rFonts w:hint="eastAsia" w:eastAsia="宋体"/>
                <w:color w:val="auto"/>
              </w:rPr>
            </w:pPr>
            <w:r>
              <w:rPr>
                <w:rFonts w:hint="eastAsia"/>
                <w:color w:val="auto"/>
                <w:sz w:val="22"/>
                <w:szCs w:val="22"/>
              </w:rPr>
              <w:t>2.47</w:t>
            </w:r>
          </w:p>
        </w:tc>
        <w:tc>
          <w:tcPr>
            <w:tcW w:w="397" w:type="pct"/>
            <w:vAlign w:val="center"/>
          </w:tcPr>
          <w:p w14:paraId="688DD9DD">
            <w:pPr>
              <w:pStyle w:val="288"/>
              <w:adjustRightInd w:val="0"/>
              <w:snapToGrid w:val="0"/>
              <w:spacing w:line="300" w:lineRule="exact"/>
              <w:rPr>
                <w:rFonts w:hint="eastAsia" w:eastAsia="宋体"/>
                <w:color w:val="auto"/>
              </w:rPr>
            </w:pPr>
            <w:r>
              <w:rPr>
                <w:rFonts w:hint="eastAsia"/>
                <w:color w:val="auto"/>
                <w:sz w:val="22"/>
                <w:szCs w:val="22"/>
              </w:rPr>
              <w:t>0.5043</w:t>
            </w:r>
          </w:p>
        </w:tc>
        <w:tc>
          <w:tcPr>
            <w:tcW w:w="317" w:type="pct"/>
            <w:vAlign w:val="center"/>
          </w:tcPr>
          <w:p w14:paraId="24EBDAEA">
            <w:pPr>
              <w:pStyle w:val="288"/>
              <w:adjustRightInd w:val="0"/>
              <w:snapToGrid w:val="0"/>
              <w:spacing w:line="300" w:lineRule="exact"/>
              <w:rPr>
                <w:rFonts w:hint="eastAsia" w:eastAsia="宋体"/>
                <w:color w:val="auto"/>
              </w:rPr>
            </w:pPr>
            <w:r>
              <w:rPr>
                <w:rFonts w:hint="eastAsia"/>
                <w:color w:val="auto"/>
                <w:sz w:val="22"/>
                <w:szCs w:val="22"/>
              </w:rPr>
              <w:t>0.06</w:t>
            </w:r>
          </w:p>
        </w:tc>
      </w:tr>
      <w:tr w14:paraId="35EF66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56E556E1">
            <w:pPr>
              <w:pStyle w:val="288"/>
              <w:adjustRightInd w:val="0"/>
              <w:snapToGrid w:val="0"/>
              <w:spacing w:line="300" w:lineRule="exact"/>
              <w:rPr>
                <w:rFonts w:hint="eastAsia" w:eastAsia="宋体"/>
                <w:color w:val="auto"/>
              </w:rPr>
            </w:pPr>
            <w:r>
              <w:rPr>
                <w:rFonts w:hint="eastAsia"/>
                <w:color w:val="auto"/>
                <w:sz w:val="22"/>
                <w:szCs w:val="22"/>
              </w:rPr>
              <w:t>1000</w:t>
            </w:r>
          </w:p>
        </w:tc>
        <w:tc>
          <w:tcPr>
            <w:tcW w:w="397" w:type="pct"/>
            <w:vAlign w:val="center"/>
          </w:tcPr>
          <w:p w14:paraId="3742E289">
            <w:pPr>
              <w:pStyle w:val="288"/>
              <w:adjustRightInd w:val="0"/>
              <w:snapToGrid w:val="0"/>
              <w:spacing w:line="300" w:lineRule="exact"/>
              <w:rPr>
                <w:rFonts w:hint="eastAsia" w:eastAsia="宋体"/>
                <w:color w:val="auto"/>
              </w:rPr>
            </w:pPr>
            <w:r>
              <w:rPr>
                <w:rFonts w:hint="eastAsia"/>
                <w:color w:val="auto"/>
                <w:sz w:val="22"/>
                <w:szCs w:val="22"/>
              </w:rPr>
              <w:t>1.3876</w:t>
            </w:r>
          </w:p>
        </w:tc>
        <w:tc>
          <w:tcPr>
            <w:tcW w:w="388" w:type="pct"/>
            <w:vAlign w:val="center"/>
          </w:tcPr>
          <w:p w14:paraId="1BF971B8">
            <w:pPr>
              <w:pStyle w:val="288"/>
              <w:adjustRightInd w:val="0"/>
              <w:snapToGrid w:val="0"/>
              <w:spacing w:line="300" w:lineRule="exact"/>
              <w:rPr>
                <w:rFonts w:hint="eastAsia" w:eastAsia="宋体"/>
                <w:color w:val="auto"/>
              </w:rPr>
            </w:pPr>
            <w:r>
              <w:rPr>
                <w:rFonts w:hint="eastAsia"/>
                <w:color w:val="auto"/>
                <w:sz w:val="22"/>
                <w:szCs w:val="22"/>
              </w:rPr>
              <w:t>0.28</w:t>
            </w:r>
          </w:p>
        </w:tc>
        <w:tc>
          <w:tcPr>
            <w:tcW w:w="397" w:type="pct"/>
            <w:vAlign w:val="center"/>
          </w:tcPr>
          <w:p w14:paraId="4B8C726A">
            <w:pPr>
              <w:pStyle w:val="288"/>
              <w:adjustRightInd w:val="0"/>
              <w:snapToGrid w:val="0"/>
              <w:spacing w:line="300" w:lineRule="exact"/>
              <w:rPr>
                <w:rFonts w:hint="eastAsia" w:eastAsia="宋体"/>
                <w:color w:val="auto"/>
              </w:rPr>
            </w:pPr>
            <w:r>
              <w:rPr>
                <w:rFonts w:hint="eastAsia"/>
                <w:color w:val="auto"/>
                <w:sz w:val="22"/>
                <w:szCs w:val="22"/>
              </w:rPr>
              <w:t>13.2727</w:t>
            </w:r>
          </w:p>
        </w:tc>
        <w:tc>
          <w:tcPr>
            <w:tcW w:w="344" w:type="pct"/>
            <w:vAlign w:val="center"/>
          </w:tcPr>
          <w:p w14:paraId="660E2CCA">
            <w:pPr>
              <w:pStyle w:val="288"/>
              <w:adjustRightInd w:val="0"/>
              <w:snapToGrid w:val="0"/>
              <w:spacing w:line="300" w:lineRule="exact"/>
              <w:rPr>
                <w:rFonts w:hint="eastAsia" w:eastAsia="宋体"/>
                <w:color w:val="auto"/>
              </w:rPr>
            </w:pPr>
            <w:r>
              <w:rPr>
                <w:rFonts w:hint="eastAsia"/>
                <w:color w:val="auto"/>
                <w:sz w:val="22"/>
                <w:szCs w:val="22"/>
              </w:rPr>
              <w:t>5.31</w:t>
            </w:r>
          </w:p>
        </w:tc>
        <w:tc>
          <w:tcPr>
            <w:tcW w:w="397" w:type="pct"/>
            <w:vAlign w:val="center"/>
          </w:tcPr>
          <w:p w14:paraId="48D92AE2">
            <w:pPr>
              <w:pStyle w:val="288"/>
              <w:adjustRightInd w:val="0"/>
              <w:snapToGrid w:val="0"/>
              <w:spacing w:line="300" w:lineRule="exact"/>
              <w:rPr>
                <w:rFonts w:hint="eastAsia" w:eastAsia="宋体"/>
                <w:color w:val="auto"/>
              </w:rPr>
            </w:pPr>
            <w:r>
              <w:rPr>
                <w:rFonts w:hint="eastAsia"/>
                <w:color w:val="auto"/>
                <w:sz w:val="22"/>
                <w:szCs w:val="22"/>
              </w:rPr>
              <w:t>1.0859</w:t>
            </w:r>
          </w:p>
        </w:tc>
        <w:tc>
          <w:tcPr>
            <w:tcW w:w="362" w:type="pct"/>
            <w:vAlign w:val="center"/>
          </w:tcPr>
          <w:p w14:paraId="4E4EF059">
            <w:pPr>
              <w:pStyle w:val="288"/>
              <w:adjustRightInd w:val="0"/>
              <w:snapToGrid w:val="0"/>
              <w:spacing w:line="300" w:lineRule="exact"/>
              <w:rPr>
                <w:rFonts w:hint="eastAsia" w:eastAsia="宋体"/>
                <w:color w:val="auto"/>
              </w:rPr>
            </w:pPr>
            <w:r>
              <w:rPr>
                <w:rFonts w:hint="eastAsia"/>
                <w:color w:val="auto"/>
                <w:sz w:val="22"/>
                <w:szCs w:val="22"/>
              </w:rPr>
              <w:t>0.12</w:t>
            </w:r>
          </w:p>
        </w:tc>
        <w:tc>
          <w:tcPr>
            <w:tcW w:w="270" w:type="pct"/>
            <w:vAlign w:val="center"/>
          </w:tcPr>
          <w:p w14:paraId="456774C7">
            <w:pPr>
              <w:pStyle w:val="288"/>
              <w:adjustRightInd w:val="0"/>
              <w:snapToGrid w:val="0"/>
              <w:spacing w:line="300" w:lineRule="exact"/>
              <w:rPr>
                <w:rFonts w:hint="eastAsia" w:eastAsia="宋体"/>
                <w:color w:val="auto"/>
              </w:rPr>
            </w:pPr>
            <w:r>
              <w:rPr>
                <w:rFonts w:hint="eastAsia"/>
                <w:color w:val="auto"/>
                <w:sz w:val="22"/>
                <w:szCs w:val="22"/>
              </w:rPr>
              <w:t>1000</w:t>
            </w:r>
          </w:p>
        </w:tc>
        <w:tc>
          <w:tcPr>
            <w:tcW w:w="397" w:type="pct"/>
            <w:vAlign w:val="center"/>
          </w:tcPr>
          <w:p w14:paraId="2CF7C618">
            <w:pPr>
              <w:pStyle w:val="288"/>
              <w:adjustRightInd w:val="0"/>
              <w:snapToGrid w:val="0"/>
              <w:spacing w:line="300" w:lineRule="exact"/>
              <w:rPr>
                <w:rFonts w:hint="eastAsia" w:eastAsia="宋体"/>
                <w:color w:val="auto"/>
              </w:rPr>
            </w:pPr>
            <w:r>
              <w:rPr>
                <w:rFonts w:hint="eastAsia"/>
                <w:color w:val="auto"/>
                <w:sz w:val="22"/>
                <w:szCs w:val="22"/>
              </w:rPr>
              <w:t>0.6192</w:t>
            </w:r>
          </w:p>
        </w:tc>
        <w:tc>
          <w:tcPr>
            <w:tcW w:w="322" w:type="pct"/>
            <w:vAlign w:val="center"/>
          </w:tcPr>
          <w:p w14:paraId="38774B5B">
            <w:pPr>
              <w:pStyle w:val="288"/>
              <w:adjustRightInd w:val="0"/>
              <w:snapToGrid w:val="0"/>
              <w:spacing w:line="300" w:lineRule="exact"/>
              <w:rPr>
                <w:rFonts w:hint="eastAsia" w:eastAsia="宋体"/>
                <w:color w:val="auto"/>
              </w:rPr>
            </w:pPr>
            <w:r>
              <w:rPr>
                <w:rFonts w:hint="eastAsia"/>
                <w:color w:val="auto"/>
                <w:sz w:val="22"/>
                <w:szCs w:val="22"/>
              </w:rPr>
              <w:t>0.12</w:t>
            </w:r>
          </w:p>
        </w:tc>
        <w:tc>
          <w:tcPr>
            <w:tcW w:w="397" w:type="pct"/>
            <w:vAlign w:val="center"/>
          </w:tcPr>
          <w:p w14:paraId="5392A438">
            <w:pPr>
              <w:pStyle w:val="288"/>
              <w:adjustRightInd w:val="0"/>
              <w:snapToGrid w:val="0"/>
              <w:spacing w:line="300" w:lineRule="exact"/>
              <w:rPr>
                <w:rFonts w:hint="eastAsia" w:eastAsia="宋体"/>
                <w:color w:val="auto"/>
              </w:rPr>
            </w:pPr>
            <w:r>
              <w:rPr>
                <w:rFonts w:hint="eastAsia"/>
                <w:color w:val="auto"/>
                <w:sz w:val="22"/>
                <w:szCs w:val="22"/>
              </w:rPr>
              <w:t>5.9228</w:t>
            </w:r>
          </w:p>
        </w:tc>
        <w:tc>
          <w:tcPr>
            <w:tcW w:w="322" w:type="pct"/>
            <w:vAlign w:val="center"/>
          </w:tcPr>
          <w:p w14:paraId="3BB2E118">
            <w:pPr>
              <w:pStyle w:val="288"/>
              <w:adjustRightInd w:val="0"/>
              <w:snapToGrid w:val="0"/>
              <w:spacing w:line="300" w:lineRule="exact"/>
              <w:rPr>
                <w:rFonts w:hint="eastAsia" w:eastAsia="宋体"/>
                <w:color w:val="auto"/>
              </w:rPr>
            </w:pPr>
            <w:r>
              <w:rPr>
                <w:rFonts w:hint="eastAsia"/>
                <w:color w:val="auto"/>
                <w:sz w:val="22"/>
                <w:szCs w:val="22"/>
              </w:rPr>
              <w:t>2.37</w:t>
            </w:r>
          </w:p>
        </w:tc>
        <w:tc>
          <w:tcPr>
            <w:tcW w:w="397" w:type="pct"/>
            <w:vAlign w:val="center"/>
          </w:tcPr>
          <w:p w14:paraId="58722D02">
            <w:pPr>
              <w:pStyle w:val="288"/>
              <w:adjustRightInd w:val="0"/>
              <w:snapToGrid w:val="0"/>
              <w:spacing w:line="300" w:lineRule="exact"/>
              <w:rPr>
                <w:rFonts w:hint="eastAsia" w:eastAsia="宋体"/>
                <w:color w:val="auto"/>
              </w:rPr>
            </w:pPr>
            <w:r>
              <w:rPr>
                <w:rFonts w:hint="eastAsia"/>
                <w:color w:val="auto"/>
                <w:sz w:val="22"/>
                <w:szCs w:val="22"/>
              </w:rPr>
              <w:t>0.4846</w:t>
            </w:r>
          </w:p>
        </w:tc>
        <w:tc>
          <w:tcPr>
            <w:tcW w:w="317" w:type="pct"/>
            <w:vAlign w:val="center"/>
          </w:tcPr>
          <w:p w14:paraId="2F359705">
            <w:pPr>
              <w:pStyle w:val="288"/>
              <w:adjustRightInd w:val="0"/>
              <w:snapToGrid w:val="0"/>
              <w:spacing w:line="300" w:lineRule="exact"/>
              <w:rPr>
                <w:rFonts w:hint="eastAsia" w:eastAsia="宋体"/>
                <w:color w:val="auto"/>
              </w:rPr>
            </w:pPr>
            <w:r>
              <w:rPr>
                <w:rFonts w:hint="eastAsia"/>
                <w:color w:val="auto"/>
                <w:sz w:val="22"/>
                <w:szCs w:val="22"/>
              </w:rPr>
              <w:t>0.05</w:t>
            </w:r>
          </w:p>
        </w:tc>
      </w:tr>
      <w:tr w14:paraId="47BA77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3C4A3A80">
            <w:pPr>
              <w:pStyle w:val="288"/>
              <w:adjustRightInd w:val="0"/>
              <w:snapToGrid w:val="0"/>
              <w:spacing w:line="300" w:lineRule="exact"/>
              <w:rPr>
                <w:rFonts w:hint="eastAsia" w:eastAsia="宋体"/>
                <w:color w:val="auto"/>
              </w:rPr>
            </w:pPr>
            <w:r>
              <w:rPr>
                <w:rFonts w:hint="eastAsia"/>
                <w:color w:val="auto"/>
                <w:sz w:val="22"/>
                <w:szCs w:val="22"/>
              </w:rPr>
              <w:t>1500</w:t>
            </w:r>
          </w:p>
        </w:tc>
        <w:tc>
          <w:tcPr>
            <w:tcW w:w="397" w:type="pct"/>
            <w:vAlign w:val="center"/>
          </w:tcPr>
          <w:p w14:paraId="06B310E7">
            <w:pPr>
              <w:pStyle w:val="288"/>
              <w:adjustRightInd w:val="0"/>
              <w:snapToGrid w:val="0"/>
              <w:spacing w:line="300" w:lineRule="exact"/>
              <w:rPr>
                <w:rFonts w:hint="eastAsia" w:eastAsia="宋体"/>
                <w:color w:val="auto"/>
              </w:rPr>
            </w:pPr>
            <w:r>
              <w:rPr>
                <w:rFonts w:hint="eastAsia"/>
                <w:color w:val="auto"/>
                <w:sz w:val="22"/>
                <w:szCs w:val="22"/>
              </w:rPr>
              <w:t>1.1546</w:t>
            </w:r>
          </w:p>
        </w:tc>
        <w:tc>
          <w:tcPr>
            <w:tcW w:w="388" w:type="pct"/>
            <w:vAlign w:val="center"/>
          </w:tcPr>
          <w:p w14:paraId="1E9C1D93">
            <w:pPr>
              <w:pStyle w:val="288"/>
              <w:adjustRightInd w:val="0"/>
              <w:snapToGrid w:val="0"/>
              <w:spacing w:line="300" w:lineRule="exact"/>
              <w:rPr>
                <w:rFonts w:hint="eastAsia" w:eastAsia="宋体"/>
                <w:color w:val="auto"/>
              </w:rPr>
            </w:pPr>
            <w:r>
              <w:rPr>
                <w:rFonts w:hint="eastAsia"/>
                <w:color w:val="auto"/>
                <w:sz w:val="22"/>
                <w:szCs w:val="22"/>
              </w:rPr>
              <w:t>0.23</w:t>
            </w:r>
          </w:p>
        </w:tc>
        <w:tc>
          <w:tcPr>
            <w:tcW w:w="397" w:type="pct"/>
            <w:vAlign w:val="center"/>
          </w:tcPr>
          <w:p w14:paraId="662757F5">
            <w:pPr>
              <w:pStyle w:val="288"/>
              <w:adjustRightInd w:val="0"/>
              <w:snapToGrid w:val="0"/>
              <w:spacing w:line="300" w:lineRule="exact"/>
              <w:rPr>
                <w:rFonts w:hint="eastAsia" w:eastAsia="宋体"/>
                <w:color w:val="auto"/>
              </w:rPr>
            </w:pPr>
            <w:r>
              <w:rPr>
                <w:rFonts w:hint="eastAsia"/>
                <w:color w:val="auto"/>
                <w:sz w:val="22"/>
                <w:szCs w:val="22"/>
              </w:rPr>
              <w:t>11.044</w:t>
            </w:r>
          </w:p>
        </w:tc>
        <w:tc>
          <w:tcPr>
            <w:tcW w:w="344" w:type="pct"/>
            <w:vAlign w:val="center"/>
          </w:tcPr>
          <w:p w14:paraId="0E663DC1">
            <w:pPr>
              <w:pStyle w:val="288"/>
              <w:adjustRightInd w:val="0"/>
              <w:snapToGrid w:val="0"/>
              <w:spacing w:line="300" w:lineRule="exact"/>
              <w:rPr>
                <w:rFonts w:hint="eastAsia" w:eastAsia="宋体"/>
                <w:color w:val="auto"/>
              </w:rPr>
            </w:pPr>
            <w:r>
              <w:rPr>
                <w:rFonts w:hint="eastAsia"/>
                <w:color w:val="auto"/>
                <w:sz w:val="22"/>
                <w:szCs w:val="22"/>
              </w:rPr>
              <w:t>4.42</w:t>
            </w:r>
          </w:p>
        </w:tc>
        <w:tc>
          <w:tcPr>
            <w:tcW w:w="397" w:type="pct"/>
            <w:vAlign w:val="center"/>
          </w:tcPr>
          <w:p w14:paraId="035BD03C">
            <w:pPr>
              <w:pStyle w:val="288"/>
              <w:adjustRightInd w:val="0"/>
              <w:snapToGrid w:val="0"/>
              <w:spacing w:line="300" w:lineRule="exact"/>
              <w:rPr>
                <w:rFonts w:hint="eastAsia" w:eastAsia="宋体"/>
                <w:color w:val="auto"/>
              </w:rPr>
            </w:pPr>
            <w:r>
              <w:rPr>
                <w:rFonts w:hint="eastAsia"/>
                <w:color w:val="auto"/>
                <w:sz w:val="22"/>
                <w:szCs w:val="22"/>
              </w:rPr>
              <w:t>0.9036</w:t>
            </w:r>
          </w:p>
        </w:tc>
        <w:tc>
          <w:tcPr>
            <w:tcW w:w="362" w:type="pct"/>
            <w:vAlign w:val="center"/>
          </w:tcPr>
          <w:p w14:paraId="74504D55">
            <w:pPr>
              <w:pStyle w:val="288"/>
              <w:adjustRightInd w:val="0"/>
              <w:snapToGrid w:val="0"/>
              <w:spacing w:line="300" w:lineRule="exact"/>
              <w:rPr>
                <w:rFonts w:hint="eastAsia" w:eastAsia="宋体"/>
                <w:color w:val="auto"/>
              </w:rPr>
            </w:pPr>
            <w:r>
              <w:rPr>
                <w:rFonts w:hint="eastAsia"/>
                <w:color w:val="auto"/>
                <w:sz w:val="22"/>
                <w:szCs w:val="22"/>
              </w:rPr>
              <w:t>0.1</w:t>
            </w:r>
          </w:p>
        </w:tc>
        <w:tc>
          <w:tcPr>
            <w:tcW w:w="270" w:type="pct"/>
            <w:vAlign w:val="center"/>
          </w:tcPr>
          <w:p w14:paraId="47B3B748">
            <w:pPr>
              <w:pStyle w:val="288"/>
              <w:adjustRightInd w:val="0"/>
              <w:snapToGrid w:val="0"/>
              <w:spacing w:line="300" w:lineRule="exact"/>
              <w:rPr>
                <w:rFonts w:hint="eastAsia" w:eastAsia="宋体"/>
                <w:color w:val="auto"/>
              </w:rPr>
            </w:pPr>
            <w:r>
              <w:rPr>
                <w:rFonts w:hint="eastAsia"/>
                <w:color w:val="auto"/>
                <w:sz w:val="22"/>
                <w:szCs w:val="22"/>
              </w:rPr>
              <w:t>1500</w:t>
            </w:r>
          </w:p>
        </w:tc>
        <w:tc>
          <w:tcPr>
            <w:tcW w:w="397" w:type="pct"/>
            <w:vAlign w:val="center"/>
          </w:tcPr>
          <w:p w14:paraId="548B134E">
            <w:pPr>
              <w:pStyle w:val="288"/>
              <w:adjustRightInd w:val="0"/>
              <w:snapToGrid w:val="0"/>
              <w:spacing w:line="300" w:lineRule="exact"/>
              <w:rPr>
                <w:rFonts w:hint="eastAsia" w:eastAsia="宋体"/>
                <w:color w:val="auto"/>
              </w:rPr>
            </w:pPr>
            <w:r>
              <w:rPr>
                <w:rFonts w:hint="eastAsia"/>
                <w:color w:val="auto"/>
                <w:sz w:val="22"/>
                <w:szCs w:val="22"/>
              </w:rPr>
              <w:t>0.5151</w:t>
            </w:r>
          </w:p>
        </w:tc>
        <w:tc>
          <w:tcPr>
            <w:tcW w:w="322" w:type="pct"/>
            <w:vAlign w:val="center"/>
          </w:tcPr>
          <w:p w14:paraId="7670827B">
            <w:pPr>
              <w:pStyle w:val="288"/>
              <w:adjustRightInd w:val="0"/>
              <w:snapToGrid w:val="0"/>
              <w:spacing w:line="300" w:lineRule="exact"/>
              <w:rPr>
                <w:rFonts w:hint="eastAsia" w:eastAsia="宋体"/>
                <w:color w:val="auto"/>
              </w:rPr>
            </w:pPr>
            <w:r>
              <w:rPr>
                <w:rFonts w:hint="eastAsia"/>
                <w:color w:val="auto"/>
                <w:sz w:val="22"/>
                <w:szCs w:val="22"/>
              </w:rPr>
              <w:t>0.1</w:t>
            </w:r>
          </w:p>
        </w:tc>
        <w:tc>
          <w:tcPr>
            <w:tcW w:w="397" w:type="pct"/>
            <w:vAlign w:val="center"/>
          </w:tcPr>
          <w:p w14:paraId="554A9F25">
            <w:pPr>
              <w:pStyle w:val="288"/>
              <w:adjustRightInd w:val="0"/>
              <w:snapToGrid w:val="0"/>
              <w:spacing w:line="300" w:lineRule="exact"/>
              <w:rPr>
                <w:rFonts w:hint="eastAsia" w:eastAsia="宋体"/>
                <w:color w:val="auto"/>
              </w:rPr>
            </w:pPr>
            <w:r>
              <w:rPr>
                <w:rFonts w:hint="eastAsia"/>
                <w:color w:val="auto"/>
                <w:sz w:val="22"/>
                <w:szCs w:val="22"/>
              </w:rPr>
              <w:t>4.9267</w:t>
            </w:r>
          </w:p>
        </w:tc>
        <w:tc>
          <w:tcPr>
            <w:tcW w:w="322" w:type="pct"/>
            <w:vAlign w:val="center"/>
          </w:tcPr>
          <w:p w14:paraId="2AC82F07">
            <w:pPr>
              <w:pStyle w:val="288"/>
              <w:adjustRightInd w:val="0"/>
              <w:snapToGrid w:val="0"/>
              <w:spacing w:line="300" w:lineRule="exact"/>
              <w:rPr>
                <w:rFonts w:hint="eastAsia" w:eastAsia="宋体"/>
                <w:color w:val="auto"/>
              </w:rPr>
            </w:pPr>
            <w:r>
              <w:rPr>
                <w:rFonts w:hint="eastAsia"/>
                <w:color w:val="auto"/>
                <w:sz w:val="22"/>
                <w:szCs w:val="22"/>
              </w:rPr>
              <w:t>1.97</w:t>
            </w:r>
          </w:p>
        </w:tc>
        <w:tc>
          <w:tcPr>
            <w:tcW w:w="397" w:type="pct"/>
            <w:vAlign w:val="center"/>
          </w:tcPr>
          <w:p w14:paraId="5CC0D830">
            <w:pPr>
              <w:pStyle w:val="288"/>
              <w:adjustRightInd w:val="0"/>
              <w:snapToGrid w:val="0"/>
              <w:spacing w:line="300" w:lineRule="exact"/>
              <w:rPr>
                <w:rFonts w:hint="eastAsia" w:eastAsia="宋体"/>
                <w:color w:val="auto"/>
              </w:rPr>
            </w:pPr>
            <w:r>
              <w:rPr>
                <w:rFonts w:hint="eastAsia"/>
                <w:color w:val="auto"/>
                <w:sz w:val="22"/>
                <w:szCs w:val="22"/>
              </w:rPr>
              <w:t>0.4031</w:t>
            </w:r>
          </w:p>
        </w:tc>
        <w:tc>
          <w:tcPr>
            <w:tcW w:w="317" w:type="pct"/>
            <w:vAlign w:val="center"/>
          </w:tcPr>
          <w:p w14:paraId="6D328F90">
            <w:pPr>
              <w:pStyle w:val="288"/>
              <w:adjustRightInd w:val="0"/>
              <w:snapToGrid w:val="0"/>
              <w:spacing w:line="300" w:lineRule="exact"/>
              <w:rPr>
                <w:rFonts w:hint="eastAsia" w:eastAsia="宋体"/>
                <w:color w:val="auto"/>
              </w:rPr>
            </w:pPr>
            <w:r>
              <w:rPr>
                <w:rFonts w:hint="eastAsia"/>
                <w:color w:val="auto"/>
                <w:sz w:val="22"/>
                <w:szCs w:val="22"/>
              </w:rPr>
              <w:t>0.04</w:t>
            </w:r>
          </w:p>
        </w:tc>
      </w:tr>
      <w:tr w14:paraId="5423A1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577DE0D6">
            <w:pPr>
              <w:pStyle w:val="288"/>
              <w:adjustRightInd w:val="0"/>
              <w:snapToGrid w:val="0"/>
              <w:spacing w:line="300" w:lineRule="exact"/>
              <w:rPr>
                <w:rFonts w:hint="eastAsia" w:eastAsia="宋体"/>
                <w:color w:val="auto"/>
              </w:rPr>
            </w:pPr>
            <w:r>
              <w:rPr>
                <w:rFonts w:hint="eastAsia"/>
                <w:color w:val="auto"/>
                <w:sz w:val="22"/>
                <w:szCs w:val="22"/>
              </w:rPr>
              <w:t>2000</w:t>
            </w:r>
          </w:p>
        </w:tc>
        <w:tc>
          <w:tcPr>
            <w:tcW w:w="397" w:type="pct"/>
            <w:vAlign w:val="center"/>
          </w:tcPr>
          <w:p w14:paraId="132764FC">
            <w:pPr>
              <w:pStyle w:val="288"/>
              <w:adjustRightInd w:val="0"/>
              <w:snapToGrid w:val="0"/>
              <w:spacing w:line="300" w:lineRule="exact"/>
              <w:rPr>
                <w:rFonts w:hint="eastAsia" w:eastAsia="宋体"/>
                <w:color w:val="auto"/>
              </w:rPr>
            </w:pPr>
            <w:r>
              <w:rPr>
                <w:rFonts w:hint="eastAsia"/>
                <w:color w:val="auto"/>
                <w:sz w:val="22"/>
                <w:szCs w:val="22"/>
              </w:rPr>
              <w:t>0.9735</w:t>
            </w:r>
          </w:p>
        </w:tc>
        <w:tc>
          <w:tcPr>
            <w:tcW w:w="388" w:type="pct"/>
            <w:vAlign w:val="center"/>
          </w:tcPr>
          <w:p w14:paraId="6959D8F5">
            <w:pPr>
              <w:pStyle w:val="288"/>
              <w:adjustRightInd w:val="0"/>
              <w:snapToGrid w:val="0"/>
              <w:spacing w:line="300" w:lineRule="exact"/>
              <w:rPr>
                <w:rFonts w:hint="eastAsia" w:eastAsia="宋体"/>
                <w:color w:val="auto"/>
              </w:rPr>
            </w:pPr>
            <w:r>
              <w:rPr>
                <w:rFonts w:hint="eastAsia"/>
                <w:color w:val="auto"/>
                <w:sz w:val="22"/>
                <w:szCs w:val="22"/>
              </w:rPr>
              <w:t>0.19</w:t>
            </w:r>
          </w:p>
        </w:tc>
        <w:tc>
          <w:tcPr>
            <w:tcW w:w="397" w:type="pct"/>
            <w:vAlign w:val="center"/>
          </w:tcPr>
          <w:p w14:paraId="36E51ECC">
            <w:pPr>
              <w:pStyle w:val="288"/>
              <w:adjustRightInd w:val="0"/>
              <w:snapToGrid w:val="0"/>
              <w:spacing w:line="300" w:lineRule="exact"/>
              <w:rPr>
                <w:rFonts w:hint="eastAsia" w:eastAsia="宋体"/>
                <w:color w:val="auto"/>
              </w:rPr>
            </w:pPr>
            <w:r>
              <w:rPr>
                <w:rFonts w:hint="eastAsia"/>
                <w:color w:val="auto"/>
                <w:sz w:val="22"/>
                <w:szCs w:val="22"/>
              </w:rPr>
              <w:t>9.3115</w:t>
            </w:r>
          </w:p>
        </w:tc>
        <w:tc>
          <w:tcPr>
            <w:tcW w:w="344" w:type="pct"/>
            <w:vAlign w:val="center"/>
          </w:tcPr>
          <w:p w14:paraId="0EDB5240">
            <w:pPr>
              <w:pStyle w:val="288"/>
              <w:adjustRightInd w:val="0"/>
              <w:snapToGrid w:val="0"/>
              <w:spacing w:line="300" w:lineRule="exact"/>
              <w:rPr>
                <w:rFonts w:hint="eastAsia" w:eastAsia="宋体"/>
                <w:color w:val="auto"/>
              </w:rPr>
            </w:pPr>
            <w:r>
              <w:rPr>
                <w:rFonts w:hint="eastAsia"/>
                <w:color w:val="auto"/>
                <w:sz w:val="22"/>
                <w:szCs w:val="22"/>
              </w:rPr>
              <w:t>3.72</w:t>
            </w:r>
          </w:p>
        </w:tc>
        <w:tc>
          <w:tcPr>
            <w:tcW w:w="397" w:type="pct"/>
            <w:vAlign w:val="center"/>
          </w:tcPr>
          <w:p w14:paraId="0EEF286F">
            <w:pPr>
              <w:pStyle w:val="288"/>
              <w:adjustRightInd w:val="0"/>
              <w:snapToGrid w:val="0"/>
              <w:spacing w:line="300" w:lineRule="exact"/>
              <w:rPr>
                <w:rFonts w:hint="eastAsia" w:eastAsia="宋体"/>
                <w:color w:val="auto"/>
              </w:rPr>
            </w:pPr>
            <w:r>
              <w:rPr>
                <w:rFonts w:hint="eastAsia"/>
                <w:color w:val="auto"/>
                <w:sz w:val="22"/>
                <w:szCs w:val="22"/>
              </w:rPr>
              <w:t>0.7619</w:t>
            </w:r>
          </w:p>
        </w:tc>
        <w:tc>
          <w:tcPr>
            <w:tcW w:w="362" w:type="pct"/>
            <w:vAlign w:val="center"/>
          </w:tcPr>
          <w:p w14:paraId="07EEF33C">
            <w:pPr>
              <w:pStyle w:val="288"/>
              <w:adjustRightInd w:val="0"/>
              <w:snapToGrid w:val="0"/>
              <w:spacing w:line="300" w:lineRule="exact"/>
              <w:rPr>
                <w:rFonts w:hint="eastAsia" w:eastAsia="宋体"/>
                <w:color w:val="auto"/>
              </w:rPr>
            </w:pPr>
            <w:r>
              <w:rPr>
                <w:rFonts w:hint="eastAsia"/>
                <w:color w:val="auto"/>
                <w:sz w:val="22"/>
                <w:szCs w:val="22"/>
              </w:rPr>
              <w:t>0.08</w:t>
            </w:r>
          </w:p>
        </w:tc>
        <w:tc>
          <w:tcPr>
            <w:tcW w:w="270" w:type="pct"/>
            <w:vAlign w:val="center"/>
          </w:tcPr>
          <w:p w14:paraId="74F5EE28">
            <w:pPr>
              <w:pStyle w:val="288"/>
              <w:adjustRightInd w:val="0"/>
              <w:snapToGrid w:val="0"/>
              <w:spacing w:line="300" w:lineRule="exact"/>
              <w:rPr>
                <w:rFonts w:hint="eastAsia" w:eastAsia="宋体"/>
                <w:color w:val="auto"/>
              </w:rPr>
            </w:pPr>
            <w:r>
              <w:rPr>
                <w:rFonts w:hint="eastAsia"/>
                <w:color w:val="auto"/>
                <w:sz w:val="22"/>
                <w:szCs w:val="22"/>
              </w:rPr>
              <w:t>2000</w:t>
            </w:r>
          </w:p>
        </w:tc>
        <w:tc>
          <w:tcPr>
            <w:tcW w:w="397" w:type="pct"/>
            <w:vAlign w:val="center"/>
          </w:tcPr>
          <w:p w14:paraId="19BE5890">
            <w:pPr>
              <w:pStyle w:val="288"/>
              <w:adjustRightInd w:val="0"/>
              <w:snapToGrid w:val="0"/>
              <w:spacing w:line="300" w:lineRule="exact"/>
              <w:rPr>
                <w:rFonts w:hint="eastAsia" w:eastAsia="宋体"/>
                <w:color w:val="auto"/>
              </w:rPr>
            </w:pPr>
            <w:r>
              <w:rPr>
                <w:rFonts w:hint="eastAsia"/>
                <w:color w:val="auto"/>
                <w:sz w:val="22"/>
                <w:szCs w:val="22"/>
              </w:rPr>
              <w:t>0.4376</w:t>
            </w:r>
          </w:p>
        </w:tc>
        <w:tc>
          <w:tcPr>
            <w:tcW w:w="322" w:type="pct"/>
            <w:vAlign w:val="center"/>
          </w:tcPr>
          <w:p w14:paraId="365852AC">
            <w:pPr>
              <w:pStyle w:val="288"/>
              <w:adjustRightInd w:val="0"/>
              <w:snapToGrid w:val="0"/>
              <w:spacing w:line="300" w:lineRule="exact"/>
              <w:rPr>
                <w:rFonts w:hint="eastAsia" w:eastAsia="宋体"/>
                <w:color w:val="auto"/>
              </w:rPr>
            </w:pPr>
            <w:r>
              <w:rPr>
                <w:rFonts w:hint="eastAsia"/>
                <w:color w:val="auto"/>
                <w:sz w:val="22"/>
                <w:szCs w:val="22"/>
              </w:rPr>
              <w:t>0.09</w:t>
            </w:r>
          </w:p>
        </w:tc>
        <w:tc>
          <w:tcPr>
            <w:tcW w:w="397" w:type="pct"/>
            <w:vAlign w:val="center"/>
          </w:tcPr>
          <w:p w14:paraId="75685976">
            <w:pPr>
              <w:pStyle w:val="288"/>
              <w:adjustRightInd w:val="0"/>
              <w:snapToGrid w:val="0"/>
              <w:spacing w:line="300" w:lineRule="exact"/>
              <w:rPr>
                <w:rFonts w:hint="eastAsia" w:eastAsia="宋体"/>
                <w:color w:val="auto"/>
              </w:rPr>
            </w:pPr>
            <w:r>
              <w:rPr>
                <w:rFonts w:hint="eastAsia"/>
                <w:color w:val="auto"/>
                <w:sz w:val="22"/>
                <w:szCs w:val="22"/>
              </w:rPr>
              <w:t>4.1853</w:t>
            </w:r>
          </w:p>
        </w:tc>
        <w:tc>
          <w:tcPr>
            <w:tcW w:w="322" w:type="pct"/>
            <w:vAlign w:val="center"/>
          </w:tcPr>
          <w:p w14:paraId="3F3D00EC">
            <w:pPr>
              <w:pStyle w:val="288"/>
              <w:adjustRightInd w:val="0"/>
              <w:snapToGrid w:val="0"/>
              <w:spacing w:line="300" w:lineRule="exact"/>
              <w:rPr>
                <w:rFonts w:hint="eastAsia" w:eastAsia="宋体"/>
                <w:color w:val="auto"/>
              </w:rPr>
            </w:pPr>
            <w:r>
              <w:rPr>
                <w:rFonts w:hint="eastAsia"/>
                <w:color w:val="auto"/>
                <w:sz w:val="22"/>
                <w:szCs w:val="22"/>
              </w:rPr>
              <w:t>1.67</w:t>
            </w:r>
          </w:p>
        </w:tc>
        <w:tc>
          <w:tcPr>
            <w:tcW w:w="397" w:type="pct"/>
            <w:vAlign w:val="center"/>
          </w:tcPr>
          <w:p w14:paraId="22593DB8">
            <w:pPr>
              <w:pStyle w:val="288"/>
              <w:adjustRightInd w:val="0"/>
              <w:snapToGrid w:val="0"/>
              <w:spacing w:line="300" w:lineRule="exact"/>
              <w:rPr>
                <w:rFonts w:hint="eastAsia" w:eastAsia="宋体"/>
                <w:color w:val="auto"/>
              </w:rPr>
            </w:pPr>
            <w:r>
              <w:rPr>
                <w:rFonts w:hint="eastAsia"/>
                <w:color w:val="auto"/>
                <w:sz w:val="22"/>
                <w:szCs w:val="22"/>
              </w:rPr>
              <w:t>0.3424</w:t>
            </w:r>
          </w:p>
        </w:tc>
        <w:tc>
          <w:tcPr>
            <w:tcW w:w="317" w:type="pct"/>
            <w:vAlign w:val="center"/>
          </w:tcPr>
          <w:p w14:paraId="54A18978">
            <w:pPr>
              <w:pStyle w:val="288"/>
              <w:adjustRightInd w:val="0"/>
              <w:snapToGrid w:val="0"/>
              <w:spacing w:line="300" w:lineRule="exact"/>
              <w:rPr>
                <w:rFonts w:hint="eastAsia" w:eastAsia="宋体"/>
                <w:color w:val="auto"/>
              </w:rPr>
            </w:pPr>
            <w:r>
              <w:rPr>
                <w:rFonts w:hint="eastAsia"/>
                <w:color w:val="auto"/>
                <w:sz w:val="22"/>
                <w:szCs w:val="22"/>
              </w:rPr>
              <w:t>0.04</w:t>
            </w:r>
          </w:p>
        </w:tc>
      </w:tr>
      <w:tr w14:paraId="2094FD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75F0DA18">
            <w:pPr>
              <w:pStyle w:val="288"/>
              <w:adjustRightInd w:val="0"/>
              <w:snapToGrid w:val="0"/>
              <w:spacing w:line="300" w:lineRule="exact"/>
              <w:rPr>
                <w:rFonts w:hint="eastAsia" w:eastAsia="宋体"/>
                <w:color w:val="auto"/>
              </w:rPr>
            </w:pPr>
            <w:r>
              <w:rPr>
                <w:rFonts w:hint="eastAsia"/>
                <w:color w:val="auto"/>
                <w:sz w:val="22"/>
                <w:szCs w:val="22"/>
              </w:rPr>
              <w:t>2500</w:t>
            </w:r>
          </w:p>
        </w:tc>
        <w:tc>
          <w:tcPr>
            <w:tcW w:w="397" w:type="pct"/>
            <w:vAlign w:val="center"/>
          </w:tcPr>
          <w:p w14:paraId="33EBCEF8">
            <w:pPr>
              <w:pStyle w:val="288"/>
              <w:adjustRightInd w:val="0"/>
              <w:snapToGrid w:val="0"/>
              <w:spacing w:line="300" w:lineRule="exact"/>
              <w:rPr>
                <w:rFonts w:hint="eastAsia" w:eastAsia="宋体"/>
                <w:color w:val="auto"/>
              </w:rPr>
            </w:pPr>
            <w:r>
              <w:rPr>
                <w:rFonts w:hint="eastAsia"/>
                <w:color w:val="auto"/>
                <w:sz w:val="22"/>
                <w:szCs w:val="22"/>
              </w:rPr>
              <w:t>0.8443</w:t>
            </w:r>
          </w:p>
        </w:tc>
        <w:tc>
          <w:tcPr>
            <w:tcW w:w="388" w:type="pct"/>
            <w:vAlign w:val="center"/>
          </w:tcPr>
          <w:p w14:paraId="786FCA7F">
            <w:pPr>
              <w:pStyle w:val="288"/>
              <w:adjustRightInd w:val="0"/>
              <w:snapToGrid w:val="0"/>
              <w:spacing w:line="300" w:lineRule="exact"/>
              <w:rPr>
                <w:rFonts w:hint="eastAsia" w:eastAsia="宋体"/>
                <w:color w:val="auto"/>
              </w:rPr>
            </w:pPr>
            <w:r>
              <w:rPr>
                <w:rFonts w:hint="eastAsia"/>
                <w:color w:val="auto"/>
                <w:sz w:val="22"/>
                <w:szCs w:val="22"/>
              </w:rPr>
              <w:t>0.17</w:t>
            </w:r>
          </w:p>
        </w:tc>
        <w:tc>
          <w:tcPr>
            <w:tcW w:w="397" w:type="pct"/>
            <w:vAlign w:val="center"/>
          </w:tcPr>
          <w:p w14:paraId="73B85222">
            <w:pPr>
              <w:pStyle w:val="288"/>
              <w:adjustRightInd w:val="0"/>
              <w:snapToGrid w:val="0"/>
              <w:spacing w:line="300" w:lineRule="exact"/>
              <w:rPr>
                <w:rFonts w:hint="eastAsia" w:eastAsia="宋体"/>
                <w:color w:val="auto"/>
              </w:rPr>
            </w:pPr>
            <w:r>
              <w:rPr>
                <w:rFonts w:hint="eastAsia"/>
                <w:color w:val="auto"/>
                <w:sz w:val="22"/>
                <w:szCs w:val="22"/>
              </w:rPr>
              <w:t>8.0759</w:t>
            </w:r>
          </w:p>
        </w:tc>
        <w:tc>
          <w:tcPr>
            <w:tcW w:w="344" w:type="pct"/>
            <w:vAlign w:val="center"/>
          </w:tcPr>
          <w:p w14:paraId="0133E70E">
            <w:pPr>
              <w:pStyle w:val="288"/>
              <w:adjustRightInd w:val="0"/>
              <w:snapToGrid w:val="0"/>
              <w:spacing w:line="300" w:lineRule="exact"/>
              <w:rPr>
                <w:rFonts w:hint="eastAsia" w:eastAsia="宋体"/>
                <w:color w:val="auto"/>
              </w:rPr>
            </w:pPr>
            <w:r>
              <w:rPr>
                <w:rFonts w:hint="eastAsia"/>
                <w:color w:val="auto"/>
                <w:sz w:val="22"/>
                <w:szCs w:val="22"/>
              </w:rPr>
              <w:t>3.23</w:t>
            </w:r>
          </w:p>
        </w:tc>
        <w:tc>
          <w:tcPr>
            <w:tcW w:w="397" w:type="pct"/>
            <w:vAlign w:val="center"/>
          </w:tcPr>
          <w:p w14:paraId="3F33AB93">
            <w:pPr>
              <w:pStyle w:val="288"/>
              <w:adjustRightInd w:val="0"/>
              <w:snapToGrid w:val="0"/>
              <w:spacing w:line="300" w:lineRule="exact"/>
              <w:rPr>
                <w:rFonts w:hint="eastAsia" w:eastAsia="宋体"/>
                <w:color w:val="auto"/>
              </w:rPr>
            </w:pPr>
            <w:r>
              <w:rPr>
                <w:rFonts w:hint="eastAsia"/>
                <w:color w:val="auto"/>
                <w:sz w:val="22"/>
                <w:szCs w:val="22"/>
              </w:rPr>
              <w:t>0.6608</w:t>
            </w:r>
          </w:p>
        </w:tc>
        <w:tc>
          <w:tcPr>
            <w:tcW w:w="362" w:type="pct"/>
            <w:vAlign w:val="center"/>
          </w:tcPr>
          <w:p w14:paraId="3C49F5AE">
            <w:pPr>
              <w:pStyle w:val="288"/>
              <w:adjustRightInd w:val="0"/>
              <w:snapToGrid w:val="0"/>
              <w:spacing w:line="300" w:lineRule="exact"/>
              <w:rPr>
                <w:rFonts w:hint="eastAsia" w:eastAsia="宋体"/>
                <w:color w:val="auto"/>
              </w:rPr>
            </w:pPr>
            <w:r>
              <w:rPr>
                <w:rFonts w:hint="eastAsia"/>
                <w:color w:val="auto"/>
                <w:sz w:val="22"/>
                <w:szCs w:val="22"/>
              </w:rPr>
              <w:t>0.07</w:t>
            </w:r>
          </w:p>
        </w:tc>
        <w:tc>
          <w:tcPr>
            <w:tcW w:w="270" w:type="pct"/>
            <w:vAlign w:val="center"/>
          </w:tcPr>
          <w:p w14:paraId="7C62D9E4">
            <w:pPr>
              <w:pStyle w:val="288"/>
              <w:adjustRightInd w:val="0"/>
              <w:snapToGrid w:val="0"/>
              <w:spacing w:line="300" w:lineRule="exact"/>
              <w:rPr>
                <w:rFonts w:hint="eastAsia" w:eastAsia="宋体"/>
                <w:color w:val="auto"/>
              </w:rPr>
            </w:pPr>
            <w:r>
              <w:rPr>
                <w:rFonts w:hint="eastAsia"/>
                <w:color w:val="auto"/>
                <w:sz w:val="22"/>
                <w:szCs w:val="22"/>
              </w:rPr>
              <w:t>2500</w:t>
            </w:r>
          </w:p>
        </w:tc>
        <w:tc>
          <w:tcPr>
            <w:tcW w:w="397" w:type="pct"/>
            <w:vAlign w:val="center"/>
          </w:tcPr>
          <w:p w14:paraId="774DFD2E">
            <w:pPr>
              <w:pStyle w:val="288"/>
              <w:adjustRightInd w:val="0"/>
              <w:snapToGrid w:val="0"/>
              <w:spacing w:line="300" w:lineRule="exact"/>
              <w:rPr>
                <w:rFonts w:hint="eastAsia" w:eastAsia="宋体"/>
                <w:color w:val="auto"/>
              </w:rPr>
            </w:pPr>
            <w:r>
              <w:rPr>
                <w:rFonts w:hint="eastAsia"/>
                <w:color w:val="auto"/>
                <w:sz w:val="22"/>
                <w:szCs w:val="22"/>
              </w:rPr>
              <w:t>0.3783</w:t>
            </w:r>
          </w:p>
        </w:tc>
        <w:tc>
          <w:tcPr>
            <w:tcW w:w="322" w:type="pct"/>
            <w:vAlign w:val="center"/>
          </w:tcPr>
          <w:p w14:paraId="05F6C992">
            <w:pPr>
              <w:pStyle w:val="288"/>
              <w:adjustRightInd w:val="0"/>
              <w:snapToGrid w:val="0"/>
              <w:spacing w:line="300" w:lineRule="exact"/>
              <w:rPr>
                <w:rFonts w:hint="eastAsia" w:eastAsia="宋体"/>
                <w:color w:val="auto"/>
              </w:rPr>
            </w:pPr>
            <w:r>
              <w:rPr>
                <w:rFonts w:hint="eastAsia"/>
                <w:color w:val="auto"/>
                <w:sz w:val="22"/>
                <w:szCs w:val="22"/>
              </w:rPr>
              <w:t>0.08</w:t>
            </w:r>
          </w:p>
        </w:tc>
        <w:tc>
          <w:tcPr>
            <w:tcW w:w="397" w:type="pct"/>
            <w:vAlign w:val="center"/>
          </w:tcPr>
          <w:p w14:paraId="679FA341">
            <w:pPr>
              <w:pStyle w:val="288"/>
              <w:adjustRightInd w:val="0"/>
              <w:snapToGrid w:val="0"/>
              <w:spacing w:line="300" w:lineRule="exact"/>
              <w:rPr>
                <w:rFonts w:hint="eastAsia" w:eastAsia="宋体"/>
                <w:color w:val="auto"/>
              </w:rPr>
            </w:pPr>
            <w:r>
              <w:rPr>
                <w:rFonts w:hint="eastAsia"/>
                <w:color w:val="auto"/>
                <w:sz w:val="22"/>
                <w:szCs w:val="22"/>
              </w:rPr>
              <w:t>3.6185</w:t>
            </w:r>
          </w:p>
        </w:tc>
        <w:tc>
          <w:tcPr>
            <w:tcW w:w="322" w:type="pct"/>
            <w:vAlign w:val="center"/>
          </w:tcPr>
          <w:p w14:paraId="7246DDCF">
            <w:pPr>
              <w:pStyle w:val="288"/>
              <w:adjustRightInd w:val="0"/>
              <w:snapToGrid w:val="0"/>
              <w:spacing w:line="300" w:lineRule="exact"/>
              <w:rPr>
                <w:rFonts w:hint="eastAsia" w:eastAsia="宋体"/>
                <w:color w:val="auto"/>
              </w:rPr>
            </w:pPr>
            <w:r>
              <w:rPr>
                <w:rFonts w:hint="eastAsia"/>
                <w:color w:val="auto"/>
                <w:sz w:val="22"/>
                <w:szCs w:val="22"/>
              </w:rPr>
              <w:t>1.45</w:t>
            </w:r>
          </w:p>
        </w:tc>
        <w:tc>
          <w:tcPr>
            <w:tcW w:w="397" w:type="pct"/>
            <w:vAlign w:val="center"/>
          </w:tcPr>
          <w:p w14:paraId="23B84F4D">
            <w:pPr>
              <w:pStyle w:val="288"/>
              <w:adjustRightInd w:val="0"/>
              <w:snapToGrid w:val="0"/>
              <w:spacing w:line="300" w:lineRule="exact"/>
              <w:rPr>
                <w:rFonts w:hint="eastAsia" w:eastAsia="宋体"/>
                <w:color w:val="auto"/>
              </w:rPr>
            </w:pPr>
            <w:r>
              <w:rPr>
                <w:rFonts w:hint="eastAsia"/>
                <w:color w:val="auto"/>
                <w:sz w:val="22"/>
                <w:szCs w:val="22"/>
              </w:rPr>
              <w:t>0.2961</w:t>
            </w:r>
          </w:p>
        </w:tc>
        <w:tc>
          <w:tcPr>
            <w:tcW w:w="317" w:type="pct"/>
            <w:vAlign w:val="center"/>
          </w:tcPr>
          <w:p w14:paraId="70C7159C">
            <w:pPr>
              <w:pStyle w:val="288"/>
              <w:adjustRightInd w:val="0"/>
              <w:snapToGrid w:val="0"/>
              <w:spacing w:line="300" w:lineRule="exact"/>
              <w:rPr>
                <w:rFonts w:hint="eastAsia" w:eastAsia="宋体"/>
                <w:color w:val="auto"/>
              </w:rPr>
            </w:pPr>
            <w:r>
              <w:rPr>
                <w:rFonts w:hint="eastAsia"/>
                <w:color w:val="auto"/>
                <w:sz w:val="22"/>
                <w:szCs w:val="22"/>
              </w:rPr>
              <w:t>0.03</w:t>
            </w:r>
          </w:p>
        </w:tc>
      </w:tr>
    </w:tbl>
    <w:p w14:paraId="0EC66817">
      <w:pPr>
        <w:jc w:val="center"/>
        <w:rPr>
          <w:rFonts w:hint="eastAsia" w:ascii="黑体" w:hAnsi="黑体" w:eastAsia="黑体"/>
          <w:bCs/>
          <w:color w:val="auto"/>
          <w:szCs w:val="21"/>
        </w:rPr>
      </w:pPr>
      <w:r>
        <w:rPr>
          <w:rFonts w:hint="eastAsia" w:ascii="黑体" w:hAnsi="黑体" w:eastAsia="黑体"/>
          <w:bCs/>
          <w:color w:val="auto"/>
          <w:szCs w:val="21"/>
        </w:rPr>
        <w:t>表5</w:t>
      </w:r>
      <w:r>
        <w:rPr>
          <w:rFonts w:ascii="黑体" w:hAnsi="黑体" w:eastAsia="黑体"/>
          <w:bCs/>
          <w:color w:val="auto"/>
          <w:szCs w:val="21"/>
        </w:rPr>
        <w:t>.2</w:t>
      </w:r>
      <w:r>
        <w:rPr>
          <w:rFonts w:hint="eastAsia" w:ascii="黑体" w:hAnsi="黑体" w:eastAsia="黑体"/>
          <w:bCs/>
          <w:color w:val="auto"/>
          <w:szCs w:val="21"/>
        </w:rPr>
        <w:t xml:space="preserve">-7 </w:t>
      </w:r>
      <w:r>
        <w:rPr>
          <w:rFonts w:ascii="黑体" w:hAnsi="黑体" w:eastAsia="黑体"/>
          <w:bCs/>
          <w:color w:val="auto"/>
          <w:szCs w:val="21"/>
        </w:rPr>
        <w:t xml:space="preserve"> </w:t>
      </w:r>
      <w:r>
        <w:rPr>
          <w:rFonts w:hint="eastAsia" w:ascii="黑体" w:hAnsi="黑体" w:eastAsia="黑体"/>
          <w:bCs/>
          <w:color w:val="auto"/>
          <w:szCs w:val="21"/>
        </w:rPr>
        <w:t>非甲烷总烃预测结果一览表</w:t>
      </w:r>
    </w:p>
    <w:tbl>
      <w:tblPr>
        <w:tblStyle w:val="51"/>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71"/>
        <w:gridCol w:w="1615"/>
        <w:gridCol w:w="1451"/>
        <w:gridCol w:w="1672"/>
        <w:gridCol w:w="1616"/>
        <w:gridCol w:w="1451"/>
        <w:gridCol w:w="1672"/>
        <w:gridCol w:w="1616"/>
        <w:gridCol w:w="1451"/>
      </w:tblGrid>
      <w:tr w14:paraId="67D5CE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gridSpan w:val="3"/>
            <w:vAlign w:val="center"/>
          </w:tcPr>
          <w:p w14:paraId="6C93EA28">
            <w:pPr>
              <w:pStyle w:val="288"/>
              <w:adjustRightInd w:val="0"/>
              <w:snapToGrid w:val="0"/>
              <w:spacing w:line="300" w:lineRule="exact"/>
              <w:rPr>
                <w:rFonts w:hint="eastAsia" w:eastAsia="宋体"/>
                <w:color w:val="auto"/>
              </w:rPr>
            </w:pPr>
            <w:r>
              <w:rPr>
                <w:rFonts w:hint="eastAsia" w:eastAsia="宋体" w:cs="宋体"/>
                <w:bCs/>
                <w:color w:val="auto"/>
              </w:rPr>
              <w:t>莫27井</w:t>
            </w:r>
          </w:p>
        </w:tc>
        <w:tc>
          <w:tcPr>
            <w:tcW w:w="1666" w:type="pct"/>
            <w:gridSpan w:val="3"/>
            <w:vAlign w:val="center"/>
          </w:tcPr>
          <w:p w14:paraId="018AFC64">
            <w:pPr>
              <w:pStyle w:val="288"/>
              <w:adjustRightInd w:val="0"/>
              <w:snapToGrid w:val="0"/>
              <w:spacing w:line="300" w:lineRule="exact"/>
              <w:rPr>
                <w:rFonts w:hint="eastAsia" w:eastAsia="宋体" w:cs="宋体"/>
                <w:bCs/>
                <w:color w:val="auto"/>
              </w:rPr>
            </w:pPr>
            <w:r>
              <w:rPr>
                <w:rFonts w:hint="eastAsia" w:eastAsia="宋体" w:cs="宋体"/>
                <w:bCs/>
                <w:color w:val="auto"/>
              </w:rPr>
              <w:t>莫172H井</w:t>
            </w:r>
          </w:p>
        </w:tc>
        <w:tc>
          <w:tcPr>
            <w:tcW w:w="1666" w:type="pct"/>
            <w:gridSpan w:val="3"/>
            <w:vAlign w:val="center"/>
          </w:tcPr>
          <w:p w14:paraId="4C01458B">
            <w:pPr>
              <w:pStyle w:val="288"/>
              <w:adjustRightInd w:val="0"/>
              <w:snapToGrid w:val="0"/>
              <w:spacing w:line="300" w:lineRule="exact"/>
              <w:rPr>
                <w:rFonts w:hint="eastAsia" w:eastAsia="宋体" w:cs="宋体"/>
                <w:bCs/>
                <w:color w:val="auto"/>
              </w:rPr>
            </w:pPr>
            <w:r>
              <w:rPr>
                <w:rFonts w:hint="eastAsia" w:eastAsia="宋体" w:cs="宋体"/>
                <w:bCs/>
                <w:color w:val="auto"/>
              </w:rPr>
              <w:t>莫174H井</w:t>
            </w:r>
          </w:p>
        </w:tc>
      </w:tr>
      <w:tr w14:paraId="3F7BC1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8" w:type="pct"/>
            <w:vAlign w:val="center"/>
          </w:tcPr>
          <w:p w14:paraId="106768DF">
            <w:pPr>
              <w:pStyle w:val="288"/>
              <w:adjustRightInd w:val="0"/>
              <w:snapToGrid w:val="0"/>
              <w:spacing w:line="300" w:lineRule="exact"/>
              <w:rPr>
                <w:rFonts w:hint="eastAsia" w:eastAsia="宋体"/>
                <w:color w:val="auto"/>
              </w:rPr>
            </w:pPr>
            <w:r>
              <w:rPr>
                <w:rFonts w:hint="eastAsia" w:eastAsia="宋体"/>
                <w:color w:val="auto"/>
              </w:rPr>
              <w:t>离源距离（m）</w:t>
            </w:r>
          </w:p>
        </w:tc>
        <w:tc>
          <w:tcPr>
            <w:tcW w:w="568" w:type="pct"/>
            <w:vAlign w:val="center"/>
          </w:tcPr>
          <w:p w14:paraId="6A2EDD32">
            <w:pPr>
              <w:pStyle w:val="288"/>
              <w:adjustRightInd w:val="0"/>
              <w:snapToGrid w:val="0"/>
              <w:spacing w:line="300" w:lineRule="exact"/>
              <w:rPr>
                <w:rFonts w:hint="eastAsia" w:eastAsia="宋体"/>
                <w:color w:val="auto"/>
              </w:rPr>
            </w:pPr>
            <w:r>
              <w:rPr>
                <w:rFonts w:hint="eastAsia" w:eastAsia="宋体"/>
                <w:color w:val="auto"/>
              </w:rPr>
              <w:t>浓度（u</w:t>
            </w:r>
            <w:r>
              <w:rPr>
                <w:rFonts w:eastAsia="宋体"/>
                <w:color w:val="auto"/>
              </w:rPr>
              <w:t>g/m</w:t>
            </w:r>
            <w:r>
              <w:rPr>
                <w:rFonts w:eastAsia="宋体"/>
                <w:color w:val="auto"/>
                <w:vertAlign w:val="superscript"/>
              </w:rPr>
              <w:t>3</w:t>
            </w:r>
            <w:r>
              <w:rPr>
                <w:rFonts w:hint="eastAsia" w:eastAsia="宋体"/>
                <w:color w:val="auto"/>
              </w:rPr>
              <w:t>）</w:t>
            </w:r>
          </w:p>
        </w:tc>
        <w:tc>
          <w:tcPr>
            <w:tcW w:w="509" w:type="pct"/>
            <w:vAlign w:val="center"/>
          </w:tcPr>
          <w:p w14:paraId="22E8AB1F">
            <w:pPr>
              <w:pStyle w:val="288"/>
              <w:adjustRightInd w:val="0"/>
              <w:snapToGrid w:val="0"/>
              <w:spacing w:line="300" w:lineRule="exact"/>
              <w:rPr>
                <w:rFonts w:hint="eastAsia" w:eastAsia="宋体"/>
                <w:color w:val="auto"/>
              </w:rPr>
            </w:pPr>
            <w:r>
              <w:rPr>
                <w:rFonts w:hint="eastAsia" w:eastAsia="宋体"/>
                <w:color w:val="auto"/>
              </w:rPr>
              <w:t>占标率（%）</w:t>
            </w:r>
          </w:p>
        </w:tc>
        <w:tc>
          <w:tcPr>
            <w:tcW w:w="588" w:type="pct"/>
            <w:vAlign w:val="center"/>
          </w:tcPr>
          <w:p w14:paraId="52F98393">
            <w:pPr>
              <w:pStyle w:val="288"/>
              <w:adjustRightInd w:val="0"/>
              <w:snapToGrid w:val="0"/>
              <w:spacing w:line="300" w:lineRule="exact"/>
              <w:rPr>
                <w:rFonts w:hint="eastAsia" w:eastAsia="宋体" w:cs="宋体"/>
                <w:bCs/>
                <w:color w:val="auto"/>
              </w:rPr>
            </w:pPr>
            <w:r>
              <w:rPr>
                <w:rFonts w:hint="eastAsia" w:eastAsia="宋体" w:cs="宋体"/>
                <w:bCs/>
                <w:color w:val="auto"/>
              </w:rPr>
              <w:t>离源距离（m）</w:t>
            </w:r>
          </w:p>
        </w:tc>
        <w:tc>
          <w:tcPr>
            <w:tcW w:w="568" w:type="pct"/>
            <w:vAlign w:val="center"/>
          </w:tcPr>
          <w:p w14:paraId="49398AE6">
            <w:pPr>
              <w:pStyle w:val="288"/>
              <w:adjustRightInd w:val="0"/>
              <w:snapToGrid w:val="0"/>
              <w:spacing w:line="300" w:lineRule="exact"/>
              <w:rPr>
                <w:rFonts w:hint="eastAsia" w:eastAsia="宋体" w:cs="宋体"/>
                <w:bCs/>
                <w:color w:val="auto"/>
              </w:rPr>
            </w:pPr>
            <w:r>
              <w:rPr>
                <w:rFonts w:hint="eastAsia" w:eastAsia="宋体" w:cs="宋体"/>
                <w:bCs/>
                <w:color w:val="auto"/>
              </w:rPr>
              <w:t>浓度（u</w:t>
            </w:r>
            <w:r>
              <w:rPr>
                <w:rFonts w:eastAsia="宋体" w:cs="宋体"/>
                <w:bCs/>
                <w:color w:val="auto"/>
              </w:rPr>
              <w:t>g/m</w:t>
            </w:r>
            <w:r>
              <w:rPr>
                <w:rFonts w:eastAsia="宋体" w:cs="宋体"/>
                <w:bCs/>
                <w:color w:val="auto"/>
                <w:vertAlign w:val="superscript"/>
              </w:rPr>
              <w:t>3</w:t>
            </w:r>
            <w:r>
              <w:rPr>
                <w:rFonts w:hint="eastAsia" w:eastAsia="宋体" w:cs="宋体"/>
                <w:bCs/>
                <w:color w:val="auto"/>
              </w:rPr>
              <w:t>）</w:t>
            </w:r>
          </w:p>
        </w:tc>
        <w:tc>
          <w:tcPr>
            <w:tcW w:w="509" w:type="pct"/>
            <w:vAlign w:val="center"/>
          </w:tcPr>
          <w:p w14:paraId="3F9273FE">
            <w:pPr>
              <w:pStyle w:val="288"/>
              <w:adjustRightInd w:val="0"/>
              <w:snapToGrid w:val="0"/>
              <w:spacing w:line="300" w:lineRule="exact"/>
              <w:rPr>
                <w:rFonts w:hint="eastAsia" w:eastAsia="宋体" w:cs="宋体"/>
                <w:bCs/>
                <w:color w:val="auto"/>
              </w:rPr>
            </w:pPr>
            <w:r>
              <w:rPr>
                <w:rFonts w:hint="eastAsia" w:eastAsia="宋体" w:cs="宋体"/>
                <w:bCs/>
                <w:color w:val="auto"/>
              </w:rPr>
              <w:t>占标率（%）</w:t>
            </w:r>
          </w:p>
        </w:tc>
        <w:tc>
          <w:tcPr>
            <w:tcW w:w="588" w:type="pct"/>
            <w:vAlign w:val="center"/>
          </w:tcPr>
          <w:p w14:paraId="7078BA53">
            <w:pPr>
              <w:pStyle w:val="288"/>
              <w:adjustRightInd w:val="0"/>
              <w:snapToGrid w:val="0"/>
              <w:spacing w:line="300" w:lineRule="exact"/>
              <w:rPr>
                <w:rFonts w:hint="eastAsia" w:eastAsia="宋体" w:cs="宋体"/>
                <w:bCs/>
                <w:color w:val="auto"/>
              </w:rPr>
            </w:pPr>
            <w:r>
              <w:rPr>
                <w:rFonts w:hint="eastAsia" w:eastAsia="宋体" w:cs="宋体"/>
                <w:bCs/>
                <w:color w:val="auto"/>
              </w:rPr>
              <w:t>离源距离（m）</w:t>
            </w:r>
          </w:p>
        </w:tc>
        <w:tc>
          <w:tcPr>
            <w:tcW w:w="568" w:type="pct"/>
            <w:vAlign w:val="center"/>
          </w:tcPr>
          <w:p w14:paraId="6291074C">
            <w:pPr>
              <w:pStyle w:val="288"/>
              <w:adjustRightInd w:val="0"/>
              <w:snapToGrid w:val="0"/>
              <w:spacing w:line="300" w:lineRule="exact"/>
              <w:rPr>
                <w:rFonts w:hint="eastAsia" w:eastAsia="宋体" w:cs="宋体"/>
                <w:bCs/>
                <w:color w:val="auto"/>
              </w:rPr>
            </w:pPr>
            <w:r>
              <w:rPr>
                <w:rFonts w:hint="eastAsia" w:eastAsia="宋体" w:cs="宋体"/>
                <w:bCs/>
                <w:color w:val="auto"/>
              </w:rPr>
              <w:t>浓度（u</w:t>
            </w:r>
            <w:r>
              <w:rPr>
                <w:rFonts w:eastAsia="宋体" w:cs="宋体"/>
                <w:bCs/>
                <w:color w:val="auto"/>
              </w:rPr>
              <w:t>g/m</w:t>
            </w:r>
            <w:r>
              <w:rPr>
                <w:rFonts w:eastAsia="宋体" w:cs="宋体"/>
                <w:bCs/>
                <w:color w:val="auto"/>
                <w:vertAlign w:val="superscript"/>
              </w:rPr>
              <w:t>3</w:t>
            </w:r>
            <w:r>
              <w:rPr>
                <w:rFonts w:hint="eastAsia" w:eastAsia="宋体" w:cs="宋体"/>
                <w:bCs/>
                <w:color w:val="auto"/>
              </w:rPr>
              <w:t>）</w:t>
            </w:r>
          </w:p>
        </w:tc>
        <w:tc>
          <w:tcPr>
            <w:tcW w:w="509" w:type="pct"/>
            <w:vAlign w:val="center"/>
          </w:tcPr>
          <w:p w14:paraId="70D1E644">
            <w:pPr>
              <w:pStyle w:val="288"/>
              <w:adjustRightInd w:val="0"/>
              <w:snapToGrid w:val="0"/>
              <w:spacing w:line="300" w:lineRule="exact"/>
              <w:rPr>
                <w:rFonts w:hint="eastAsia" w:eastAsia="宋体" w:cs="宋体"/>
                <w:bCs/>
                <w:color w:val="auto"/>
              </w:rPr>
            </w:pPr>
            <w:r>
              <w:rPr>
                <w:rFonts w:hint="eastAsia" w:eastAsia="宋体" w:cs="宋体"/>
                <w:bCs/>
                <w:color w:val="auto"/>
              </w:rPr>
              <w:t>占标率（%）</w:t>
            </w:r>
          </w:p>
        </w:tc>
      </w:tr>
      <w:tr w14:paraId="4BB4C8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8" w:type="pct"/>
            <w:vAlign w:val="center"/>
          </w:tcPr>
          <w:p w14:paraId="09CD76A8">
            <w:pPr>
              <w:pStyle w:val="288"/>
              <w:adjustRightInd w:val="0"/>
              <w:snapToGrid w:val="0"/>
              <w:spacing w:line="300" w:lineRule="exact"/>
              <w:rPr>
                <w:rFonts w:hint="eastAsia" w:eastAsia="宋体"/>
                <w:color w:val="auto"/>
              </w:rPr>
            </w:pPr>
            <w:r>
              <w:rPr>
                <w:rFonts w:hint="eastAsia" w:eastAsia="宋体"/>
                <w:color w:val="auto"/>
              </w:rPr>
              <w:t>10</w:t>
            </w:r>
          </w:p>
        </w:tc>
        <w:tc>
          <w:tcPr>
            <w:tcW w:w="568" w:type="pct"/>
            <w:vAlign w:val="center"/>
          </w:tcPr>
          <w:p w14:paraId="2A4DAE8D">
            <w:pPr>
              <w:pStyle w:val="288"/>
              <w:adjustRightInd w:val="0"/>
              <w:snapToGrid w:val="0"/>
              <w:spacing w:line="300" w:lineRule="exact"/>
              <w:rPr>
                <w:rFonts w:hint="eastAsia" w:eastAsia="宋体"/>
                <w:color w:val="auto"/>
              </w:rPr>
            </w:pPr>
            <w:r>
              <w:rPr>
                <w:rFonts w:hint="eastAsia" w:eastAsia="宋体"/>
                <w:color w:val="auto"/>
              </w:rPr>
              <w:t>0.6605</w:t>
            </w:r>
          </w:p>
        </w:tc>
        <w:tc>
          <w:tcPr>
            <w:tcW w:w="509" w:type="pct"/>
            <w:vAlign w:val="center"/>
          </w:tcPr>
          <w:p w14:paraId="012E0E73">
            <w:pPr>
              <w:pStyle w:val="288"/>
              <w:adjustRightInd w:val="0"/>
              <w:snapToGrid w:val="0"/>
              <w:spacing w:line="300" w:lineRule="exact"/>
              <w:rPr>
                <w:rFonts w:hint="eastAsia" w:eastAsia="宋体"/>
                <w:color w:val="auto"/>
              </w:rPr>
            </w:pPr>
            <w:r>
              <w:rPr>
                <w:rFonts w:hint="eastAsia" w:eastAsia="宋体"/>
                <w:color w:val="auto"/>
              </w:rPr>
              <w:t>0.03</w:t>
            </w:r>
          </w:p>
        </w:tc>
        <w:tc>
          <w:tcPr>
            <w:tcW w:w="588" w:type="pct"/>
            <w:vAlign w:val="center"/>
          </w:tcPr>
          <w:p w14:paraId="5EED003B">
            <w:pPr>
              <w:pStyle w:val="288"/>
              <w:adjustRightInd w:val="0"/>
              <w:snapToGrid w:val="0"/>
              <w:spacing w:line="300" w:lineRule="exact"/>
              <w:rPr>
                <w:rFonts w:hint="eastAsia" w:eastAsia="宋体" w:cs="宋体"/>
                <w:bCs/>
                <w:color w:val="auto"/>
              </w:rPr>
            </w:pPr>
            <w:r>
              <w:rPr>
                <w:rFonts w:hint="eastAsia"/>
                <w:color w:val="auto"/>
                <w:sz w:val="22"/>
                <w:szCs w:val="22"/>
              </w:rPr>
              <w:t>10</w:t>
            </w:r>
          </w:p>
        </w:tc>
        <w:tc>
          <w:tcPr>
            <w:tcW w:w="568" w:type="pct"/>
            <w:vAlign w:val="center"/>
          </w:tcPr>
          <w:p w14:paraId="452EC8F3">
            <w:pPr>
              <w:pStyle w:val="288"/>
              <w:adjustRightInd w:val="0"/>
              <w:snapToGrid w:val="0"/>
              <w:spacing w:line="300" w:lineRule="exact"/>
              <w:rPr>
                <w:rFonts w:hint="eastAsia" w:eastAsia="宋体" w:cs="宋体"/>
                <w:bCs/>
                <w:color w:val="auto"/>
              </w:rPr>
            </w:pPr>
            <w:r>
              <w:rPr>
                <w:rFonts w:hint="eastAsia"/>
                <w:color w:val="auto"/>
                <w:sz w:val="22"/>
                <w:szCs w:val="22"/>
              </w:rPr>
              <w:t>5.7731</w:t>
            </w:r>
          </w:p>
        </w:tc>
        <w:tc>
          <w:tcPr>
            <w:tcW w:w="509" w:type="pct"/>
            <w:vAlign w:val="center"/>
          </w:tcPr>
          <w:p w14:paraId="2EDFFEB3">
            <w:pPr>
              <w:pStyle w:val="288"/>
              <w:adjustRightInd w:val="0"/>
              <w:snapToGrid w:val="0"/>
              <w:spacing w:line="300" w:lineRule="exact"/>
              <w:rPr>
                <w:rFonts w:hint="eastAsia" w:eastAsia="宋体" w:cs="宋体"/>
                <w:bCs/>
                <w:color w:val="auto"/>
              </w:rPr>
            </w:pPr>
            <w:r>
              <w:rPr>
                <w:rFonts w:hint="eastAsia"/>
                <w:color w:val="auto"/>
                <w:sz w:val="22"/>
                <w:szCs w:val="22"/>
              </w:rPr>
              <w:t>0.29</w:t>
            </w:r>
          </w:p>
        </w:tc>
        <w:tc>
          <w:tcPr>
            <w:tcW w:w="588" w:type="pct"/>
            <w:vAlign w:val="center"/>
          </w:tcPr>
          <w:p w14:paraId="623AEC7F">
            <w:pPr>
              <w:pStyle w:val="288"/>
              <w:adjustRightInd w:val="0"/>
              <w:snapToGrid w:val="0"/>
              <w:spacing w:line="300" w:lineRule="exact"/>
              <w:rPr>
                <w:rFonts w:hint="eastAsia" w:eastAsia="宋体" w:cs="宋体"/>
                <w:bCs/>
                <w:color w:val="auto"/>
              </w:rPr>
            </w:pPr>
            <w:r>
              <w:rPr>
                <w:rFonts w:hint="eastAsia"/>
                <w:color w:val="auto"/>
                <w:sz w:val="22"/>
                <w:szCs w:val="22"/>
              </w:rPr>
              <w:t>10</w:t>
            </w:r>
          </w:p>
        </w:tc>
        <w:tc>
          <w:tcPr>
            <w:tcW w:w="568" w:type="pct"/>
            <w:vAlign w:val="center"/>
          </w:tcPr>
          <w:p w14:paraId="098FAB51">
            <w:pPr>
              <w:pStyle w:val="288"/>
              <w:adjustRightInd w:val="0"/>
              <w:snapToGrid w:val="0"/>
              <w:spacing w:line="300" w:lineRule="exact"/>
              <w:rPr>
                <w:rFonts w:hint="eastAsia" w:eastAsia="宋体" w:cs="宋体"/>
                <w:bCs/>
                <w:color w:val="auto"/>
              </w:rPr>
            </w:pPr>
            <w:r>
              <w:rPr>
                <w:rFonts w:hint="eastAsia"/>
                <w:color w:val="auto"/>
                <w:sz w:val="22"/>
                <w:szCs w:val="22"/>
              </w:rPr>
              <w:t>7.9736</w:t>
            </w:r>
          </w:p>
        </w:tc>
        <w:tc>
          <w:tcPr>
            <w:tcW w:w="509" w:type="pct"/>
            <w:vAlign w:val="center"/>
          </w:tcPr>
          <w:p w14:paraId="67ABFA78">
            <w:pPr>
              <w:pStyle w:val="288"/>
              <w:adjustRightInd w:val="0"/>
              <w:snapToGrid w:val="0"/>
              <w:spacing w:line="300" w:lineRule="exact"/>
              <w:rPr>
                <w:rFonts w:hint="eastAsia" w:eastAsia="宋体" w:cs="宋体"/>
                <w:bCs/>
                <w:color w:val="auto"/>
              </w:rPr>
            </w:pPr>
            <w:r>
              <w:rPr>
                <w:rFonts w:hint="eastAsia"/>
                <w:color w:val="auto"/>
                <w:sz w:val="22"/>
                <w:szCs w:val="22"/>
              </w:rPr>
              <w:t>0.4</w:t>
            </w:r>
          </w:p>
        </w:tc>
      </w:tr>
      <w:tr w14:paraId="6AC520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8" w:type="pct"/>
            <w:vAlign w:val="center"/>
          </w:tcPr>
          <w:p w14:paraId="71846593">
            <w:pPr>
              <w:pStyle w:val="288"/>
              <w:adjustRightInd w:val="0"/>
              <w:snapToGrid w:val="0"/>
              <w:spacing w:line="300" w:lineRule="exact"/>
              <w:rPr>
                <w:rFonts w:hint="eastAsia" w:eastAsia="宋体"/>
                <w:color w:val="auto"/>
              </w:rPr>
            </w:pPr>
            <w:r>
              <w:rPr>
                <w:rFonts w:hint="eastAsia" w:eastAsia="宋体"/>
                <w:color w:val="auto"/>
              </w:rPr>
              <w:t>78</w:t>
            </w:r>
          </w:p>
        </w:tc>
        <w:tc>
          <w:tcPr>
            <w:tcW w:w="568" w:type="pct"/>
            <w:vAlign w:val="center"/>
          </w:tcPr>
          <w:p w14:paraId="7F399D7A">
            <w:pPr>
              <w:pStyle w:val="288"/>
              <w:adjustRightInd w:val="0"/>
              <w:snapToGrid w:val="0"/>
              <w:spacing w:line="300" w:lineRule="exact"/>
              <w:rPr>
                <w:rFonts w:hint="eastAsia" w:eastAsia="宋体"/>
                <w:color w:val="auto"/>
              </w:rPr>
            </w:pPr>
            <w:r>
              <w:rPr>
                <w:rFonts w:hint="eastAsia" w:eastAsia="宋体"/>
                <w:color w:val="auto"/>
              </w:rPr>
              <w:t>1.3529</w:t>
            </w:r>
          </w:p>
        </w:tc>
        <w:tc>
          <w:tcPr>
            <w:tcW w:w="509" w:type="pct"/>
            <w:vAlign w:val="center"/>
          </w:tcPr>
          <w:p w14:paraId="605B52DF">
            <w:pPr>
              <w:pStyle w:val="288"/>
              <w:adjustRightInd w:val="0"/>
              <w:snapToGrid w:val="0"/>
              <w:spacing w:line="300" w:lineRule="exact"/>
              <w:rPr>
                <w:rFonts w:hint="eastAsia" w:eastAsia="宋体"/>
                <w:color w:val="auto"/>
              </w:rPr>
            </w:pPr>
            <w:r>
              <w:rPr>
                <w:rFonts w:hint="eastAsia" w:eastAsia="宋体"/>
                <w:color w:val="auto"/>
              </w:rPr>
              <w:t>0.07</w:t>
            </w:r>
          </w:p>
        </w:tc>
        <w:tc>
          <w:tcPr>
            <w:tcW w:w="588" w:type="pct"/>
            <w:vAlign w:val="center"/>
          </w:tcPr>
          <w:p w14:paraId="2A87111A">
            <w:pPr>
              <w:pStyle w:val="288"/>
              <w:adjustRightInd w:val="0"/>
              <w:snapToGrid w:val="0"/>
              <w:spacing w:line="300" w:lineRule="exact"/>
              <w:rPr>
                <w:rFonts w:hint="eastAsia" w:eastAsia="宋体" w:cs="宋体"/>
                <w:bCs/>
                <w:color w:val="auto"/>
              </w:rPr>
            </w:pPr>
            <w:r>
              <w:rPr>
                <w:rFonts w:hint="eastAsia"/>
                <w:color w:val="auto"/>
                <w:sz w:val="22"/>
                <w:szCs w:val="22"/>
              </w:rPr>
              <w:t>100</w:t>
            </w:r>
          </w:p>
        </w:tc>
        <w:tc>
          <w:tcPr>
            <w:tcW w:w="568" w:type="pct"/>
            <w:vAlign w:val="center"/>
          </w:tcPr>
          <w:p w14:paraId="1AA7CEFD">
            <w:pPr>
              <w:pStyle w:val="288"/>
              <w:adjustRightInd w:val="0"/>
              <w:snapToGrid w:val="0"/>
              <w:spacing w:line="300" w:lineRule="exact"/>
              <w:rPr>
                <w:rFonts w:hint="eastAsia" w:eastAsia="宋体" w:cs="宋体"/>
                <w:bCs/>
                <w:color w:val="auto"/>
              </w:rPr>
            </w:pPr>
            <w:r>
              <w:rPr>
                <w:rFonts w:hint="eastAsia"/>
                <w:color w:val="auto"/>
                <w:sz w:val="22"/>
                <w:szCs w:val="22"/>
              </w:rPr>
              <w:t>9.3674</w:t>
            </w:r>
          </w:p>
        </w:tc>
        <w:tc>
          <w:tcPr>
            <w:tcW w:w="509" w:type="pct"/>
            <w:vAlign w:val="center"/>
          </w:tcPr>
          <w:p w14:paraId="32BC90C2">
            <w:pPr>
              <w:pStyle w:val="288"/>
              <w:adjustRightInd w:val="0"/>
              <w:snapToGrid w:val="0"/>
              <w:spacing w:line="300" w:lineRule="exact"/>
              <w:rPr>
                <w:rFonts w:hint="eastAsia" w:eastAsia="宋体" w:cs="宋体"/>
                <w:bCs/>
                <w:color w:val="auto"/>
              </w:rPr>
            </w:pPr>
            <w:r>
              <w:rPr>
                <w:rFonts w:hint="eastAsia"/>
                <w:color w:val="auto"/>
                <w:sz w:val="22"/>
                <w:szCs w:val="22"/>
              </w:rPr>
              <w:t>0.47</w:t>
            </w:r>
          </w:p>
        </w:tc>
        <w:tc>
          <w:tcPr>
            <w:tcW w:w="588" w:type="pct"/>
            <w:vAlign w:val="center"/>
          </w:tcPr>
          <w:p w14:paraId="070A3BF2">
            <w:pPr>
              <w:pStyle w:val="288"/>
              <w:adjustRightInd w:val="0"/>
              <w:snapToGrid w:val="0"/>
              <w:spacing w:line="300" w:lineRule="exact"/>
              <w:rPr>
                <w:rFonts w:hint="eastAsia" w:eastAsia="宋体" w:cs="宋体"/>
                <w:bCs/>
                <w:color w:val="auto"/>
              </w:rPr>
            </w:pPr>
            <w:r>
              <w:rPr>
                <w:rFonts w:hint="eastAsia"/>
                <w:color w:val="auto"/>
                <w:sz w:val="22"/>
                <w:szCs w:val="22"/>
              </w:rPr>
              <w:t>89</w:t>
            </w:r>
          </w:p>
        </w:tc>
        <w:tc>
          <w:tcPr>
            <w:tcW w:w="568" w:type="pct"/>
            <w:vAlign w:val="center"/>
          </w:tcPr>
          <w:p w14:paraId="2EAA61BF">
            <w:pPr>
              <w:pStyle w:val="288"/>
              <w:adjustRightInd w:val="0"/>
              <w:snapToGrid w:val="0"/>
              <w:spacing w:line="300" w:lineRule="exact"/>
              <w:rPr>
                <w:rFonts w:hint="eastAsia" w:eastAsia="宋体" w:cs="宋体"/>
                <w:bCs/>
                <w:color w:val="auto"/>
              </w:rPr>
            </w:pPr>
            <w:r>
              <w:rPr>
                <w:rFonts w:hint="eastAsia"/>
                <w:color w:val="auto"/>
                <w:sz w:val="22"/>
                <w:szCs w:val="22"/>
              </w:rPr>
              <w:t>12.9822</w:t>
            </w:r>
          </w:p>
        </w:tc>
        <w:tc>
          <w:tcPr>
            <w:tcW w:w="509" w:type="pct"/>
            <w:vAlign w:val="center"/>
          </w:tcPr>
          <w:p w14:paraId="5974A404">
            <w:pPr>
              <w:pStyle w:val="288"/>
              <w:adjustRightInd w:val="0"/>
              <w:snapToGrid w:val="0"/>
              <w:spacing w:line="300" w:lineRule="exact"/>
              <w:rPr>
                <w:rFonts w:hint="eastAsia" w:eastAsia="宋体" w:cs="宋体"/>
                <w:bCs/>
                <w:color w:val="auto"/>
              </w:rPr>
            </w:pPr>
            <w:r>
              <w:rPr>
                <w:rFonts w:hint="eastAsia"/>
                <w:color w:val="auto"/>
                <w:sz w:val="22"/>
                <w:szCs w:val="22"/>
              </w:rPr>
              <w:t>0.65</w:t>
            </w:r>
          </w:p>
        </w:tc>
      </w:tr>
      <w:tr w14:paraId="263B93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8" w:type="pct"/>
            <w:vAlign w:val="center"/>
          </w:tcPr>
          <w:p w14:paraId="276FEEFC">
            <w:pPr>
              <w:pStyle w:val="288"/>
              <w:adjustRightInd w:val="0"/>
              <w:snapToGrid w:val="0"/>
              <w:spacing w:line="300" w:lineRule="exact"/>
              <w:rPr>
                <w:rFonts w:hint="eastAsia" w:eastAsia="宋体"/>
                <w:color w:val="auto"/>
              </w:rPr>
            </w:pPr>
            <w:r>
              <w:rPr>
                <w:rFonts w:hint="eastAsia" w:eastAsia="宋体"/>
                <w:color w:val="auto"/>
              </w:rPr>
              <w:t>100</w:t>
            </w:r>
          </w:p>
        </w:tc>
        <w:tc>
          <w:tcPr>
            <w:tcW w:w="568" w:type="pct"/>
            <w:vAlign w:val="center"/>
          </w:tcPr>
          <w:p w14:paraId="0C2FF99D">
            <w:pPr>
              <w:pStyle w:val="288"/>
              <w:adjustRightInd w:val="0"/>
              <w:snapToGrid w:val="0"/>
              <w:spacing w:line="300" w:lineRule="exact"/>
              <w:rPr>
                <w:rFonts w:hint="eastAsia" w:eastAsia="宋体"/>
                <w:color w:val="auto"/>
              </w:rPr>
            </w:pPr>
            <w:r>
              <w:rPr>
                <w:rFonts w:hint="eastAsia" w:eastAsia="宋体"/>
                <w:color w:val="auto"/>
              </w:rPr>
              <w:t>1.306</w:t>
            </w:r>
          </w:p>
        </w:tc>
        <w:tc>
          <w:tcPr>
            <w:tcW w:w="509" w:type="pct"/>
            <w:vAlign w:val="center"/>
          </w:tcPr>
          <w:p w14:paraId="2787BB20">
            <w:pPr>
              <w:pStyle w:val="288"/>
              <w:adjustRightInd w:val="0"/>
              <w:snapToGrid w:val="0"/>
              <w:spacing w:line="300" w:lineRule="exact"/>
              <w:rPr>
                <w:rFonts w:hint="eastAsia" w:eastAsia="宋体"/>
                <w:color w:val="auto"/>
              </w:rPr>
            </w:pPr>
            <w:r>
              <w:rPr>
                <w:rFonts w:hint="eastAsia" w:eastAsia="宋体"/>
                <w:color w:val="auto"/>
              </w:rPr>
              <w:t>0.07</w:t>
            </w:r>
          </w:p>
        </w:tc>
        <w:tc>
          <w:tcPr>
            <w:tcW w:w="588" w:type="pct"/>
            <w:vAlign w:val="center"/>
          </w:tcPr>
          <w:p w14:paraId="1D229238">
            <w:pPr>
              <w:pStyle w:val="288"/>
              <w:adjustRightInd w:val="0"/>
              <w:snapToGrid w:val="0"/>
              <w:spacing w:line="300" w:lineRule="exact"/>
              <w:rPr>
                <w:rFonts w:hint="eastAsia" w:eastAsia="宋体" w:cs="宋体"/>
                <w:bCs/>
                <w:color w:val="auto"/>
              </w:rPr>
            </w:pPr>
            <w:r>
              <w:rPr>
                <w:rFonts w:hint="eastAsia"/>
                <w:color w:val="auto"/>
                <w:sz w:val="22"/>
                <w:szCs w:val="22"/>
              </w:rPr>
              <w:t>200</w:t>
            </w:r>
          </w:p>
        </w:tc>
        <w:tc>
          <w:tcPr>
            <w:tcW w:w="568" w:type="pct"/>
            <w:vAlign w:val="center"/>
          </w:tcPr>
          <w:p w14:paraId="52502EC8">
            <w:pPr>
              <w:pStyle w:val="288"/>
              <w:adjustRightInd w:val="0"/>
              <w:snapToGrid w:val="0"/>
              <w:spacing w:line="300" w:lineRule="exact"/>
              <w:rPr>
                <w:rFonts w:hint="eastAsia" w:eastAsia="宋体" w:cs="宋体"/>
                <w:bCs/>
                <w:color w:val="auto"/>
              </w:rPr>
            </w:pPr>
            <w:r>
              <w:rPr>
                <w:rFonts w:hint="eastAsia"/>
                <w:color w:val="auto"/>
                <w:sz w:val="22"/>
                <w:szCs w:val="22"/>
              </w:rPr>
              <w:t>12.8771</w:t>
            </w:r>
          </w:p>
        </w:tc>
        <w:tc>
          <w:tcPr>
            <w:tcW w:w="509" w:type="pct"/>
            <w:vAlign w:val="center"/>
          </w:tcPr>
          <w:p w14:paraId="691F9096">
            <w:pPr>
              <w:pStyle w:val="288"/>
              <w:adjustRightInd w:val="0"/>
              <w:snapToGrid w:val="0"/>
              <w:spacing w:line="300" w:lineRule="exact"/>
              <w:rPr>
                <w:rFonts w:hint="eastAsia" w:eastAsia="宋体" w:cs="宋体"/>
                <w:bCs/>
                <w:color w:val="auto"/>
              </w:rPr>
            </w:pPr>
            <w:r>
              <w:rPr>
                <w:rFonts w:hint="eastAsia"/>
                <w:color w:val="auto"/>
                <w:sz w:val="22"/>
                <w:szCs w:val="22"/>
              </w:rPr>
              <w:t>0.64</w:t>
            </w:r>
          </w:p>
        </w:tc>
        <w:tc>
          <w:tcPr>
            <w:tcW w:w="588" w:type="pct"/>
            <w:vAlign w:val="center"/>
          </w:tcPr>
          <w:p w14:paraId="7AFAB3D7">
            <w:pPr>
              <w:pStyle w:val="288"/>
              <w:adjustRightInd w:val="0"/>
              <w:snapToGrid w:val="0"/>
              <w:spacing w:line="300" w:lineRule="exact"/>
              <w:rPr>
                <w:rFonts w:hint="eastAsia" w:eastAsia="宋体" w:cs="宋体"/>
                <w:bCs/>
                <w:color w:val="auto"/>
              </w:rPr>
            </w:pPr>
            <w:r>
              <w:rPr>
                <w:rFonts w:hint="eastAsia"/>
                <w:color w:val="auto"/>
                <w:sz w:val="22"/>
                <w:szCs w:val="22"/>
              </w:rPr>
              <w:t>100</w:t>
            </w:r>
          </w:p>
        </w:tc>
        <w:tc>
          <w:tcPr>
            <w:tcW w:w="568" w:type="pct"/>
            <w:vAlign w:val="center"/>
          </w:tcPr>
          <w:p w14:paraId="7ED227C7">
            <w:pPr>
              <w:pStyle w:val="288"/>
              <w:adjustRightInd w:val="0"/>
              <w:snapToGrid w:val="0"/>
              <w:spacing w:line="300" w:lineRule="exact"/>
              <w:rPr>
                <w:rFonts w:hint="eastAsia" w:eastAsia="宋体" w:cs="宋体"/>
                <w:bCs/>
                <w:color w:val="auto"/>
              </w:rPr>
            </w:pPr>
            <w:r>
              <w:rPr>
                <w:rFonts w:hint="eastAsia"/>
                <w:color w:val="auto"/>
                <w:sz w:val="22"/>
                <w:szCs w:val="22"/>
              </w:rPr>
              <w:t>12.6471</w:t>
            </w:r>
          </w:p>
        </w:tc>
        <w:tc>
          <w:tcPr>
            <w:tcW w:w="509" w:type="pct"/>
            <w:vAlign w:val="center"/>
          </w:tcPr>
          <w:p w14:paraId="5F4CF40D">
            <w:pPr>
              <w:pStyle w:val="288"/>
              <w:adjustRightInd w:val="0"/>
              <w:snapToGrid w:val="0"/>
              <w:spacing w:line="300" w:lineRule="exact"/>
              <w:rPr>
                <w:rFonts w:hint="eastAsia" w:eastAsia="宋体" w:cs="宋体"/>
                <w:bCs/>
                <w:color w:val="auto"/>
              </w:rPr>
            </w:pPr>
            <w:r>
              <w:rPr>
                <w:rFonts w:hint="eastAsia"/>
                <w:color w:val="auto"/>
                <w:sz w:val="22"/>
                <w:szCs w:val="22"/>
              </w:rPr>
              <w:t>0.63</w:t>
            </w:r>
          </w:p>
        </w:tc>
      </w:tr>
      <w:tr w14:paraId="436E09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8" w:type="pct"/>
            <w:vAlign w:val="center"/>
          </w:tcPr>
          <w:p w14:paraId="568A1A3C">
            <w:pPr>
              <w:pStyle w:val="288"/>
              <w:adjustRightInd w:val="0"/>
              <w:snapToGrid w:val="0"/>
              <w:spacing w:line="300" w:lineRule="exact"/>
              <w:rPr>
                <w:rFonts w:hint="eastAsia" w:eastAsia="宋体"/>
                <w:color w:val="auto"/>
              </w:rPr>
            </w:pPr>
            <w:r>
              <w:rPr>
                <w:rFonts w:hint="eastAsia" w:eastAsia="宋体"/>
                <w:color w:val="auto"/>
              </w:rPr>
              <w:t>200</w:t>
            </w:r>
          </w:p>
        </w:tc>
        <w:tc>
          <w:tcPr>
            <w:tcW w:w="568" w:type="pct"/>
            <w:vAlign w:val="center"/>
          </w:tcPr>
          <w:p w14:paraId="0B1D576D">
            <w:pPr>
              <w:pStyle w:val="288"/>
              <w:adjustRightInd w:val="0"/>
              <w:snapToGrid w:val="0"/>
              <w:spacing w:line="300" w:lineRule="exact"/>
              <w:rPr>
                <w:rFonts w:hint="eastAsia" w:eastAsia="宋体"/>
                <w:color w:val="auto"/>
              </w:rPr>
            </w:pPr>
            <w:r>
              <w:rPr>
                <w:rFonts w:hint="eastAsia" w:eastAsia="宋体"/>
                <w:color w:val="auto"/>
              </w:rPr>
              <w:t>1.0229</w:t>
            </w:r>
          </w:p>
        </w:tc>
        <w:tc>
          <w:tcPr>
            <w:tcW w:w="509" w:type="pct"/>
            <w:vAlign w:val="center"/>
          </w:tcPr>
          <w:p w14:paraId="7FAFAC16">
            <w:pPr>
              <w:pStyle w:val="288"/>
              <w:adjustRightInd w:val="0"/>
              <w:snapToGrid w:val="0"/>
              <w:spacing w:line="300" w:lineRule="exact"/>
              <w:rPr>
                <w:rFonts w:hint="eastAsia" w:eastAsia="宋体"/>
                <w:color w:val="auto"/>
              </w:rPr>
            </w:pPr>
            <w:r>
              <w:rPr>
                <w:rFonts w:hint="eastAsia" w:eastAsia="宋体"/>
                <w:color w:val="auto"/>
              </w:rPr>
              <w:t>0.05</w:t>
            </w:r>
          </w:p>
        </w:tc>
        <w:tc>
          <w:tcPr>
            <w:tcW w:w="588" w:type="pct"/>
            <w:vAlign w:val="center"/>
          </w:tcPr>
          <w:p w14:paraId="1169D0BD">
            <w:pPr>
              <w:pStyle w:val="288"/>
              <w:adjustRightInd w:val="0"/>
              <w:snapToGrid w:val="0"/>
              <w:spacing w:line="300" w:lineRule="exact"/>
              <w:rPr>
                <w:rFonts w:hint="eastAsia" w:eastAsia="宋体" w:cs="宋体"/>
                <w:bCs/>
                <w:color w:val="auto"/>
              </w:rPr>
            </w:pPr>
            <w:r>
              <w:rPr>
                <w:rFonts w:hint="eastAsia"/>
                <w:color w:val="auto"/>
                <w:sz w:val="22"/>
                <w:szCs w:val="22"/>
              </w:rPr>
              <w:t>289</w:t>
            </w:r>
          </w:p>
        </w:tc>
        <w:tc>
          <w:tcPr>
            <w:tcW w:w="568" w:type="pct"/>
            <w:vAlign w:val="center"/>
          </w:tcPr>
          <w:p w14:paraId="2379A92B">
            <w:pPr>
              <w:pStyle w:val="288"/>
              <w:adjustRightInd w:val="0"/>
              <w:snapToGrid w:val="0"/>
              <w:spacing w:line="300" w:lineRule="exact"/>
              <w:rPr>
                <w:rFonts w:hint="eastAsia" w:eastAsia="宋体" w:cs="宋体"/>
                <w:bCs/>
                <w:color w:val="auto"/>
              </w:rPr>
            </w:pPr>
            <w:r>
              <w:rPr>
                <w:rFonts w:hint="eastAsia"/>
                <w:color w:val="auto"/>
                <w:sz w:val="22"/>
                <w:szCs w:val="22"/>
              </w:rPr>
              <w:t>13.6962</w:t>
            </w:r>
          </w:p>
        </w:tc>
        <w:tc>
          <w:tcPr>
            <w:tcW w:w="509" w:type="pct"/>
            <w:vAlign w:val="center"/>
          </w:tcPr>
          <w:p w14:paraId="0D5BAD8B">
            <w:pPr>
              <w:pStyle w:val="288"/>
              <w:adjustRightInd w:val="0"/>
              <w:snapToGrid w:val="0"/>
              <w:spacing w:line="300" w:lineRule="exact"/>
              <w:rPr>
                <w:rFonts w:hint="eastAsia" w:eastAsia="宋体" w:cs="宋体"/>
                <w:bCs/>
                <w:color w:val="auto"/>
              </w:rPr>
            </w:pPr>
            <w:r>
              <w:rPr>
                <w:rFonts w:hint="eastAsia"/>
                <w:color w:val="auto"/>
                <w:sz w:val="22"/>
                <w:szCs w:val="22"/>
              </w:rPr>
              <w:t>0.68</w:t>
            </w:r>
          </w:p>
        </w:tc>
        <w:tc>
          <w:tcPr>
            <w:tcW w:w="588" w:type="pct"/>
            <w:vAlign w:val="center"/>
          </w:tcPr>
          <w:p w14:paraId="111D5596">
            <w:pPr>
              <w:pStyle w:val="288"/>
              <w:adjustRightInd w:val="0"/>
              <w:snapToGrid w:val="0"/>
              <w:spacing w:line="300" w:lineRule="exact"/>
              <w:rPr>
                <w:rFonts w:hint="eastAsia" w:eastAsia="宋体" w:cs="宋体"/>
                <w:bCs/>
                <w:color w:val="auto"/>
              </w:rPr>
            </w:pPr>
            <w:r>
              <w:rPr>
                <w:rFonts w:hint="eastAsia"/>
                <w:color w:val="auto"/>
                <w:sz w:val="22"/>
                <w:szCs w:val="22"/>
              </w:rPr>
              <w:t>200</w:t>
            </w:r>
          </w:p>
        </w:tc>
        <w:tc>
          <w:tcPr>
            <w:tcW w:w="568" w:type="pct"/>
            <w:vAlign w:val="center"/>
          </w:tcPr>
          <w:p w14:paraId="2D6915CA">
            <w:pPr>
              <w:pStyle w:val="288"/>
              <w:adjustRightInd w:val="0"/>
              <w:snapToGrid w:val="0"/>
              <w:spacing w:line="300" w:lineRule="exact"/>
              <w:rPr>
                <w:rFonts w:hint="eastAsia" w:eastAsia="宋体" w:cs="宋体"/>
                <w:bCs/>
                <w:color w:val="auto"/>
              </w:rPr>
            </w:pPr>
            <w:r>
              <w:rPr>
                <w:rFonts w:hint="eastAsia"/>
                <w:color w:val="auto"/>
                <w:sz w:val="22"/>
                <w:szCs w:val="22"/>
              </w:rPr>
              <w:t>9.1953</w:t>
            </w:r>
          </w:p>
        </w:tc>
        <w:tc>
          <w:tcPr>
            <w:tcW w:w="509" w:type="pct"/>
            <w:vAlign w:val="center"/>
          </w:tcPr>
          <w:p w14:paraId="3375A5FF">
            <w:pPr>
              <w:pStyle w:val="288"/>
              <w:adjustRightInd w:val="0"/>
              <w:snapToGrid w:val="0"/>
              <w:spacing w:line="300" w:lineRule="exact"/>
              <w:rPr>
                <w:rFonts w:hint="eastAsia" w:eastAsia="宋体" w:cs="宋体"/>
                <w:bCs/>
                <w:color w:val="auto"/>
              </w:rPr>
            </w:pPr>
            <w:r>
              <w:rPr>
                <w:rFonts w:hint="eastAsia"/>
                <w:color w:val="auto"/>
                <w:sz w:val="22"/>
                <w:szCs w:val="22"/>
              </w:rPr>
              <w:t>0.46</w:t>
            </w:r>
          </w:p>
        </w:tc>
      </w:tr>
      <w:tr w14:paraId="7F5660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8" w:type="pct"/>
            <w:vAlign w:val="center"/>
          </w:tcPr>
          <w:p w14:paraId="6F74C8E5">
            <w:pPr>
              <w:pStyle w:val="288"/>
              <w:adjustRightInd w:val="0"/>
              <w:snapToGrid w:val="0"/>
              <w:spacing w:line="300" w:lineRule="exact"/>
              <w:rPr>
                <w:rFonts w:hint="eastAsia" w:eastAsia="宋体"/>
                <w:color w:val="auto"/>
              </w:rPr>
            </w:pPr>
            <w:r>
              <w:rPr>
                <w:rFonts w:hint="eastAsia" w:eastAsia="宋体"/>
                <w:color w:val="auto"/>
              </w:rPr>
              <w:t>300</w:t>
            </w:r>
          </w:p>
        </w:tc>
        <w:tc>
          <w:tcPr>
            <w:tcW w:w="568" w:type="pct"/>
            <w:vAlign w:val="center"/>
          </w:tcPr>
          <w:p w14:paraId="6E4BDDBE">
            <w:pPr>
              <w:pStyle w:val="288"/>
              <w:adjustRightInd w:val="0"/>
              <w:snapToGrid w:val="0"/>
              <w:spacing w:line="300" w:lineRule="exact"/>
              <w:rPr>
                <w:rFonts w:hint="eastAsia" w:eastAsia="宋体"/>
                <w:color w:val="auto"/>
              </w:rPr>
            </w:pPr>
            <w:r>
              <w:rPr>
                <w:rFonts w:hint="eastAsia" w:eastAsia="宋体"/>
                <w:color w:val="auto"/>
              </w:rPr>
              <w:t>0.7649</w:t>
            </w:r>
          </w:p>
        </w:tc>
        <w:tc>
          <w:tcPr>
            <w:tcW w:w="509" w:type="pct"/>
            <w:vAlign w:val="center"/>
          </w:tcPr>
          <w:p w14:paraId="6F86B93B">
            <w:pPr>
              <w:pStyle w:val="288"/>
              <w:adjustRightInd w:val="0"/>
              <w:snapToGrid w:val="0"/>
              <w:spacing w:line="300" w:lineRule="exact"/>
              <w:rPr>
                <w:rFonts w:hint="eastAsia" w:eastAsia="宋体"/>
                <w:color w:val="auto"/>
              </w:rPr>
            </w:pPr>
            <w:r>
              <w:rPr>
                <w:rFonts w:hint="eastAsia" w:eastAsia="宋体"/>
                <w:color w:val="auto"/>
              </w:rPr>
              <w:t>0.04</w:t>
            </w:r>
          </w:p>
        </w:tc>
        <w:tc>
          <w:tcPr>
            <w:tcW w:w="588" w:type="pct"/>
            <w:vAlign w:val="center"/>
          </w:tcPr>
          <w:p w14:paraId="1E7D0C57">
            <w:pPr>
              <w:pStyle w:val="288"/>
              <w:adjustRightInd w:val="0"/>
              <w:snapToGrid w:val="0"/>
              <w:spacing w:line="300" w:lineRule="exact"/>
              <w:rPr>
                <w:rFonts w:hint="eastAsia" w:eastAsia="宋体" w:cs="宋体"/>
                <w:bCs/>
                <w:color w:val="auto"/>
              </w:rPr>
            </w:pPr>
            <w:r>
              <w:rPr>
                <w:rFonts w:hint="eastAsia"/>
                <w:color w:val="auto"/>
                <w:sz w:val="22"/>
                <w:szCs w:val="22"/>
              </w:rPr>
              <w:t>300</w:t>
            </w:r>
          </w:p>
        </w:tc>
        <w:tc>
          <w:tcPr>
            <w:tcW w:w="568" w:type="pct"/>
            <w:vAlign w:val="center"/>
          </w:tcPr>
          <w:p w14:paraId="3E4F1B7B">
            <w:pPr>
              <w:pStyle w:val="288"/>
              <w:adjustRightInd w:val="0"/>
              <w:snapToGrid w:val="0"/>
              <w:spacing w:line="300" w:lineRule="exact"/>
              <w:rPr>
                <w:rFonts w:hint="eastAsia" w:eastAsia="宋体" w:cs="宋体"/>
                <w:bCs/>
                <w:color w:val="auto"/>
              </w:rPr>
            </w:pPr>
            <w:r>
              <w:rPr>
                <w:rFonts w:hint="eastAsia"/>
                <w:color w:val="auto"/>
                <w:sz w:val="22"/>
                <w:szCs w:val="22"/>
              </w:rPr>
              <w:t>13.6922</w:t>
            </w:r>
          </w:p>
        </w:tc>
        <w:tc>
          <w:tcPr>
            <w:tcW w:w="509" w:type="pct"/>
            <w:vAlign w:val="center"/>
          </w:tcPr>
          <w:p w14:paraId="7BDE0829">
            <w:pPr>
              <w:pStyle w:val="288"/>
              <w:adjustRightInd w:val="0"/>
              <w:snapToGrid w:val="0"/>
              <w:spacing w:line="300" w:lineRule="exact"/>
              <w:rPr>
                <w:rFonts w:hint="eastAsia" w:eastAsia="宋体" w:cs="宋体"/>
                <w:bCs/>
                <w:color w:val="auto"/>
              </w:rPr>
            </w:pPr>
            <w:r>
              <w:rPr>
                <w:rFonts w:hint="eastAsia"/>
                <w:color w:val="auto"/>
                <w:sz w:val="22"/>
                <w:szCs w:val="22"/>
              </w:rPr>
              <w:t>0.68</w:t>
            </w:r>
          </w:p>
        </w:tc>
        <w:tc>
          <w:tcPr>
            <w:tcW w:w="588" w:type="pct"/>
            <w:vAlign w:val="center"/>
          </w:tcPr>
          <w:p w14:paraId="0FEBFBDE">
            <w:pPr>
              <w:pStyle w:val="288"/>
              <w:adjustRightInd w:val="0"/>
              <w:snapToGrid w:val="0"/>
              <w:spacing w:line="300" w:lineRule="exact"/>
              <w:rPr>
                <w:rFonts w:hint="eastAsia" w:eastAsia="宋体" w:cs="宋体"/>
                <w:bCs/>
                <w:color w:val="auto"/>
              </w:rPr>
            </w:pPr>
            <w:r>
              <w:rPr>
                <w:rFonts w:hint="eastAsia"/>
                <w:color w:val="auto"/>
                <w:sz w:val="22"/>
                <w:szCs w:val="22"/>
              </w:rPr>
              <w:t>300</w:t>
            </w:r>
          </w:p>
        </w:tc>
        <w:tc>
          <w:tcPr>
            <w:tcW w:w="568" w:type="pct"/>
            <w:vAlign w:val="center"/>
          </w:tcPr>
          <w:p w14:paraId="6B2A2792">
            <w:pPr>
              <w:pStyle w:val="288"/>
              <w:adjustRightInd w:val="0"/>
              <w:snapToGrid w:val="0"/>
              <w:spacing w:line="300" w:lineRule="exact"/>
              <w:rPr>
                <w:rFonts w:hint="eastAsia" w:eastAsia="宋体" w:cs="宋体"/>
                <w:bCs/>
                <w:color w:val="auto"/>
              </w:rPr>
            </w:pPr>
            <w:r>
              <w:rPr>
                <w:rFonts w:hint="eastAsia"/>
                <w:color w:val="auto"/>
                <w:sz w:val="22"/>
                <w:szCs w:val="22"/>
              </w:rPr>
              <w:t>8.5912</w:t>
            </w:r>
          </w:p>
        </w:tc>
        <w:tc>
          <w:tcPr>
            <w:tcW w:w="509" w:type="pct"/>
            <w:vAlign w:val="center"/>
          </w:tcPr>
          <w:p w14:paraId="4B3D0785">
            <w:pPr>
              <w:pStyle w:val="288"/>
              <w:adjustRightInd w:val="0"/>
              <w:snapToGrid w:val="0"/>
              <w:spacing w:line="300" w:lineRule="exact"/>
              <w:rPr>
                <w:rFonts w:hint="eastAsia" w:eastAsia="宋体" w:cs="宋体"/>
                <w:bCs/>
                <w:color w:val="auto"/>
              </w:rPr>
            </w:pPr>
            <w:r>
              <w:rPr>
                <w:rFonts w:hint="eastAsia"/>
                <w:color w:val="auto"/>
                <w:sz w:val="22"/>
                <w:szCs w:val="22"/>
              </w:rPr>
              <w:t>0.43</w:t>
            </w:r>
          </w:p>
        </w:tc>
      </w:tr>
      <w:tr w14:paraId="72C875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8" w:type="pct"/>
            <w:vAlign w:val="center"/>
          </w:tcPr>
          <w:p w14:paraId="2FBAE071">
            <w:pPr>
              <w:pStyle w:val="288"/>
              <w:adjustRightInd w:val="0"/>
              <w:snapToGrid w:val="0"/>
              <w:spacing w:line="300" w:lineRule="exact"/>
              <w:rPr>
                <w:rFonts w:hint="eastAsia" w:eastAsia="宋体"/>
                <w:color w:val="auto"/>
              </w:rPr>
            </w:pPr>
            <w:r>
              <w:rPr>
                <w:rFonts w:hint="eastAsia" w:eastAsia="宋体"/>
                <w:color w:val="auto"/>
              </w:rPr>
              <w:t>400</w:t>
            </w:r>
          </w:p>
        </w:tc>
        <w:tc>
          <w:tcPr>
            <w:tcW w:w="568" w:type="pct"/>
            <w:vAlign w:val="center"/>
          </w:tcPr>
          <w:p w14:paraId="2F412C30">
            <w:pPr>
              <w:pStyle w:val="288"/>
              <w:adjustRightInd w:val="0"/>
              <w:snapToGrid w:val="0"/>
              <w:spacing w:line="300" w:lineRule="exact"/>
              <w:rPr>
                <w:rFonts w:hint="eastAsia" w:eastAsia="宋体"/>
                <w:color w:val="auto"/>
              </w:rPr>
            </w:pPr>
            <w:r>
              <w:rPr>
                <w:rFonts w:hint="eastAsia" w:eastAsia="宋体"/>
                <w:color w:val="auto"/>
              </w:rPr>
              <w:t>0.5867</w:t>
            </w:r>
          </w:p>
        </w:tc>
        <w:tc>
          <w:tcPr>
            <w:tcW w:w="509" w:type="pct"/>
            <w:vAlign w:val="center"/>
          </w:tcPr>
          <w:p w14:paraId="7248FECF">
            <w:pPr>
              <w:pStyle w:val="288"/>
              <w:adjustRightInd w:val="0"/>
              <w:snapToGrid w:val="0"/>
              <w:spacing w:line="300" w:lineRule="exact"/>
              <w:rPr>
                <w:rFonts w:hint="eastAsia" w:eastAsia="宋体"/>
                <w:color w:val="auto"/>
              </w:rPr>
            </w:pPr>
            <w:r>
              <w:rPr>
                <w:rFonts w:hint="eastAsia" w:eastAsia="宋体"/>
                <w:color w:val="auto"/>
              </w:rPr>
              <w:t>0.03</w:t>
            </w:r>
          </w:p>
        </w:tc>
        <w:tc>
          <w:tcPr>
            <w:tcW w:w="588" w:type="pct"/>
            <w:vAlign w:val="center"/>
          </w:tcPr>
          <w:p w14:paraId="75642F13">
            <w:pPr>
              <w:pStyle w:val="288"/>
              <w:adjustRightInd w:val="0"/>
              <w:snapToGrid w:val="0"/>
              <w:spacing w:line="300" w:lineRule="exact"/>
              <w:rPr>
                <w:rFonts w:hint="eastAsia" w:eastAsia="宋体" w:cs="宋体"/>
                <w:bCs/>
                <w:color w:val="auto"/>
              </w:rPr>
            </w:pPr>
            <w:r>
              <w:rPr>
                <w:rFonts w:hint="eastAsia"/>
                <w:color w:val="auto"/>
                <w:sz w:val="22"/>
                <w:szCs w:val="22"/>
              </w:rPr>
              <w:t>400</w:t>
            </w:r>
          </w:p>
        </w:tc>
        <w:tc>
          <w:tcPr>
            <w:tcW w:w="568" w:type="pct"/>
            <w:vAlign w:val="center"/>
          </w:tcPr>
          <w:p w14:paraId="1F6EF10D">
            <w:pPr>
              <w:pStyle w:val="288"/>
              <w:adjustRightInd w:val="0"/>
              <w:snapToGrid w:val="0"/>
              <w:spacing w:line="300" w:lineRule="exact"/>
              <w:rPr>
                <w:rFonts w:hint="eastAsia" w:eastAsia="宋体" w:cs="宋体"/>
                <w:bCs/>
                <w:color w:val="auto"/>
              </w:rPr>
            </w:pPr>
            <w:r>
              <w:rPr>
                <w:rFonts w:hint="eastAsia"/>
                <w:color w:val="auto"/>
                <w:sz w:val="22"/>
                <w:szCs w:val="22"/>
              </w:rPr>
              <w:t>13.0632</w:t>
            </w:r>
          </w:p>
        </w:tc>
        <w:tc>
          <w:tcPr>
            <w:tcW w:w="509" w:type="pct"/>
            <w:vAlign w:val="center"/>
          </w:tcPr>
          <w:p w14:paraId="7E225104">
            <w:pPr>
              <w:pStyle w:val="288"/>
              <w:adjustRightInd w:val="0"/>
              <w:snapToGrid w:val="0"/>
              <w:spacing w:line="300" w:lineRule="exact"/>
              <w:rPr>
                <w:rFonts w:hint="eastAsia" w:eastAsia="宋体" w:cs="宋体"/>
                <w:bCs/>
                <w:color w:val="auto"/>
              </w:rPr>
            </w:pPr>
            <w:r>
              <w:rPr>
                <w:rFonts w:hint="eastAsia"/>
                <w:color w:val="auto"/>
                <w:sz w:val="22"/>
                <w:szCs w:val="22"/>
              </w:rPr>
              <w:t>0.65</w:t>
            </w:r>
          </w:p>
        </w:tc>
        <w:tc>
          <w:tcPr>
            <w:tcW w:w="588" w:type="pct"/>
            <w:vAlign w:val="center"/>
          </w:tcPr>
          <w:p w14:paraId="058B09BB">
            <w:pPr>
              <w:pStyle w:val="288"/>
              <w:adjustRightInd w:val="0"/>
              <w:snapToGrid w:val="0"/>
              <w:spacing w:line="300" w:lineRule="exact"/>
              <w:rPr>
                <w:rFonts w:hint="eastAsia" w:eastAsia="宋体" w:cs="宋体"/>
                <w:bCs/>
                <w:color w:val="auto"/>
              </w:rPr>
            </w:pPr>
            <w:r>
              <w:rPr>
                <w:rFonts w:hint="eastAsia"/>
                <w:color w:val="auto"/>
                <w:sz w:val="22"/>
                <w:szCs w:val="22"/>
              </w:rPr>
              <w:t>400</w:t>
            </w:r>
          </w:p>
        </w:tc>
        <w:tc>
          <w:tcPr>
            <w:tcW w:w="568" w:type="pct"/>
            <w:vAlign w:val="center"/>
          </w:tcPr>
          <w:p w14:paraId="42010767">
            <w:pPr>
              <w:pStyle w:val="288"/>
              <w:adjustRightInd w:val="0"/>
              <w:snapToGrid w:val="0"/>
              <w:spacing w:line="300" w:lineRule="exact"/>
              <w:rPr>
                <w:rFonts w:hint="eastAsia" w:eastAsia="宋体" w:cs="宋体"/>
                <w:bCs/>
                <w:color w:val="auto"/>
              </w:rPr>
            </w:pPr>
            <w:r>
              <w:rPr>
                <w:rFonts w:hint="eastAsia"/>
                <w:color w:val="auto"/>
                <w:sz w:val="22"/>
                <w:szCs w:val="22"/>
              </w:rPr>
              <w:t>8.1993</w:t>
            </w:r>
          </w:p>
        </w:tc>
        <w:tc>
          <w:tcPr>
            <w:tcW w:w="509" w:type="pct"/>
            <w:vAlign w:val="center"/>
          </w:tcPr>
          <w:p w14:paraId="3C85C44C">
            <w:pPr>
              <w:pStyle w:val="288"/>
              <w:adjustRightInd w:val="0"/>
              <w:snapToGrid w:val="0"/>
              <w:spacing w:line="300" w:lineRule="exact"/>
              <w:rPr>
                <w:rFonts w:hint="eastAsia" w:eastAsia="宋体" w:cs="宋体"/>
                <w:bCs/>
                <w:color w:val="auto"/>
              </w:rPr>
            </w:pPr>
            <w:r>
              <w:rPr>
                <w:rFonts w:hint="eastAsia"/>
                <w:color w:val="auto"/>
                <w:sz w:val="22"/>
                <w:szCs w:val="22"/>
              </w:rPr>
              <w:t>0.41</w:t>
            </w:r>
          </w:p>
        </w:tc>
      </w:tr>
      <w:tr w14:paraId="6DDC3E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8" w:type="pct"/>
            <w:vAlign w:val="center"/>
          </w:tcPr>
          <w:p w14:paraId="0F44D3FC">
            <w:pPr>
              <w:pStyle w:val="288"/>
              <w:adjustRightInd w:val="0"/>
              <w:snapToGrid w:val="0"/>
              <w:spacing w:line="300" w:lineRule="exact"/>
              <w:rPr>
                <w:rFonts w:hint="eastAsia" w:eastAsia="宋体"/>
                <w:color w:val="auto"/>
              </w:rPr>
            </w:pPr>
            <w:r>
              <w:rPr>
                <w:rFonts w:hint="eastAsia" w:eastAsia="宋体"/>
                <w:color w:val="auto"/>
              </w:rPr>
              <w:t>500</w:t>
            </w:r>
          </w:p>
        </w:tc>
        <w:tc>
          <w:tcPr>
            <w:tcW w:w="568" w:type="pct"/>
            <w:vAlign w:val="center"/>
          </w:tcPr>
          <w:p w14:paraId="5E8535B3">
            <w:pPr>
              <w:pStyle w:val="288"/>
              <w:adjustRightInd w:val="0"/>
              <w:snapToGrid w:val="0"/>
              <w:spacing w:line="300" w:lineRule="exact"/>
              <w:rPr>
                <w:rFonts w:hint="eastAsia" w:eastAsia="宋体"/>
                <w:color w:val="auto"/>
              </w:rPr>
            </w:pPr>
            <w:r>
              <w:rPr>
                <w:rFonts w:hint="eastAsia" w:eastAsia="宋体"/>
                <w:color w:val="auto"/>
              </w:rPr>
              <w:t>0.4657</w:t>
            </w:r>
          </w:p>
        </w:tc>
        <w:tc>
          <w:tcPr>
            <w:tcW w:w="509" w:type="pct"/>
            <w:vAlign w:val="center"/>
          </w:tcPr>
          <w:p w14:paraId="3769F4FC">
            <w:pPr>
              <w:pStyle w:val="288"/>
              <w:adjustRightInd w:val="0"/>
              <w:snapToGrid w:val="0"/>
              <w:spacing w:line="300" w:lineRule="exact"/>
              <w:rPr>
                <w:rFonts w:hint="eastAsia" w:eastAsia="宋体"/>
                <w:color w:val="auto"/>
              </w:rPr>
            </w:pPr>
            <w:r>
              <w:rPr>
                <w:rFonts w:hint="eastAsia" w:eastAsia="宋体"/>
                <w:color w:val="auto"/>
              </w:rPr>
              <w:t>0.02</w:t>
            </w:r>
          </w:p>
        </w:tc>
        <w:tc>
          <w:tcPr>
            <w:tcW w:w="588" w:type="pct"/>
            <w:vAlign w:val="center"/>
          </w:tcPr>
          <w:p w14:paraId="76E84308">
            <w:pPr>
              <w:pStyle w:val="288"/>
              <w:adjustRightInd w:val="0"/>
              <w:snapToGrid w:val="0"/>
              <w:spacing w:line="300" w:lineRule="exact"/>
              <w:rPr>
                <w:rFonts w:hint="eastAsia" w:eastAsia="宋体" w:cs="宋体"/>
                <w:bCs/>
                <w:color w:val="auto"/>
              </w:rPr>
            </w:pPr>
            <w:r>
              <w:rPr>
                <w:rFonts w:hint="eastAsia"/>
                <w:color w:val="auto"/>
                <w:sz w:val="22"/>
                <w:szCs w:val="22"/>
              </w:rPr>
              <w:t>500</w:t>
            </w:r>
          </w:p>
        </w:tc>
        <w:tc>
          <w:tcPr>
            <w:tcW w:w="568" w:type="pct"/>
            <w:vAlign w:val="center"/>
          </w:tcPr>
          <w:p w14:paraId="476081CB">
            <w:pPr>
              <w:pStyle w:val="288"/>
              <w:adjustRightInd w:val="0"/>
              <w:snapToGrid w:val="0"/>
              <w:spacing w:line="300" w:lineRule="exact"/>
              <w:rPr>
                <w:rFonts w:hint="eastAsia" w:eastAsia="宋体" w:cs="宋体"/>
                <w:bCs/>
                <w:color w:val="auto"/>
              </w:rPr>
            </w:pPr>
            <w:r>
              <w:rPr>
                <w:rFonts w:hint="eastAsia"/>
                <w:color w:val="auto"/>
                <w:sz w:val="22"/>
                <w:szCs w:val="22"/>
              </w:rPr>
              <w:t>12.8067</w:t>
            </w:r>
          </w:p>
        </w:tc>
        <w:tc>
          <w:tcPr>
            <w:tcW w:w="509" w:type="pct"/>
            <w:vAlign w:val="center"/>
          </w:tcPr>
          <w:p w14:paraId="5C601433">
            <w:pPr>
              <w:pStyle w:val="288"/>
              <w:adjustRightInd w:val="0"/>
              <w:snapToGrid w:val="0"/>
              <w:spacing w:line="300" w:lineRule="exact"/>
              <w:rPr>
                <w:rFonts w:hint="eastAsia" w:eastAsia="宋体" w:cs="宋体"/>
                <w:bCs/>
                <w:color w:val="auto"/>
              </w:rPr>
            </w:pPr>
            <w:r>
              <w:rPr>
                <w:rFonts w:hint="eastAsia"/>
                <w:color w:val="auto"/>
                <w:sz w:val="22"/>
                <w:szCs w:val="22"/>
              </w:rPr>
              <w:t>0.64</w:t>
            </w:r>
          </w:p>
        </w:tc>
        <w:tc>
          <w:tcPr>
            <w:tcW w:w="588" w:type="pct"/>
            <w:vAlign w:val="center"/>
          </w:tcPr>
          <w:p w14:paraId="6CF3BEFE">
            <w:pPr>
              <w:pStyle w:val="288"/>
              <w:adjustRightInd w:val="0"/>
              <w:snapToGrid w:val="0"/>
              <w:spacing w:line="300" w:lineRule="exact"/>
              <w:rPr>
                <w:rFonts w:hint="eastAsia" w:eastAsia="宋体" w:cs="宋体"/>
                <w:bCs/>
                <w:color w:val="auto"/>
              </w:rPr>
            </w:pPr>
            <w:r>
              <w:rPr>
                <w:rFonts w:hint="eastAsia"/>
                <w:color w:val="auto"/>
                <w:sz w:val="22"/>
                <w:szCs w:val="22"/>
              </w:rPr>
              <w:t>500</w:t>
            </w:r>
          </w:p>
        </w:tc>
        <w:tc>
          <w:tcPr>
            <w:tcW w:w="568" w:type="pct"/>
            <w:vAlign w:val="center"/>
          </w:tcPr>
          <w:p w14:paraId="5DF307A3">
            <w:pPr>
              <w:pStyle w:val="288"/>
              <w:adjustRightInd w:val="0"/>
              <w:snapToGrid w:val="0"/>
              <w:spacing w:line="300" w:lineRule="exact"/>
              <w:rPr>
                <w:rFonts w:hint="eastAsia" w:eastAsia="宋体" w:cs="宋体"/>
                <w:bCs/>
                <w:color w:val="auto"/>
              </w:rPr>
            </w:pPr>
            <w:r>
              <w:rPr>
                <w:rFonts w:hint="eastAsia"/>
                <w:color w:val="auto"/>
                <w:sz w:val="22"/>
                <w:szCs w:val="22"/>
              </w:rPr>
              <w:t>7.8258</w:t>
            </w:r>
          </w:p>
        </w:tc>
        <w:tc>
          <w:tcPr>
            <w:tcW w:w="509" w:type="pct"/>
            <w:vAlign w:val="center"/>
          </w:tcPr>
          <w:p w14:paraId="4F78F1AC">
            <w:pPr>
              <w:pStyle w:val="288"/>
              <w:adjustRightInd w:val="0"/>
              <w:snapToGrid w:val="0"/>
              <w:spacing w:line="300" w:lineRule="exact"/>
              <w:rPr>
                <w:rFonts w:hint="eastAsia" w:eastAsia="宋体" w:cs="宋体"/>
                <w:bCs/>
                <w:color w:val="auto"/>
              </w:rPr>
            </w:pPr>
            <w:r>
              <w:rPr>
                <w:rFonts w:hint="eastAsia"/>
                <w:color w:val="auto"/>
                <w:sz w:val="22"/>
                <w:szCs w:val="22"/>
              </w:rPr>
              <w:t>0.39</w:t>
            </w:r>
          </w:p>
        </w:tc>
      </w:tr>
      <w:tr w14:paraId="1BBE7D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8" w:type="pct"/>
            <w:vAlign w:val="center"/>
          </w:tcPr>
          <w:p w14:paraId="354A5DBA">
            <w:pPr>
              <w:pStyle w:val="288"/>
              <w:adjustRightInd w:val="0"/>
              <w:snapToGrid w:val="0"/>
              <w:spacing w:line="300" w:lineRule="exact"/>
              <w:rPr>
                <w:rFonts w:hint="eastAsia" w:eastAsia="宋体"/>
                <w:color w:val="auto"/>
              </w:rPr>
            </w:pPr>
            <w:r>
              <w:rPr>
                <w:rFonts w:hint="eastAsia" w:eastAsia="宋体"/>
                <w:color w:val="auto"/>
              </w:rPr>
              <w:t>600</w:t>
            </w:r>
          </w:p>
        </w:tc>
        <w:tc>
          <w:tcPr>
            <w:tcW w:w="568" w:type="pct"/>
            <w:vAlign w:val="center"/>
          </w:tcPr>
          <w:p w14:paraId="00FA7B85">
            <w:pPr>
              <w:pStyle w:val="288"/>
              <w:adjustRightInd w:val="0"/>
              <w:snapToGrid w:val="0"/>
              <w:spacing w:line="300" w:lineRule="exact"/>
              <w:rPr>
                <w:rFonts w:hint="eastAsia" w:eastAsia="宋体"/>
                <w:color w:val="auto"/>
              </w:rPr>
            </w:pPr>
            <w:r>
              <w:rPr>
                <w:rFonts w:hint="eastAsia" w:eastAsia="宋体"/>
                <w:color w:val="auto"/>
              </w:rPr>
              <w:t>0.3811</w:t>
            </w:r>
          </w:p>
        </w:tc>
        <w:tc>
          <w:tcPr>
            <w:tcW w:w="509" w:type="pct"/>
            <w:vAlign w:val="center"/>
          </w:tcPr>
          <w:p w14:paraId="246153B7">
            <w:pPr>
              <w:pStyle w:val="288"/>
              <w:adjustRightInd w:val="0"/>
              <w:snapToGrid w:val="0"/>
              <w:spacing w:line="300" w:lineRule="exact"/>
              <w:rPr>
                <w:rFonts w:hint="eastAsia" w:eastAsia="宋体"/>
                <w:color w:val="auto"/>
              </w:rPr>
            </w:pPr>
            <w:r>
              <w:rPr>
                <w:rFonts w:hint="eastAsia" w:eastAsia="宋体"/>
                <w:color w:val="auto"/>
              </w:rPr>
              <w:t>0.02</w:t>
            </w:r>
          </w:p>
        </w:tc>
        <w:tc>
          <w:tcPr>
            <w:tcW w:w="588" w:type="pct"/>
            <w:vAlign w:val="center"/>
          </w:tcPr>
          <w:p w14:paraId="44D56860">
            <w:pPr>
              <w:pStyle w:val="288"/>
              <w:adjustRightInd w:val="0"/>
              <w:snapToGrid w:val="0"/>
              <w:spacing w:line="300" w:lineRule="exact"/>
              <w:rPr>
                <w:rFonts w:hint="eastAsia" w:eastAsia="宋体" w:cs="宋体"/>
                <w:bCs/>
                <w:color w:val="auto"/>
              </w:rPr>
            </w:pPr>
            <w:r>
              <w:rPr>
                <w:rFonts w:hint="eastAsia"/>
                <w:color w:val="auto"/>
                <w:sz w:val="22"/>
                <w:szCs w:val="22"/>
              </w:rPr>
              <w:t>600</w:t>
            </w:r>
          </w:p>
        </w:tc>
        <w:tc>
          <w:tcPr>
            <w:tcW w:w="568" w:type="pct"/>
            <w:vAlign w:val="center"/>
          </w:tcPr>
          <w:p w14:paraId="4A12087F">
            <w:pPr>
              <w:pStyle w:val="288"/>
              <w:adjustRightInd w:val="0"/>
              <w:snapToGrid w:val="0"/>
              <w:spacing w:line="300" w:lineRule="exact"/>
              <w:rPr>
                <w:rFonts w:hint="eastAsia" w:eastAsia="宋体" w:cs="宋体"/>
                <w:bCs/>
                <w:color w:val="auto"/>
              </w:rPr>
            </w:pPr>
            <w:r>
              <w:rPr>
                <w:rFonts w:hint="eastAsia"/>
                <w:color w:val="auto"/>
                <w:sz w:val="22"/>
                <w:szCs w:val="22"/>
              </w:rPr>
              <w:t>12.6682</w:t>
            </w:r>
          </w:p>
        </w:tc>
        <w:tc>
          <w:tcPr>
            <w:tcW w:w="509" w:type="pct"/>
            <w:vAlign w:val="center"/>
          </w:tcPr>
          <w:p w14:paraId="30DCDB96">
            <w:pPr>
              <w:pStyle w:val="288"/>
              <w:adjustRightInd w:val="0"/>
              <w:snapToGrid w:val="0"/>
              <w:spacing w:line="300" w:lineRule="exact"/>
              <w:rPr>
                <w:rFonts w:hint="eastAsia" w:eastAsia="宋体" w:cs="宋体"/>
                <w:bCs/>
                <w:color w:val="auto"/>
              </w:rPr>
            </w:pPr>
            <w:r>
              <w:rPr>
                <w:rFonts w:hint="eastAsia"/>
                <w:color w:val="auto"/>
                <w:sz w:val="22"/>
                <w:szCs w:val="22"/>
              </w:rPr>
              <w:t>0.63</w:t>
            </w:r>
          </w:p>
        </w:tc>
        <w:tc>
          <w:tcPr>
            <w:tcW w:w="588" w:type="pct"/>
            <w:vAlign w:val="center"/>
          </w:tcPr>
          <w:p w14:paraId="23E0CF1A">
            <w:pPr>
              <w:pStyle w:val="288"/>
              <w:adjustRightInd w:val="0"/>
              <w:snapToGrid w:val="0"/>
              <w:spacing w:line="300" w:lineRule="exact"/>
              <w:rPr>
                <w:rFonts w:hint="eastAsia" w:eastAsia="宋体" w:cs="宋体"/>
                <w:bCs/>
                <w:color w:val="auto"/>
              </w:rPr>
            </w:pPr>
            <w:r>
              <w:rPr>
                <w:rFonts w:hint="eastAsia"/>
                <w:color w:val="auto"/>
                <w:sz w:val="22"/>
                <w:szCs w:val="22"/>
              </w:rPr>
              <w:t>600</w:t>
            </w:r>
          </w:p>
        </w:tc>
        <w:tc>
          <w:tcPr>
            <w:tcW w:w="568" w:type="pct"/>
            <w:vAlign w:val="center"/>
          </w:tcPr>
          <w:p w14:paraId="0275E879">
            <w:pPr>
              <w:pStyle w:val="288"/>
              <w:adjustRightInd w:val="0"/>
              <w:snapToGrid w:val="0"/>
              <w:spacing w:line="300" w:lineRule="exact"/>
              <w:rPr>
                <w:rFonts w:hint="eastAsia" w:eastAsia="宋体" w:cs="宋体"/>
                <w:bCs/>
                <w:color w:val="auto"/>
              </w:rPr>
            </w:pPr>
            <w:r>
              <w:rPr>
                <w:rFonts w:hint="eastAsia"/>
                <w:color w:val="auto"/>
                <w:sz w:val="22"/>
                <w:szCs w:val="22"/>
              </w:rPr>
              <w:t>7.4855</w:t>
            </w:r>
          </w:p>
        </w:tc>
        <w:tc>
          <w:tcPr>
            <w:tcW w:w="509" w:type="pct"/>
            <w:vAlign w:val="center"/>
          </w:tcPr>
          <w:p w14:paraId="00641D23">
            <w:pPr>
              <w:pStyle w:val="288"/>
              <w:adjustRightInd w:val="0"/>
              <w:snapToGrid w:val="0"/>
              <w:spacing w:line="300" w:lineRule="exact"/>
              <w:rPr>
                <w:rFonts w:hint="eastAsia" w:eastAsia="宋体" w:cs="宋体"/>
                <w:bCs/>
                <w:color w:val="auto"/>
              </w:rPr>
            </w:pPr>
            <w:r>
              <w:rPr>
                <w:rFonts w:hint="eastAsia"/>
                <w:color w:val="auto"/>
                <w:sz w:val="22"/>
                <w:szCs w:val="22"/>
              </w:rPr>
              <w:t>0.37</w:t>
            </w:r>
          </w:p>
        </w:tc>
      </w:tr>
      <w:tr w14:paraId="2B0095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8" w:type="pct"/>
            <w:vAlign w:val="center"/>
          </w:tcPr>
          <w:p w14:paraId="75E20B75">
            <w:pPr>
              <w:pStyle w:val="288"/>
              <w:adjustRightInd w:val="0"/>
              <w:snapToGrid w:val="0"/>
              <w:spacing w:line="300" w:lineRule="exact"/>
              <w:rPr>
                <w:rFonts w:hint="eastAsia" w:eastAsia="宋体"/>
                <w:color w:val="auto"/>
              </w:rPr>
            </w:pPr>
            <w:r>
              <w:rPr>
                <w:rFonts w:hint="eastAsia" w:eastAsia="宋体"/>
                <w:color w:val="auto"/>
              </w:rPr>
              <w:t>700</w:t>
            </w:r>
          </w:p>
        </w:tc>
        <w:tc>
          <w:tcPr>
            <w:tcW w:w="568" w:type="pct"/>
            <w:vAlign w:val="center"/>
          </w:tcPr>
          <w:p w14:paraId="7BDE87A1">
            <w:pPr>
              <w:pStyle w:val="288"/>
              <w:adjustRightInd w:val="0"/>
              <w:snapToGrid w:val="0"/>
              <w:spacing w:line="300" w:lineRule="exact"/>
              <w:rPr>
                <w:rFonts w:hint="eastAsia" w:eastAsia="宋体"/>
                <w:color w:val="auto"/>
              </w:rPr>
            </w:pPr>
            <w:r>
              <w:rPr>
                <w:rFonts w:hint="eastAsia" w:eastAsia="宋体"/>
                <w:color w:val="auto"/>
              </w:rPr>
              <w:t>0.3193</w:t>
            </w:r>
          </w:p>
        </w:tc>
        <w:tc>
          <w:tcPr>
            <w:tcW w:w="509" w:type="pct"/>
            <w:vAlign w:val="center"/>
          </w:tcPr>
          <w:p w14:paraId="23061CB5">
            <w:pPr>
              <w:pStyle w:val="288"/>
              <w:adjustRightInd w:val="0"/>
              <w:snapToGrid w:val="0"/>
              <w:spacing w:line="300" w:lineRule="exact"/>
              <w:rPr>
                <w:rFonts w:hint="eastAsia" w:eastAsia="宋体"/>
                <w:color w:val="auto"/>
              </w:rPr>
            </w:pPr>
            <w:r>
              <w:rPr>
                <w:rFonts w:hint="eastAsia" w:eastAsia="宋体"/>
                <w:color w:val="auto"/>
              </w:rPr>
              <w:t>0.02</w:t>
            </w:r>
          </w:p>
        </w:tc>
        <w:tc>
          <w:tcPr>
            <w:tcW w:w="588" w:type="pct"/>
            <w:vAlign w:val="center"/>
          </w:tcPr>
          <w:p w14:paraId="3C8810EA">
            <w:pPr>
              <w:pStyle w:val="288"/>
              <w:adjustRightInd w:val="0"/>
              <w:snapToGrid w:val="0"/>
              <w:spacing w:line="300" w:lineRule="exact"/>
              <w:rPr>
                <w:rFonts w:hint="eastAsia" w:eastAsia="宋体" w:cs="宋体"/>
                <w:bCs/>
                <w:color w:val="auto"/>
              </w:rPr>
            </w:pPr>
            <w:r>
              <w:rPr>
                <w:rFonts w:hint="eastAsia"/>
                <w:color w:val="auto"/>
                <w:sz w:val="22"/>
                <w:szCs w:val="22"/>
              </w:rPr>
              <w:t>700</w:t>
            </w:r>
          </w:p>
        </w:tc>
        <w:tc>
          <w:tcPr>
            <w:tcW w:w="568" w:type="pct"/>
            <w:vAlign w:val="center"/>
          </w:tcPr>
          <w:p w14:paraId="4AFDAD96">
            <w:pPr>
              <w:pStyle w:val="288"/>
              <w:adjustRightInd w:val="0"/>
              <w:snapToGrid w:val="0"/>
              <w:spacing w:line="300" w:lineRule="exact"/>
              <w:rPr>
                <w:rFonts w:hint="eastAsia" w:eastAsia="宋体" w:cs="宋体"/>
                <w:bCs/>
                <w:color w:val="auto"/>
              </w:rPr>
            </w:pPr>
            <w:r>
              <w:rPr>
                <w:rFonts w:hint="eastAsia"/>
                <w:color w:val="auto"/>
                <w:sz w:val="22"/>
                <w:szCs w:val="22"/>
              </w:rPr>
              <w:t>12.3841</w:t>
            </w:r>
          </w:p>
        </w:tc>
        <w:tc>
          <w:tcPr>
            <w:tcW w:w="509" w:type="pct"/>
            <w:vAlign w:val="center"/>
          </w:tcPr>
          <w:p w14:paraId="00F91F66">
            <w:pPr>
              <w:pStyle w:val="288"/>
              <w:adjustRightInd w:val="0"/>
              <w:snapToGrid w:val="0"/>
              <w:spacing w:line="300" w:lineRule="exact"/>
              <w:rPr>
                <w:rFonts w:hint="eastAsia" w:eastAsia="宋体" w:cs="宋体"/>
                <w:bCs/>
                <w:color w:val="auto"/>
              </w:rPr>
            </w:pPr>
            <w:r>
              <w:rPr>
                <w:rFonts w:hint="eastAsia"/>
                <w:color w:val="auto"/>
                <w:sz w:val="22"/>
                <w:szCs w:val="22"/>
              </w:rPr>
              <w:t>0.62</w:t>
            </w:r>
          </w:p>
        </w:tc>
        <w:tc>
          <w:tcPr>
            <w:tcW w:w="588" w:type="pct"/>
            <w:vAlign w:val="center"/>
          </w:tcPr>
          <w:p w14:paraId="70363F9A">
            <w:pPr>
              <w:pStyle w:val="288"/>
              <w:adjustRightInd w:val="0"/>
              <w:snapToGrid w:val="0"/>
              <w:spacing w:line="300" w:lineRule="exact"/>
              <w:rPr>
                <w:rFonts w:hint="eastAsia" w:eastAsia="宋体" w:cs="宋体"/>
                <w:bCs/>
                <w:color w:val="auto"/>
              </w:rPr>
            </w:pPr>
            <w:r>
              <w:rPr>
                <w:rFonts w:hint="eastAsia"/>
                <w:color w:val="auto"/>
                <w:sz w:val="22"/>
                <w:szCs w:val="22"/>
              </w:rPr>
              <w:t>700</w:t>
            </w:r>
          </w:p>
        </w:tc>
        <w:tc>
          <w:tcPr>
            <w:tcW w:w="568" w:type="pct"/>
            <w:vAlign w:val="center"/>
          </w:tcPr>
          <w:p w14:paraId="6C32F5F3">
            <w:pPr>
              <w:pStyle w:val="288"/>
              <w:adjustRightInd w:val="0"/>
              <w:snapToGrid w:val="0"/>
              <w:spacing w:line="300" w:lineRule="exact"/>
              <w:rPr>
                <w:rFonts w:hint="eastAsia" w:eastAsia="宋体" w:cs="宋体"/>
                <w:bCs/>
                <w:color w:val="auto"/>
              </w:rPr>
            </w:pPr>
            <w:r>
              <w:rPr>
                <w:rFonts w:hint="eastAsia"/>
                <w:color w:val="auto"/>
                <w:sz w:val="22"/>
                <w:szCs w:val="22"/>
              </w:rPr>
              <w:t>7.17</w:t>
            </w:r>
          </w:p>
        </w:tc>
        <w:tc>
          <w:tcPr>
            <w:tcW w:w="509" w:type="pct"/>
            <w:vAlign w:val="center"/>
          </w:tcPr>
          <w:p w14:paraId="7A124C28">
            <w:pPr>
              <w:pStyle w:val="288"/>
              <w:adjustRightInd w:val="0"/>
              <w:snapToGrid w:val="0"/>
              <w:spacing w:line="300" w:lineRule="exact"/>
              <w:rPr>
                <w:rFonts w:hint="eastAsia" w:eastAsia="宋体" w:cs="宋体"/>
                <w:bCs/>
                <w:color w:val="auto"/>
              </w:rPr>
            </w:pPr>
            <w:r>
              <w:rPr>
                <w:rFonts w:hint="eastAsia"/>
                <w:color w:val="auto"/>
                <w:sz w:val="22"/>
                <w:szCs w:val="22"/>
              </w:rPr>
              <w:t>0.36</w:t>
            </w:r>
          </w:p>
        </w:tc>
      </w:tr>
      <w:tr w14:paraId="30B7D8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8" w:type="pct"/>
            <w:vAlign w:val="center"/>
          </w:tcPr>
          <w:p w14:paraId="5073B919">
            <w:pPr>
              <w:pStyle w:val="288"/>
              <w:adjustRightInd w:val="0"/>
              <w:snapToGrid w:val="0"/>
              <w:spacing w:line="300" w:lineRule="exact"/>
              <w:rPr>
                <w:rFonts w:hint="eastAsia" w:eastAsia="宋体"/>
                <w:color w:val="auto"/>
              </w:rPr>
            </w:pPr>
            <w:r>
              <w:rPr>
                <w:rFonts w:hint="eastAsia" w:eastAsia="宋体"/>
                <w:color w:val="auto"/>
              </w:rPr>
              <w:t>800</w:t>
            </w:r>
          </w:p>
        </w:tc>
        <w:tc>
          <w:tcPr>
            <w:tcW w:w="568" w:type="pct"/>
            <w:vAlign w:val="center"/>
          </w:tcPr>
          <w:p w14:paraId="0290C203">
            <w:pPr>
              <w:pStyle w:val="288"/>
              <w:adjustRightInd w:val="0"/>
              <w:snapToGrid w:val="0"/>
              <w:spacing w:line="300" w:lineRule="exact"/>
              <w:rPr>
                <w:rFonts w:hint="eastAsia" w:eastAsia="宋体"/>
                <w:color w:val="auto"/>
              </w:rPr>
            </w:pPr>
            <w:r>
              <w:rPr>
                <w:rFonts w:hint="eastAsia" w:eastAsia="宋体"/>
                <w:color w:val="auto"/>
              </w:rPr>
              <w:t>0.2728</w:t>
            </w:r>
          </w:p>
        </w:tc>
        <w:tc>
          <w:tcPr>
            <w:tcW w:w="509" w:type="pct"/>
            <w:vAlign w:val="center"/>
          </w:tcPr>
          <w:p w14:paraId="066F9CF9">
            <w:pPr>
              <w:pStyle w:val="288"/>
              <w:adjustRightInd w:val="0"/>
              <w:snapToGrid w:val="0"/>
              <w:spacing w:line="300" w:lineRule="exact"/>
              <w:rPr>
                <w:rFonts w:hint="eastAsia" w:eastAsia="宋体"/>
                <w:color w:val="auto"/>
              </w:rPr>
            </w:pPr>
            <w:r>
              <w:rPr>
                <w:rFonts w:hint="eastAsia" w:eastAsia="宋体"/>
                <w:color w:val="auto"/>
              </w:rPr>
              <w:t>0.01</w:t>
            </w:r>
          </w:p>
        </w:tc>
        <w:tc>
          <w:tcPr>
            <w:tcW w:w="588" w:type="pct"/>
            <w:vAlign w:val="center"/>
          </w:tcPr>
          <w:p w14:paraId="02E5B290">
            <w:pPr>
              <w:pStyle w:val="288"/>
              <w:adjustRightInd w:val="0"/>
              <w:snapToGrid w:val="0"/>
              <w:spacing w:line="300" w:lineRule="exact"/>
              <w:rPr>
                <w:rFonts w:hint="eastAsia" w:eastAsia="宋体" w:cs="宋体"/>
                <w:bCs/>
                <w:color w:val="auto"/>
              </w:rPr>
            </w:pPr>
            <w:r>
              <w:rPr>
                <w:rFonts w:hint="eastAsia"/>
                <w:color w:val="auto"/>
                <w:sz w:val="22"/>
                <w:szCs w:val="22"/>
              </w:rPr>
              <w:t>800</w:t>
            </w:r>
          </w:p>
        </w:tc>
        <w:tc>
          <w:tcPr>
            <w:tcW w:w="568" w:type="pct"/>
            <w:vAlign w:val="center"/>
          </w:tcPr>
          <w:p w14:paraId="40FFE7F7">
            <w:pPr>
              <w:pStyle w:val="288"/>
              <w:adjustRightInd w:val="0"/>
              <w:snapToGrid w:val="0"/>
              <w:spacing w:line="300" w:lineRule="exact"/>
              <w:rPr>
                <w:rFonts w:hint="eastAsia" w:eastAsia="宋体" w:cs="宋体"/>
                <w:bCs/>
                <w:color w:val="auto"/>
              </w:rPr>
            </w:pPr>
            <w:r>
              <w:rPr>
                <w:rFonts w:hint="eastAsia"/>
                <w:color w:val="auto"/>
                <w:sz w:val="22"/>
                <w:szCs w:val="22"/>
              </w:rPr>
              <w:t>12.0272</w:t>
            </w:r>
          </w:p>
        </w:tc>
        <w:tc>
          <w:tcPr>
            <w:tcW w:w="509" w:type="pct"/>
            <w:vAlign w:val="center"/>
          </w:tcPr>
          <w:p w14:paraId="3472B904">
            <w:pPr>
              <w:pStyle w:val="288"/>
              <w:adjustRightInd w:val="0"/>
              <w:snapToGrid w:val="0"/>
              <w:spacing w:line="300" w:lineRule="exact"/>
              <w:rPr>
                <w:rFonts w:hint="eastAsia" w:eastAsia="宋体" w:cs="宋体"/>
                <w:bCs/>
                <w:color w:val="auto"/>
              </w:rPr>
            </w:pPr>
            <w:r>
              <w:rPr>
                <w:rFonts w:hint="eastAsia"/>
                <w:color w:val="auto"/>
                <w:sz w:val="22"/>
                <w:szCs w:val="22"/>
              </w:rPr>
              <w:t>0.6</w:t>
            </w:r>
          </w:p>
        </w:tc>
        <w:tc>
          <w:tcPr>
            <w:tcW w:w="588" w:type="pct"/>
            <w:vAlign w:val="center"/>
          </w:tcPr>
          <w:p w14:paraId="3030A093">
            <w:pPr>
              <w:pStyle w:val="288"/>
              <w:adjustRightInd w:val="0"/>
              <w:snapToGrid w:val="0"/>
              <w:spacing w:line="300" w:lineRule="exact"/>
              <w:rPr>
                <w:rFonts w:hint="eastAsia" w:eastAsia="宋体" w:cs="宋体"/>
                <w:bCs/>
                <w:color w:val="auto"/>
              </w:rPr>
            </w:pPr>
            <w:r>
              <w:rPr>
                <w:rFonts w:hint="eastAsia"/>
                <w:color w:val="auto"/>
                <w:sz w:val="22"/>
                <w:szCs w:val="22"/>
              </w:rPr>
              <w:t>800</w:t>
            </w:r>
          </w:p>
        </w:tc>
        <w:tc>
          <w:tcPr>
            <w:tcW w:w="568" w:type="pct"/>
            <w:vAlign w:val="center"/>
          </w:tcPr>
          <w:p w14:paraId="548D043D">
            <w:pPr>
              <w:pStyle w:val="288"/>
              <w:adjustRightInd w:val="0"/>
              <w:snapToGrid w:val="0"/>
              <w:spacing w:line="300" w:lineRule="exact"/>
              <w:rPr>
                <w:rFonts w:hint="eastAsia" w:eastAsia="宋体" w:cs="宋体"/>
                <w:bCs/>
                <w:color w:val="auto"/>
              </w:rPr>
            </w:pPr>
            <w:r>
              <w:rPr>
                <w:rFonts w:hint="eastAsia"/>
                <w:color w:val="auto"/>
                <w:sz w:val="22"/>
                <w:szCs w:val="22"/>
              </w:rPr>
              <w:t>6.8757</w:t>
            </w:r>
          </w:p>
        </w:tc>
        <w:tc>
          <w:tcPr>
            <w:tcW w:w="509" w:type="pct"/>
            <w:vAlign w:val="center"/>
          </w:tcPr>
          <w:p w14:paraId="40E87406">
            <w:pPr>
              <w:pStyle w:val="288"/>
              <w:adjustRightInd w:val="0"/>
              <w:snapToGrid w:val="0"/>
              <w:spacing w:line="300" w:lineRule="exact"/>
              <w:rPr>
                <w:rFonts w:hint="eastAsia" w:eastAsia="宋体" w:cs="宋体"/>
                <w:bCs/>
                <w:color w:val="auto"/>
              </w:rPr>
            </w:pPr>
            <w:r>
              <w:rPr>
                <w:rFonts w:hint="eastAsia"/>
                <w:color w:val="auto"/>
                <w:sz w:val="22"/>
                <w:szCs w:val="22"/>
              </w:rPr>
              <w:t>0.34</w:t>
            </w:r>
          </w:p>
        </w:tc>
      </w:tr>
      <w:tr w14:paraId="7C69DD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8" w:type="pct"/>
            <w:vAlign w:val="center"/>
          </w:tcPr>
          <w:p w14:paraId="17ED39ED">
            <w:pPr>
              <w:pStyle w:val="288"/>
              <w:adjustRightInd w:val="0"/>
              <w:snapToGrid w:val="0"/>
              <w:spacing w:line="300" w:lineRule="exact"/>
              <w:rPr>
                <w:rFonts w:hint="eastAsia" w:eastAsia="宋体"/>
                <w:color w:val="auto"/>
              </w:rPr>
            </w:pPr>
            <w:r>
              <w:rPr>
                <w:rFonts w:hint="eastAsia" w:eastAsia="宋体"/>
                <w:color w:val="auto"/>
              </w:rPr>
              <w:t>900</w:t>
            </w:r>
          </w:p>
        </w:tc>
        <w:tc>
          <w:tcPr>
            <w:tcW w:w="568" w:type="pct"/>
            <w:vAlign w:val="center"/>
          </w:tcPr>
          <w:p w14:paraId="02D3EB14">
            <w:pPr>
              <w:pStyle w:val="288"/>
              <w:adjustRightInd w:val="0"/>
              <w:snapToGrid w:val="0"/>
              <w:spacing w:line="300" w:lineRule="exact"/>
              <w:rPr>
                <w:rFonts w:hint="eastAsia" w:eastAsia="宋体"/>
                <w:color w:val="auto"/>
              </w:rPr>
            </w:pPr>
            <w:r>
              <w:rPr>
                <w:rFonts w:hint="eastAsia" w:eastAsia="宋体"/>
                <w:color w:val="auto"/>
              </w:rPr>
              <w:t>0.2367</w:t>
            </w:r>
          </w:p>
        </w:tc>
        <w:tc>
          <w:tcPr>
            <w:tcW w:w="509" w:type="pct"/>
            <w:vAlign w:val="center"/>
          </w:tcPr>
          <w:p w14:paraId="16EE17AA">
            <w:pPr>
              <w:pStyle w:val="288"/>
              <w:adjustRightInd w:val="0"/>
              <w:snapToGrid w:val="0"/>
              <w:spacing w:line="300" w:lineRule="exact"/>
              <w:rPr>
                <w:rFonts w:hint="eastAsia" w:eastAsia="宋体"/>
                <w:color w:val="auto"/>
              </w:rPr>
            </w:pPr>
            <w:r>
              <w:rPr>
                <w:rFonts w:hint="eastAsia" w:eastAsia="宋体"/>
                <w:color w:val="auto"/>
              </w:rPr>
              <w:t>0.01</w:t>
            </w:r>
          </w:p>
        </w:tc>
        <w:tc>
          <w:tcPr>
            <w:tcW w:w="588" w:type="pct"/>
            <w:vAlign w:val="center"/>
          </w:tcPr>
          <w:p w14:paraId="470E8D7B">
            <w:pPr>
              <w:pStyle w:val="288"/>
              <w:adjustRightInd w:val="0"/>
              <w:snapToGrid w:val="0"/>
              <w:spacing w:line="300" w:lineRule="exact"/>
              <w:rPr>
                <w:rFonts w:hint="eastAsia" w:eastAsia="宋体" w:cs="宋体"/>
                <w:bCs/>
                <w:color w:val="auto"/>
              </w:rPr>
            </w:pPr>
            <w:r>
              <w:rPr>
                <w:rFonts w:hint="eastAsia"/>
                <w:color w:val="auto"/>
                <w:sz w:val="22"/>
                <w:szCs w:val="22"/>
              </w:rPr>
              <w:t>900</w:t>
            </w:r>
          </w:p>
        </w:tc>
        <w:tc>
          <w:tcPr>
            <w:tcW w:w="568" w:type="pct"/>
            <w:vAlign w:val="center"/>
          </w:tcPr>
          <w:p w14:paraId="1456856C">
            <w:pPr>
              <w:pStyle w:val="288"/>
              <w:adjustRightInd w:val="0"/>
              <w:snapToGrid w:val="0"/>
              <w:spacing w:line="300" w:lineRule="exact"/>
              <w:rPr>
                <w:rFonts w:hint="eastAsia" w:eastAsia="宋体" w:cs="宋体"/>
                <w:bCs/>
                <w:color w:val="auto"/>
              </w:rPr>
            </w:pPr>
            <w:r>
              <w:rPr>
                <w:rFonts w:hint="eastAsia"/>
                <w:color w:val="auto"/>
                <w:sz w:val="22"/>
                <w:szCs w:val="22"/>
              </w:rPr>
              <w:t>11.6387</w:t>
            </w:r>
          </w:p>
        </w:tc>
        <w:tc>
          <w:tcPr>
            <w:tcW w:w="509" w:type="pct"/>
            <w:vAlign w:val="center"/>
          </w:tcPr>
          <w:p w14:paraId="56493CA0">
            <w:pPr>
              <w:pStyle w:val="288"/>
              <w:adjustRightInd w:val="0"/>
              <w:snapToGrid w:val="0"/>
              <w:spacing w:line="300" w:lineRule="exact"/>
              <w:rPr>
                <w:rFonts w:hint="eastAsia" w:eastAsia="宋体" w:cs="宋体"/>
                <w:bCs/>
                <w:color w:val="auto"/>
              </w:rPr>
            </w:pPr>
            <w:r>
              <w:rPr>
                <w:rFonts w:hint="eastAsia"/>
                <w:color w:val="auto"/>
                <w:sz w:val="22"/>
                <w:szCs w:val="22"/>
              </w:rPr>
              <w:t>0.58</w:t>
            </w:r>
          </w:p>
        </w:tc>
        <w:tc>
          <w:tcPr>
            <w:tcW w:w="588" w:type="pct"/>
            <w:vAlign w:val="center"/>
          </w:tcPr>
          <w:p w14:paraId="52A7AF66">
            <w:pPr>
              <w:pStyle w:val="288"/>
              <w:adjustRightInd w:val="0"/>
              <w:snapToGrid w:val="0"/>
              <w:spacing w:line="300" w:lineRule="exact"/>
              <w:rPr>
                <w:rFonts w:hint="eastAsia" w:eastAsia="宋体" w:cs="宋体"/>
                <w:bCs/>
                <w:color w:val="auto"/>
              </w:rPr>
            </w:pPr>
            <w:r>
              <w:rPr>
                <w:rFonts w:hint="eastAsia"/>
                <w:color w:val="auto"/>
                <w:sz w:val="22"/>
                <w:szCs w:val="22"/>
              </w:rPr>
              <w:t>900</w:t>
            </w:r>
          </w:p>
        </w:tc>
        <w:tc>
          <w:tcPr>
            <w:tcW w:w="568" w:type="pct"/>
            <w:vAlign w:val="center"/>
          </w:tcPr>
          <w:p w14:paraId="0600BDC4">
            <w:pPr>
              <w:pStyle w:val="288"/>
              <w:adjustRightInd w:val="0"/>
              <w:snapToGrid w:val="0"/>
              <w:spacing w:line="300" w:lineRule="exact"/>
              <w:rPr>
                <w:rFonts w:hint="eastAsia" w:eastAsia="宋体" w:cs="宋体"/>
                <w:bCs/>
                <w:color w:val="auto"/>
              </w:rPr>
            </w:pPr>
            <w:r>
              <w:rPr>
                <w:rFonts w:hint="eastAsia"/>
                <w:color w:val="auto"/>
                <w:sz w:val="22"/>
                <w:szCs w:val="22"/>
              </w:rPr>
              <w:t>6.6019</w:t>
            </w:r>
          </w:p>
        </w:tc>
        <w:tc>
          <w:tcPr>
            <w:tcW w:w="509" w:type="pct"/>
            <w:vAlign w:val="center"/>
          </w:tcPr>
          <w:p w14:paraId="657CB648">
            <w:pPr>
              <w:pStyle w:val="288"/>
              <w:adjustRightInd w:val="0"/>
              <w:snapToGrid w:val="0"/>
              <w:spacing w:line="300" w:lineRule="exact"/>
              <w:rPr>
                <w:rFonts w:hint="eastAsia" w:eastAsia="宋体" w:cs="宋体"/>
                <w:bCs/>
                <w:color w:val="auto"/>
              </w:rPr>
            </w:pPr>
            <w:r>
              <w:rPr>
                <w:rFonts w:hint="eastAsia"/>
                <w:color w:val="auto"/>
                <w:sz w:val="22"/>
                <w:szCs w:val="22"/>
              </w:rPr>
              <w:t>0.33</w:t>
            </w:r>
          </w:p>
        </w:tc>
      </w:tr>
      <w:tr w14:paraId="710954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8" w:type="pct"/>
            <w:vAlign w:val="center"/>
          </w:tcPr>
          <w:p w14:paraId="0457965E">
            <w:pPr>
              <w:pStyle w:val="288"/>
              <w:adjustRightInd w:val="0"/>
              <w:snapToGrid w:val="0"/>
              <w:spacing w:line="300" w:lineRule="exact"/>
              <w:rPr>
                <w:rFonts w:hint="eastAsia" w:eastAsia="宋体"/>
                <w:color w:val="auto"/>
              </w:rPr>
            </w:pPr>
            <w:r>
              <w:rPr>
                <w:rFonts w:hint="eastAsia" w:eastAsia="宋体"/>
                <w:color w:val="auto"/>
              </w:rPr>
              <w:t>1000</w:t>
            </w:r>
          </w:p>
        </w:tc>
        <w:tc>
          <w:tcPr>
            <w:tcW w:w="568" w:type="pct"/>
            <w:vAlign w:val="center"/>
          </w:tcPr>
          <w:p w14:paraId="2F30477A">
            <w:pPr>
              <w:pStyle w:val="288"/>
              <w:adjustRightInd w:val="0"/>
              <w:snapToGrid w:val="0"/>
              <w:spacing w:line="300" w:lineRule="exact"/>
              <w:rPr>
                <w:rFonts w:hint="eastAsia" w:eastAsia="宋体"/>
                <w:color w:val="auto"/>
              </w:rPr>
            </w:pPr>
            <w:r>
              <w:rPr>
                <w:rFonts w:hint="eastAsia" w:eastAsia="宋体"/>
                <w:color w:val="auto"/>
              </w:rPr>
              <w:t>0.2081</w:t>
            </w:r>
          </w:p>
        </w:tc>
        <w:tc>
          <w:tcPr>
            <w:tcW w:w="509" w:type="pct"/>
            <w:vAlign w:val="center"/>
          </w:tcPr>
          <w:p w14:paraId="6A32D70E">
            <w:pPr>
              <w:pStyle w:val="288"/>
              <w:adjustRightInd w:val="0"/>
              <w:snapToGrid w:val="0"/>
              <w:spacing w:line="300" w:lineRule="exact"/>
              <w:rPr>
                <w:rFonts w:hint="eastAsia" w:eastAsia="宋体"/>
                <w:color w:val="auto"/>
              </w:rPr>
            </w:pPr>
            <w:r>
              <w:rPr>
                <w:rFonts w:hint="eastAsia" w:eastAsia="宋体"/>
                <w:color w:val="auto"/>
              </w:rPr>
              <w:t>0.01</w:t>
            </w:r>
          </w:p>
        </w:tc>
        <w:tc>
          <w:tcPr>
            <w:tcW w:w="588" w:type="pct"/>
            <w:vAlign w:val="center"/>
          </w:tcPr>
          <w:p w14:paraId="3B7115B8">
            <w:pPr>
              <w:pStyle w:val="288"/>
              <w:adjustRightInd w:val="0"/>
              <w:snapToGrid w:val="0"/>
              <w:spacing w:line="300" w:lineRule="exact"/>
              <w:rPr>
                <w:rFonts w:hint="eastAsia" w:eastAsia="宋体" w:cs="宋体"/>
                <w:bCs/>
                <w:color w:val="auto"/>
              </w:rPr>
            </w:pPr>
            <w:r>
              <w:rPr>
                <w:rFonts w:hint="eastAsia"/>
                <w:color w:val="auto"/>
                <w:sz w:val="22"/>
                <w:szCs w:val="22"/>
              </w:rPr>
              <w:t>1000</w:t>
            </w:r>
          </w:p>
        </w:tc>
        <w:tc>
          <w:tcPr>
            <w:tcW w:w="568" w:type="pct"/>
            <w:vAlign w:val="center"/>
          </w:tcPr>
          <w:p w14:paraId="7C5B0151">
            <w:pPr>
              <w:pStyle w:val="288"/>
              <w:adjustRightInd w:val="0"/>
              <w:snapToGrid w:val="0"/>
              <w:spacing w:line="300" w:lineRule="exact"/>
              <w:rPr>
                <w:rFonts w:hint="eastAsia" w:eastAsia="宋体" w:cs="宋体"/>
                <w:bCs/>
                <w:color w:val="auto"/>
              </w:rPr>
            </w:pPr>
            <w:r>
              <w:rPr>
                <w:rFonts w:hint="eastAsia"/>
                <w:color w:val="auto"/>
                <w:sz w:val="22"/>
                <w:szCs w:val="22"/>
              </w:rPr>
              <w:t>11.2315</w:t>
            </w:r>
          </w:p>
        </w:tc>
        <w:tc>
          <w:tcPr>
            <w:tcW w:w="509" w:type="pct"/>
            <w:vAlign w:val="center"/>
          </w:tcPr>
          <w:p w14:paraId="4A4E7996">
            <w:pPr>
              <w:pStyle w:val="288"/>
              <w:adjustRightInd w:val="0"/>
              <w:snapToGrid w:val="0"/>
              <w:spacing w:line="300" w:lineRule="exact"/>
              <w:rPr>
                <w:rFonts w:hint="eastAsia" w:eastAsia="宋体" w:cs="宋体"/>
                <w:bCs/>
                <w:color w:val="auto"/>
              </w:rPr>
            </w:pPr>
            <w:r>
              <w:rPr>
                <w:rFonts w:hint="eastAsia"/>
                <w:color w:val="auto"/>
                <w:sz w:val="22"/>
                <w:szCs w:val="22"/>
              </w:rPr>
              <w:t>0.56</w:t>
            </w:r>
          </w:p>
        </w:tc>
        <w:tc>
          <w:tcPr>
            <w:tcW w:w="588" w:type="pct"/>
            <w:vAlign w:val="center"/>
          </w:tcPr>
          <w:p w14:paraId="3F9B3E64">
            <w:pPr>
              <w:pStyle w:val="288"/>
              <w:adjustRightInd w:val="0"/>
              <w:snapToGrid w:val="0"/>
              <w:spacing w:line="300" w:lineRule="exact"/>
              <w:rPr>
                <w:rFonts w:hint="eastAsia" w:eastAsia="宋体" w:cs="宋体"/>
                <w:bCs/>
                <w:color w:val="auto"/>
              </w:rPr>
            </w:pPr>
            <w:r>
              <w:rPr>
                <w:rFonts w:hint="eastAsia"/>
                <w:color w:val="auto"/>
                <w:sz w:val="22"/>
                <w:szCs w:val="22"/>
              </w:rPr>
              <w:t>1000</w:t>
            </w:r>
          </w:p>
        </w:tc>
        <w:tc>
          <w:tcPr>
            <w:tcW w:w="568" w:type="pct"/>
            <w:vAlign w:val="center"/>
          </w:tcPr>
          <w:p w14:paraId="41B5666F">
            <w:pPr>
              <w:pStyle w:val="288"/>
              <w:adjustRightInd w:val="0"/>
              <w:snapToGrid w:val="0"/>
              <w:spacing w:line="300" w:lineRule="exact"/>
              <w:rPr>
                <w:rFonts w:hint="eastAsia" w:eastAsia="宋体" w:cs="宋体"/>
                <w:bCs/>
                <w:color w:val="auto"/>
              </w:rPr>
            </w:pPr>
            <w:r>
              <w:rPr>
                <w:rFonts w:hint="eastAsia"/>
                <w:color w:val="auto"/>
                <w:sz w:val="22"/>
                <w:szCs w:val="22"/>
              </w:rPr>
              <w:t>6.3446</w:t>
            </w:r>
          </w:p>
        </w:tc>
        <w:tc>
          <w:tcPr>
            <w:tcW w:w="509" w:type="pct"/>
            <w:vAlign w:val="center"/>
          </w:tcPr>
          <w:p w14:paraId="67277D93">
            <w:pPr>
              <w:pStyle w:val="288"/>
              <w:adjustRightInd w:val="0"/>
              <w:snapToGrid w:val="0"/>
              <w:spacing w:line="300" w:lineRule="exact"/>
              <w:rPr>
                <w:rFonts w:hint="eastAsia" w:eastAsia="宋体" w:cs="宋体"/>
                <w:bCs/>
                <w:color w:val="auto"/>
              </w:rPr>
            </w:pPr>
            <w:r>
              <w:rPr>
                <w:rFonts w:hint="eastAsia"/>
                <w:color w:val="auto"/>
                <w:sz w:val="22"/>
                <w:szCs w:val="22"/>
              </w:rPr>
              <w:t>0.32</w:t>
            </w:r>
          </w:p>
        </w:tc>
      </w:tr>
      <w:tr w14:paraId="52F9D1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8" w:type="pct"/>
            <w:vAlign w:val="center"/>
          </w:tcPr>
          <w:p w14:paraId="0E018C39">
            <w:pPr>
              <w:pStyle w:val="288"/>
              <w:adjustRightInd w:val="0"/>
              <w:snapToGrid w:val="0"/>
              <w:spacing w:line="300" w:lineRule="exact"/>
              <w:rPr>
                <w:rFonts w:hint="eastAsia" w:eastAsia="宋体"/>
                <w:color w:val="auto"/>
              </w:rPr>
            </w:pPr>
            <w:r>
              <w:rPr>
                <w:rFonts w:hint="eastAsia" w:eastAsia="宋体"/>
                <w:color w:val="auto"/>
              </w:rPr>
              <w:t>1500</w:t>
            </w:r>
          </w:p>
        </w:tc>
        <w:tc>
          <w:tcPr>
            <w:tcW w:w="568" w:type="pct"/>
            <w:vAlign w:val="center"/>
          </w:tcPr>
          <w:p w14:paraId="6C6D1C6E">
            <w:pPr>
              <w:pStyle w:val="288"/>
              <w:adjustRightInd w:val="0"/>
              <w:snapToGrid w:val="0"/>
              <w:spacing w:line="300" w:lineRule="exact"/>
              <w:rPr>
                <w:rFonts w:hint="eastAsia" w:eastAsia="宋体"/>
                <w:color w:val="auto"/>
              </w:rPr>
            </w:pPr>
            <w:r>
              <w:rPr>
                <w:rFonts w:hint="eastAsia" w:eastAsia="宋体"/>
                <w:color w:val="auto"/>
              </w:rPr>
              <w:t>0.125</w:t>
            </w:r>
          </w:p>
        </w:tc>
        <w:tc>
          <w:tcPr>
            <w:tcW w:w="509" w:type="pct"/>
            <w:vAlign w:val="center"/>
          </w:tcPr>
          <w:p w14:paraId="30E88ADE">
            <w:pPr>
              <w:pStyle w:val="288"/>
              <w:adjustRightInd w:val="0"/>
              <w:snapToGrid w:val="0"/>
              <w:spacing w:line="300" w:lineRule="exact"/>
              <w:rPr>
                <w:rFonts w:hint="eastAsia" w:eastAsia="宋体"/>
                <w:color w:val="auto"/>
              </w:rPr>
            </w:pPr>
            <w:r>
              <w:rPr>
                <w:rFonts w:hint="eastAsia" w:eastAsia="宋体"/>
                <w:color w:val="auto"/>
              </w:rPr>
              <w:t>0.01</w:t>
            </w:r>
          </w:p>
        </w:tc>
        <w:tc>
          <w:tcPr>
            <w:tcW w:w="588" w:type="pct"/>
            <w:vAlign w:val="center"/>
          </w:tcPr>
          <w:p w14:paraId="6424377F">
            <w:pPr>
              <w:pStyle w:val="288"/>
              <w:adjustRightInd w:val="0"/>
              <w:snapToGrid w:val="0"/>
              <w:spacing w:line="300" w:lineRule="exact"/>
              <w:rPr>
                <w:rFonts w:hint="eastAsia" w:eastAsia="宋体" w:cs="宋体"/>
                <w:bCs/>
                <w:color w:val="auto"/>
              </w:rPr>
            </w:pPr>
            <w:r>
              <w:rPr>
                <w:rFonts w:hint="eastAsia"/>
                <w:color w:val="auto"/>
                <w:sz w:val="22"/>
                <w:szCs w:val="22"/>
              </w:rPr>
              <w:t>1500</w:t>
            </w:r>
          </w:p>
        </w:tc>
        <w:tc>
          <w:tcPr>
            <w:tcW w:w="568" w:type="pct"/>
            <w:vAlign w:val="center"/>
          </w:tcPr>
          <w:p w14:paraId="5C71DC9A">
            <w:pPr>
              <w:pStyle w:val="288"/>
              <w:adjustRightInd w:val="0"/>
              <w:snapToGrid w:val="0"/>
              <w:spacing w:line="300" w:lineRule="exact"/>
              <w:rPr>
                <w:rFonts w:hint="eastAsia" w:eastAsia="宋体" w:cs="宋体"/>
                <w:bCs/>
                <w:color w:val="auto"/>
              </w:rPr>
            </w:pPr>
            <w:r>
              <w:rPr>
                <w:rFonts w:hint="eastAsia"/>
                <w:color w:val="auto"/>
                <w:sz w:val="22"/>
                <w:szCs w:val="22"/>
              </w:rPr>
              <w:t>9.3456</w:t>
            </w:r>
          </w:p>
        </w:tc>
        <w:tc>
          <w:tcPr>
            <w:tcW w:w="509" w:type="pct"/>
            <w:vAlign w:val="center"/>
          </w:tcPr>
          <w:p w14:paraId="1728D524">
            <w:pPr>
              <w:pStyle w:val="288"/>
              <w:adjustRightInd w:val="0"/>
              <w:snapToGrid w:val="0"/>
              <w:spacing w:line="300" w:lineRule="exact"/>
              <w:rPr>
                <w:rFonts w:hint="eastAsia" w:eastAsia="宋体" w:cs="宋体"/>
                <w:bCs/>
                <w:color w:val="auto"/>
              </w:rPr>
            </w:pPr>
            <w:r>
              <w:rPr>
                <w:rFonts w:hint="eastAsia"/>
                <w:color w:val="auto"/>
                <w:sz w:val="22"/>
                <w:szCs w:val="22"/>
              </w:rPr>
              <w:t>0.47</w:t>
            </w:r>
          </w:p>
        </w:tc>
        <w:tc>
          <w:tcPr>
            <w:tcW w:w="588" w:type="pct"/>
            <w:vAlign w:val="center"/>
          </w:tcPr>
          <w:p w14:paraId="14858DB6">
            <w:pPr>
              <w:pStyle w:val="288"/>
              <w:adjustRightInd w:val="0"/>
              <w:snapToGrid w:val="0"/>
              <w:spacing w:line="300" w:lineRule="exact"/>
              <w:rPr>
                <w:rFonts w:hint="eastAsia" w:eastAsia="宋体" w:cs="宋体"/>
                <w:bCs/>
                <w:color w:val="auto"/>
              </w:rPr>
            </w:pPr>
            <w:r>
              <w:rPr>
                <w:rFonts w:hint="eastAsia"/>
                <w:color w:val="auto"/>
                <w:sz w:val="22"/>
                <w:szCs w:val="22"/>
              </w:rPr>
              <w:t>1500</w:t>
            </w:r>
          </w:p>
        </w:tc>
        <w:tc>
          <w:tcPr>
            <w:tcW w:w="568" w:type="pct"/>
            <w:vAlign w:val="center"/>
          </w:tcPr>
          <w:p w14:paraId="629A4B78">
            <w:pPr>
              <w:pStyle w:val="288"/>
              <w:adjustRightInd w:val="0"/>
              <w:snapToGrid w:val="0"/>
              <w:spacing w:line="300" w:lineRule="exact"/>
              <w:rPr>
                <w:rFonts w:hint="eastAsia" w:eastAsia="宋体" w:cs="宋体"/>
                <w:bCs/>
                <w:color w:val="auto"/>
              </w:rPr>
            </w:pPr>
            <w:r>
              <w:rPr>
                <w:rFonts w:hint="eastAsia"/>
                <w:color w:val="auto"/>
                <w:sz w:val="22"/>
                <w:szCs w:val="22"/>
              </w:rPr>
              <w:t>5.2775</w:t>
            </w:r>
          </w:p>
        </w:tc>
        <w:tc>
          <w:tcPr>
            <w:tcW w:w="509" w:type="pct"/>
            <w:vAlign w:val="center"/>
          </w:tcPr>
          <w:p w14:paraId="544E17F4">
            <w:pPr>
              <w:pStyle w:val="288"/>
              <w:adjustRightInd w:val="0"/>
              <w:snapToGrid w:val="0"/>
              <w:spacing w:line="300" w:lineRule="exact"/>
              <w:rPr>
                <w:rFonts w:hint="eastAsia" w:eastAsia="宋体" w:cs="宋体"/>
                <w:bCs/>
                <w:color w:val="auto"/>
              </w:rPr>
            </w:pPr>
            <w:r>
              <w:rPr>
                <w:rFonts w:hint="eastAsia"/>
                <w:color w:val="auto"/>
                <w:sz w:val="22"/>
                <w:szCs w:val="22"/>
              </w:rPr>
              <w:t>0.26</w:t>
            </w:r>
          </w:p>
        </w:tc>
      </w:tr>
      <w:tr w14:paraId="534DBE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8" w:type="pct"/>
            <w:vAlign w:val="center"/>
          </w:tcPr>
          <w:p w14:paraId="54F6FBE3">
            <w:pPr>
              <w:pStyle w:val="288"/>
              <w:adjustRightInd w:val="0"/>
              <w:snapToGrid w:val="0"/>
              <w:spacing w:line="300" w:lineRule="exact"/>
              <w:rPr>
                <w:rFonts w:hint="eastAsia" w:eastAsia="宋体"/>
                <w:color w:val="auto"/>
              </w:rPr>
            </w:pPr>
            <w:r>
              <w:rPr>
                <w:rFonts w:hint="eastAsia" w:eastAsia="宋体"/>
                <w:color w:val="auto"/>
              </w:rPr>
              <w:t>2000</w:t>
            </w:r>
          </w:p>
        </w:tc>
        <w:tc>
          <w:tcPr>
            <w:tcW w:w="568" w:type="pct"/>
            <w:vAlign w:val="center"/>
          </w:tcPr>
          <w:p w14:paraId="222A134D">
            <w:pPr>
              <w:pStyle w:val="288"/>
              <w:adjustRightInd w:val="0"/>
              <w:snapToGrid w:val="0"/>
              <w:spacing w:line="300" w:lineRule="exact"/>
              <w:rPr>
                <w:rFonts w:hint="eastAsia" w:eastAsia="宋体"/>
                <w:color w:val="auto"/>
              </w:rPr>
            </w:pPr>
            <w:r>
              <w:rPr>
                <w:rFonts w:hint="eastAsia" w:eastAsia="宋体"/>
                <w:color w:val="auto"/>
              </w:rPr>
              <w:t>0.0863</w:t>
            </w:r>
          </w:p>
        </w:tc>
        <w:tc>
          <w:tcPr>
            <w:tcW w:w="509" w:type="pct"/>
            <w:vAlign w:val="center"/>
          </w:tcPr>
          <w:p w14:paraId="433330A9">
            <w:pPr>
              <w:pStyle w:val="288"/>
              <w:adjustRightInd w:val="0"/>
              <w:snapToGrid w:val="0"/>
              <w:spacing w:line="300" w:lineRule="exact"/>
              <w:rPr>
                <w:rFonts w:hint="eastAsia" w:eastAsia="宋体"/>
                <w:color w:val="auto"/>
              </w:rPr>
            </w:pPr>
            <w:r>
              <w:rPr>
                <w:rFonts w:hint="eastAsia" w:eastAsia="宋体"/>
                <w:color w:val="auto"/>
              </w:rPr>
              <w:t>0</w:t>
            </w:r>
          </w:p>
        </w:tc>
        <w:tc>
          <w:tcPr>
            <w:tcW w:w="588" w:type="pct"/>
            <w:vAlign w:val="center"/>
          </w:tcPr>
          <w:p w14:paraId="1DDEAC5F">
            <w:pPr>
              <w:pStyle w:val="288"/>
              <w:adjustRightInd w:val="0"/>
              <w:snapToGrid w:val="0"/>
              <w:spacing w:line="300" w:lineRule="exact"/>
              <w:rPr>
                <w:rFonts w:hint="eastAsia" w:eastAsia="宋体" w:cs="宋体"/>
                <w:bCs/>
                <w:color w:val="auto"/>
              </w:rPr>
            </w:pPr>
            <w:r>
              <w:rPr>
                <w:rFonts w:hint="eastAsia"/>
                <w:color w:val="auto"/>
                <w:sz w:val="22"/>
                <w:szCs w:val="22"/>
              </w:rPr>
              <w:t>2000</w:t>
            </w:r>
          </w:p>
        </w:tc>
        <w:tc>
          <w:tcPr>
            <w:tcW w:w="568" w:type="pct"/>
            <w:vAlign w:val="center"/>
          </w:tcPr>
          <w:p w14:paraId="02877E59">
            <w:pPr>
              <w:pStyle w:val="288"/>
              <w:adjustRightInd w:val="0"/>
              <w:snapToGrid w:val="0"/>
              <w:spacing w:line="300" w:lineRule="exact"/>
              <w:rPr>
                <w:rFonts w:hint="eastAsia" w:eastAsia="宋体" w:cs="宋体"/>
                <w:bCs/>
                <w:color w:val="auto"/>
              </w:rPr>
            </w:pPr>
            <w:r>
              <w:rPr>
                <w:rFonts w:hint="eastAsia"/>
                <w:color w:val="auto"/>
                <w:sz w:val="22"/>
                <w:szCs w:val="22"/>
              </w:rPr>
              <w:t>7.8795</w:t>
            </w:r>
          </w:p>
        </w:tc>
        <w:tc>
          <w:tcPr>
            <w:tcW w:w="509" w:type="pct"/>
            <w:vAlign w:val="center"/>
          </w:tcPr>
          <w:p w14:paraId="2306DAE6">
            <w:pPr>
              <w:pStyle w:val="288"/>
              <w:adjustRightInd w:val="0"/>
              <w:snapToGrid w:val="0"/>
              <w:spacing w:line="300" w:lineRule="exact"/>
              <w:rPr>
                <w:rFonts w:hint="eastAsia" w:eastAsia="宋体" w:cs="宋体"/>
                <w:bCs/>
                <w:color w:val="auto"/>
              </w:rPr>
            </w:pPr>
            <w:r>
              <w:rPr>
                <w:rFonts w:hint="eastAsia"/>
                <w:color w:val="auto"/>
                <w:sz w:val="22"/>
                <w:szCs w:val="22"/>
              </w:rPr>
              <w:t>0.39</w:t>
            </w:r>
          </w:p>
        </w:tc>
        <w:tc>
          <w:tcPr>
            <w:tcW w:w="588" w:type="pct"/>
            <w:vAlign w:val="center"/>
          </w:tcPr>
          <w:p w14:paraId="590876BB">
            <w:pPr>
              <w:pStyle w:val="288"/>
              <w:adjustRightInd w:val="0"/>
              <w:snapToGrid w:val="0"/>
              <w:spacing w:line="300" w:lineRule="exact"/>
              <w:rPr>
                <w:rFonts w:hint="eastAsia" w:eastAsia="宋体" w:cs="宋体"/>
                <w:bCs/>
                <w:color w:val="auto"/>
              </w:rPr>
            </w:pPr>
            <w:r>
              <w:rPr>
                <w:rFonts w:hint="eastAsia"/>
                <w:color w:val="auto"/>
                <w:sz w:val="22"/>
                <w:szCs w:val="22"/>
              </w:rPr>
              <w:t>2000</w:t>
            </w:r>
          </w:p>
        </w:tc>
        <w:tc>
          <w:tcPr>
            <w:tcW w:w="568" w:type="pct"/>
            <w:vAlign w:val="center"/>
          </w:tcPr>
          <w:p w14:paraId="34BFD839">
            <w:pPr>
              <w:pStyle w:val="288"/>
              <w:adjustRightInd w:val="0"/>
              <w:snapToGrid w:val="0"/>
              <w:spacing w:line="300" w:lineRule="exact"/>
              <w:rPr>
                <w:rFonts w:hint="eastAsia" w:eastAsia="宋体" w:cs="宋体"/>
                <w:bCs/>
                <w:color w:val="auto"/>
              </w:rPr>
            </w:pPr>
            <w:r>
              <w:rPr>
                <w:rFonts w:hint="eastAsia"/>
                <w:color w:val="auto"/>
                <w:sz w:val="22"/>
                <w:szCs w:val="22"/>
              </w:rPr>
              <w:t>4.4833</w:t>
            </w:r>
          </w:p>
        </w:tc>
        <w:tc>
          <w:tcPr>
            <w:tcW w:w="509" w:type="pct"/>
            <w:vAlign w:val="center"/>
          </w:tcPr>
          <w:p w14:paraId="3ED6D8F3">
            <w:pPr>
              <w:pStyle w:val="288"/>
              <w:adjustRightInd w:val="0"/>
              <w:snapToGrid w:val="0"/>
              <w:spacing w:line="300" w:lineRule="exact"/>
              <w:rPr>
                <w:rFonts w:hint="eastAsia" w:eastAsia="宋体" w:cs="宋体"/>
                <w:bCs/>
                <w:color w:val="auto"/>
              </w:rPr>
            </w:pPr>
            <w:r>
              <w:rPr>
                <w:rFonts w:hint="eastAsia"/>
                <w:color w:val="auto"/>
                <w:sz w:val="22"/>
                <w:szCs w:val="22"/>
              </w:rPr>
              <w:t>0.22</w:t>
            </w:r>
          </w:p>
        </w:tc>
      </w:tr>
      <w:tr w14:paraId="3F3182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8" w:type="pct"/>
            <w:vAlign w:val="center"/>
          </w:tcPr>
          <w:p w14:paraId="689B380B">
            <w:pPr>
              <w:pStyle w:val="288"/>
              <w:adjustRightInd w:val="0"/>
              <w:snapToGrid w:val="0"/>
              <w:spacing w:line="300" w:lineRule="exact"/>
              <w:rPr>
                <w:rFonts w:hint="eastAsia" w:eastAsia="宋体"/>
                <w:color w:val="auto"/>
              </w:rPr>
            </w:pPr>
            <w:r>
              <w:rPr>
                <w:rFonts w:hint="eastAsia" w:eastAsia="宋体"/>
                <w:color w:val="auto"/>
              </w:rPr>
              <w:t>2500</w:t>
            </w:r>
          </w:p>
        </w:tc>
        <w:tc>
          <w:tcPr>
            <w:tcW w:w="568" w:type="pct"/>
            <w:vAlign w:val="center"/>
          </w:tcPr>
          <w:p w14:paraId="25C1E09B">
            <w:pPr>
              <w:pStyle w:val="288"/>
              <w:adjustRightInd w:val="0"/>
              <w:snapToGrid w:val="0"/>
              <w:spacing w:line="300" w:lineRule="exact"/>
              <w:rPr>
                <w:rFonts w:hint="eastAsia" w:eastAsia="宋体"/>
                <w:color w:val="auto"/>
              </w:rPr>
            </w:pPr>
            <w:r>
              <w:rPr>
                <w:rFonts w:hint="eastAsia" w:eastAsia="宋体"/>
                <w:color w:val="auto"/>
              </w:rPr>
              <w:t>0.065</w:t>
            </w:r>
          </w:p>
        </w:tc>
        <w:tc>
          <w:tcPr>
            <w:tcW w:w="509" w:type="pct"/>
            <w:vAlign w:val="center"/>
          </w:tcPr>
          <w:p w14:paraId="19D24F49">
            <w:pPr>
              <w:pStyle w:val="288"/>
              <w:adjustRightInd w:val="0"/>
              <w:snapToGrid w:val="0"/>
              <w:spacing w:line="300" w:lineRule="exact"/>
              <w:rPr>
                <w:rFonts w:hint="eastAsia" w:eastAsia="宋体"/>
                <w:color w:val="auto"/>
              </w:rPr>
            </w:pPr>
            <w:r>
              <w:rPr>
                <w:rFonts w:hint="eastAsia" w:eastAsia="宋体"/>
                <w:color w:val="auto"/>
              </w:rPr>
              <w:t>0</w:t>
            </w:r>
          </w:p>
        </w:tc>
        <w:tc>
          <w:tcPr>
            <w:tcW w:w="588" w:type="pct"/>
            <w:vAlign w:val="center"/>
          </w:tcPr>
          <w:p w14:paraId="3438671B">
            <w:pPr>
              <w:pStyle w:val="288"/>
              <w:adjustRightInd w:val="0"/>
              <w:snapToGrid w:val="0"/>
              <w:spacing w:line="300" w:lineRule="exact"/>
              <w:rPr>
                <w:rFonts w:hint="eastAsia" w:eastAsia="宋体" w:cs="宋体"/>
                <w:bCs/>
                <w:color w:val="auto"/>
              </w:rPr>
            </w:pPr>
            <w:r>
              <w:rPr>
                <w:rFonts w:hint="eastAsia"/>
                <w:color w:val="auto"/>
                <w:sz w:val="22"/>
                <w:szCs w:val="22"/>
              </w:rPr>
              <w:t>2500</w:t>
            </w:r>
          </w:p>
        </w:tc>
        <w:tc>
          <w:tcPr>
            <w:tcW w:w="568" w:type="pct"/>
            <w:vAlign w:val="center"/>
          </w:tcPr>
          <w:p w14:paraId="72D84A80">
            <w:pPr>
              <w:pStyle w:val="288"/>
              <w:adjustRightInd w:val="0"/>
              <w:snapToGrid w:val="0"/>
              <w:spacing w:line="300" w:lineRule="exact"/>
              <w:rPr>
                <w:rFonts w:hint="eastAsia" w:eastAsia="宋体" w:cs="宋体"/>
                <w:bCs/>
                <w:color w:val="auto"/>
              </w:rPr>
            </w:pPr>
            <w:r>
              <w:rPr>
                <w:rFonts w:hint="eastAsia"/>
                <w:color w:val="auto"/>
                <w:sz w:val="22"/>
                <w:szCs w:val="22"/>
              </w:rPr>
              <w:t>6.8339</w:t>
            </w:r>
          </w:p>
        </w:tc>
        <w:tc>
          <w:tcPr>
            <w:tcW w:w="509" w:type="pct"/>
            <w:vAlign w:val="center"/>
          </w:tcPr>
          <w:p w14:paraId="6EAF0C94">
            <w:pPr>
              <w:pStyle w:val="288"/>
              <w:adjustRightInd w:val="0"/>
              <w:snapToGrid w:val="0"/>
              <w:spacing w:line="300" w:lineRule="exact"/>
              <w:rPr>
                <w:rFonts w:hint="eastAsia" w:eastAsia="宋体" w:cs="宋体"/>
                <w:bCs/>
                <w:color w:val="auto"/>
              </w:rPr>
            </w:pPr>
            <w:r>
              <w:rPr>
                <w:rFonts w:hint="eastAsia"/>
                <w:color w:val="auto"/>
                <w:sz w:val="22"/>
                <w:szCs w:val="22"/>
              </w:rPr>
              <w:t>0.34</w:t>
            </w:r>
          </w:p>
        </w:tc>
        <w:tc>
          <w:tcPr>
            <w:tcW w:w="588" w:type="pct"/>
            <w:vAlign w:val="center"/>
          </w:tcPr>
          <w:p w14:paraId="4C82822D">
            <w:pPr>
              <w:pStyle w:val="288"/>
              <w:adjustRightInd w:val="0"/>
              <w:snapToGrid w:val="0"/>
              <w:spacing w:line="300" w:lineRule="exact"/>
              <w:rPr>
                <w:rFonts w:hint="eastAsia" w:eastAsia="宋体" w:cs="宋体"/>
                <w:bCs/>
                <w:color w:val="auto"/>
              </w:rPr>
            </w:pPr>
            <w:r>
              <w:rPr>
                <w:rFonts w:hint="eastAsia"/>
                <w:color w:val="auto"/>
                <w:sz w:val="22"/>
                <w:szCs w:val="22"/>
              </w:rPr>
              <w:t>2500</w:t>
            </w:r>
          </w:p>
        </w:tc>
        <w:tc>
          <w:tcPr>
            <w:tcW w:w="568" w:type="pct"/>
            <w:vAlign w:val="center"/>
          </w:tcPr>
          <w:p w14:paraId="45C8CE4A">
            <w:pPr>
              <w:pStyle w:val="288"/>
              <w:adjustRightInd w:val="0"/>
              <w:snapToGrid w:val="0"/>
              <w:spacing w:line="300" w:lineRule="exact"/>
              <w:rPr>
                <w:rFonts w:hint="eastAsia" w:eastAsia="宋体" w:cs="宋体"/>
                <w:bCs/>
                <w:color w:val="auto"/>
              </w:rPr>
            </w:pPr>
            <w:r>
              <w:rPr>
                <w:rFonts w:hint="eastAsia"/>
                <w:color w:val="auto"/>
                <w:sz w:val="22"/>
                <w:szCs w:val="22"/>
              </w:rPr>
              <w:t>3.8762</w:t>
            </w:r>
          </w:p>
        </w:tc>
        <w:tc>
          <w:tcPr>
            <w:tcW w:w="509" w:type="pct"/>
            <w:vAlign w:val="center"/>
          </w:tcPr>
          <w:p w14:paraId="439ED3D6">
            <w:pPr>
              <w:pStyle w:val="288"/>
              <w:adjustRightInd w:val="0"/>
              <w:snapToGrid w:val="0"/>
              <w:spacing w:line="300" w:lineRule="exact"/>
              <w:rPr>
                <w:rFonts w:hint="eastAsia" w:eastAsia="宋体" w:cs="宋体"/>
                <w:bCs/>
                <w:color w:val="auto"/>
              </w:rPr>
            </w:pPr>
            <w:r>
              <w:rPr>
                <w:rFonts w:hint="eastAsia"/>
                <w:color w:val="auto"/>
                <w:sz w:val="22"/>
                <w:szCs w:val="22"/>
              </w:rPr>
              <w:t>0.19</w:t>
            </w:r>
          </w:p>
        </w:tc>
      </w:tr>
    </w:tbl>
    <w:p w14:paraId="695E8BFE">
      <w:pPr>
        <w:pStyle w:val="86"/>
        <w:ind w:firstLine="0" w:firstLineChars="0"/>
        <w:rPr>
          <w:rFonts w:hint="eastAsia"/>
          <w:color w:val="auto"/>
        </w:rPr>
        <w:sectPr>
          <w:footerReference r:id="rId27" w:type="default"/>
          <w:pgSz w:w="16838" w:h="11906" w:orient="landscape"/>
          <w:pgMar w:top="1588" w:right="1418" w:bottom="1588" w:left="1418" w:header="1020" w:footer="1020" w:gutter="0"/>
          <w:cols w:space="720" w:num="1"/>
          <w:docGrid w:type="lines" w:linePitch="312" w:charSpace="0"/>
        </w:sectPr>
      </w:pPr>
    </w:p>
    <w:bookmarkEnd w:id="668"/>
    <w:p w14:paraId="6B2D78B2">
      <w:pPr>
        <w:pStyle w:val="86"/>
        <w:ind w:firstLine="480"/>
        <w:rPr>
          <w:rFonts w:hint="eastAsia"/>
          <w:color w:val="auto"/>
        </w:rPr>
      </w:pPr>
      <w:r>
        <w:rPr>
          <w:rFonts w:hint="eastAsia"/>
          <w:color w:val="auto"/>
        </w:rPr>
        <w:t>由预测结果可知：各短期浓度贡献值小，不会使区域环境空气质量发生明显改变；项目区厂界N</w:t>
      </w:r>
      <w:r>
        <w:rPr>
          <w:color w:val="auto"/>
        </w:rPr>
        <w:t>MHC</w:t>
      </w:r>
      <w:r>
        <w:rPr>
          <w:rFonts w:hint="eastAsia"/>
          <w:color w:val="auto"/>
        </w:rPr>
        <w:t>浓度可满足</w:t>
      </w:r>
      <w:bookmarkStart w:id="670" w:name="_Hlk80643582"/>
      <w:r>
        <w:rPr>
          <w:rFonts w:hint="eastAsia"/>
          <w:color w:val="auto"/>
        </w:rPr>
        <w:t>《</w:t>
      </w:r>
      <w:r>
        <w:rPr>
          <w:rFonts w:hint="eastAsia"/>
          <w:color w:val="auto"/>
        </w:rPr>
        <w:fldChar w:fldCharType="begin"/>
      </w:r>
      <w:r>
        <w:rPr>
          <w:color w:val="auto"/>
        </w:rPr>
        <w:instrText xml:space="preserve"> HYPERLINK "http://www.mee.gov.cn/ywgz/fgbz/bz/bzwb/dqhjbh/dqgdwrywrwpfbz/202012/W020201225551948738018.pdf" </w:instrText>
      </w:r>
      <w:r>
        <w:rPr>
          <w:rFonts w:hint="eastAsia"/>
          <w:color w:val="auto"/>
        </w:rPr>
        <w:fldChar w:fldCharType="separate"/>
      </w:r>
      <w:r>
        <w:rPr>
          <w:rFonts w:hint="eastAsia"/>
          <w:color w:val="auto"/>
        </w:rPr>
        <w:t>陆上石油天然气开采工业大气污染物排放标准》（GB39728—2020）</w:t>
      </w:r>
      <w:r>
        <w:rPr>
          <w:rFonts w:hint="eastAsia"/>
          <w:color w:val="auto"/>
        </w:rPr>
        <w:fldChar w:fldCharType="end"/>
      </w:r>
      <w:bookmarkEnd w:id="670"/>
      <w:r>
        <w:rPr>
          <w:rFonts w:hint="eastAsia"/>
          <w:color w:val="auto"/>
        </w:rPr>
        <w:t>中企业边界污染物控制要求，且项目区地域空旷，扩散条件较好，不会对区域大气环境影响较小。</w:t>
      </w:r>
    </w:p>
    <w:p w14:paraId="4A7C344F">
      <w:pPr>
        <w:pStyle w:val="86"/>
        <w:ind w:firstLine="480"/>
        <w:rPr>
          <w:rFonts w:hint="eastAsia"/>
          <w:color w:val="auto"/>
        </w:rPr>
      </w:pPr>
      <w:bookmarkStart w:id="671" w:name="_Toc459026582"/>
      <w:bookmarkStart w:id="672" w:name="_Toc445996415"/>
      <w:bookmarkStart w:id="673" w:name="_Toc453870928"/>
      <w:bookmarkStart w:id="674" w:name="_Toc445829789"/>
      <w:bookmarkStart w:id="675" w:name="_Toc474416141"/>
      <w:bookmarkStart w:id="676" w:name="_Toc445840405"/>
      <w:bookmarkStart w:id="677" w:name="_Toc445842093"/>
      <w:bookmarkStart w:id="678" w:name="_Toc20265"/>
      <w:r>
        <w:rPr>
          <w:rFonts w:hint="eastAsia"/>
          <w:color w:val="auto"/>
        </w:rPr>
        <w:t>（7）非正常工况环境影响分析</w:t>
      </w:r>
    </w:p>
    <w:p w14:paraId="19EF870E">
      <w:pPr>
        <w:pStyle w:val="86"/>
        <w:ind w:firstLine="480"/>
        <w:rPr>
          <w:rFonts w:hint="eastAsia"/>
          <w:color w:val="auto"/>
        </w:rPr>
      </w:pPr>
      <w:r>
        <w:rPr>
          <w:rFonts w:hint="eastAsia"/>
          <w:color w:val="auto"/>
        </w:rPr>
        <w:t>运营期石西油田作业区加强井场各设备巡检、尽可能减少非正常工况的发生；非正常情况下建设单位及时关井，采取措施减少非正常工况发生的时间，非正常工况下天然气通过放空管线管输至火炬燃烧放空，非正常工况时间比较短，不会对周围大气环境产生明显不利影响。</w:t>
      </w:r>
    </w:p>
    <w:p w14:paraId="151CDB16">
      <w:pPr>
        <w:pStyle w:val="86"/>
        <w:ind w:firstLine="480"/>
        <w:rPr>
          <w:rFonts w:hint="eastAsia"/>
          <w:color w:val="auto"/>
        </w:rPr>
      </w:pPr>
      <w:r>
        <w:rPr>
          <w:rFonts w:hint="eastAsia"/>
          <w:color w:val="auto"/>
        </w:rPr>
        <w:t>（8）温室气体环境影响分析</w:t>
      </w:r>
    </w:p>
    <w:p w14:paraId="0F0D9AE9">
      <w:pPr>
        <w:pStyle w:val="86"/>
        <w:ind w:firstLine="480"/>
        <w:rPr>
          <w:rFonts w:hint="eastAsia"/>
          <w:color w:val="auto"/>
        </w:rPr>
      </w:pPr>
      <w:r>
        <w:rPr>
          <w:rFonts w:hint="eastAsia"/>
          <w:color w:val="auto"/>
          <w:kern w:val="0"/>
        </w:rPr>
        <w:t>项目实施后加强巡检、检维修，减少逸散CH</w:t>
      </w:r>
      <w:r>
        <w:rPr>
          <w:rFonts w:hint="eastAsia"/>
          <w:color w:val="auto"/>
          <w:kern w:val="0"/>
          <w:vertAlign w:val="subscript"/>
        </w:rPr>
        <w:t>4</w:t>
      </w:r>
      <w:r>
        <w:rPr>
          <w:rFonts w:hint="eastAsia"/>
          <w:color w:val="auto"/>
          <w:kern w:val="0"/>
        </w:rPr>
        <w:t>排放，采用节能设备，温室气体甲烷和二氧化碳排放量相对较小，区域空旷，扩散条件较好，不会对周围大气环境产生明显影响。</w:t>
      </w:r>
    </w:p>
    <w:p w14:paraId="17FC8DCD">
      <w:pPr>
        <w:pStyle w:val="86"/>
        <w:ind w:firstLine="480"/>
        <w:rPr>
          <w:rFonts w:hint="eastAsia"/>
          <w:color w:val="auto"/>
        </w:rPr>
      </w:pPr>
      <w:r>
        <w:rPr>
          <w:rFonts w:hint="eastAsia"/>
          <w:color w:val="auto"/>
        </w:rPr>
        <w:t>大气环境影响评价自查表见附件</w:t>
      </w:r>
      <w:r>
        <w:rPr>
          <w:color w:val="auto"/>
        </w:rPr>
        <w:t>4</w:t>
      </w:r>
      <w:r>
        <w:rPr>
          <w:rFonts w:hint="eastAsia"/>
          <w:color w:val="auto"/>
        </w:rPr>
        <w:t>。</w:t>
      </w:r>
    </w:p>
    <w:p w14:paraId="4ED8AAF1">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运营期水环境影响分析</w:t>
      </w:r>
    </w:p>
    <w:p w14:paraId="6922C59A">
      <w:pPr>
        <w:pStyle w:val="219"/>
        <w:adjustRightInd w:val="0"/>
        <w:snapToGrid w:val="0"/>
        <w:ind w:left="480" w:firstLine="0" w:firstLineChars="0"/>
        <w:jc w:val="both"/>
        <w:outlineLvl w:val="9"/>
        <w:rPr>
          <w:rFonts w:hint="eastAsia"/>
          <w:b/>
          <w:bCs/>
          <w:color w:val="auto"/>
        </w:rPr>
      </w:pPr>
      <w:r>
        <w:rPr>
          <w:rFonts w:hint="eastAsia"/>
          <w:bCs/>
          <w:color w:val="auto"/>
        </w:rPr>
        <w:t>（1）水文地质条件概况</w:t>
      </w:r>
    </w:p>
    <w:p w14:paraId="76038DEB">
      <w:pPr>
        <w:widowControl/>
        <w:spacing w:line="480" w:lineRule="exact"/>
        <w:ind w:firstLine="480" w:firstLineChars="200"/>
        <w:rPr>
          <w:rFonts w:hint="eastAsia" w:ascii="宋体" w:hAnsi="宋体"/>
          <w:color w:val="auto"/>
          <w:kern w:val="0"/>
          <w:sz w:val="24"/>
          <w:szCs w:val="24"/>
        </w:rPr>
      </w:pPr>
      <w:r>
        <w:rPr>
          <w:rFonts w:hint="eastAsia" w:ascii="宋体" w:hAnsi="宋体"/>
          <w:color w:val="auto"/>
          <w:sz w:val="24"/>
          <w:szCs w:val="24"/>
        </w:rPr>
        <w:t>项目所在区主要埋藏有两种类型的地下水，即第四系松散岩石类孔隙水和第三系碎屑岩类孔隙裂隙水。其中，第三系地层是由泥岩和砂岩为主的沉积物组成，含水层以细砂岩为主，依水力特征分为潜水和承压水；第四系地层含水层岩性以粗砂为主，承压含水顶板埋深多大于</w:t>
      </w:r>
      <w:r>
        <w:rPr>
          <w:rFonts w:ascii="宋体" w:hAnsi="宋体"/>
          <w:color w:val="auto"/>
          <w:sz w:val="24"/>
          <w:szCs w:val="24"/>
        </w:rPr>
        <w:t>60m</w:t>
      </w:r>
      <w:r>
        <w:rPr>
          <w:rFonts w:hint="eastAsia" w:ascii="宋体" w:hAnsi="宋体"/>
          <w:color w:val="auto"/>
          <w:sz w:val="24"/>
          <w:szCs w:val="24"/>
        </w:rPr>
        <w:t>，矿化度高，水量小。水化学类型以</w:t>
      </w:r>
      <w:r>
        <w:rPr>
          <w:rFonts w:ascii="宋体" w:hAnsi="宋体"/>
          <w:color w:val="auto"/>
          <w:sz w:val="24"/>
          <w:szCs w:val="24"/>
        </w:rPr>
        <w:t>Cl-Na</w:t>
      </w:r>
      <w:r>
        <w:rPr>
          <w:rFonts w:hint="eastAsia" w:ascii="宋体" w:hAnsi="宋体"/>
          <w:color w:val="auto"/>
          <w:sz w:val="24"/>
          <w:szCs w:val="24"/>
        </w:rPr>
        <w:t>型和</w:t>
      </w:r>
      <w:r>
        <w:rPr>
          <w:rFonts w:ascii="宋体" w:hAnsi="宋体"/>
          <w:color w:val="auto"/>
          <w:sz w:val="24"/>
          <w:szCs w:val="24"/>
        </w:rPr>
        <w:t>Cl-SO</w:t>
      </w:r>
      <w:r>
        <w:rPr>
          <w:rFonts w:ascii="宋体" w:hAnsi="宋体"/>
          <w:color w:val="auto"/>
          <w:sz w:val="24"/>
          <w:szCs w:val="24"/>
          <w:vertAlign w:val="subscript"/>
        </w:rPr>
        <w:t>4</w:t>
      </w:r>
      <w:r>
        <w:rPr>
          <w:rFonts w:ascii="宋体" w:hAnsi="宋体"/>
          <w:color w:val="auto"/>
          <w:sz w:val="24"/>
          <w:szCs w:val="24"/>
        </w:rPr>
        <w:t>-Na</w:t>
      </w:r>
      <w:r>
        <w:rPr>
          <w:rFonts w:hint="eastAsia" w:ascii="宋体" w:hAnsi="宋体"/>
          <w:color w:val="auto"/>
          <w:sz w:val="24"/>
          <w:szCs w:val="24"/>
        </w:rPr>
        <w:t>型为主，无开采利用价值。后者是由泥岩和砂岩为主的沉积物组成，含水层以细砂岩为主，依水力特征分为潜水和承压水。承压水顶板埋深在</w:t>
      </w:r>
      <w:r>
        <w:rPr>
          <w:rFonts w:ascii="宋体" w:hAnsi="宋体"/>
          <w:color w:val="auto"/>
          <w:sz w:val="24"/>
          <w:szCs w:val="24"/>
        </w:rPr>
        <w:t>50m</w:t>
      </w:r>
      <w:r>
        <w:rPr>
          <w:rFonts w:hint="eastAsia" w:ascii="宋体" w:hAnsi="宋体"/>
          <w:color w:val="auto"/>
          <w:sz w:val="24"/>
          <w:szCs w:val="24"/>
        </w:rPr>
        <w:t>～</w:t>
      </w:r>
      <w:r>
        <w:rPr>
          <w:rFonts w:ascii="宋体" w:hAnsi="宋体"/>
          <w:color w:val="auto"/>
          <w:sz w:val="24"/>
          <w:szCs w:val="24"/>
        </w:rPr>
        <w:t>100m</w:t>
      </w:r>
      <w:r>
        <w:rPr>
          <w:rFonts w:hint="eastAsia" w:ascii="宋体" w:hAnsi="宋体"/>
          <w:color w:val="auto"/>
          <w:sz w:val="24"/>
          <w:szCs w:val="24"/>
        </w:rPr>
        <w:t>，水化学类型</w:t>
      </w:r>
      <w:r>
        <w:rPr>
          <w:rFonts w:ascii="宋体" w:hAnsi="宋体"/>
          <w:color w:val="auto"/>
          <w:sz w:val="24"/>
          <w:szCs w:val="24"/>
        </w:rPr>
        <w:t>Cl-Na</w:t>
      </w:r>
      <w:r>
        <w:rPr>
          <w:rFonts w:hint="eastAsia" w:ascii="宋体" w:hAnsi="宋体"/>
          <w:color w:val="auto"/>
          <w:sz w:val="24"/>
          <w:szCs w:val="24"/>
        </w:rPr>
        <w:t>型和</w:t>
      </w:r>
      <w:r>
        <w:rPr>
          <w:rFonts w:ascii="宋体" w:hAnsi="宋体"/>
          <w:color w:val="auto"/>
          <w:sz w:val="24"/>
          <w:szCs w:val="24"/>
        </w:rPr>
        <w:t>Cl-SO</w:t>
      </w:r>
      <w:r>
        <w:rPr>
          <w:rFonts w:ascii="宋体" w:hAnsi="宋体"/>
          <w:color w:val="auto"/>
          <w:sz w:val="24"/>
          <w:szCs w:val="24"/>
          <w:vertAlign w:val="subscript"/>
        </w:rPr>
        <w:t>4</w:t>
      </w:r>
      <w:r>
        <w:rPr>
          <w:rFonts w:ascii="宋体" w:hAnsi="宋体"/>
          <w:color w:val="auto"/>
          <w:sz w:val="24"/>
          <w:szCs w:val="24"/>
        </w:rPr>
        <w:t>-Na</w:t>
      </w:r>
      <w:r>
        <w:rPr>
          <w:rFonts w:hint="eastAsia" w:ascii="宋体" w:hAnsi="宋体"/>
          <w:color w:val="auto"/>
          <w:sz w:val="24"/>
          <w:szCs w:val="24"/>
        </w:rPr>
        <w:t>型为主，无开采利用价值。</w:t>
      </w:r>
    </w:p>
    <w:p w14:paraId="01685C92">
      <w:pPr>
        <w:pStyle w:val="86"/>
        <w:ind w:firstLine="480"/>
        <w:rPr>
          <w:rFonts w:hint="eastAsia"/>
          <w:color w:val="auto"/>
        </w:rPr>
      </w:pPr>
      <w:r>
        <w:rPr>
          <w:rFonts w:hint="eastAsia"/>
          <w:color w:val="auto"/>
        </w:rPr>
        <w:t>（</w:t>
      </w:r>
      <w:r>
        <w:rPr>
          <w:color w:val="auto"/>
        </w:rPr>
        <w:t>2</w:t>
      </w:r>
      <w:r>
        <w:rPr>
          <w:rFonts w:hint="eastAsia"/>
          <w:color w:val="auto"/>
        </w:rPr>
        <w:t>）正常工况下对地下水环境影响分析</w:t>
      </w:r>
    </w:p>
    <w:p w14:paraId="1BB40B9B">
      <w:pPr>
        <w:pStyle w:val="86"/>
        <w:ind w:firstLine="480"/>
        <w:rPr>
          <w:rFonts w:hint="eastAsia"/>
          <w:color w:val="auto"/>
        </w:rPr>
      </w:pPr>
      <w:r>
        <w:rPr>
          <w:rFonts w:hint="eastAsia"/>
          <w:color w:val="auto"/>
        </w:rPr>
        <w:t>井下作业废液（压裂返排液和废洗井液）和撬装天然气浅冷处理装置产生的含油污水均送至莫北转油站采出水处理系统处理，出水水质满足</w:t>
      </w:r>
      <w:r>
        <w:rPr>
          <w:rFonts w:hint="eastAsia"/>
          <w:color w:val="auto"/>
          <w:lang w:val="zh-CN"/>
        </w:rPr>
        <w:t>《碎屑岩油藏注水水质指标技术要求及分析方法》（SY</w:t>
      </w:r>
      <w:r>
        <w:rPr>
          <w:color w:val="auto"/>
          <w:lang w:val="zh-CN"/>
        </w:rPr>
        <w:t>/</w:t>
      </w:r>
      <w:r>
        <w:rPr>
          <w:rFonts w:hint="eastAsia"/>
          <w:color w:val="auto"/>
          <w:lang w:val="zh-CN"/>
        </w:rPr>
        <w:t>T5329-2022）</w:t>
      </w:r>
      <w:r>
        <w:rPr>
          <w:rFonts w:hint="eastAsia"/>
          <w:color w:val="auto"/>
        </w:rPr>
        <w:t>Ⅲ级标准</w:t>
      </w:r>
      <w:r>
        <w:rPr>
          <w:rFonts w:hint="eastAsia"/>
          <w:color w:val="auto"/>
          <w:lang w:val="zh-CN"/>
        </w:rPr>
        <w:t>后回注地层</w:t>
      </w:r>
      <w:r>
        <w:rPr>
          <w:rFonts w:hint="eastAsia"/>
          <w:color w:val="auto"/>
        </w:rPr>
        <w:t>；项目各类废水均得到妥善处置，正常情况下不会对地下水产生不利影响。</w:t>
      </w:r>
    </w:p>
    <w:p w14:paraId="652E067C">
      <w:pPr>
        <w:pStyle w:val="86"/>
        <w:spacing w:line="480" w:lineRule="exact"/>
        <w:ind w:firstLine="480"/>
        <w:rPr>
          <w:rFonts w:hint="eastAsia" w:cs="宋体"/>
          <w:color w:val="auto"/>
        </w:rPr>
      </w:pPr>
      <w:r>
        <w:rPr>
          <w:rFonts w:hint="eastAsia" w:cs="宋体"/>
          <w:color w:val="auto"/>
        </w:rPr>
        <w:t>（</w:t>
      </w:r>
      <w:r>
        <w:rPr>
          <w:rFonts w:cs="宋体"/>
          <w:color w:val="auto"/>
        </w:rPr>
        <w:t>3</w:t>
      </w:r>
      <w:r>
        <w:rPr>
          <w:rFonts w:hint="eastAsia" w:cs="宋体"/>
          <w:color w:val="auto"/>
        </w:rPr>
        <w:t>）事故状态下对地下水的影响</w:t>
      </w:r>
    </w:p>
    <w:p w14:paraId="31BBABD6">
      <w:pPr>
        <w:pStyle w:val="86"/>
        <w:ind w:firstLine="480"/>
        <w:rPr>
          <w:rFonts w:hint="eastAsia" w:cs="宋体"/>
          <w:color w:val="auto"/>
        </w:rPr>
      </w:pPr>
      <w:bookmarkStart w:id="679" w:name="_Hlk147587693"/>
      <w:bookmarkStart w:id="680" w:name="_Toc445996414"/>
      <w:bookmarkStart w:id="681" w:name="_Toc25766"/>
      <w:bookmarkStart w:id="682" w:name="_Toc445842092"/>
      <w:r>
        <w:rPr>
          <w:rFonts w:hint="eastAsia"/>
          <w:color w:val="auto"/>
        </w:rPr>
        <w:t>单井采油管线、储油罐发生泄漏后原油和采出水可能以点源形式通过土壤层下渗穿过包气带进入地下含水层，对地下水造成影响。</w:t>
      </w:r>
      <w:r>
        <w:rPr>
          <w:rFonts w:hint="eastAsia" w:cs="宋体"/>
          <w:color w:val="auto"/>
        </w:rPr>
        <w:t>泄漏事故对地下水环境的影响程度主要取决于泄漏物质的性质、泄漏量、泄漏方式、多孔介质特征及地下水位埋深等因素。项目区地下水埋深</w:t>
      </w:r>
      <w:r>
        <w:rPr>
          <w:rFonts w:hint="eastAsia"/>
          <w:color w:val="auto"/>
        </w:rPr>
        <w:t>大于</w:t>
      </w:r>
      <w:r>
        <w:rPr>
          <w:color w:val="auto"/>
        </w:rPr>
        <w:t>150m</w:t>
      </w:r>
      <w:r>
        <w:rPr>
          <w:rFonts w:hint="eastAsia"/>
          <w:color w:val="auto"/>
        </w:rPr>
        <w:t>，含水层厚度普遍大于</w:t>
      </w:r>
      <w:r>
        <w:rPr>
          <w:color w:val="auto"/>
        </w:rPr>
        <w:t>100m</w:t>
      </w:r>
      <w:r>
        <w:rPr>
          <w:rFonts w:hint="eastAsia" w:cs="宋体"/>
          <w:color w:val="auto"/>
        </w:rPr>
        <w:t>；泄漏物中</w:t>
      </w:r>
      <w:r>
        <w:rPr>
          <w:rFonts w:hint="eastAsia"/>
          <w:color w:val="auto"/>
        </w:rPr>
        <w:t>原油</w:t>
      </w:r>
      <w:r>
        <w:rPr>
          <w:rFonts w:hint="eastAsia" w:cs="宋体"/>
          <w:color w:val="auto"/>
        </w:rPr>
        <w:t>和采出水含量较少，进入地下水含水层的可能性很小。石西油田作业区定期对管线进行巡检、检修，将事故发生的概率降至最低，发生泄漏后做到及时发现、及时处理，彻底清除泄漏油品及被污染的土壤。因此，发生泄漏事故后采取相应的措施后不会对地下水环境产生大的影响。</w:t>
      </w:r>
    </w:p>
    <w:p w14:paraId="07BBF861">
      <w:pPr>
        <w:pStyle w:val="86"/>
        <w:spacing w:line="480" w:lineRule="exact"/>
        <w:ind w:firstLine="480"/>
        <w:rPr>
          <w:rFonts w:hint="eastAsia" w:cs="宋体"/>
          <w:color w:val="auto"/>
        </w:rPr>
      </w:pPr>
      <w:r>
        <w:rPr>
          <w:rFonts w:hint="eastAsia" w:cs="宋体"/>
          <w:color w:val="auto"/>
        </w:rPr>
        <w:t xml:space="preserve">《环境影响评价技术导则 </w:t>
      </w:r>
      <w:r>
        <w:rPr>
          <w:rFonts w:cs="宋体"/>
          <w:color w:val="auto"/>
        </w:rPr>
        <w:t xml:space="preserve"> </w:t>
      </w:r>
      <w:r>
        <w:rPr>
          <w:rFonts w:hint="eastAsia" w:cs="宋体"/>
          <w:color w:val="auto"/>
        </w:rPr>
        <w:t>地下水环境》（H</w:t>
      </w:r>
      <w:r>
        <w:rPr>
          <w:rFonts w:cs="宋体"/>
          <w:color w:val="auto"/>
        </w:rPr>
        <w:t>J610</w:t>
      </w:r>
      <w:r>
        <w:rPr>
          <w:rFonts w:hint="eastAsia" w:cs="宋体"/>
          <w:color w:val="auto"/>
        </w:rPr>
        <w:t>-</w:t>
      </w:r>
      <w:r>
        <w:rPr>
          <w:rFonts w:cs="宋体"/>
          <w:color w:val="auto"/>
        </w:rPr>
        <w:t>2016</w:t>
      </w:r>
      <w:r>
        <w:rPr>
          <w:rFonts w:hint="eastAsia" w:cs="宋体"/>
          <w:color w:val="auto"/>
        </w:rPr>
        <w:t>）中9</w:t>
      </w:r>
      <w:r>
        <w:rPr>
          <w:rFonts w:cs="宋体"/>
          <w:color w:val="auto"/>
        </w:rPr>
        <w:t>.7</w:t>
      </w:r>
      <w:r>
        <w:rPr>
          <w:rFonts w:hint="eastAsia" w:cs="宋体"/>
          <w:color w:val="auto"/>
        </w:rPr>
        <w:t>预测方法中规定：“三级评价可采用解析法或类比分析法”。本项目地下水评价等级为三级评价，本次评价采用解析法对地下水环境影响分析。</w:t>
      </w:r>
    </w:p>
    <w:p w14:paraId="5134473A">
      <w:pPr>
        <w:pStyle w:val="86"/>
        <w:ind w:firstLine="480"/>
        <w:rPr>
          <w:rFonts w:hint="eastAsia"/>
          <w:color w:val="auto"/>
        </w:rPr>
      </w:pPr>
      <w:r>
        <w:rPr>
          <w:rFonts w:hint="eastAsia"/>
          <w:color w:val="auto"/>
        </w:rPr>
        <w:t>※地下水污染途径分析</w:t>
      </w:r>
    </w:p>
    <w:p w14:paraId="5D9D596E">
      <w:pPr>
        <w:pStyle w:val="86"/>
        <w:ind w:firstLine="480"/>
        <w:rPr>
          <w:rFonts w:hint="eastAsia"/>
          <w:color w:val="auto"/>
        </w:rPr>
      </w:pPr>
      <w:r>
        <w:rPr>
          <w:color w:val="auto"/>
        </w:rPr>
        <w:t>非正常工况下，</w:t>
      </w:r>
      <w:r>
        <w:rPr>
          <w:rFonts w:hint="eastAsia"/>
          <w:color w:val="auto"/>
        </w:rPr>
        <w:t>单井采油管线、储油罐破裂导致</w:t>
      </w:r>
      <w:bookmarkStart w:id="683" w:name="OLE_LINK68"/>
      <w:r>
        <w:rPr>
          <w:rFonts w:hint="eastAsia"/>
          <w:color w:val="auto"/>
        </w:rPr>
        <w:t>原油</w:t>
      </w:r>
      <w:bookmarkEnd w:id="683"/>
      <w:r>
        <w:rPr>
          <w:rFonts w:hint="eastAsia"/>
          <w:color w:val="auto"/>
        </w:rPr>
        <w:t>泄漏，泄漏的原油可能通过包气带土层</w:t>
      </w:r>
      <w:r>
        <w:rPr>
          <w:color w:val="auto"/>
        </w:rPr>
        <w:t>渗漏进入</w:t>
      </w:r>
      <w:r>
        <w:rPr>
          <w:rFonts w:hint="eastAsia"/>
          <w:color w:val="auto"/>
        </w:rPr>
        <w:t>地下</w:t>
      </w:r>
      <w:r>
        <w:rPr>
          <w:color w:val="auto"/>
        </w:rPr>
        <w:t>含水层</w:t>
      </w:r>
      <w:r>
        <w:rPr>
          <w:rFonts w:hint="eastAsia"/>
          <w:color w:val="auto"/>
        </w:rPr>
        <w:t>，对地下水造成污染影响。</w:t>
      </w:r>
    </w:p>
    <w:p w14:paraId="787CB73C">
      <w:pPr>
        <w:spacing w:line="500" w:lineRule="exact"/>
        <w:ind w:firstLine="480"/>
        <w:rPr>
          <w:rFonts w:hint="eastAsia" w:ascii="宋体" w:hAnsi="宋体"/>
          <w:color w:val="auto"/>
          <w:sz w:val="24"/>
        </w:rPr>
      </w:pPr>
      <w:r>
        <w:rPr>
          <w:rFonts w:hint="eastAsia" w:ascii="宋体" w:hAnsi="宋体"/>
          <w:color w:val="auto"/>
          <w:sz w:val="24"/>
        </w:rPr>
        <w:t>※预测情景设定</w:t>
      </w:r>
    </w:p>
    <w:p w14:paraId="638E76AD">
      <w:pPr>
        <w:pStyle w:val="86"/>
        <w:spacing w:line="480" w:lineRule="exact"/>
        <w:ind w:firstLine="480"/>
        <w:rPr>
          <w:rFonts w:hint="eastAsia" w:cs="宋体"/>
          <w:color w:val="auto"/>
        </w:rPr>
      </w:pPr>
      <w:r>
        <w:rPr>
          <w:rFonts w:hint="eastAsia" w:cs="宋体"/>
          <w:color w:val="auto"/>
        </w:rPr>
        <w:t>本次设定为单井采油管线、储油罐泄漏对地下水产生的影响进行分析预测。</w:t>
      </w:r>
    </w:p>
    <w:p w14:paraId="6B6BAAAE">
      <w:pPr>
        <w:pStyle w:val="86"/>
        <w:spacing w:line="480" w:lineRule="exact"/>
        <w:ind w:firstLine="480"/>
        <w:rPr>
          <w:rFonts w:hint="eastAsia" w:cs="宋体"/>
          <w:color w:val="auto"/>
        </w:rPr>
      </w:pPr>
      <w:r>
        <w:rPr>
          <w:rFonts w:hint="eastAsia"/>
          <w:color w:val="auto"/>
        </w:rPr>
        <w:t>※泄漏量预测</w:t>
      </w:r>
    </w:p>
    <w:p w14:paraId="1C7FBB44">
      <w:pPr>
        <w:pStyle w:val="86"/>
        <w:ind w:firstLine="480"/>
        <w:rPr>
          <w:rFonts w:hint="eastAsia"/>
          <w:color w:val="auto"/>
        </w:rPr>
      </w:pPr>
      <w:r>
        <w:rPr>
          <w:color w:val="auto"/>
        </w:rPr>
        <w:t>a</w:t>
      </w:r>
      <w:r>
        <w:rPr>
          <w:rFonts w:hint="eastAsia"/>
          <w:color w:val="auto"/>
        </w:rPr>
        <w:t>、单井采油管线泄漏</w:t>
      </w:r>
    </w:p>
    <w:p w14:paraId="6B3FE276">
      <w:pPr>
        <w:pStyle w:val="86"/>
        <w:ind w:firstLine="480"/>
        <w:rPr>
          <w:rFonts w:hint="eastAsia"/>
          <w:color w:val="auto"/>
        </w:rPr>
      </w:pPr>
      <w:r>
        <w:rPr>
          <w:rFonts w:hint="eastAsia"/>
          <w:color w:val="auto"/>
        </w:rPr>
        <w:t>按最不利情况考虑假设条件，假设单井采油管线发生全管径破裂，莫27井原油的输送量为25t/d，假定发生泄漏后30min处理完毕，切断事故阀门，则单井采油管线的泄漏量为0.52t，按照土壤表层对污染物截留率90%计算，单井采油管线泄漏后可能进入含水层的物料分别为0.052t。</w:t>
      </w:r>
    </w:p>
    <w:p w14:paraId="0CDFC301">
      <w:pPr>
        <w:pStyle w:val="86"/>
        <w:ind w:firstLine="480"/>
        <w:rPr>
          <w:rFonts w:hint="eastAsia"/>
          <w:color w:val="auto"/>
        </w:rPr>
      </w:pPr>
      <w:r>
        <w:rPr>
          <w:rFonts w:hint="eastAsia"/>
          <w:color w:val="auto"/>
        </w:rPr>
        <w:t>b、储油罐泄漏量</w:t>
      </w:r>
    </w:p>
    <w:p w14:paraId="7F48B3D5">
      <w:pPr>
        <w:pStyle w:val="86"/>
        <w:ind w:firstLine="480"/>
        <w:rPr>
          <w:rFonts w:hint="eastAsia"/>
          <w:color w:val="auto"/>
        </w:rPr>
      </w:pPr>
      <w:r>
        <w:rPr>
          <w:rFonts w:hint="eastAsia"/>
          <w:color w:val="auto"/>
        </w:rPr>
        <w:t>按最不利情况考虑假设条件，假设储油罐在距离底部0</w:t>
      </w:r>
      <w:r>
        <w:rPr>
          <w:color w:val="auto"/>
        </w:rPr>
        <w:t>.5</w:t>
      </w:r>
      <w:r>
        <w:rPr>
          <w:rFonts w:hint="eastAsia"/>
          <w:color w:val="auto"/>
        </w:rPr>
        <w:t>m处发生0</w:t>
      </w:r>
      <w:r>
        <w:rPr>
          <w:color w:val="auto"/>
        </w:rPr>
        <w:t>.01</w:t>
      </w:r>
      <w:r>
        <w:rPr>
          <w:rFonts w:hint="eastAsia"/>
          <w:color w:val="auto"/>
        </w:rPr>
        <w:t>m孔径破裂，泄漏</w:t>
      </w:r>
      <w:r>
        <w:rPr>
          <w:color w:val="auto"/>
        </w:rPr>
        <w:t>速度Q</w:t>
      </w:r>
      <w:r>
        <w:rPr>
          <w:color w:val="auto"/>
          <w:vertAlign w:val="subscript"/>
        </w:rPr>
        <w:t>L</w:t>
      </w:r>
      <w:r>
        <w:rPr>
          <w:color w:val="auto"/>
        </w:rPr>
        <w:t>用</w:t>
      </w:r>
      <w:r>
        <w:rPr>
          <w:rFonts w:hint="eastAsia"/>
          <w:color w:val="auto"/>
        </w:rPr>
        <w:t>伯</w:t>
      </w:r>
      <w:r>
        <w:rPr>
          <w:color w:val="auto"/>
        </w:rPr>
        <w:t>努利方程计算：</w:t>
      </w:r>
    </w:p>
    <w:p w14:paraId="2327F49B">
      <w:pPr>
        <w:pStyle w:val="86"/>
        <w:ind w:firstLine="480"/>
        <w:rPr>
          <w:rFonts w:hint="eastAsia"/>
          <w:color w:val="auto"/>
        </w:rPr>
      </w:pPr>
    </w:p>
    <w:p w14:paraId="4EDFAC75">
      <w:pPr>
        <w:spacing w:line="860" w:lineRule="exact"/>
        <w:ind w:firstLine="480" w:firstLineChars="200"/>
        <w:jc w:val="center"/>
        <w:rPr>
          <w:rFonts w:hint="eastAsia" w:ascii="宋体" w:hAnsi="宋体"/>
          <w:color w:val="auto"/>
          <w:sz w:val="24"/>
        </w:rPr>
      </w:pPr>
      <w:r>
        <w:rPr>
          <w:rFonts w:ascii="宋体" w:hAnsi="宋体"/>
          <w:color w:val="auto"/>
          <w:sz w:val="24"/>
        </w:rPr>
        <w:object>
          <v:shape id="_x0000_i1030" o:spt="75" type="#_x0000_t75" style="height:34.6pt;width:145.4pt;" o:ole="t" filled="f" o:preferrelative="t" stroked="f" coordsize="21600,21600">
            <v:path/>
            <v:fill on="f" focussize="0,0"/>
            <v:stroke on="f" joinstyle="miter"/>
            <v:imagedata r:id="rId101" o:title=""/>
            <o:lock v:ext="edit" aspectratio="t"/>
            <w10:wrap type="none"/>
            <w10:anchorlock/>
          </v:shape>
          <o:OLEObject Type="Embed" ProgID="Visio.Drawing.11" ShapeID="_x0000_i1030" DrawAspect="Content" ObjectID="_1468075730" r:id="rId100">
            <o:LockedField>false</o:LockedField>
          </o:OLEObject>
        </w:object>
      </w:r>
    </w:p>
    <w:p w14:paraId="75E7EFA6">
      <w:pPr>
        <w:pStyle w:val="86"/>
        <w:ind w:firstLine="480"/>
        <w:rPr>
          <w:rFonts w:hint="eastAsia"/>
          <w:color w:val="auto"/>
        </w:rPr>
      </w:pPr>
      <w:r>
        <w:rPr>
          <w:color w:val="auto"/>
        </w:rPr>
        <w:t>式中：</w:t>
      </w:r>
    </w:p>
    <w:p w14:paraId="5DE1A9C4">
      <w:pPr>
        <w:pStyle w:val="86"/>
        <w:ind w:firstLine="991" w:firstLineChars="413"/>
        <w:rPr>
          <w:rFonts w:hint="eastAsia"/>
          <w:color w:val="auto"/>
        </w:rPr>
      </w:pPr>
      <w:r>
        <w:rPr>
          <w:color w:val="auto"/>
        </w:rPr>
        <w:t>Q</w:t>
      </w:r>
      <w:r>
        <w:rPr>
          <w:color w:val="auto"/>
          <w:vertAlign w:val="subscript"/>
        </w:rPr>
        <w:t>L</w:t>
      </w:r>
      <w:r>
        <w:rPr>
          <w:color w:val="auto"/>
        </w:rPr>
        <w:t>——液体泄漏速度，kg/s；</w:t>
      </w:r>
    </w:p>
    <w:p w14:paraId="353AA4C9">
      <w:pPr>
        <w:pStyle w:val="86"/>
        <w:ind w:firstLine="991" w:firstLineChars="413"/>
        <w:rPr>
          <w:rFonts w:hint="eastAsia"/>
          <w:color w:val="auto"/>
        </w:rPr>
      </w:pPr>
      <w:r>
        <w:rPr>
          <w:color w:val="auto"/>
        </w:rPr>
        <w:t>C</w:t>
      </w:r>
      <w:r>
        <w:rPr>
          <w:color w:val="auto"/>
          <w:vertAlign w:val="subscript"/>
        </w:rPr>
        <w:t>d</w:t>
      </w:r>
      <w:r>
        <w:rPr>
          <w:color w:val="auto"/>
        </w:rPr>
        <w:t>——液体泄漏系数，取0.65；</w:t>
      </w:r>
    </w:p>
    <w:p w14:paraId="25D09208">
      <w:pPr>
        <w:pStyle w:val="86"/>
        <w:ind w:firstLine="991" w:firstLineChars="413"/>
        <w:rPr>
          <w:rFonts w:hint="eastAsia"/>
          <w:color w:val="auto"/>
        </w:rPr>
      </w:pPr>
      <w:r>
        <w:rPr>
          <w:color w:val="auto"/>
        </w:rPr>
        <w:t>A——裂口面积</w:t>
      </w:r>
      <w:r>
        <w:rPr>
          <w:rFonts w:hint="eastAsia"/>
          <w:color w:val="auto"/>
        </w:rPr>
        <w:t>，</w:t>
      </w:r>
      <w:r>
        <w:rPr>
          <w:color w:val="auto"/>
        </w:rPr>
        <w:t>m</w:t>
      </w:r>
      <w:r>
        <w:rPr>
          <w:color w:val="auto"/>
          <w:vertAlign w:val="superscript"/>
        </w:rPr>
        <w:t>2</w:t>
      </w:r>
      <w:r>
        <w:rPr>
          <w:color w:val="auto"/>
        </w:rPr>
        <w:t>；</w:t>
      </w:r>
    </w:p>
    <w:p w14:paraId="4D7EFCAB">
      <w:pPr>
        <w:pStyle w:val="86"/>
        <w:ind w:firstLine="991" w:firstLineChars="413"/>
        <w:rPr>
          <w:rFonts w:hint="eastAsia"/>
          <w:color w:val="auto"/>
        </w:rPr>
      </w:pPr>
      <w:r>
        <w:rPr>
          <w:color w:val="auto"/>
        </w:rPr>
        <w:t>ρ——泄漏液体密度</w:t>
      </w:r>
      <w:r>
        <w:rPr>
          <w:rFonts w:hint="eastAsia"/>
          <w:color w:val="auto"/>
        </w:rPr>
        <w:t>；</w:t>
      </w:r>
    </w:p>
    <w:p w14:paraId="1BB01C11">
      <w:pPr>
        <w:pStyle w:val="86"/>
        <w:ind w:firstLine="991" w:firstLineChars="413"/>
        <w:rPr>
          <w:rFonts w:hint="eastAsia"/>
          <w:color w:val="auto"/>
        </w:rPr>
      </w:pPr>
      <w:r>
        <w:rPr>
          <w:color w:val="auto"/>
        </w:rPr>
        <w:t>P——容器内介质压力，Pa；</w:t>
      </w:r>
    </w:p>
    <w:p w14:paraId="4E3179E3">
      <w:pPr>
        <w:pStyle w:val="86"/>
        <w:ind w:firstLine="991" w:firstLineChars="413"/>
        <w:rPr>
          <w:rFonts w:hint="eastAsia"/>
          <w:color w:val="auto"/>
        </w:rPr>
      </w:pPr>
      <w:r>
        <w:rPr>
          <w:color w:val="auto"/>
        </w:rPr>
        <w:t>P</w:t>
      </w:r>
      <w:r>
        <w:rPr>
          <w:color w:val="auto"/>
          <w:vertAlign w:val="subscript"/>
        </w:rPr>
        <w:t>0</w:t>
      </w:r>
      <w:r>
        <w:rPr>
          <w:color w:val="auto"/>
        </w:rPr>
        <w:t>——环境压力</w:t>
      </w:r>
      <w:r>
        <w:rPr>
          <w:rFonts w:hint="eastAsia"/>
          <w:color w:val="auto"/>
        </w:rPr>
        <w:t>，</w:t>
      </w:r>
      <w:r>
        <w:rPr>
          <w:color w:val="auto"/>
        </w:rPr>
        <w:t>Pa；</w:t>
      </w:r>
    </w:p>
    <w:p w14:paraId="5B1DDEC4">
      <w:pPr>
        <w:pStyle w:val="86"/>
        <w:ind w:firstLine="991" w:firstLineChars="413"/>
        <w:rPr>
          <w:rFonts w:hint="eastAsia"/>
          <w:color w:val="auto"/>
        </w:rPr>
      </w:pPr>
      <w:r>
        <w:rPr>
          <w:color w:val="auto"/>
        </w:rPr>
        <w:t>g——重力加速度，9.8m/s</w:t>
      </w:r>
      <w:r>
        <w:rPr>
          <w:color w:val="auto"/>
          <w:vertAlign w:val="superscript"/>
        </w:rPr>
        <w:t>2</w:t>
      </w:r>
      <w:r>
        <w:rPr>
          <w:color w:val="auto"/>
        </w:rPr>
        <w:t>；</w:t>
      </w:r>
    </w:p>
    <w:p w14:paraId="23F7F539">
      <w:pPr>
        <w:pStyle w:val="86"/>
        <w:ind w:firstLine="991" w:firstLineChars="413"/>
        <w:rPr>
          <w:rFonts w:hint="eastAsia"/>
          <w:color w:val="auto"/>
        </w:rPr>
      </w:pPr>
      <w:r>
        <w:rPr>
          <w:color w:val="auto"/>
        </w:rPr>
        <w:t>h——裂口之上液位高度</w:t>
      </w:r>
      <w:r>
        <w:rPr>
          <w:rFonts w:hint="eastAsia"/>
          <w:color w:val="auto"/>
        </w:rPr>
        <w:t>，</w:t>
      </w:r>
      <w:r>
        <w:rPr>
          <w:color w:val="auto"/>
        </w:rPr>
        <w:t>m。</w:t>
      </w:r>
    </w:p>
    <w:p w14:paraId="7A875462">
      <w:pPr>
        <w:pStyle w:val="86"/>
        <w:adjustRightInd w:val="0"/>
        <w:snapToGrid w:val="0"/>
        <w:ind w:firstLine="480"/>
        <w:rPr>
          <w:rFonts w:hint="eastAsia"/>
          <w:color w:val="auto"/>
        </w:rPr>
      </w:pPr>
      <w:r>
        <w:rPr>
          <w:color w:val="auto"/>
        </w:rPr>
        <w:t>经计算，在设定事故条件下泄漏速率见</w:t>
      </w:r>
      <w:r>
        <w:rPr>
          <w:rFonts w:hint="eastAsia"/>
          <w:color w:val="auto"/>
        </w:rPr>
        <w:t>表</w:t>
      </w:r>
      <w:r>
        <w:rPr>
          <w:color w:val="auto"/>
        </w:rPr>
        <w:t>5.2</w:t>
      </w:r>
      <w:r>
        <w:rPr>
          <w:rFonts w:hint="eastAsia"/>
          <w:color w:val="auto"/>
        </w:rPr>
        <w:t>-6</w:t>
      </w:r>
      <w:r>
        <w:rPr>
          <w:color w:val="auto"/>
        </w:rPr>
        <w:t>。</w:t>
      </w:r>
    </w:p>
    <w:p w14:paraId="34BD3B26">
      <w:pPr>
        <w:pStyle w:val="15"/>
        <w:adjustRightInd w:val="0"/>
        <w:snapToGrid w:val="0"/>
        <w:spacing w:line="500" w:lineRule="exact"/>
        <w:rPr>
          <w:rFonts w:hint="eastAsia"/>
          <w:bCs/>
          <w:color w:val="auto"/>
        </w:rPr>
      </w:pPr>
      <w:r>
        <w:rPr>
          <w:rFonts w:hint="eastAsia"/>
          <w:bCs/>
          <w:color w:val="auto"/>
        </w:rPr>
        <w:t>表</w:t>
      </w:r>
      <w:r>
        <w:rPr>
          <w:bCs/>
          <w:color w:val="auto"/>
        </w:rPr>
        <w:t>5.2</w:t>
      </w:r>
      <w:r>
        <w:rPr>
          <w:rFonts w:hint="eastAsia"/>
          <w:bCs/>
          <w:color w:val="auto"/>
        </w:rPr>
        <w:t>-6</w:t>
      </w:r>
      <w:r>
        <w:rPr>
          <w:bCs/>
          <w:color w:val="auto"/>
        </w:rPr>
        <w:t xml:space="preserve">  设定事故条件下泄漏速率计算结果</w:t>
      </w:r>
    </w:p>
    <w:tbl>
      <w:tblPr>
        <w:tblStyle w:val="51"/>
        <w:tblW w:w="8731"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93"/>
        <w:gridCol w:w="1494"/>
        <w:gridCol w:w="1510"/>
        <w:gridCol w:w="1230"/>
        <w:gridCol w:w="1160"/>
        <w:gridCol w:w="1243"/>
        <w:gridCol w:w="1101"/>
      </w:tblGrid>
      <w:tr w14:paraId="4FFBCE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3" w:type="dxa"/>
            <w:vAlign w:val="center"/>
          </w:tcPr>
          <w:p w14:paraId="5A92EAE8">
            <w:pPr>
              <w:adjustRightInd w:val="0"/>
              <w:snapToGrid w:val="0"/>
              <w:spacing w:line="320" w:lineRule="atLeast"/>
              <w:jc w:val="center"/>
              <w:rPr>
                <w:rFonts w:hint="eastAsia" w:ascii="宋体" w:hAnsi="宋体"/>
                <w:color w:val="auto"/>
                <w:szCs w:val="21"/>
              </w:rPr>
            </w:pPr>
            <w:r>
              <w:rPr>
                <w:rFonts w:hint="eastAsia" w:ascii="宋体" w:hAnsi="宋体"/>
                <w:color w:val="auto"/>
                <w:szCs w:val="21"/>
              </w:rPr>
              <w:t>泄漏</w:t>
            </w:r>
          </w:p>
        </w:tc>
        <w:tc>
          <w:tcPr>
            <w:tcW w:w="1494" w:type="dxa"/>
            <w:vAlign w:val="center"/>
          </w:tcPr>
          <w:p w14:paraId="514AB8C5">
            <w:pPr>
              <w:adjustRightInd w:val="0"/>
              <w:snapToGrid w:val="0"/>
              <w:spacing w:line="320" w:lineRule="atLeast"/>
              <w:jc w:val="center"/>
              <w:rPr>
                <w:rFonts w:hint="eastAsia" w:ascii="宋体" w:hAnsi="宋体"/>
                <w:color w:val="auto"/>
                <w:szCs w:val="21"/>
              </w:rPr>
            </w:pPr>
            <w:r>
              <w:rPr>
                <w:rFonts w:ascii="宋体" w:hAnsi="宋体"/>
                <w:color w:val="auto"/>
                <w:szCs w:val="21"/>
              </w:rPr>
              <w:t>泄漏口面积</w:t>
            </w:r>
            <w:r>
              <w:rPr>
                <w:rFonts w:hint="eastAsia" w:ascii="宋体" w:hAnsi="宋体"/>
                <w:color w:val="auto"/>
                <w:szCs w:val="21"/>
              </w:rPr>
              <w:t>（</w:t>
            </w:r>
            <w:r>
              <w:rPr>
                <w:rFonts w:ascii="宋体" w:hAnsi="宋体"/>
                <w:color w:val="auto"/>
                <w:szCs w:val="21"/>
              </w:rPr>
              <w:t>m</w:t>
            </w:r>
            <w:r>
              <w:rPr>
                <w:rFonts w:ascii="宋体" w:hAnsi="宋体"/>
                <w:color w:val="auto"/>
                <w:szCs w:val="21"/>
                <w:vertAlign w:val="superscript"/>
              </w:rPr>
              <w:t>2</w:t>
            </w:r>
            <w:r>
              <w:rPr>
                <w:rFonts w:hint="eastAsia" w:ascii="宋体" w:hAnsi="宋体"/>
                <w:color w:val="auto"/>
                <w:szCs w:val="21"/>
              </w:rPr>
              <w:t>）</w:t>
            </w:r>
          </w:p>
        </w:tc>
        <w:tc>
          <w:tcPr>
            <w:tcW w:w="1510" w:type="dxa"/>
            <w:vAlign w:val="center"/>
          </w:tcPr>
          <w:p w14:paraId="3A9F4C63">
            <w:pPr>
              <w:adjustRightInd w:val="0"/>
              <w:snapToGrid w:val="0"/>
              <w:spacing w:line="320" w:lineRule="atLeast"/>
              <w:jc w:val="center"/>
              <w:rPr>
                <w:rFonts w:hint="eastAsia" w:ascii="宋体" w:hAnsi="宋体"/>
                <w:color w:val="auto"/>
                <w:szCs w:val="21"/>
              </w:rPr>
            </w:pPr>
            <w:r>
              <w:rPr>
                <w:rFonts w:ascii="宋体" w:hAnsi="宋体"/>
                <w:color w:val="auto"/>
                <w:szCs w:val="21"/>
              </w:rPr>
              <w:t>泄漏口之上液位高度</w:t>
            </w:r>
            <w:r>
              <w:rPr>
                <w:rFonts w:hint="eastAsia" w:ascii="宋体" w:hAnsi="宋体"/>
                <w:color w:val="auto"/>
                <w:szCs w:val="21"/>
              </w:rPr>
              <w:t>（</w:t>
            </w:r>
            <w:r>
              <w:rPr>
                <w:rFonts w:ascii="宋体" w:hAnsi="宋体"/>
                <w:color w:val="auto"/>
                <w:szCs w:val="21"/>
              </w:rPr>
              <w:t>m</w:t>
            </w:r>
            <w:r>
              <w:rPr>
                <w:rFonts w:hint="eastAsia" w:ascii="宋体" w:hAnsi="宋体"/>
                <w:color w:val="auto"/>
                <w:szCs w:val="21"/>
              </w:rPr>
              <w:t>）</w:t>
            </w:r>
          </w:p>
        </w:tc>
        <w:tc>
          <w:tcPr>
            <w:tcW w:w="1230" w:type="dxa"/>
            <w:vAlign w:val="center"/>
          </w:tcPr>
          <w:p w14:paraId="0C423E3F">
            <w:pPr>
              <w:adjustRightInd w:val="0"/>
              <w:snapToGrid w:val="0"/>
              <w:spacing w:line="320" w:lineRule="atLeast"/>
              <w:jc w:val="center"/>
              <w:rPr>
                <w:rFonts w:hint="eastAsia" w:ascii="宋体" w:hAnsi="宋体"/>
                <w:color w:val="auto"/>
                <w:szCs w:val="21"/>
              </w:rPr>
            </w:pPr>
            <w:r>
              <w:rPr>
                <w:rFonts w:hint="eastAsia" w:ascii="宋体" w:hAnsi="宋体"/>
                <w:color w:val="auto"/>
                <w:szCs w:val="21"/>
              </w:rPr>
              <w:t>底部</w:t>
            </w:r>
            <w:r>
              <w:rPr>
                <w:rFonts w:ascii="宋体" w:hAnsi="宋体"/>
                <w:color w:val="auto"/>
                <w:szCs w:val="21"/>
              </w:rPr>
              <w:t>压力</w:t>
            </w:r>
            <w:r>
              <w:rPr>
                <w:rFonts w:hint="eastAsia" w:ascii="宋体" w:hAnsi="宋体"/>
                <w:color w:val="auto"/>
                <w:szCs w:val="21"/>
              </w:rPr>
              <w:t>（MPa）</w:t>
            </w:r>
          </w:p>
        </w:tc>
        <w:tc>
          <w:tcPr>
            <w:tcW w:w="1160" w:type="dxa"/>
            <w:vAlign w:val="center"/>
          </w:tcPr>
          <w:p w14:paraId="645AA6EA">
            <w:pPr>
              <w:adjustRightInd w:val="0"/>
              <w:snapToGrid w:val="0"/>
              <w:spacing w:line="320" w:lineRule="atLeast"/>
              <w:jc w:val="center"/>
              <w:rPr>
                <w:rFonts w:hint="eastAsia" w:ascii="宋体" w:hAnsi="宋体"/>
                <w:color w:val="auto"/>
                <w:szCs w:val="21"/>
              </w:rPr>
            </w:pPr>
            <w:r>
              <w:rPr>
                <w:rFonts w:hint="eastAsia" w:ascii="宋体" w:hAnsi="宋体"/>
                <w:color w:val="auto"/>
                <w:szCs w:val="21"/>
              </w:rPr>
              <w:t>环境</w:t>
            </w:r>
            <w:r>
              <w:rPr>
                <w:rFonts w:ascii="宋体" w:hAnsi="宋体"/>
                <w:color w:val="auto"/>
                <w:szCs w:val="21"/>
              </w:rPr>
              <w:t>压力</w:t>
            </w:r>
            <w:r>
              <w:rPr>
                <w:rFonts w:hint="eastAsia" w:ascii="宋体" w:hAnsi="宋体"/>
                <w:color w:val="auto"/>
                <w:szCs w:val="21"/>
              </w:rPr>
              <w:t>（MPa）</w:t>
            </w:r>
          </w:p>
        </w:tc>
        <w:tc>
          <w:tcPr>
            <w:tcW w:w="1243" w:type="dxa"/>
            <w:vAlign w:val="center"/>
          </w:tcPr>
          <w:p w14:paraId="04C24969">
            <w:pPr>
              <w:adjustRightInd w:val="0"/>
              <w:snapToGrid w:val="0"/>
              <w:spacing w:line="320" w:lineRule="atLeast"/>
              <w:jc w:val="center"/>
              <w:rPr>
                <w:rFonts w:hint="eastAsia" w:ascii="宋体" w:hAnsi="宋体"/>
                <w:color w:val="auto"/>
                <w:szCs w:val="21"/>
              </w:rPr>
            </w:pPr>
            <w:r>
              <w:rPr>
                <w:rFonts w:ascii="宋体" w:hAnsi="宋体"/>
                <w:color w:val="auto"/>
                <w:szCs w:val="21"/>
              </w:rPr>
              <w:t>液体密度</w:t>
            </w:r>
            <w:r>
              <w:rPr>
                <w:rFonts w:hint="eastAsia" w:ascii="宋体" w:hAnsi="宋体"/>
                <w:color w:val="auto"/>
                <w:szCs w:val="21"/>
              </w:rPr>
              <w:t>（</w:t>
            </w:r>
            <w:r>
              <w:rPr>
                <w:rFonts w:ascii="宋体" w:hAnsi="宋体"/>
                <w:color w:val="auto"/>
                <w:szCs w:val="21"/>
              </w:rPr>
              <w:t>kg/m</w:t>
            </w:r>
            <w:r>
              <w:rPr>
                <w:rFonts w:ascii="宋体" w:hAnsi="宋体"/>
                <w:color w:val="auto"/>
                <w:szCs w:val="21"/>
                <w:vertAlign w:val="superscript"/>
              </w:rPr>
              <w:t>3</w:t>
            </w:r>
            <w:r>
              <w:rPr>
                <w:rFonts w:hint="eastAsia" w:ascii="宋体" w:hAnsi="宋体"/>
                <w:color w:val="auto"/>
                <w:szCs w:val="21"/>
              </w:rPr>
              <w:t>）</w:t>
            </w:r>
          </w:p>
        </w:tc>
        <w:tc>
          <w:tcPr>
            <w:tcW w:w="1101" w:type="dxa"/>
            <w:vAlign w:val="center"/>
          </w:tcPr>
          <w:p w14:paraId="2C86F1ED">
            <w:pPr>
              <w:adjustRightInd w:val="0"/>
              <w:snapToGrid w:val="0"/>
              <w:spacing w:line="320" w:lineRule="atLeast"/>
              <w:jc w:val="center"/>
              <w:rPr>
                <w:rFonts w:hint="eastAsia" w:ascii="宋体" w:hAnsi="宋体"/>
                <w:color w:val="auto"/>
                <w:szCs w:val="21"/>
              </w:rPr>
            </w:pPr>
            <w:r>
              <w:rPr>
                <w:rFonts w:ascii="宋体" w:hAnsi="宋体"/>
                <w:color w:val="auto"/>
                <w:szCs w:val="21"/>
              </w:rPr>
              <w:t>泄漏速</w:t>
            </w:r>
            <w:r>
              <w:rPr>
                <w:rFonts w:hint="eastAsia" w:ascii="宋体" w:hAnsi="宋体"/>
                <w:color w:val="auto"/>
                <w:szCs w:val="21"/>
              </w:rPr>
              <w:t>度（</w:t>
            </w:r>
            <w:r>
              <w:rPr>
                <w:rFonts w:ascii="宋体" w:hAnsi="宋体"/>
                <w:color w:val="auto"/>
                <w:szCs w:val="21"/>
              </w:rPr>
              <w:t>kg/s</w:t>
            </w:r>
            <w:r>
              <w:rPr>
                <w:rFonts w:hint="eastAsia" w:ascii="宋体" w:hAnsi="宋体"/>
                <w:color w:val="auto"/>
                <w:szCs w:val="21"/>
              </w:rPr>
              <w:t>）</w:t>
            </w:r>
          </w:p>
        </w:tc>
      </w:tr>
      <w:tr w14:paraId="636E6D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3" w:type="dxa"/>
            <w:vAlign w:val="center"/>
          </w:tcPr>
          <w:p w14:paraId="0A1E1CA7">
            <w:pPr>
              <w:adjustRightInd w:val="0"/>
              <w:snapToGrid w:val="0"/>
              <w:spacing w:line="320" w:lineRule="atLeast"/>
              <w:jc w:val="center"/>
              <w:rPr>
                <w:rFonts w:hint="eastAsia" w:ascii="宋体" w:hAnsi="宋体"/>
                <w:color w:val="auto"/>
                <w:szCs w:val="21"/>
              </w:rPr>
            </w:pPr>
            <w:r>
              <w:rPr>
                <w:rFonts w:hint="eastAsia" w:ascii="宋体" w:hAnsi="宋体"/>
                <w:color w:val="auto"/>
                <w:szCs w:val="21"/>
              </w:rPr>
              <w:t>储油罐</w:t>
            </w:r>
          </w:p>
        </w:tc>
        <w:tc>
          <w:tcPr>
            <w:tcW w:w="1494" w:type="dxa"/>
            <w:vAlign w:val="center"/>
          </w:tcPr>
          <w:p w14:paraId="403DF368">
            <w:pPr>
              <w:adjustRightInd w:val="0"/>
              <w:snapToGrid w:val="0"/>
              <w:spacing w:line="320" w:lineRule="atLeast"/>
              <w:jc w:val="center"/>
              <w:rPr>
                <w:rFonts w:hint="eastAsia" w:ascii="宋体" w:hAnsi="宋体"/>
                <w:color w:val="auto"/>
                <w:szCs w:val="21"/>
              </w:rPr>
            </w:pPr>
            <w:r>
              <w:rPr>
                <w:rFonts w:hint="eastAsia" w:ascii="宋体" w:hAnsi="宋体"/>
                <w:color w:val="auto"/>
                <w:szCs w:val="21"/>
              </w:rPr>
              <w:t>0</w:t>
            </w:r>
            <w:r>
              <w:rPr>
                <w:rFonts w:ascii="宋体" w:hAnsi="宋体"/>
                <w:color w:val="auto"/>
                <w:szCs w:val="21"/>
              </w:rPr>
              <w:t>.00008</w:t>
            </w:r>
          </w:p>
        </w:tc>
        <w:tc>
          <w:tcPr>
            <w:tcW w:w="1510" w:type="dxa"/>
            <w:vAlign w:val="center"/>
          </w:tcPr>
          <w:p w14:paraId="23AFB43A">
            <w:pPr>
              <w:adjustRightInd w:val="0"/>
              <w:snapToGrid w:val="0"/>
              <w:spacing w:line="320" w:lineRule="atLeast"/>
              <w:jc w:val="center"/>
              <w:rPr>
                <w:rFonts w:hint="eastAsia" w:ascii="宋体" w:hAnsi="宋体"/>
                <w:color w:val="auto"/>
                <w:szCs w:val="21"/>
              </w:rPr>
            </w:pPr>
            <w:r>
              <w:rPr>
                <w:rFonts w:hint="eastAsia" w:ascii="宋体" w:hAnsi="宋体"/>
                <w:color w:val="auto"/>
                <w:szCs w:val="21"/>
              </w:rPr>
              <w:t>4</w:t>
            </w:r>
            <w:r>
              <w:rPr>
                <w:rFonts w:ascii="宋体" w:hAnsi="宋体"/>
                <w:color w:val="auto"/>
                <w:szCs w:val="21"/>
              </w:rPr>
              <w:t>.</w:t>
            </w:r>
            <w:r>
              <w:rPr>
                <w:rFonts w:hint="eastAsia" w:ascii="宋体" w:hAnsi="宋体"/>
                <w:color w:val="auto"/>
                <w:szCs w:val="21"/>
              </w:rPr>
              <w:t>2</w:t>
            </w:r>
          </w:p>
        </w:tc>
        <w:tc>
          <w:tcPr>
            <w:tcW w:w="1230" w:type="dxa"/>
            <w:vAlign w:val="center"/>
          </w:tcPr>
          <w:p w14:paraId="26A1C793">
            <w:pPr>
              <w:adjustRightInd w:val="0"/>
              <w:snapToGrid w:val="0"/>
              <w:spacing w:line="320" w:lineRule="atLeast"/>
              <w:jc w:val="center"/>
              <w:rPr>
                <w:rFonts w:hint="eastAsia" w:ascii="宋体" w:hAnsi="宋体"/>
                <w:color w:val="auto"/>
                <w:szCs w:val="21"/>
              </w:rPr>
            </w:pPr>
            <w:r>
              <w:rPr>
                <w:rFonts w:hint="eastAsia" w:ascii="宋体" w:hAnsi="宋体"/>
                <w:color w:val="auto"/>
                <w:szCs w:val="21"/>
              </w:rPr>
              <w:t>0</w:t>
            </w:r>
            <w:r>
              <w:rPr>
                <w:rFonts w:ascii="宋体" w:hAnsi="宋体"/>
                <w:color w:val="auto"/>
                <w:szCs w:val="21"/>
              </w:rPr>
              <w:t>.1</w:t>
            </w:r>
            <w:r>
              <w:rPr>
                <w:rFonts w:hint="eastAsia" w:ascii="宋体" w:hAnsi="宋体"/>
                <w:color w:val="auto"/>
                <w:szCs w:val="21"/>
              </w:rPr>
              <w:t>34</w:t>
            </w:r>
          </w:p>
        </w:tc>
        <w:tc>
          <w:tcPr>
            <w:tcW w:w="1160" w:type="dxa"/>
            <w:vAlign w:val="center"/>
          </w:tcPr>
          <w:p w14:paraId="27721637">
            <w:pPr>
              <w:adjustRightInd w:val="0"/>
              <w:snapToGrid w:val="0"/>
              <w:spacing w:line="320" w:lineRule="atLeast"/>
              <w:jc w:val="center"/>
              <w:rPr>
                <w:rFonts w:hint="eastAsia" w:ascii="宋体" w:hAnsi="宋体"/>
                <w:color w:val="auto"/>
                <w:szCs w:val="21"/>
              </w:rPr>
            </w:pPr>
            <w:r>
              <w:rPr>
                <w:rFonts w:hint="eastAsia" w:ascii="宋体" w:hAnsi="宋体"/>
                <w:color w:val="auto"/>
                <w:szCs w:val="21"/>
              </w:rPr>
              <w:t>0</w:t>
            </w:r>
            <w:r>
              <w:rPr>
                <w:rFonts w:ascii="宋体" w:hAnsi="宋体"/>
                <w:color w:val="auto"/>
                <w:szCs w:val="21"/>
              </w:rPr>
              <w:t>.101</w:t>
            </w:r>
          </w:p>
        </w:tc>
        <w:tc>
          <w:tcPr>
            <w:tcW w:w="1243" w:type="dxa"/>
            <w:vAlign w:val="center"/>
          </w:tcPr>
          <w:p w14:paraId="5ECAFE37">
            <w:pPr>
              <w:adjustRightInd w:val="0"/>
              <w:snapToGrid w:val="0"/>
              <w:spacing w:line="320" w:lineRule="atLeast"/>
              <w:jc w:val="center"/>
              <w:rPr>
                <w:rFonts w:hint="eastAsia" w:ascii="宋体" w:hAnsi="宋体"/>
                <w:color w:val="auto"/>
                <w:szCs w:val="21"/>
              </w:rPr>
            </w:pPr>
            <w:r>
              <w:rPr>
                <w:rFonts w:hint="eastAsia" w:ascii="宋体" w:hAnsi="宋体"/>
                <w:color w:val="auto"/>
                <w:szCs w:val="21"/>
              </w:rPr>
              <w:t>796.2</w:t>
            </w:r>
          </w:p>
        </w:tc>
        <w:tc>
          <w:tcPr>
            <w:tcW w:w="1101" w:type="dxa"/>
            <w:vAlign w:val="center"/>
          </w:tcPr>
          <w:p w14:paraId="2C8773B3">
            <w:pPr>
              <w:adjustRightInd w:val="0"/>
              <w:snapToGrid w:val="0"/>
              <w:spacing w:line="320" w:lineRule="atLeast"/>
              <w:jc w:val="center"/>
              <w:rPr>
                <w:rFonts w:hint="eastAsia" w:ascii="宋体" w:hAnsi="宋体"/>
                <w:color w:val="auto"/>
                <w:szCs w:val="21"/>
              </w:rPr>
            </w:pPr>
            <w:r>
              <w:rPr>
                <w:rFonts w:hint="eastAsia" w:ascii="宋体" w:hAnsi="宋体"/>
                <w:color w:val="auto"/>
                <w:szCs w:val="21"/>
              </w:rPr>
              <w:t>0.53</w:t>
            </w:r>
          </w:p>
        </w:tc>
      </w:tr>
    </w:tbl>
    <w:p w14:paraId="1E6008D5">
      <w:pPr>
        <w:pStyle w:val="86"/>
        <w:ind w:firstLine="480"/>
        <w:rPr>
          <w:rFonts w:hint="eastAsia"/>
          <w:color w:val="auto"/>
        </w:rPr>
      </w:pPr>
      <w:r>
        <w:rPr>
          <w:rFonts w:hint="eastAsia"/>
          <w:color w:val="auto"/>
        </w:rPr>
        <w:t>由表</w:t>
      </w:r>
      <w:r>
        <w:rPr>
          <w:color w:val="auto"/>
        </w:rPr>
        <w:t>5.2</w:t>
      </w:r>
      <w:r>
        <w:rPr>
          <w:rFonts w:hint="eastAsia"/>
          <w:color w:val="auto"/>
        </w:rPr>
        <w:t>-6可知，储油罐的泄漏速率为0</w:t>
      </w:r>
      <w:r>
        <w:rPr>
          <w:color w:val="auto"/>
        </w:rPr>
        <w:t>.</w:t>
      </w:r>
      <w:r>
        <w:rPr>
          <w:rFonts w:hint="eastAsia"/>
          <w:color w:val="auto"/>
        </w:rPr>
        <w:t>53</w:t>
      </w:r>
      <w:r>
        <w:rPr>
          <w:color w:val="auto"/>
        </w:rPr>
        <w:t>kg</w:t>
      </w:r>
      <w:r>
        <w:rPr>
          <w:rFonts w:hint="eastAsia"/>
          <w:color w:val="auto"/>
        </w:rPr>
        <w:t>/s。假定发现泄漏后</w:t>
      </w:r>
      <w:r>
        <w:rPr>
          <w:color w:val="auto"/>
        </w:rPr>
        <w:t>3</w:t>
      </w:r>
      <w:r>
        <w:rPr>
          <w:rFonts w:hint="eastAsia"/>
          <w:color w:val="auto"/>
        </w:rPr>
        <w:t>0min处理完毕，切断事故阀门，则储油罐的泄漏量为</w:t>
      </w:r>
      <w:r>
        <w:rPr>
          <w:color w:val="auto"/>
        </w:rPr>
        <w:t>0.</w:t>
      </w:r>
      <w:r>
        <w:rPr>
          <w:rFonts w:hint="eastAsia"/>
          <w:color w:val="auto"/>
        </w:rPr>
        <w:t>95t。</w:t>
      </w:r>
      <w:bookmarkStart w:id="684" w:name="OLE_LINK46"/>
      <w:bookmarkStart w:id="685" w:name="OLE_LINK47"/>
      <w:r>
        <w:rPr>
          <w:rFonts w:hint="eastAsia"/>
          <w:color w:val="auto"/>
        </w:rPr>
        <w:t>按照土壤表层对污染物截留率90%计算，</w:t>
      </w:r>
      <w:bookmarkEnd w:id="684"/>
      <w:r>
        <w:rPr>
          <w:rFonts w:hint="eastAsia"/>
          <w:color w:val="auto"/>
        </w:rPr>
        <w:t>储油罐泄漏后可能进入含水层的物料分别为0</w:t>
      </w:r>
      <w:r>
        <w:rPr>
          <w:color w:val="auto"/>
        </w:rPr>
        <w:t>.0</w:t>
      </w:r>
      <w:r>
        <w:rPr>
          <w:rFonts w:hint="eastAsia"/>
          <w:color w:val="auto"/>
        </w:rPr>
        <w:t>95t。</w:t>
      </w:r>
    </w:p>
    <w:bookmarkEnd w:id="685"/>
    <w:p w14:paraId="653F9BE8">
      <w:pPr>
        <w:spacing w:line="500" w:lineRule="exact"/>
        <w:ind w:firstLine="480" w:firstLineChars="200"/>
        <w:rPr>
          <w:rFonts w:hint="eastAsia" w:ascii="宋体" w:hAnsi="宋体"/>
          <w:color w:val="auto"/>
          <w:sz w:val="24"/>
        </w:rPr>
      </w:pPr>
      <w:r>
        <w:rPr>
          <w:rFonts w:hint="eastAsia" w:ascii="宋体" w:hAnsi="宋体"/>
          <w:color w:val="auto"/>
          <w:sz w:val="24"/>
        </w:rPr>
        <w:t>※影响预测</w:t>
      </w:r>
    </w:p>
    <w:p w14:paraId="544D0CE4">
      <w:pPr>
        <w:pStyle w:val="86"/>
        <w:ind w:firstLine="480"/>
        <w:rPr>
          <w:rFonts w:hint="eastAsia"/>
          <w:color w:val="auto"/>
        </w:rPr>
      </w:pPr>
      <w:r>
        <w:rPr>
          <w:rFonts w:hint="eastAsia"/>
          <w:color w:val="auto"/>
        </w:rPr>
        <w:t>预测因子为石油类，根据《环境影响评价技术导则  地下水环境》（HJ610-2016），采用解析法进行预测，预测模型选择导则推荐的地下水溶质运移解析法中的一维稳定流动二维弥散点源模型进行预测。</w:t>
      </w:r>
    </w:p>
    <w:p w14:paraId="2AF4591A">
      <w:pPr>
        <w:pStyle w:val="86"/>
        <w:ind w:firstLine="480"/>
        <w:rPr>
          <w:rFonts w:hint="eastAsia"/>
          <w:color w:val="auto"/>
        </w:rPr>
      </w:pPr>
      <w:r>
        <w:rPr>
          <w:color w:val="auto"/>
        </w:rPr>
        <w:drawing>
          <wp:anchor distT="0" distB="0" distL="114300" distR="114300" simplePos="0" relativeHeight="251665408" behindDoc="0" locked="0" layoutInCell="1" allowOverlap="1">
            <wp:simplePos x="0" y="0"/>
            <wp:positionH relativeFrom="column">
              <wp:posOffset>820420</wp:posOffset>
            </wp:positionH>
            <wp:positionV relativeFrom="paragraph">
              <wp:posOffset>51435</wp:posOffset>
            </wp:positionV>
            <wp:extent cx="2949575" cy="688975"/>
            <wp:effectExtent l="0" t="0" r="0" b="0"/>
            <wp:wrapNone/>
            <wp:docPr id="1146"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图片 769"/>
                    <pic:cNvPicPr>
                      <a:picLocks noChangeAspect="1" noChangeArrowheads="1"/>
                    </pic:cNvPicPr>
                  </pic:nvPicPr>
                  <pic:blipFill>
                    <a:blip r:embed="rId102">
                      <a:extLst>
                        <a:ext uri="{28A0092B-C50C-407E-A947-70E740481C1C}">
                          <a14:useLocalDpi xmlns:a14="http://schemas.microsoft.com/office/drawing/2010/main" val="0"/>
                        </a:ext>
                      </a:extLst>
                    </a:blip>
                    <a:srcRect t="8488" b="22752"/>
                    <a:stretch>
                      <a:fillRect/>
                    </a:stretch>
                  </pic:blipFill>
                  <pic:spPr>
                    <a:xfrm>
                      <a:off x="0" y="0"/>
                      <a:ext cx="2949575" cy="688975"/>
                    </a:xfrm>
                    <a:prstGeom prst="rect">
                      <a:avLst/>
                    </a:prstGeom>
                    <a:noFill/>
                    <a:ln>
                      <a:noFill/>
                    </a:ln>
                  </pic:spPr>
                </pic:pic>
              </a:graphicData>
            </a:graphic>
          </wp:anchor>
        </w:drawing>
      </w:r>
    </w:p>
    <w:p w14:paraId="7B0AFEDA">
      <w:pPr>
        <w:pStyle w:val="86"/>
        <w:ind w:firstLine="480"/>
        <w:rPr>
          <w:rFonts w:hint="eastAsia"/>
          <w:color w:val="auto"/>
        </w:rPr>
      </w:pPr>
    </w:p>
    <w:p w14:paraId="6FDFEB2D">
      <w:pPr>
        <w:pStyle w:val="86"/>
        <w:ind w:firstLine="480"/>
        <w:rPr>
          <w:rFonts w:hint="eastAsia"/>
          <w:color w:val="auto"/>
        </w:rPr>
      </w:pPr>
      <w:r>
        <w:rPr>
          <w:rFonts w:hint="eastAsia"/>
          <w:color w:val="auto"/>
        </w:rPr>
        <w:t>式中：</w:t>
      </w:r>
    </w:p>
    <w:p w14:paraId="7C4E1275">
      <w:pPr>
        <w:pStyle w:val="86"/>
        <w:ind w:firstLine="1132" w:firstLineChars="472"/>
        <w:rPr>
          <w:rFonts w:hint="eastAsia"/>
          <w:color w:val="auto"/>
        </w:rPr>
      </w:pPr>
      <w:r>
        <w:rPr>
          <w:color w:val="auto"/>
        </w:rPr>
        <w:t>x</w:t>
      </w:r>
      <w:r>
        <w:rPr>
          <w:rFonts w:hint="eastAsia"/>
          <w:color w:val="auto"/>
        </w:rPr>
        <w:t>、</w:t>
      </w:r>
      <w:r>
        <w:rPr>
          <w:color w:val="auto"/>
        </w:rPr>
        <w:t>y—</w:t>
      </w:r>
      <w:r>
        <w:rPr>
          <w:rFonts w:hint="eastAsia"/>
          <w:color w:val="auto"/>
        </w:rPr>
        <w:t>计算点处的位置坐标；</w:t>
      </w:r>
    </w:p>
    <w:p w14:paraId="5A270F1C">
      <w:pPr>
        <w:pStyle w:val="86"/>
        <w:ind w:firstLine="1132" w:firstLineChars="472"/>
        <w:rPr>
          <w:rFonts w:hint="eastAsia"/>
          <w:color w:val="auto"/>
        </w:rPr>
      </w:pPr>
      <w:r>
        <w:rPr>
          <w:color w:val="auto"/>
        </w:rPr>
        <w:t>t—</w:t>
      </w:r>
      <w:r>
        <w:rPr>
          <w:rFonts w:hint="eastAsia"/>
          <w:color w:val="auto"/>
        </w:rPr>
        <w:t>时间（</w:t>
      </w:r>
      <w:r>
        <w:rPr>
          <w:color w:val="auto"/>
        </w:rPr>
        <w:t>d</w:t>
      </w:r>
      <w:r>
        <w:rPr>
          <w:rFonts w:hint="eastAsia"/>
          <w:color w:val="auto"/>
        </w:rPr>
        <w:t>）；</w:t>
      </w:r>
    </w:p>
    <w:p w14:paraId="277B81B6">
      <w:pPr>
        <w:pStyle w:val="86"/>
        <w:ind w:firstLine="1132" w:firstLineChars="472"/>
        <w:rPr>
          <w:rFonts w:hint="eastAsia"/>
          <w:color w:val="auto"/>
          <w:spacing w:val="-2"/>
        </w:rPr>
      </w:pPr>
      <w:r>
        <w:rPr>
          <w:color w:val="auto"/>
        </w:rPr>
        <w:t>C(x,y,t)—t</w:t>
      </w:r>
      <w:r>
        <w:rPr>
          <w:rFonts w:hint="eastAsia"/>
          <w:color w:val="auto"/>
          <w:spacing w:val="-2"/>
        </w:rPr>
        <w:t>时刻点</w:t>
      </w:r>
      <w:r>
        <w:rPr>
          <w:color w:val="auto"/>
        </w:rPr>
        <w:t>x,y</w:t>
      </w:r>
      <w:r>
        <w:rPr>
          <w:rFonts w:hint="eastAsia"/>
          <w:color w:val="auto"/>
          <w:spacing w:val="-2"/>
        </w:rPr>
        <w:t>处的示踪剂浓度（</w:t>
      </w:r>
      <w:r>
        <w:rPr>
          <w:color w:val="auto"/>
          <w:spacing w:val="-2"/>
        </w:rPr>
        <w:t>g/L</w:t>
      </w:r>
      <w:r>
        <w:rPr>
          <w:rFonts w:hint="eastAsia"/>
          <w:color w:val="auto"/>
          <w:spacing w:val="-2"/>
        </w:rPr>
        <w:t>）；</w:t>
      </w:r>
    </w:p>
    <w:p w14:paraId="482BE31B">
      <w:pPr>
        <w:pStyle w:val="86"/>
        <w:ind w:firstLine="1132" w:firstLineChars="472"/>
        <w:rPr>
          <w:rFonts w:hint="eastAsia"/>
          <w:color w:val="auto"/>
          <w:spacing w:val="-2"/>
        </w:rPr>
      </w:pPr>
      <w:r>
        <w:rPr>
          <w:color w:val="auto"/>
        </w:rPr>
        <w:t>M—</w:t>
      </w:r>
      <w:r>
        <w:rPr>
          <w:rFonts w:hint="eastAsia"/>
          <w:color w:val="auto"/>
        </w:rPr>
        <w:t>含水层厚度（</w:t>
      </w:r>
      <w:r>
        <w:rPr>
          <w:color w:val="auto"/>
        </w:rPr>
        <w:t>m</w:t>
      </w:r>
      <w:r>
        <w:rPr>
          <w:rFonts w:hint="eastAsia"/>
          <w:color w:val="auto"/>
        </w:rPr>
        <w:t>）；</w:t>
      </w:r>
    </w:p>
    <w:p w14:paraId="56B4614B">
      <w:pPr>
        <w:pStyle w:val="86"/>
        <w:ind w:firstLine="1132" w:firstLineChars="472"/>
        <w:rPr>
          <w:rFonts w:hint="eastAsia"/>
          <w:color w:val="auto"/>
        </w:rPr>
      </w:pPr>
      <w:r>
        <w:rPr>
          <w:color w:val="auto"/>
          <w:position w:val="2"/>
        </w:rPr>
        <w:t>m</w:t>
      </w:r>
      <w:r>
        <w:rPr>
          <w:rFonts w:hint="eastAsia"/>
          <w:color w:val="auto"/>
          <w:vertAlign w:val="subscript"/>
        </w:rPr>
        <w:t>M</w:t>
      </w:r>
      <w:r>
        <w:rPr>
          <w:color w:val="auto"/>
          <w:position w:val="2"/>
        </w:rPr>
        <w:t>—</w:t>
      </w:r>
      <w:r>
        <w:rPr>
          <w:rFonts w:hint="eastAsia"/>
          <w:color w:val="auto"/>
          <w:position w:val="2"/>
        </w:rPr>
        <w:t>瞬时注入的质量（</w:t>
      </w:r>
      <w:r>
        <w:rPr>
          <w:color w:val="auto"/>
          <w:position w:val="2"/>
        </w:rPr>
        <w:t>kg</w:t>
      </w:r>
      <w:r>
        <w:rPr>
          <w:rFonts w:hint="eastAsia"/>
          <w:color w:val="auto"/>
          <w:position w:val="2"/>
        </w:rPr>
        <w:t>）；</w:t>
      </w:r>
    </w:p>
    <w:p w14:paraId="610555F5">
      <w:pPr>
        <w:pStyle w:val="86"/>
        <w:ind w:firstLine="1132" w:firstLineChars="472"/>
        <w:rPr>
          <w:rFonts w:hint="eastAsia"/>
          <w:color w:val="auto"/>
        </w:rPr>
      </w:pPr>
      <w:r>
        <w:rPr>
          <w:color w:val="auto"/>
        </w:rPr>
        <w:t>U—</w:t>
      </w:r>
      <w:r>
        <w:rPr>
          <w:rFonts w:hint="eastAsia"/>
          <w:color w:val="auto"/>
        </w:rPr>
        <w:t>水流速度（</w:t>
      </w:r>
      <w:r>
        <w:rPr>
          <w:color w:val="auto"/>
        </w:rPr>
        <w:t>m/d</w:t>
      </w:r>
      <w:r>
        <w:rPr>
          <w:rFonts w:hint="eastAsia"/>
          <w:color w:val="auto"/>
        </w:rPr>
        <w:t>）；</w:t>
      </w:r>
    </w:p>
    <w:p w14:paraId="24BF7E6F">
      <w:pPr>
        <w:pStyle w:val="86"/>
        <w:ind w:firstLine="1132" w:firstLineChars="472"/>
        <w:rPr>
          <w:rFonts w:hint="eastAsia"/>
          <w:color w:val="auto"/>
        </w:rPr>
      </w:pPr>
      <w:r>
        <w:rPr>
          <w:color w:val="auto"/>
          <w:position w:val="2"/>
        </w:rPr>
        <w:t>n</w:t>
      </w:r>
      <w:r>
        <w:rPr>
          <w:color w:val="auto"/>
          <w:vertAlign w:val="subscript"/>
        </w:rPr>
        <w:t>e</w:t>
      </w:r>
      <w:r>
        <w:rPr>
          <w:color w:val="auto"/>
          <w:position w:val="2"/>
        </w:rPr>
        <w:t>—</w:t>
      </w:r>
      <w:r>
        <w:rPr>
          <w:rFonts w:hint="eastAsia"/>
          <w:color w:val="auto"/>
          <w:position w:val="2"/>
        </w:rPr>
        <w:t>孔隙度，无量纲；</w:t>
      </w:r>
    </w:p>
    <w:p w14:paraId="6162276A">
      <w:pPr>
        <w:pStyle w:val="86"/>
        <w:ind w:firstLine="1132" w:firstLineChars="472"/>
        <w:rPr>
          <w:rFonts w:hint="eastAsia"/>
          <w:color w:val="auto"/>
          <w:spacing w:val="-1"/>
        </w:rPr>
      </w:pPr>
      <w:r>
        <w:rPr>
          <w:color w:val="auto"/>
        </w:rPr>
        <w:t>D</w:t>
      </w:r>
      <w:r>
        <w:rPr>
          <w:color w:val="auto"/>
          <w:vertAlign w:val="subscript"/>
        </w:rPr>
        <w:t>L</w:t>
      </w:r>
      <w:r>
        <w:rPr>
          <w:color w:val="auto"/>
          <w:spacing w:val="-1"/>
        </w:rPr>
        <w:t>—</w:t>
      </w:r>
      <w:r>
        <w:rPr>
          <w:rFonts w:hint="eastAsia"/>
          <w:color w:val="auto"/>
          <w:spacing w:val="-1"/>
        </w:rPr>
        <w:t>纵向弥散系数（</w:t>
      </w:r>
      <w:r>
        <w:rPr>
          <w:color w:val="auto"/>
          <w:spacing w:val="-1"/>
        </w:rPr>
        <w:t>m</w:t>
      </w:r>
      <w:r>
        <w:rPr>
          <w:color w:val="auto"/>
          <w:spacing w:val="-1"/>
          <w:vertAlign w:val="superscript"/>
        </w:rPr>
        <w:t>2</w:t>
      </w:r>
      <w:r>
        <w:rPr>
          <w:color w:val="auto"/>
          <w:spacing w:val="-1"/>
        </w:rPr>
        <w:t>/d</w:t>
      </w:r>
      <w:r>
        <w:rPr>
          <w:rFonts w:hint="eastAsia"/>
          <w:color w:val="auto"/>
          <w:spacing w:val="-1"/>
        </w:rPr>
        <w:t>）；</w:t>
      </w:r>
    </w:p>
    <w:p w14:paraId="0D8EE51A">
      <w:pPr>
        <w:pStyle w:val="86"/>
        <w:ind w:firstLine="1132" w:firstLineChars="472"/>
        <w:rPr>
          <w:rFonts w:hint="eastAsia"/>
          <w:color w:val="auto"/>
          <w:spacing w:val="25"/>
        </w:rPr>
      </w:pPr>
      <w:r>
        <w:rPr>
          <w:color w:val="auto"/>
        </w:rPr>
        <w:t>D</w:t>
      </w:r>
      <w:r>
        <w:rPr>
          <w:rFonts w:hint="eastAsia"/>
          <w:color w:val="auto"/>
          <w:vertAlign w:val="subscript"/>
        </w:rPr>
        <w:t>t</w:t>
      </w:r>
      <w:r>
        <w:rPr>
          <w:color w:val="auto"/>
          <w:spacing w:val="-1"/>
        </w:rPr>
        <w:t>—</w:t>
      </w:r>
      <w:r>
        <w:rPr>
          <w:rFonts w:hint="eastAsia"/>
          <w:color w:val="auto"/>
          <w:spacing w:val="-1"/>
        </w:rPr>
        <w:t>横向y方向的弥散系数（</w:t>
      </w:r>
      <w:r>
        <w:rPr>
          <w:color w:val="auto"/>
          <w:spacing w:val="-1"/>
        </w:rPr>
        <w:t>m</w:t>
      </w:r>
      <w:r>
        <w:rPr>
          <w:color w:val="auto"/>
          <w:spacing w:val="-1"/>
          <w:vertAlign w:val="superscript"/>
        </w:rPr>
        <w:t>2</w:t>
      </w:r>
      <w:r>
        <w:rPr>
          <w:color w:val="auto"/>
          <w:spacing w:val="-1"/>
        </w:rPr>
        <w:t>/d</w:t>
      </w:r>
      <w:r>
        <w:rPr>
          <w:rFonts w:hint="eastAsia"/>
          <w:color w:val="auto"/>
          <w:spacing w:val="-1"/>
        </w:rPr>
        <w:t>）；</w:t>
      </w:r>
    </w:p>
    <w:p w14:paraId="3DF7D6E2">
      <w:pPr>
        <w:pStyle w:val="86"/>
        <w:ind w:firstLine="1123" w:firstLineChars="472"/>
        <w:rPr>
          <w:rFonts w:hint="eastAsia"/>
          <w:color w:val="auto"/>
          <w:spacing w:val="-1"/>
        </w:rPr>
      </w:pPr>
      <w:r>
        <w:rPr>
          <w:rFonts w:hint="eastAsia"/>
          <w:color w:val="auto"/>
          <w:spacing w:val="-1"/>
        </w:rPr>
        <w:t>Π</w:t>
      </w:r>
      <w:r>
        <w:rPr>
          <w:color w:val="auto"/>
          <w:spacing w:val="-1"/>
        </w:rPr>
        <w:t>—</w:t>
      </w:r>
      <w:r>
        <w:rPr>
          <w:rFonts w:hint="eastAsia"/>
          <w:color w:val="auto"/>
          <w:spacing w:val="-1"/>
        </w:rPr>
        <w:t>圆周率；</w:t>
      </w:r>
    </w:p>
    <w:p w14:paraId="67FB7E08">
      <w:pPr>
        <w:pStyle w:val="86"/>
        <w:adjustRightInd w:val="0"/>
        <w:snapToGrid w:val="0"/>
        <w:ind w:firstLine="480"/>
        <w:rPr>
          <w:rFonts w:hint="eastAsia"/>
          <w:bCs/>
          <w:color w:val="auto"/>
        </w:rPr>
      </w:pPr>
      <w:r>
        <w:rPr>
          <w:rFonts w:hint="eastAsia"/>
          <w:color w:val="auto"/>
        </w:rPr>
        <w:t>模型中所需参数及来源见表</w:t>
      </w:r>
      <w:r>
        <w:rPr>
          <w:color w:val="auto"/>
        </w:rPr>
        <w:t>5.2</w:t>
      </w:r>
      <w:r>
        <w:rPr>
          <w:rFonts w:hint="eastAsia"/>
          <w:color w:val="auto"/>
        </w:rPr>
        <w:t>-7。</w:t>
      </w:r>
    </w:p>
    <w:p w14:paraId="361EE242">
      <w:pPr>
        <w:pStyle w:val="15"/>
        <w:keepNext/>
        <w:adjustRightInd w:val="0"/>
        <w:snapToGrid w:val="0"/>
        <w:spacing w:line="500" w:lineRule="exact"/>
        <w:rPr>
          <w:rFonts w:hint="eastAsia"/>
          <w:bCs/>
          <w:color w:val="auto"/>
        </w:rPr>
      </w:pPr>
      <w:r>
        <w:rPr>
          <w:rFonts w:hint="eastAsia"/>
          <w:bCs/>
          <w:color w:val="auto"/>
        </w:rPr>
        <w:t>表</w:t>
      </w:r>
      <w:r>
        <w:rPr>
          <w:bCs/>
          <w:color w:val="auto"/>
        </w:rPr>
        <w:t>5.2</w:t>
      </w:r>
      <w:r>
        <w:rPr>
          <w:rFonts w:hint="eastAsia"/>
          <w:bCs/>
          <w:color w:val="auto"/>
        </w:rPr>
        <w:t>-7  模型所需参数一览表</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1"/>
        <w:gridCol w:w="1710"/>
        <w:gridCol w:w="3004"/>
        <w:gridCol w:w="2976"/>
      </w:tblGrid>
      <w:tr w14:paraId="622B6D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dxa"/>
            <w:vAlign w:val="center"/>
          </w:tcPr>
          <w:p w14:paraId="59DAC049">
            <w:pPr>
              <w:pStyle w:val="296"/>
              <w:rPr>
                <w:rFonts w:hint="eastAsia"/>
                <w:color w:val="auto"/>
              </w:rPr>
            </w:pPr>
            <w:r>
              <w:rPr>
                <w:rFonts w:hint="eastAsia"/>
                <w:color w:val="auto"/>
              </w:rPr>
              <w:t>序号</w:t>
            </w:r>
          </w:p>
        </w:tc>
        <w:tc>
          <w:tcPr>
            <w:tcW w:w="1710" w:type="dxa"/>
            <w:vAlign w:val="center"/>
          </w:tcPr>
          <w:p w14:paraId="380FA735">
            <w:pPr>
              <w:pStyle w:val="296"/>
              <w:rPr>
                <w:rFonts w:hint="eastAsia"/>
                <w:color w:val="auto"/>
              </w:rPr>
            </w:pPr>
            <w:r>
              <w:rPr>
                <w:rFonts w:hint="eastAsia"/>
                <w:color w:val="auto"/>
              </w:rPr>
              <w:t>参数符号</w:t>
            </w:r>
          </w:p>
        </w:tc>
        <w:tc>
          <w:tcPr>
            <w:tcW w:w="3004" w:type="dxa"/>
            <w:vAlign w:val="center"/>
          </w:tcPr>
          <w:p w14:paraId="4B8E6B4E">
            <w:pPr>
              <w:pStyle w:val="296"/>
              <w:rPr>
                <w:rFonts w:hint="eastAsia"/>
                <w:color w:val="auto"/>
              </w:rPr>
            </w:pPr>
            <w:r>
              <w:rPr>
                <w:rFonts w:hint="eastAsia"/>
                <w:color w:val="auto"/>
              </w:rPr>
              <w:t>参数名称</w:t>
            </w:r>
          </w:p>
        </w:tc>
        <w:tc>
          <w:tcPr>
            <w:tcW w:w="2976" w:type="dxa"/>
            <w:vAlign w:val="center"/>
          </w:tcPr>
          <w:p w14:paraId="31B75B04">
            <w:pPr>
              <w:pStyle w:val="296"/>
              <w:rPr>
                <w:rFonts w:hint="eastAsia"/>
                <w:color w:val="auto"/>
              </w:rPr>
            </w:pPr>
            <w:r>
              <w:rPr>
                <w:rFonts w:hint="eastAsia"/>
                <w:color w:val="auto"/>
              </w:rPr>
              <w:t>参考数值</w:t>
            </w:r>
          </w:p>
        </w:tc>
      </w:tr>
      <w:tr w14:paraId="2E45C0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dxa"/>
            <w:vAlign w:val="center"/>
          </w:tcPr>
          <w:p w14:paraId="37132CDF">
            <w:pPr>
              <w:pStyle w:val="296"/>
              <w:rPr>
                <w:rFonts w:hint="eastAsia"/>
                <w:color w:val="auto"/>
              </w:rPr>
            </w:pPr>
            <w:r>
              <w:rPr>
                <w:rFonts w:hint="eastAsia"/>
                <w:color w:val="auto"/>
              </w:rPr>
              <w:t>1</w:t>
            </w:r>
          </w:p>
        </w:tc>
        <w:tc>
          <w:tcPr>
            <w:tcW w:w="1710" w:type="dxa"/>
            <w:vAlign w:val="center"/>
          </w:tcPr>
          <w:p w14:paraId="75AD3B27">
            <w:pPr>
              <w:pStyle w:val="296"/>
              <w:rPr>
                <w:rFonts w:hint="eastAsia"/>
                <w:color w:val="auto"/>
              </w:rPr>
            </w:pPr>
            <w:r>
              <w:rPr>
                <w:color w:val="auto"/>
                <w:position w:val="2"/>
              </w:rPr>
              <w:t>m</w:t>
            </w:r>
            <w:r>
              <w:rPr>
                <w:rFonts w:hint="eastAsia"/>
                <w:color w:val="auto"/>
                <w:vertAlign w:val="subscript"/>
              </w:rPr>
              <w:t>M</w:t>
            </w:r>
          </w:p>
        </w:tc>
        <w:tc>
          <w:tcPr>
            <w:tcW w:w="3004" w:type="dxa"/>
            <w:vAlign w:val="center"/>
          </w:tcPr>
          <w:p w14:paraId="11C346B3">
            <w:pPr>
              <w:pStyle w:val="296"/>
              <w:rPr>
                <w:rFonts w:hint="eastAsia"/>
                <w:color w:val="auto"/>
              </w:rPr>
            </w:pPr>
            <w:r>
              <w:rPr>
                <w:rFonts w:hint="eastAsia"/>
                <w:color w:val="auto"/>
                <w:position w:val="2"/>
              </w:rPr>
              <w:t>瞬时注入的质量</w:t>
            </w:r>
          </w:p>
        </w:tc>
        <w:tc>
          <w:tcPr>
            <w:tcW w:w="2976" w:type="dxa"/>
            <w:vAlign w:val="center"/>
          </w:tcPr>
          <w:p w14:paraId="0B7BFA80">
            <w:pPr>
              <w:pStyle w:val="296"/>
              <w:rPr>
                <w:rFonts w:hint="eastAsia"/>
                <w:color w:val="auto"/>
              </w:rPr>
            </w:pPr>
            <w:r>
              <w:rPr>
                <w:rFonts w:hint="eastAsia"/>
                <w:color w:val="auto"/>
              </w:rPr>
              <w:t>0.052t、0.095t</w:t>
            </w:r>
          </w:p>
        </w:tc>
      </w:tr>
      <w:tr w14:paraId="4B17D0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dxa"/>
            <w:vAlign w:val="center"/>
          </w:tcPr>
          <w:p w14:paraId="44EADA69">
            <w:pPr>
              <w:pStyle w:val="296"/>
              <w:rPr>
                <w:rFonts w:hint="eastAsia"/>
                <w:color w:val="auto"/>
              </w:rPr>
            </w:pPr>
            <w:r>
              <w:rPr>
                <w:rFonts w:hint="eastAsia"/>
                <w:color w:val="auto"/>
              </w:rPr>
              <w:t>2</w:t>
            </w:r>
          </w:p>
        </w:tc>
        <w:tc>
          <w:tcPr>
            <w:tcW w:w="1710" w:type="dxa"/>
            <w:vAlign w:val="center"/>
          </w:tcPr>
          <w:p w14:paraId="00C9DA58">
            <w:pPr>
              <w:pStyle w:val="296"/>
              <w:rPr>
                <w:rFonts w:hint="eastAsia"/>
                <w:color w:val="auto"/>
              </w:rPr>
            </w:pPr>
            <w:r>
              <w:rPr>
                <w:color w:val="auto"/>
              </w:rPr>
              <w:t>t</w:t>
            </w:r>
          </w:p>
        </w:tc>
        <w:tc>
          <w:tcPr>
            <w:tcW w:w="3004" w:type="dxa"/>
            <w:vAlign w:val="center"/>
          </w:tcPr>
          <w:p w14:paraId="5ACA2088">
            <w:pPr>
              <w:pStyle w:val="296"/>
              <w:rPr>
                <w:rFonts w:hint="eastAsia"/>
                <w:color w:val="auto"/>
              </w:rPr>
            </w:pPr>
            <w:r>
              <w:rPr>
                <w:rFonts w:hint="eastAsia"/>
                <w:color w:val="auto"/>
              </w:rPr>
              <w:t>时间</w:t>
            </w:r>
          </w:p>
        </w:tc>
        <w:tc>
          <w:tcPr>
            <w:tcW w:w="2976" w:type="dxa"/>
            <w:vAlign w:val="center"/>
          </w:tcPr>
          <w:p w14:paraId="174EF4F3">
            <w:pPr>
              <w:pStyle w:val="296"/>
              <w:rPr>
                <w:rFonts w:hint="eastAsia"/>
                <w:color w:val="auto"/>
              </w:rPr>
            </w:pPr>
            <w:r>
              <w:rPr>
                <w:rFonts w:hint="eastAsia"/>
                <w:color w:val="auto"/>
              </w:rPr>
              <w:t>100d、1000d</w:t>
            </w:r>
          </w:p>
        </w:tc>
      </w:tr>
      <w:tr w14:paraId="4E5013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dxa"/>
            <w:vAlign w:val="center"/>
          </w:tcPr>
          <w:p w14:paraId="6BACE10C">
            <w:pPr>
              <w:pStyle w:val="296"/>
              <w:rPr>
                <w:rFonts w:hint="eastAsia"/>
                <w:color w:val="auto"/>
              </w:rPr>
            </w:pPr>
            <w:r>
              <w:rPr>
                <w:rFonts w:hint="eastAsia"/>
                <w:color w:val="auto"/>
              </w:rPr>
              <w:t>3</w:t>
            </w:r>
          </w:p>
        </w:tc>
        <w:tc>
          <w:tcPr>
            <w:tcW w:w="1710" w:type="dxa"/>
            <w:vAlign w:val="center"/>
          </w:tcPr>
          <w:p w14:paraId="62427AA6">
            <w:pPr>
              <w:pStyle w:val="296"/>
              <w:rPr>
                <w:rFonts w:hint="eastAsia"/>
                <w:color w:val="auto"/>
              </w:rPr>
            </w:pPr>
            <w:r>
              <w:rPr>
                <w:rFonts w:hint="eastAsia"/>
                <w:color w:val="auto"/>
              </w:rPr>
              <w:t>M</w:t>
            </w:r>
          </w:p>
        </w:tc>
        <w:tc>
          <w:tcPr>
            <w:tcW w:w="3004" w:type="dxa"/>
            <w:vAlign w:val="center"/>
          </w:tcPr>
          <w:p w14:paraId="2B6824B9">
            <w:pPr>
              <w:pStyle w:val="296"/>
              <w:rPr>
                <w:rFonts w:hint="eastAsia"/>
                <w:color w:val="auto"/>
              </w:rPr>
            </w:pPr>
            <w:r>
              <w:rPr>
                <w:rFonts w:hint="eastAsia"/>
                <w:color w:val="auto"/>
              </w:rPr>
              <w:t>含水层厚度</w:t>
            </w:r>
          </w:p>
        </w:tc>
        <w:tc>
          <w:tcPr>
            <w:tcW w:w="2976" w:type="dxa"/>
            <w:vAlign w:val="center"/>
          </w:tcPr>
          <w:p w14:paraId="55558EB2">
            <w:pPr>
              <w:pStyle w:val="296"/>
              <w:rPr>
                <w:rFonts w:hint="eastAsia"/>
                <w:color w:val="auto"/>
              </w:rPr>
            </w:pPr>
            <w:r>
              <w:rPr>
                <w:rFonts w:hint="eastAsia"/>
                <w:color w:val="auto"/>
              </w:rPr>
              <w:t>100m</w:t>
            </w:r>
          </w:p>
        </w:tc>
      </w:tr>
      <w:tr w14:paraId="1F176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dxa"/>
            <w:vAlign w:val="center"/>
          </w:tcPr>
          <w:p w14:paraId="70F822D4">
            <w:pPr>
              <w:pStyle w:val="296"/>
              <w:rPr>
                <w:rFonts w:hint="eastAsia"/>
                <w:color w:val="auto"/>
              </w:rPr>
            </w:pPr>
            <w:r>
              <w:rPr>
                <w:rFonts w:hint="eastAsia"/>
                <w:color w:val="auto"/>
              </w:rPr>
              <w:t>4</w:t>
            </w:r>
          </w:p>
        </w:tc>
        <w:tc>
          <w:tcPr>
            <w:tcW w:w="1710" w:type="dxa"/>
            <w:vAlign w:val="center"/>
          </w:tcPr>
          <w:p w14:paraId="7A5D0CEF">
            <w:pPr>
              <w:pStyle w:val="296"/>
              <w:rPr>
                <w:rFonts w:hint="eastAsia"/>
                <w:color w:val="auto"/>
              </w:rPr>
            </w:pPr>
            <w:r>
              <w:rPr>
                <w:rFonts w:hint="eastAsia"/>
                <w:color w:val="auto"/>
              </w:rPr>
              <w:t>u</w:t>
            </w:r>
          </w:p>
        </w:tc>
        <w:tc>
          <w:tcPr>
            <w:tcW w:w="3004" w:type="dxa"/>
            <w:vAlign w:val="center"/>
          </w:tcPr>
          <w:p w14:paraId="5EC618A5">
            <w:pPr>
              <w:pStyle w:val="296"/>
              <w:rPr>
                <w:rFonts w:hint="eastAsia"/>
                <w:color w:val="auto"/>
              </w:rPr>
            </w:pPr>
            <w:r>
              <w:rPr>
                <w:rFonts w:hint="eastAsia"/>
                <w:color w:val="auto"/>
              </w:rPr>
              <w:t>水流速度</w:t>
            </w:r>
          </w:p>
        </w:tc>
        <w:tc>
          <w:tcPr>
            <w:tcW w:w="2976" w:type="dxa"/>
            <w:vAlign w:val="center"/>
          </w:tcPr>
          <w:p w14:paraId="70AC5A77">
            <w:pPr>
              <w:pStyle w:val="296"/>
              <w:rPr>
                <w:rFonts w:hint="eastAsia"/>
                <w:color w:val="auto"/>
              </w:rPr>
            </w:pPr>
            <w:r>
              <w:rPr>
                <w:rFonts w:hint="eastAsia"/>
                <w:color w:val="auto"/>
              </w:rPr>
              <w:t>0.2m/d</w:t>
            </w:r>
          </w:p>
        </w:tc>
      </w:tr>
      <w:tr w14:paraId="3245C7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dxa"/>
            <w:vAlign w:val="center"/>
          </w:tcPr>
          <w:p w14:paraId="612FC7A0">
            <w:pPr>
              <w:pStyle w:val="296"/>
              <w:rPr>
                <w:rFonts w:hint="eastAsia"/>
                <w:color w:val="auto"/>
              </w:rPr>
            </w:pPr>
            <w:r>
              <w:rPr>
                <w:rFonts w:hint="eastAsia"/>
                <w:color w:val="auto"/>
              </w:rPr>
              <w:t>5</w:t>
            </w:r>
          </w:p>
        </w:tc>
        <w:tc>
          <w:tcPr>
            <w:tcW w:w="1710" w:type="dxa"/>
            <w:vAlign w:val="center"/>
          </w:tcPr>
          <w:p w14:paraId="010A1DFE">
            <w:pPr>
              <w:pStyle w:val="296"/>
              <w:rPr>
                <w:rFonts w:hint="eastAsia"/>
                <w:color w:val="auto"/>
              </w:rPr>
            </w:pPr>
            <w:r>
              <w:rPr>
                <w:rFonts w:hint="eastAsia"/>
                <w:color w:val="auto"/>
              </w:rPr>
              <w:t>D</w:t>
            </w:r>
            <w:r>
              <w:rPr>
                <w:rFonts w:hint="eastAsia"/>
                <w:color w:val="auto"/>
                <w:vertAlign w:val="subscript"/>
              </w:rPr>
              <w:t>L</w:t>
            </w:r>
          </w:p>
        </w:tc>
        <w:tc>
          <w:tcPr>
            <w:tcW w:w="3004" w:type="dxa"/>
            <w:vAlign w:val="center"/>
          </w:tcPr>
          <w:p w14:paraId="7C2D5D15">
            <w:pPr>
              <w:pStyle w:val="296"/>
              <w:ind w:firstLine="476"/>
              <w:rPr>
                <w:rFonts w:hint="eastAsia"/>
                <w:color w:val="auto"/>
              </w:rPr>
            </w:pPr>
            <w:r>
              <w:rPr>
                <w:rFonts w:hint="eastAsia"/>
                <w:color w:val="auto"/>
                <w:spacing w:val="-1"/>
              </w:rPr>
              <w:t>纵向弥散系数</w:t>
            </w:r>
          </w:p>
        </w:tc>
        <w:tc>
          <w:tcPr>
            <w:tcW w:w="2976" w:type="dxa"/>
            <w:vAlign w:val="center"/>
          </w:tcPr>
          <w:p w14:paraId="7358D73A">
            <w:pPr>
              <w:pStyle w:val="296"/>
              <w:rPr>
                <w:rFonts w:hint="eastAsia"/>
                <w:color w:val="auto"/>
              </w:rPr>
            </w:pPr>
            <w:r>
              <w:rPr>
                <w:rFonts w:hint="eastAsia"/>
                <w:color w:val="auto"/>
              </w:rPr>
              <w:t>0.5m</w:t>
            </w:r>
            <w:r>
              <w:rPr>
                <w:rFonts w:hint="eastAsia"/>
                <w:color w:val="auto"/>
                <w:vertAlign w:val="superscript"/>
              </w:rPr>
              <w:t>2</w:t>
            </w:r>
            <w:r>
              <w:rPr>
                <w:rFonts w:hint="eastAsia"/>
                <w:color w:val="auto"/>
              </w:rPr>
              <w:t>/d</w:t>
            </w:r>
          </w:p>
        </w:tc>
      </w:tr>
      <w:tr w14:paraId="23D511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dxa"/>
            <w:vAlign w:val="center"/>
          </w:tcPr>
          <w:p w14:paraId="39FCB3B6">
            <w:pPr>
              <w:pStyle w:val="296"/>
              <w:rPr>
                <w:rFonts w:hint="eastAsia"/>
                <w:color w:val="auto"/>
              </w:rPr>
            </w:pPr>
            <w:r>
              <w:rPr>
                <w:rFonts w:hint="eastAsia"/>
                <w:color w:val="auto"/>
              </w:rPr>
              <w:t>6</w:t>
            </w:r>
          </w:p>
        </w:tc>
        <w:tc>
          <w:tcPr>
            <w:tcW w:w="1710" w:type="dxa"/>
            <w:vAlign w:val="center"/>
          </w:tcPr>
          <w:p w14:paraId="2E8730EC">
            <w:pPr>
              <w:pStyle w:val="296"/>
              <w:rPr>
                <w:rFonts w:hint="eastAsia"/>
                <w:color w:val="auto"/>
              </w:rPr>
            </w:pPr>
            <w:r>
              <w:rPr>
                <w:rFonts w:hint="eastAsia"/>
                <w:color w:val="auto"/>
              </w:rPr>
              <w:t>D</w:t>
            </w:r>
            <w:r>
              <w:rPr>
                <w:rFonts w:hint="eastAsia"/>
                <w:color w:val="auto"/>
                <w:vertAlign w:val="subscript"/>
              </w:rPr>
              <w:t>T</w:t>
            </w:r>
          </w:p>
        </w:tc>
        <w:tc>
          <w:tcPr>
            <w:tcW w:w="3004" w:type="dxa"/>
            <w:vAlign w:val="center"/>
          </w:tcPr>
          <w:p w14:paraId="136CA57A">
            <w:pPr>
              <w:pStyle w:val="296"/>
              <w:ind w:firstLine="476"/>
              <w:rPr>
                <w:rFonts w:hint="eastAsia"/>
                <w:color w:val="auto"/>
              </w:rPr>
            </w:pPr>
            <w:r>
              <w:rPr>
                <w:rFonts w:hint="eastAsia"/>
                <w:color w:val="auto"/>
                <w:spacing w:val="-1"/>
              </w:rPr>
              <w:t>横向y方向的弥散系数</w:t>
            </w:r>
          </w:p>
        </w:tc>
        <w:tc>
          <w:tcPr>
            <w:tcW w:w="2976" w:type="dxa"/>
            <w:vAlign w:val="center"/>
          </w:tcPr>
          <w:p w14:paraId="4A1507B2">
            <w:pPr>
              <w:pStyle w:val="296"/>
              <w:rPr>
                <w:rFonts w:hint="eastAsia"/>
                <w:color w:val="auto"/>
              </w:rPr>
            </w:pPr>
            <w:r>
              <w:rPr>
                <w:rFonts w:hint="eastAsia"/>
                <w:color w:val="auto"/>
              </w:rPr>
              <w:t>0.05m</w:t>
            </w:r>
            <w:r>
              <w:rPr>
                <w:rFonts w:hint="eastAsia"/>
                <w:color w:val="auto"/>
                <w:vertAlign w:val="superscript"/>
              </w:rPr>
              <w:t>2</w:t>
            </w:r>
            <w:r>
              <w:rPr>
                <w:rFonts w:hint="eastAsia"/>
                <w:color w:val="auto"/>
              </w:rPr>
              <w:t>/d</w:t>
            </w:r>
          </w:p>
        </w:tc>
      </w:tr>
      <w:tr w14:paraId="185F1F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dxa"/>
            <w:vAlign w:val="center"/>
          </w:tcPr>
          <w:p w14:paraId="400793CB">
            <w:pPr>
              <w:pStyle w:val="296"/>
              <w:rPr>
                <w:rFonts w:hint="eastAsia"/>
                <w:color w:val="auto"/>
              </w:rPr>
            </w:pPr>
            <w:r>
              <w:rPr>
                <w:rFonts w:hint="eastAsia"/>
                <w:color w:val="auto"/>
              </w:rPr>
              <w:t>7</w:t>
            </w:r>
          </w:p>
        </w:tc>
        <w:tc>
          <w:tcPr>
            <w:tcW w:w="1710" w:type="dxa"/>
            <w:vAlign w:val="center"/>
          </w:tcPr>
          <w:p w14:paraId="7DBDB460">
            <w:pPr>
              <w:pStyle w:val="296"/>
              <w:rPr>
                <w:rFonts w:hint="eastAsia"/>
                <w:color w:val="auto"/>
              </w:rPr>
            </w:pPr>
            <w:r>
              <w:rPr>
                <w:color w:val="auto"/>
                <w:position w:val="2"/>
              </w:rPr>
              <w:t>n</w:t>
            </w:r>
            <w:r>
              <w:rPr>
                <w:color w:val="auto"/>
                <w:vertAlign w:val="subscript"/>
              </w:rPr>
              <w:t>e</w:t>
            </w:r>
          </w:p>
        </w:tc>
        <w:tc>
          <w:tcPr>
            <w:tcW w:w="3004" w:type="dxa"/>
            <w:vAlign w:val="center"/>
          </w:tcPr>
          <w:p w14:paraId="71BDBAB6">
            <w:pPr>
              <w:pStyle w:val="296"/>
              <w:ind w:firstLine="476"/>
              <w:rPr>
                <w:rFonts w:hint="eastAsia"/>
                <w:color w:val="auto"/>
                <w:spacing w:val="-1"/>
              </w:rPr>
            </w:pPr>
            <w:r>
              <w:rPr>
                <w:rFonts w:hint="eastAsia"/>
                <w:color w:val="auto"/>
                <w:spacing w:val="-1"/>
              </w:rPr>
              <w:t>有效孔隙度</w:t>
            </w:r>
          </w:p>
        </w:tc>
        <w:tc>
          <w:tcPr>
            <w:tcW w:w="2976" w:type="dxa"/>
            <w:vAlign w:val="center"/>
          </w:tcPr>
          <w:p w14:paraId="16B0D16E">
            <w:pPr>
              <w:pStyle w:val="296"/>
              <w:rPr>
                <w:rFonts w:hint="eastAsia"/>
                <w:color w:val="auto"/>
              </w:rPr>
            </w:pPr>
            <w:r>
              <w:rPr>
                <w:rFonts w:hint="eastAsia"/>
                <w:color w:val="auto"/>
              </w:rPr>
              <w:t>0.21</w:t>
            </w:r>
          </w:p>
        </w:tc>
      </w:tr>
    </w:tbl>
    <w:p w14:paraId="1445C130">
      <w:pPr>
        <w:pStyle w:val="86"/>
        <w:tabs>
          <w:tab w:val="left" w:pos="709"/>
        </w:tabs>
        <w:adjustRightInd w:val="0"/>
        <w:snapToGrid w:val="0"/>
        <w:ind w:firstLine="480"/>
        <w:rPr>
          <w:rFonts w:hint="eastAsia"/>
          <w:bCs/>
          <w:color w:val="auto"/>
        </w:rPr>
      </w:pPr>
      <w:r>
        <w:rPr>
          <w:rFonts w:hint="eastAsia"/>
          <w:color w:val="auto"/>
        </w:rPr>
        <w:t>当单井采油管线、储油罐发生泄漏时，石油类物质经过100d和1000d后在地下水中的扩散结果见表</w:t>
      </w:r>
      <w:r>
        <w:rPr>
          <w:color w:val="auto"/>
        </w:rPr>
        <w:t>5.2</w:t>
      </w:r>
      <w:r>
        <w:rPr>
          <w:rFonts w:hint="eastAsia"/>
          <w:color w:val="auto"/>
        </w:rPr>
        <w:t>-8。</w:t>
      </w:r>
    </w:p>
    <w:p w14:paraId="53111C70">
      <w:pPr>
        <w:pStyle w:val="15"/>
        <w:adjustRightInd w:val="0"/>
        <w:snapToGrid w:val="0"/>
        <w:spacing w:line="500" w:lineRule="exact"/>
        <w:rPr>
          <w:rFonts w:hint="eastAsia"/>
          <w:bCs/>
          <w:color w:val="auto"/>
        </w:rPr>
      </w:pPr>
      <w:r>
        <w:rPr>
          <w:rFonts w:hint="eastAsia"/>
          <w:bCs/>
          <w:color w:val="auto"/>
        </w:rPr>
        <w:t>表</w:t>
      </w:r>
      <w:r>
        <w:rPr>
          <w:bCs/>
          <w:color w:val="auto"/>
        </w:rPr>
        <w:t>5.2</w:t>
      </w:r>
      <w:r>
        <w:rPr>
          <w:rFonts w:hint="eastAsia"/>
          <w:bCs/>
          <w:color w:val="auto"/>
        </w:rPr>
        <w:t>-8</w:t>
      </w:r>
      <w:r>
        <w:rPr>
          <w:bCs/>
          <w:color w:val="auto"/>
        </w:rPr>
        <w:t xml:space="preserve">  </w:t>
      </w:r>
      <w:r>
        <w:rPr>
          <w:rFonts w:hint="eastAsia"/>
          <w:bCs/>
          <w:color w:val="auto"/>
        </w:rPr>
        <w:t>地下水影响预测结果一览表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713"/>
        <w:gridCol w:w="619"/>
        <w:gridCol w:w="965"/>
        <w:gridCol w:w="1003"/>
        <w:gridCol w:w="1374"/>
        <w:gridCol w:w="1360"/>
        <w:gridCol w:w="1360"/>
        <w:gridCol w:w="1392"/>
      </w:tblGrid>
      <w:tr w14:paraId="18C0CD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29" w:hRule="atLeast"/>
          <w:jc w:val="center"/>
        </w:trPr>
        <w:tc>
          <w:tcPr>
            <w:tcW w:w="406" w:type="pct"/>
            <w:tcBorders>
              <w:right w:val="single" w:color="auto" w:sz="4" w:space="0"/>
            </w:tcBorders>
            <w:vAlign w:val="center"/>
          </w:tcPr>
          <w:p w14:paraId="527CD1E6">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泄漏点名称</w:t>
            </w:r>
          </w:p>
        </w:tc>
        <w:tc>
          <w:tcPr>
            <w:tcW w:w="352" w:type="pct"/>
            <w:tcBorders>
              <w:right w:val="single" w:color="auto" w:sz="4" w:space="0"/>
            </w:tcBorders>
            <w:vAlign w:val="center"/>
          </w:tcPr>
          <w:p w14:paraId="198D3CE6">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污染物</w:t>
            </w:r>
          </w:p>
        </w:tc>
        <w:tc>
          <w:tcPr>
            <w:tcW w:w="549" w:type="pct"/>
            <w:vAlign w:val="center"/>
          </w:tcPr>
          <w:p w14:paraId="5A65FCF3">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预测时间d</w:t>
            </w:r>
          </w:p>
        </w:tc>
        <w:tc>
          <w:tcPr>
            <w:tcW w:w="571" w:type="pct"/>
            <w:tcBorders>
              <w:right w:val="single" w:color="auto" w:sz="4" w:space="0"/>
            </w:tcBorders>
            <w:vAlign w:val="center"/>
          </w:tcPr>
          <w:p w14:paraId="15A5D55D">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最大浓度</w:t>
            </w:r>
          </w:p>
          <w:p w14:paraId="15F71785">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(mg/L)</w:t>
            </w:r>
          </w:p>
        </w:tc>
        <w:tc>
          <w:tcPr>
            <w:tcW w:w="782" w:type="pct"/>
            <w:tcBorders>
              <w:left w:val="single" w:color="auto" w:sz="4" w:space="0"/>
              <w:right w:val="single" w:color="auto" w:sz="4" w:space="0"/>
            </w:tcBorders>
            <w:vAlign w:val="center"/>
          </w:tcPr>
          <w:p w14:paraId="434E0EC6">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下游最大浓度对应距离（m）</w:t>
            </w:r>
          </w:p>
        </w:tc>
        <w:tc>
          <w:tcPr>
            <w:tcW w:w="774" w:type="pct"/>
            <w:tcBorders>
              <w:left w:val="single" w:color="auto" w:sz="4" w:space="0"/>
              <w:right w:val="single" w:color="auto" w:sz="4" w:space="0"/>
            </w:tcBorders>
          </w:tcPr>
          <w:p w14:paraId="2499AA62">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下游达标浓度</w:t>
            </w:r>
          </w:p>
          <w:p w14:paraId="362A2D05">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(mg/L)</w:t>
            </w:r>
          </w:p>
        </w:tc>
        <w:tc>
          <w:tcPr>
            <w:tcW w:w="774" w:type="pct"/>
            <w:tcBorders>
              <w:left w:val="single" w:color="auto" w:sz="4" w:space="0"/>
              <w:right w:val="single" w:color="auto" w:sz="4" w:space="0"/>
            </w:tcBorders>
            <w:vAlign w:val="center"/>
          </w:tcPr>
          <w:p w14:paraId="0B0DF43C">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下游达标浓度对应距离（m）</w:t>
            </w:r>
          </w:p>
        </w:tc>
        <w:tc>
          <w:tcPr>
            <w:tcW w:w="792" w:type="pct"/>
            <w:tcBorders>
              <w:left w:val="single" w:color="auto" w:sz="4" w:space="0"/>
            </w:tcBorders>
            <w:vAlign w:val="center"/>
          </w:tcPr>
          <w:p w14:paraId="315F45FD">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Ⅲ类标准</w:t>
            </w:r>
          </w:p>
          <w:p w14:paraId="2F0CCA7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(mg/L)</w:t>
            </w:r>
          </w:p>
        </w:tc>
      </w:tr>
      <w:tr w14:paraId="6E5E2BB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29" w:hRule="atLeast"/>
          <w:jc w:val="center"/>
        </w:trPr>
        <w:tc>
          <w:tcPr>
            <w:tcW w:w="406" w:type="pct"/>
            <w:vMerge w:val="restart"/>
            <w:tcBorders>
              <w:right w:val="single" w:color="auto" w:sz="4" w:space="0"/>
            </w:tcBorders>
            <w:vAlign w:val="center"/>
          </w:tcPr>
          <w:p w14:paraId="378AAC9B">
            <w:pPr>
              <w:widowControl/>
              <w:adjustRightInd w:val="0"/>
              <w:snapToGrid w:val="0"/>
              <w:spacing w:line="300" w:lineRule="exact"/>
              <w:jc w:val="center"/>
              <w:rPr>
                <w:rFonts w:hint="eastAsia" w:ascii="宋体" w:hAnsi="宋体" w:cs="宋体"/>
                <w:color w:val="auto"/>
                <w:szCs w:val="21"/>
              </w:rPr>
            </w:pPr>
            <w:bookmarkStart w:id="686" w:name="_Hlk171940177"/>
            <w:r>
              <w:rPr>
                <w:rFonts w:hint="eastAsia" w:ascii="宋体" w:hAnsi="宋体" w:cs="宋体"/>
                <w:color w:val="auto"/>
                <w:szCs w:val="21"/>
              </w:rPr>
              <w:t>单井采油管线</w:t>
            </w:r>
          </w:p>
        </w:tc>
        <w:tc>
          <w:tcPr>
            <w:tcW w:w="352" w:type="pct"/>
            <w:vMerge w:val="restart"/>
            <w:tcBorders>
              <w:right w:val="single" w:color="auto" w:sz="4" w:space="0"/>
            </w:tcBorders>
            <w:vAlign w:val="center"/>
          </w:tcPr>
          <w:p w14:paraId="5E0C7792">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石油类</w:t>
            </w:r>
          </w:p>
        </w:tc>
        <w:tc>
          <w:tcPr>
            <w:tcW w:w="549" w:type="pct"/>
            <w:vAlign w:val="center"/>
          </w:tcPr>
          <w:p w14:paraId="1F53FDE6">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100</w:t>
            </w:r>
          </w:p>
        </w:tc>
        <w:tc>
          <w:tcPr>
            <w:tcW w:w="571" w:type="pct"/>
            <w:tcBorders>
              <w:right w:val="single" w:color="auto" w:sz="4" w:space="0"/>
            </w:tcBorders>
            <w:vAlign w:val="center"/>
          </w:tcPr>
          <w:p w14:paraId="74401C92">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12.46</w:t>
            </w:r>
          </w:p>
        </w:tc>
        <w:tc>
          <w:tcPr>
            <w:tcW w:w="782" w:type="pct"/>
            <w:tcBorders>
              <w:left w:val="single" w:color="auto" w:sz="4" w:space="0"/>
              <w:right w:val="single" w:color="auto" w:sz="4" w:space="0"/>
            </w:tcBorders>
            <w:vAlign w:val="center"/>
          </w:tcPr>
          <w:p w14:paraId="5A94F9D5">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20</w:t>
            </w:r>
          </w:p>
        </w:tc>
        <w:tc>
          <w:tcPr>
            <w:tcW w:w="774" w:type="pct"/>
            <w:tcBorders>
              <w:left w:val="single" w:color="auto" w:sz="4" w:space="0"/>
              <w:right w:val="single" w:color="auto" w:sz="4" w:space="0"/>
            </w:tcBorders>
          </w:tcPr>
          <w:p w14:paraId="204156B1">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0.038</w:t>
            </w:r>
          </w:p>
        </w:tc>
        <w:tc>
          <w:tcPr>
            <w:tcW w:w="774" w:type="pct"/>
            <w:tcBorders>
              <w:left w:val="single" w:color="auto" w:sz="4" w:space="0"/>
              <w:right w:val="single" w:color="auto" w:sz="4" w:space="0"/>
            </w:tcBorders>
            <w:vAlign w:val="center"/>
          </w:tcPr>
          <w:p w14:paraId="05A796E0">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54</w:t>
            </w:r>
          </w:p>
        </w:tc>
        <w:tc>
          <w:tcPr>
            <w:tcW w:w="792" w:type="pct"/>
            <w:vMerge w:val="restart"/>
            <w:tcBorders>
              <w:left w:val="single" w:color="auto" w:sz="4" w:space="0"/>
            </w:tcBorders>
            <w:vAlign w:val="center"/>
          </w:tcPr>
          <w:p w14:paraId="0953C94C">
            <w:pPr>
              <w:adjustRightInd w:val="0"/>
              <w:snapToGrid w:val="0"/>
              <w:spacing w:line="300" w:lineRule="exact"/>
              <w:jc w:val="center"/>
              <w:rPr>
                <w:rFonts w:hint="eastAsia" w:ascii="宋体" w:hAnsi="宋体" w:cs="宋体"/>
                <w:color w:val="auto"/>
                <w:szCs w:val="21"/>
              </w:rPr>
            </w:pPr>
            <w:bookmarkStart w:id="687" w:name="OLE_LINK48"/>
            <w:r>
              <w:rPr>
                <w:rFonts w:hint="eastAsia" w:ascii="宋体" w:hAnsi="宋体" w:cs="宋体"/>
                <w:color w:val="auto"/>
                <w:szCs w:val="21"/>
              </w:rPr>
              <w:t>≤0.05</w:t>
            </w:r>
            <w:bookmarkEnd w:id="687"/>
          </w:p>
        </w:tc>
      </w:tr>
      <w:tr w14:paraId="1DF921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29" w:hRule="atLeast"/>
          <w:jc w:val="center"/>
        </w:trPr>
        <w:tc>
          <w:tcPr>
            <w:tcW w:w="406" w:type="pct"/>
            <w:vMerge w:val="continue"/>
            <w:tcBorders>
              <w:right w:val="single" w:color="auto" w:sz="4" w:space="0"/>
            </w:tcBorders>
            <w:vAlign w:val="center"/>
          </w:tcPr>
          <w:p w14:paraId="2DC10EA3">
            <w:pPr>
              <w:widowControl/>
              <w:adjustRightInd w:val="0"/>
              <w:snapToGrid w:val="0"/>
              <w:spacing w:line="300" w:lineRule="exact"/>
              <w:jc w:val="center"/>
              <w:rPr>
                <w:rFonts w:hint="eastAsia" w:ascii="宋体" w:hAnsi="宋体" w:cs="宋体"/>
                <w:color w:val="auto"/>
                <w:szCs w:val="21"/>
              </w:rPr>
            </w:pPr>
          </w:p>
        </w:tc>
        <w:tc>
          <w:tcPr>
            <w:tcW w:w="352" w:type="pct"/>
            <w:vMerge w:val="continue"/>
            <w:tcBorders>
              <w:right w:val="single" w:color="auto" w:sz="4" w:space="0"/>
            </w:tcBorders>
            <w:vAlign w:val="center"/>
          </w:tcPr>
          <w:p w14:paraId="625B4B5E">
            <w:pPr>
              <w:widowControl/>
              <w:adjustRightInd w:val="0"/>
              <w:snapToGrid w:val="0"/>
              <w:spacing w:line="300" w:lineRule="exact"/>
              <w:jc w:val="center"/>
              <w:rPr>
                <w:rFonts w:hint="eastAsia" w:ascii="宋体" w:hAnsi="宋体" w:cs="宋体"/>
                <w:color w:val="auto"/>
                <w:szCs w:val="21"/>
              </w:rPr>
            </w:pPr>
          </w:p>
        </w:tc>
        <w:tc>
          <w:tcPr>
            <w:tcW w:w="549" w:type="pct"/>
            <w:vAlign w:val="center"/>
          </w:tcPr>
          <w:p w14:paraId="63675247">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1000</w:t>
            </w:r>
          </w:p>
        </w:tc>
        <w:tc>
          <w:tcPr>
            <w:tcW w:w="571" w:type="pct"/>
            <w:tcBorders>
              <w:right w:val="single" w:color="auto" w:sz="4" w:space="0"/>
            </w:tcBorders>
            <w:vAlign w:val="center"/>
          </w:tcPr>
          <w:p w14:paraId="0DCC54A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1.246</w:t>
            </w:r>
          </w:p>
        </w:tc>
        <w:tc>
          <w:tcPr>
            <w:tcW w:w="782" w:type="pct"/>
            <w:tcBorders>
              <w:left w:val="single" w:color="auto" w:sz="4" w:space="0"/>
              <w:right w:val="single" w:color="auto" w:sz="4" w:space="0"/>
            </w:tcBorders>
            <w:vAlign w:val="center"/>
          </w:tcPr>
          <w:p w14:paraId="72D90D05">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200</w:t>
            </w:r>
          </w:p>
        </w:tc>
        <w:tc>
          <w:tcPr>
            <w:tcW w:w="774" w:type="pct"/>
            <w:tcBorders>
              <w:left w:val="single" w:color="auto" w:sz="4" w:space="0"/>
              <w:right w:val="single" w:color="auto" w:sz="4" w:space="0"/>
            </w:tcBorders>
          </w:tcPr>
          <w:p w14:paraId="0BD55E0C">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0.047</w:t>
            </w:r>
          </w:p>
        </w:tc>
        <w:tc>
          <w:tcPr>
            <w:tcW w:w="774" w:type="pct"/>
            <w:tcBorders>
              <w:left w:val="single" w:color="auto" w:sz="4" w:space="0"/>
              <w:right w:val="single" w:color="auto" w:sz="4" w:space="0"/>
            </w:tcBorders>
            <w:vAlign w:val="center"/>
          </w:tcPr>
          <w:p w14:paraId="1385B520">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281</w:t>
            </w:r>
          </w:p>
        </w:tc>
        <w:tc>
          <w:tcPr>
            <w:tcW w:w="792" w:type="pct"/>
            <w:vMerge w:val="continue"/>
            <w:tcBorders>
              <w:left w:val="single" w:color="auto" w:sz="4" w:space="0"/>
            </w:tcBorders>
            <w:vAlign w:val="center"/>
          </w:tcPr>
          <w:p w14:paraId="0B823A09">
            <w:pPr>
              <w:adjustRightInd w:val="0"/>
              <w:snapToGrid w:val="0"/>
              <w:spacing w:line="300" w:lineRule="exact"/>
              <w:jc w:val="center"/>
              <w:rPr>
                <w:rFonts w:hint="eastAsia" w:ascii="宋体" w:hAnsi="宋体" w:cs="宋体"/>
                <w:color w:val="auto"/>
                <w:szCs w:val="21"/>
              </w:rPr>
            </w:pPr>
          </w:p>
        </w:tc>
      </w:tr>
      <w:bookmarkEnd w:id="686"/>
      <w:tr w14:paraId="747A2A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29" w:hRule="atLeast"/>
          <w:jc w:val="center"/>
        </w:trPr>
        <w:tc>
          <w:tcPr>
            <w:tcW w:w="406" w:type="pct"/>
            <w:vMerge w:val="restart"/>
            <w:tcBorders>
              <w:right w:val="single" w:color="auto" w:sz="4" w:space="0"/>
            </w:tcBorders>
            <w:vAlign w:val="center"/>
          </w:tcPr>
          <w:p w14:paraId="798A9224">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储油罐</w:t>
            </w:r>
          </w:p>
        </w:tc>
        <w:tc>
          <w:tcPr>
            <w:tcW w:w="352" w:type="pct"/>
            <w:vMerge w:val="restart"/>
            <w:tcBorders>
              <w:right w:val="single" w:color="auto" w:sz="4" w:space="0"/>
            </w:tcBorders>
            <w:vAlign w:val="center"/>
          </w:tcPr>
          <w:p w14:paraId="54156BAF">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石油类</w:t>
            </w:r>
          </w:p>
        </w:tc>
        <w:tc>
          <w:tcPr>
            <w:tcW w:w="549" w:type="pct"/>
            <w:vAlign w:val="center"/>
          </w:tcPr>
          <w:p w14:paraId="54D0F51C">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100</w:t>
            </w:r>
          </w:p>
        </w:tc>
        <w:tc>
          <w:tcPr>
            <w:tcW w:w="571" w:type="pct"/>
            <w:tcBorders>
              <w:right w:val="single" w:color="auto" w:sz="4" w:space="0"/>
            </w:tcBorders>
            <w:vAlign w:val="center"/>
          </w:tcPr>
          <w:p w14:paraId="6F581985">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22.77</w:t>
            </w:r>
          </w:p>
        </w:tc>
        <w:tc>
          <w:tcPr>
            <w:tcW w:w="782" w:type="pct"/>
            <w:tcBorders>
              <w:left w:val="single" w:color="auto" w:sz="4" w:space="0"/>
              <w:right w:val="single" w:color="auto" w:sz="4" w:space="0"/>
            </w:tcBorders>
            <w:vAlign w:val="center"/>
          </w:tcPr>
          <w:p w14:paraId="21D8082B">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20</w:t>
            </w:r>
          </w:p>
        </w:tc>
        <w:tc>
          <w:tcPr>
            <w:tcW w:w="774" w:type="pct"/>
            <w:tcBorders>
              <w:left w:val="single" w:color="auto" w:sz="4" w:space="0"/>
              <w:right w:val="single" w:color="auto" w:sz="4" w:space="0"/>
            </w:tcBorders>
          </w:tcPr>
          <w:p w14:paraId="77BE0F0B">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0.049</w:t>
            </w:r>
          </w:p>
        </w:tc>
        <w:tc>
          <w:tcPr>
            <w:tcW w:w="774" w:type="pct"/>
            <w:tcBorders>
              <w:left w:val="single" w:color="auto" w:sz="4" w:space="0"/>
              <w:right w:val="single" w:color="auto" w:sz="4" w:space="0"/>
            </w:tcBorders>
            <w:vAlign w:val="center"/>
          </w:tcPr>
          <w:p w14:paraId="51540664">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55</w:t>
            </w:r>
          </w:p>
        </w:tc>
        <w:tc>
          <w:tcPr>
            <w:tcW w:w="792" w:type="pct"/>
            <w:vMerge w:val="restart"/>
            <w:tcBorders>
              <w:left w:val="single" w:color="auto" w:sz="4" w:space="0"/>
            </w:tcBorders>
            <w:vAlign w:val="center"/>
          </w:tcPr>
          <w:p w14:paraId="1F860BAA">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≤0.05</w:t>
            </w:r>
          </w:p>
        </w:tc>
      </w:tr>
      <w:tr w14:paraId="4A06C1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29" w:hRule="atLeast"/>
          <w:jc w:val="center"/>
        </w:trPr>
        <w:tc>
          <w:tcPr>
            <w:tcW w:w="406" w:type="pct"/>
            <w:vMerge w:val="continue"/>
            <w:tcBorders>
              <w:right w:val="single" w:color="auto" w:sz="4" w:space="0"/>
            </w:tcBorders>
            <w:vAlign w:val="center"/>
          </w:tcPr>
          <w:p w14:paraId="0DB7EEB5">
            <w:pPr>
              <w:widowControl/>
              <w:adjustRightInd w:val="0"/>
              <w:snapToGrid w:val="0"/>
              <w:spacing w:line="300" w:lineRule="exact"/>
              <w:jc w:val="center"/>
              <w:rPr>
                <w:rFonts w:hint="eastAsia" w:ascii="宋体" w:hAnsi="宋体" w:cs="宋体"/>
                <w:color w:val="auto"/>
                <w:szCs w:val="21"/>
              </w:rPr>
            </w:pPr>
          </w:p>
        </w:tc>
        <w:tc>
          <w:tcPr>
            <w:tcW w:w="352" w:type="pct"/>
            <w:vMerge w:val="continue"/>
            <w:tcBorders>
              <w:right w:val="single" w:color="auto" w:sz="4" w:space="0"/>
            </w:tcBorders>
            <w:vAlign w:val="center"/>
          </w:tcPr>
          <w:p w14:paraId="644D3CCA">
            <w:pPr>
              <w:widowControl/>
              <w:adjustRightInd w:val="0"/>
              <w:snapToGrid w:val="0"/>
              <w:spacing w:line="300" w:lineRule="exact"/>
              <w:jc w:val="center"/>
              <w:rPr>
                <w:rFonts w:hint="eastAsia" w:ascii="宋体" w:hAnsi="宋体" w:cs="宋体"/>
                <w:color w:val="auto"/>
                <w:szCs w:val="21"/>
              </w:rPr>
            </w:pPr>
          </w:p>
        </w:tc>
        <w:tc>
          <w:tcPr>
            <w:tcW w:w="549" w:type="pct"/>
            <w:vAlign w:val="center"/>
          </w:tcPr>
          <w:p w14:paraId="02220394">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1000</w:t>
            </w:r>
          </w:p>
        </w:tc>
        <w:tc>
          <w:tcPr>
            <w:tcW w:w="571" w:type="pct"/>
            <w:tcBorders>
              <w:right w:val="single" w:color="auto" w:sz="4" w:space="0"/>
            </w:tcBorders>
            <w:vAlign w:val="center"/>
          </w:tcPr>
          <w:p w14:paraId="6DEFF158">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2.277</w:t>
            </w:r>
          </w:p>
        </w:tc>
        <w:tc>
          <w:tcPr>
            <w:tcW w:w="782" w:type="pct"/>
            <w:tcBorders>
              <w:left w:val="single" w:color="auto" w:sz="4" w:space="0"/>
              <w:right w:val="single" w:color="auto" w:sz="4" w:space="0"/>
            </w:tcBorders>
            <w:vAlign w:val="center"/>
          </w:tcPr>
          <w:p w14:paraId="290AC019">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200</w:t>
            </w:r>
          </w:p>
        </w:tc>
        <w:tc>
          <w:tcPr>
            <w:tcW w:w="774" w:type="pct"/>
            <w:tcBorders>
              <w:left w:val="single" w:color="auto" w:sz="4" w:space="0"/>
              <w:right w:val="single" w:color="auto" w:sz="4" w:space="0"/>
            </w:tcBorders>
          </w:tcPr>
          <w:p w14:paraId="1C7844B1">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0.048</w:t>
            </w:r>
          </w:p>
        </w:tc>
        <w:tc>
          <w:tcPr>
            <w:tcW w:w="774" w:type="pct"/>
            <w:tcBorders>
              <w:left w:val="single" w:color="auto" w:sz="4" w:space="0"/>
              <w:right w:val="single" w:color="auto" w:sz="4" w:space="0"/>
            </w:tcBorders>
            <w:vAlign w:val="center"/>
          </w:tcPr>
          <w:p w14:paraId="4CF00A53">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311</w:t>
            </w:r>
          </w:p>
        </w:tc>
        <w:tc>
          <w:tcPr>
            <w:tcW w:w="792" w:type="pct"/>
            <w:vMerge w:val="continue"/>
            <w:tcBorders>
              <w:left w:val="single" w:color="auto" w:sz="4" w:space="0"/>
            </w:tcBorders>
            <w:vAlign w:val="center"/>
          </w:tcPr>
          <w:p w14:paraId="2FC8EBB1">
            <w:pPr>
              <w:adjustRightInd w:val="0"/>
              <w:snapToGrid w:val="0"/>
              <w:spacing w:line="300" w:lineRule="exact"/>
              <w:jc w:val="center"/>
              <w:rPr>
                <w:rFonts w:hint="eastAsia" w:ascii="宋体" w:hAnsi="宋体" w:cs="宋体"/>
                <w:color w:val="auto"/>
                <w:szCs w:val="21"/>
              </w:rPr>
            </w:pPr>
          </w:p>
        </w:tc>
      </w:tr>
    </w:tbl>
    <w:p w14:paraId="0038B5BF">
      <w:pPr>
        <w:pStyle w:val="86"/>
        <w:ind w:firstLine="480"/>
        <w:rPr>
          <w:rFonts w:hint="eastAsia"/>
          <w:color w:val="auto"/>
        </w:rPr>
      </w:pPr>
      <w:r>
        <w:rPr>
          <w:rFonts w:hint="eastAsia"/>
          <w:color w:val="auto"/>
        </w:rPr>
        <w:t>从预测结果可知：随着时间的增加，污染范围有所增加，单井采油管线</w:t>
      </w:r>
      <w:bookmarkStart w:id="688" w:name="OLE_LINK49"/>
      <w:r>
        <w:rPr>
          <w:rFonts w:hint="eastAsia"/>
          <w:color w:val="auto"/>
        </w:rPr>
        <w:t>发生泄漏后100d和1000d下游石油类达标时对应的距离分别为54m和281m</w:t>
      </w:r>
      <w:bookmarkEnd w:id="688"/>
      <w:bookmarkStart w:id="689" w:name="_Hlk148007850"/>
      <w:r>
        <w:rPr>
          <w:rFonts w:hint="eastAsia"/>
          <w:color w:val="auto"/>
        </w:rPr>
        <w:t>；储油罐发生泄漏后100d和1000d下游石油类达标时对应的距离分别为55m和311m。</w:t>
      </w:r>
      <w:bookmarkEnd w:id="689"/>
      <w:r>
        <w:rPr>
          <w:rFonts w:hint="eastAsia"/>
          <w:color w:val="auto"/>
        </w:rPr>
        <w:t>项目区土壤在消除土体裂隙和根孔影响的试验条件下，石油类下渗下移的深度不会超过30cm，</w:t>
      </w:r>
      <w:r>
        <w:rPr>
          <w:rFonts w:hint="eastAsia" w:cs="宋体"/>
          <w:color w:val="auto"/>
        </w:rPr>
        <w:t>项目区地下水埋深</w:t>
      </w:r>
      <w:r>
        <w:rPr>
          <w:rFonts w:hint="eastAsia"/>
          <w:color w:val="auto"/>
        </w:rPr>
        <w:t>大于</w:t>
      </w:r>
      <w:r>
        <w:rPr>
          <w:color w:val="auto"/>
        </w:rPr>
        <w:t>150m</w:t>
      </w:r>
      <w:r>
        <w:rPr>
          <w:rFonts w:hint="eastAsia"/>
          <w:color w:val="auto"/>
        </w:rPr>
        <w:t>，含水层厚度普遍大于</w:t>
      </w:r>
      <w:r>
        <w:rPr>
          <w:color w:val="auto"/>
        </w:rPr>
        <w:t>100m</w:t>
      </w:r>
      <w:r>
        <w:rPr>
          <w:rFonts w:hint="eastAsia"/>
          <w:color w:val="auto"/>
        </w:rPr>
        <w:t>，泄漏的凝析油进入地下水的可能性很小，并定期对设备进行检修，将事故发生的概率降至最低，发生泄漏后做到及时发现、及时处理，彻底清除泄漏油品及被污染的土壤。因此，发生泄漏后采取相应的措施后不会对地下水环境产生大的影响。</w:t>
      </w:r>
    </w:p>
    <w:p w14:paraId="1AA106C1">
      <w:pPr>
        <w:pStyle w:val="86"/>
        <w:ind w:firstLine="480"/>
        <w:rPr>
          <w:rFonts w:hint="eastAsia"/>
          <w:color w:val="auto"/>
        </w:rPr>
      </w:pPr>
      <w:r>
        <w:rPr>
          <w:rFonts w:hint="eastAsia"/>
          <w:color w:val="auto"/>
        </w:rPr>
        <w:t>②采油井固井质量不合格，井漏油水窜层对地下水的影响</w:t>
      </w:r>
    </w:p>
    <w:p w14:paraId="2E8CCD98">
      <w:pPr>
        <w:pStyle w:val="86"/>
        <w:ind w:firstLine="480"/>
        <w:rPr>
          <w:rFonts w:hint="eastAsia"/>
          <w:color w:val="auto"/>
        </w:rPr>
      </w:pPr>
      <w:r>
        <w:rPr>
          <w:rFonts w:hint="eastAsia"/>
          <w:color w:val="auto"/>
        </w:rPr>
        <w:t>若采油井固井质量不合格，套管破裂，发生井漏，石油类污染物有可能通过破裂的套管附近的孔隙、裂隙径流渗漏进入地下含水层，对地下水造成污染影响。</w:t>
      </w:r>
    </w:p>
    <w:p w14:paraId="6AB7F9E4">
      <w:pPr>
        <w:pStyle w:val="86"/>
        <w:ind w:firstLine="480"/>
        <w:rPr>
          <w:rFonts w:hint="eastAsia"/>
          <w:color w:val="auto"/>
        </w:rPr>
      </w:pPr>
      <w:r>
        <w:rPr>
          <w:rFonts w:hint="eastAsia"/>
          <w:color w:val="auto"/>
        </w:rPr>
        <w:t>※地下水污染途径分析</w:t>
      </w:r>
    </w:p>
    <w:p w14:paraId="2EFAA2A7">
      <w:pPr>
        <w:pStyle w:val="86"/>
        <w:ind w:firstLine="480"/>
        <w:rPr>
          <w:rFonts w:hint="eastAsia"/>
          <w:color w:val="auto"/>
        </w:rPr>
      </w:pPr>
      <w:r>
        <w:rPr>
          <w:rFonts w:hint="eastAsia"/>
          <w:color w:val="auto"/>
        </w:rPr>
        <w:t>井漏油水窜层污染的主要原因一般是由于表层套管和油气层套管的固井效果变差导致窜层使地下水受污染。井漏油水窜层而污染到地下水的现象，在开发前期不会发生，待井开发到中后期时，废弃井、套管被腐蚀破坏，才可能会对地下水有影响：废弃井在长期闲置过程中，在地下各种复合作用下，固井水泥被腐蚀，套管被腐蚀穿孔，加上只封死井口，油气物质失去了释放通道，会通过径流进入潜水含水层，参与地下水循环。虽然此时油层几乎没有多少压力，原油不大可能进入到含水层污染地下水，但这一现象仍应引起重视。</w:t>
      </w:r>
    </w:p>
    <w:p w14:paraId="603EC00D">
      <w:pPr>
        <w:pStyle w:val="86"/>
        <w:ind w:firstLine="480"/>
        <w:rPr>
          <w:rFonts w:hint="eastAsia"/>
          <w:color w:val="auto"/>
        </w:rPr>
      </w:pPr>
      <w:r>
        <w:rPr>
          <w:rFonts w:hint="eastAsia"/>
          <w:color w:val="auto"/>
        </w:rPr>
        <w:t>本次地下水环境影响评价主要考虑最不利的极端情况下，油水窜层后对项目区承压水含水层水质的影响，针对污染物进入到承压水含水层后的运移进行重点预测、评价。</w:t>
      </w:r>
    </w:p>
    <w:p w14:paraId="625A9554">
      <w:pPr>
        <w:pStyle w:val="86"/>
        <w:ind w:firstLine="480"/>
        <w:rPr>
          <w:rFonts w:hint="eastAsia"/>
          <w:color w:val="auto"/>
        </w:rPr>
      </w:pPr>
      <w:r>
        <w:rPr>
          <w:rFonts w:hint="eastAsia"/>
          <w:color w:val="auto"/>
        </w:rPr>
        <w:t>※预测情景设定</w:t>
      </w:r>
    </w:p>
    <w:p w14:paraId="481F92DA">
      <w:pPr>
        <w:pStyle w:val="86"/>
        <w:ind w:firstLine="480"/>
        <w:rPr>
          <w:rFonts w:hint="eastAsia"/>
          <w:color w:val="auto"/>
        </w:rPr>
      </w:pPr>
      <w:r>
        <w:rPr>
          <w:rFonts w:hint="eastAsia"/>
          <w:color w:val="auto"/>
        </w:rPr>
        <w:t>考虑最不利情况，当发生油水窜层时，污染物进入含水层对地下水产生的影响进行预测。</w:t>
      </w:r>
    </w:p>
    <w:p w14:paraId="7E519F24">
      <w:pPr>
        <w:pStyle w:val="86"/>
        <w:ind w:firstLine="480"/>
        <w:rPr>
          <w:rFonts w:hint="eastAsia"/>
          <w:color w:val="auto"/>
        </w:rPr>
      </w:pPr>
      <w:r>
        <w:rPr>
          <w:rFonts w:hint="eastAsia"/>
          <w:color w:val="auto"/>
        </w:rPr>
        <w:t>※泄漏量和影响预测</w:t>
      </w:r>
    </w:p>
    <w:p w14:paraId="1C532224">
      <w:pPr>
        <w:pStyle w:val="86"/>
        <w:ind w:firstLine="480"/>
        <w:rPr>
          <w:rFonts w:hint="eastAsia"/>
          <w:color w:val="auto"/>
        </w:rPr>
      </w:pPr>
      <w:r>
        <w:rPr>
          <w:rFonts w:hint="eastAsia"/>
          <w:color w:val="auto"/>
        </w:rPr>
        <w:t>考虑最不利情况，污染物泄漏为连续排放，发生油水窜层后，工程区内的污染物通过孔隙、裂隙径流至下游承压水含水层的水质。因此污染物在含水层中的迁移，可将预测情形概化为一维连续泄漏点源的水动力弥散问题。采用解析法对地下水环境影响进行预测。本次选取石油类作为预测特征因子。本次按照《环境影响评价技术导则地下水环境》（HJ610-2016）附录D 中一维无限长多孔介质柱体，一端为定浓度边界预测模型进行预测，计算公式如下：</w:t>
      </w:r>
    </w:p>
    <w:p w14:paraId="3C516E82">
      <w:pPr>
        <w:pStyle w:val="540"/>
        <w:spacing w:line="240" w:lineRule="auto"/>
        <w:jc w:val="center"/>
        <w:rPr>
          <w:rFonts w:hint="eastAsia"/>
          <w:color w:val="auto"/>
        </w:rPr>
      </w:pPr>
      <w:r>
        <w:rPr>
          <w:color w:val="auto"/>
        </w:rPr>
        <w:drawing>
          <wp:inline distT="0" distB="0" distL="0" distR="0">
            <wp:extent cx="3027680" cy="586740"/>
            <wp:effectExtent l="0" t="0" r="1270" b="3810"/>
            <wp:docPr id="8749452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945217" name="图片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3027680" cy="586740"/>
                    </a:xfrm>
                    <a:prstGeom prst="rect">
                      <a:avLst/>
                    </a:prstGeom>
                    <a:noFill/>
                    <a:ln>
                      <a:noFill/>
                    </a:ln>
                  </pic:spPr>
                </pic:pic>
              </a:graphicData>
            </a:graphic>
          </wp:inline>
        </w:drawing>
      </w:r>
    </w:p>
    <w:p w14:paraId="1B094A3E">
      <w:pPr>
        <w:pStyle w:val="486"/>
        <w:rPr>
          <w:rFonts w:hint="eastAsia" w:eastAsia="宋体"/>
          <w:color w:val="auto"/>
        </w:rPr>
      </w:pPr>
      <w:r>
        <w:rPr>
          <w:rFonts w:hint="eastAsia" w:eastAsia="宋体"/>
          <w:color w:val="auto"/>
        </w:rPr>
        <w:t>式中：</w:t>
      </w:r>
      <w:r>
        <w:rPr>
          <w:rFonts w:eastAsia="宋体"/>
          <w:i/>
          <w:iCs/>
          <w:color w:val="auto"/>
        </w:rPr>
        <w:t>x</w:t>
      </w:r>
      <w:r>
        <w:rPr>
          <w:rFonts w:hint="eastAsia" w:eastAsia="宋体"/>
          <w:color w:val="auto"/>
        </w:rPr>
        <w:t>—距注入点的距离，</w:t>
      </w:r>
      <w:r>
        <w:rPr>
          <w:rFonts w:eastAsia="宋体"/>
          <w:color w:val="auto"/>
        </w:rPr>
        <w:t>m</w:t>
      </w:r>
      <w:r>
        <w:rPr>
          <w:rFonts w:hint="eastAsia" w:eastAsia="宋体"/>
          <w:color w:val="auto"/>
        </w:rPr>
        <w:t>；</w:t>
      </w:r>
    </w:p>
    <w:p w14:paraId="4E71FE45">
      <w:pPr>
        <w:pStyle w:val="486"/>
        <w:ind w:firstLine="1200" w:firstLineChars="500"/>
        <w:rPr>
          <w:rFonts w:hint="eastAsia" w:eastAsia="宋体"/>
          <w:color w:val="auto"/>
        </w:rPr>
      </w:pPr>
      <w:r>
        <w:rPr>
          <w:rFonts w:eastAsia="宋体"/>
          <w:color w:val="auto"/>
        </w:rPr>
        <w:t>t</w:t>
      </w:r>
      <w:r>
        <w:rPr>
          <w:rFonts w:hint="eastAsia" w:eastAsia="宋体"/>
          <w:color w:val="auto"/>
        </w:rPr>
        <w:t>—时间，</w:t>
      </w:r>
      <w:r>
        <w:rPr>
          <w:rFonts w:eastAsia="宋体"/>
          <w:color w:val="auto"/>
        </w:rPr>
        <w:t>d</w:t>
      </w:r>
      <w:r>
        <w:rPr>
          <w:rFonts w:hint="eastAsia" w:eastAsia="宋体"/>
          <w:color w:val="auto"/>
        </w:rPr>
        <w:t>；</w:t>
      </w:r>
    </w:p>
    <w:p w14:paraId="06347D6E">
      <w:pPr>
        <w:pStyle w:val="486"/>
        <w:ind w:firstLine="1200" w:firstLineChars="500"/>
        <w:rPr>
          <w:rFonts w:hint="eastAsia" w:eastAsia="宋体"/>
          <w:color w:val="auto"/>
        </w:rPr>
      </w:pPr>
      <w:r>
        <w:rPr>
          <w:rFonts w:eastAsia="宋体"/>
          <w:color w:val="auto"/>
        </w:rPr>
        <w:t>C</w:t>
      </w:r>
      <w:r>
        <w:rPr>
          <w:rFonts w:hint="eastAsia" w:eastAsia="宋体"/>
          <w:color w:val="auto"/>
        </w:rPr>
        <w:t>（</w:t>
      </w:r>
      <w:r>
        <w:rPr>
          <w:rFonts w:eastAsia="宋体"/>
          <w:color w:val="auto"/>
        </w:rPr>
        <w:t>x</w:t>
      </w:r>
      <w:r>
        <w:rPr>
          <w:rFonts w:hint="eastAsia" w:eastAsia="宋体"/>
          <w:color w:val="auto"/>
        </w:rPr>
        <w:t>，</w:t>
      </w:r>
      <w:r>
        <w:rPr>
          <w:rFonts w:eastAsia="宋体"/>
          <w:color w:val="auto"/>
        </w:rPr>
        <w:t>t</w:t>
      </w:r>
      <w:r>
        <w:rPr>
          <w:rFonts w:hint="eastAsia" w:eastAsia="宋体"/>
          <w:color w:val="auto"/>
        </w:rPr>
        <w:t>）—</w:t>
      </w:r>
      <w:r>
        <w:rPr>
          <w:rFonts w:eastAsia="宋体"/>
          <w:color w:val="auto"/>
        </w:rPr>
        <w:t>t</w:t>
      </w:r>
      <w:r>
        <w:rPr>
          <w:rFonts w:hint="eastAsia" w:eastAsia="宋体"/>
          <w:color w:val="auto"/>
        </w:rPr>
        <w:t>时刻</w:t>
      </w:r>
      <w:r>
        <w:rPr>
          <w:rFonts w:eastAsia="宋体"/>
          <w:color w:val="auto"/>
        </w:rPr>
        <w:t>x</w:t>
      </w:r>
      <w:r>
        <w:rPr>
          <w:rFonts w:hint="eastAsia" w:eastAsia="宋体"/>
          <w:color w:val="auto"/>
        </w:rPr>
        <w:t>处的示踪剂浓度，</w:t>
      </w:r>
      <w:r>
        <w:rPr>
          <w:rFonts w:eastAsia="宋体"/>
          <w:color w:val="auto"/>
        </w:rPr>
        <w:t>g/</w:t>
      </w:r>
      <w:r>
        <w:rPr>
          <w:rFonts w:hint="eastAsia" w:eastAsia="宋体"/>
          <w:color w:val="auto"/>
        </w:rPr>
        <w:t>L；</w:t>
      </w:r>
    </w:p>
    <w:p w14:paraId="26BC88B4">
      <w:pPr>
        <w:pStyle w:val="486"/>
        <w:ind w:firstLine="1200" w:firstLineChars="500"/>
        <w:rPr>
          <w:rFonts w:hint="eastAsia" w:eastAsia="宋体"/>
          <w:color w:val="auto"/>
        </w:rPr>
      </w:pPr>
      <w:r>
        <w:rPr>
          <w:rFonts w:eastAsia="宋体"/>
          <w:color w:val="auto"/>
        </w:rPr>
        <w:t>C</w:t>
      </w:r>
      <w:r>
        <w:rPr>
          <w:rFonts w:eastAsia="宋体"/>
          <w:color w:val="auto"/>
          <w:vertAlign w:val="subscript"/>
        </w:rPr>
        <w:t>0</w:t>
      </w:r>
      <w:r>
        <w:rPr>
          <w:rFonts w:hint="eastAsia" w:eastAsia="宋体"/>
          <w:color w:val="auto"/>
        </w:rPr>
        <w:t>——注入的示踪剂浓度，</w:t>
      </w:r>
      <w:r>
        <w:rPr>
          <w:rFonts w:eastAsia="宋体"/>
          <w:color w:val="auto"/>
        </w:rPr>
        <w:t>g/</w:t>
      </w:r>
      <w:r>
        <w:rPr>
          <w:rFonts w:hint="eastAsia" w:eastAsia="宋体"/>
          <w:color w:val="auto"/>
        </w:rPr>
        <w:t>L；参照美国石油协会石油烃标准化工作组TPHCWG（1997）中关于石油类污染物的溶解度等相关文献，本次取18mg/L为石油类可溶态污染物的最高浓度值，作为本次预测的源强。</w:t>
      </w:r>
    </w:p>
    <w:p w14:paraId="29D52D85">
      <w:pPr>
        <w:pStyle w:val="486"/>
        <w:ind w:firstLine="1200" w:firstLineChars="500"/>
        <w:rPr>
          <w:rFonts w:hint="eastAsia" w:eastAsia="宋体"/>
          <w:color w:val="auto"/>
        </w:rPr>
      </w:pPr>
      <w:r>
        <w:rPr>
          <w:rFonts w:eastAsia="宋体"/>
          <w:color w:val="auto"/>
        </w:rPr>
        <w:t>u</w:t>
      </w:r>
      <w:r>
        <w:rPr>
          <w:rFonts w:hint="eastAsia" w:eastAsia="宋体"/>
          <w:color w:val="auto"/>
        </w:rPr>
        <w:t>——水流速度，</w:t>
      </w:r>
      <w:r>
        <w:rPr>
          <w:rFonts w:eastAsia="宋体"/>
          <w:color w:val="auto"/>
        </w:rPr>
        <w:t>m/d</w:t>
      </w:r>
      <w:r>
        <w:rPr>
          <w:rFonts w:hint="eastAsia" w:eastAsia="宋体"/>
          <w:color w:val="auto"/>
        </w:rPr>
        <w:t>；</w:t>
      </w:r>
    </w:p>
    <w:p w14:paraId="72400FC5">
      <w:pPr>
        <w:pStyle w:val="486"/>
        <w:ind w:firstLine="1200" w:firstLineChars="500"/>
        <w:rPr>
          <w:rFonts w:hint="eastAsia" w:eastAsia="宋体"/>
          <w:color w:val="auto"/>
        </w:rPr>
      </w:pPr>
      <w:r>
        <w:rPr>
          <w:rFonts w:eastAsia="宋体"/>
          <w:color w:val="auto"/>
        </w:rPr>
        <w:t>n</w:t>
      </w:r>
      <w:r>
        <w:rPr>
          <w:rFonts w:hint="eastAsia" w:eastAsia="宋体"/>
          <w:color w:val="auto"/>
        </w:rPr>
        <w:t>——有效孔隙度，无量纲；</w:t>
      </w:r>
    </w:p>
    <w:p w14:paraId="1EA9EB36">
      <w:pPr>
        <w:pStyle w:val="486"/>
        <w:ind w:firstLine="1200" w:firstLineChars="500"/>
        <w:rPr>
          <w:rFonts w:hint="eastAsia" w:eastAsia="宋体"/>
          <w:color w:val="auto"/>
        </w:rPr>
      </w:pPr>
      <w:r>
        <w:rPr>
          <w:rFonts w:eastAsia="宋体"/>
          <w:color w:val="auto"/>
        </w:rPr>
        <w:t>D</w:t>
      </w:r>
      <w:r>
        <w:rPr>
          <w:rFonts w:eastAsia="宋体"/>
          <w:color w:val="auto"/>
          <w:vertAlign w:val="subscript"/>
        </w:rPr>
        <w:t>L</w:t>
      </w:r>
      <w:r>
        <w:rPr>
          <w:rFonts w:hint="eastAsia" w:eastAsia="宋体"/>
          <w:color w:val="auto"/>
        </w:rPr>
        <w:t>—纵向弥散系数，</w:t>
      </w:r>
      <w:r>
        <w:rPr>
          <w:rFonts w:eastAsia="宋体"/>
          <w:color w:val="auto"/>
        </w:rPr>
        <w:t>m</w:t>
      </w:r>
      <w:r>
        <w:rPr>
          <w:rFonts w:eastAsia="宋体"/>
          <w:color w:val="auto"/>
          <w:vertAlign w:val="superscript"/>
        </w:rPr>
        <w:t>2</w:t>
      </w:r>
      <w:r>
        <w:rPr>
          <w:rFonts w:eastAsia="宋体"/>
          <w:color w:val="auto"/>
        </w:rPr>
        <w:t>/d</w:t>
      </w:r>
      <w:r>
        <w:rPr>
          <w:rFonts w:hint="eastAsia" w:eastAsia="宋体"/>
          <w:color w:val="auto"/>
        </w:rPr>
        <w:t>；</w:t>
      </w:r>
    </w:p>
    <w:p w14:paraId="77B126CB">
      <w:pPr>
        <w:pStyle w:val="486"/>
        <w:ind w:firstLine="1200" w:firstLineChars="500"/>
        <w:rPr>
          <w:rFonts w:hint="eastAsia" w:eastAsia="宋体"/>
          <w:color w:val="auto"/>
        </w:rPr>
      </w:pPr>
      <w:r>
        <w:rPr>
          <w:rFonts w:eastAsia="宋体"/>
          <w:color w:val="auto"/>
        </w:rPr>
        <w:t>erfc</w:t>
      </w:r>
      <w:r>
        <w:rPr>
          <w:rFonts w:hint="eastAsia" w:eastAsia="宋体"/>
          <w:color w:val="auto"/>
        </w:rPr>
        <w:t>（）—余误差函数。</w:t>
      </w:r>
    </w:p>
    <w:p w14:paraId="622A3214">
      <w:pPr>
        <w:pStyle w:val="86"/>
        <w:adjustRightInd w:val="0"/>
        <w:snapToGrid w:val="0"/>
        <w:ind w:firstLine="480"/>
        <w:rPr>
          <w:rFonts w:hint="eastAsia"/>
          <w:color w:val="auto"/>
        </w:rPr>
      </w:pPr>
      <w:r>
        <w:rPr>
          <w:rFonts w:hint="eastAsia"/>
          <w:color w:val="auto"/>
        </w:rPr>
        <w:t>模型中所需参数及来源见表5.2-9。</w:t>
      </w:r>
    </w:p>
    <w:p w14:paraId="07D01EAF">
      <w:pPr>
        <w:pStyle w:val="15"/>
        <w:adjustRightInd w:val="0"/>
        <w:snapToGrid w:val="0"/>
        <w:spacing w:line="500" w:lineRule="exact"/>
        <w:rPr>
          <w:rFonts w:hint="eastAsia"/>
          <w:bCs/>
          <w:color w:val="auto"/>
        </w:rPr>
      </w:pPr>
      <w:r>
        <w:rPr>
          <w:rFonts w:hint="eastAsia"/>
          <w:bCs/>
          <w:color w:val="auto"/>
        </w:rPr>
        <w:t>表5.2-9  模型所需参数一览表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41"/>
        <w:gridCol w:w="994"/>
        <w:gridCol w:w="1558"/>
        <w:gridCol w:w="5437"/>
      </w:tblGrid>
      <w:tr w14:paraId="6590D6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25" w:type="pct"/>
            <w:vAlign w:val="center"/>
          </w:tcPr>
          <w:p w14:paraId="5635C4E3">
            <w:pPr>
              <w:pStyle w:val="296"/>
              <w:adjustRightInd w:val="0"/>
              <w:snapToGrid w:val="0"/>
              <w:spacing w:line="300" w:lineRule="exact"/>
              <w:rPr>
                <w:rFonts w:hint="eastAsia"/>
                <w:color w:val="auto"/>
              </w:rPr>
            </w:pPr>
            <w:r>
              <w:rPr>
                <w:rFonts w:hint="eastAsia"/>
                <w:color w:val="auto"/>
              </w:rPr>
              <w:t>序号</w:t>
            </w:r>
          </w:p>
        </w:tc>
        <w:tc>
          <w:tcPr>
            <w:tcW w:w="569" w:type="pct"/>
            <w:vAlign w:val="center"/>
          </w:tcPr>
          <w:p w14:paraId="67CF23D6">
            <w:pPr>
              <w:pStyle w:val="296"/>
              <w:adjustRightInd w:val="0"/>
              <w:snapToGrid w:val="0"/>
              <w:spacing w:line="300" w:lineRule="exact"/>
              <w:rPr>
                <w:rFonts w:hint="eastAsia"/>
                <w:color w:val="auto"/>
              </w:rPr>
            </w:pPr>
            <w:r>
              <w:rPr>
                <w:rFonts w:hint="eastAsia"/>
                <w:color w:val="auto"/>
              </w:rPr>
              <w:t>参数符号</w:t>
            </w:r>
          </w:p>
        </w:tc>
        <w:tc>
          <w:tcPr>
            <w:tcW w:w="892" w:type="pct"/>
            <w:vAlign w:val="center"/>
          </w:tcPr>
          <w:p w14:paraId="109EADC0">
            <w:pPr>
              <w:pStyle w:val="296"/>
              <w:adjustRightInd w:val="0"/>
              <w:snapToGrid w:val="0"/>
              <w:spacing w:line="300" w:lineRule="exact"/>
              <w:rPr>
                <w:rFonts w:hint="eastAsia"/>
                <w:color w:val="auto"/>
              </w:rPr>
            </w:pPr>
            <w:r>
              <w:rPr>
                <w:rFonts w:hint="eastAsia"/>
                <w:color w:val="auto"/>
              </w:rPr>
              <w:t>参数名称</w:t>
            </w:r>
          </w:p>
        </w:tc>
        <w:tc>
          <w:tcPr>
            <w:tcW w:w="3113" w:type="pct"/>
            <w:vAlign w:val="center"/>
          </w:tcPr>
          <w:p w14:paraId="327C4C88">
            <w:pPr>
              <w:pStyle w:val="296"/>
              <w:adjustRightInd w:val="0"/>
              <w:snapToGrid w:val="0"/>
              <w:spacing w:line="300" w:lineRule="exact"/>
              <w:rPr>
                <w:rFonts w:hint="eastAsia"/>
                <w:color w:val="auto"/>
              </w:rPr>
            </w:pPr>
            <w:r>
              <w:rPr>
                <w:rFonts w:hint="eastAsia"/>
                <w:color w:val="auto"/>
              </w:rPr>
              <w:t>参考数值</w:t>
            </w:r>
          </w:p>
        </w:tc>
      </w:tr>
      <w:tr w14:paraId="047CB0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25" w:type="pct"/>
            <w:vAlign w:val="center"/>
          </w:tcPr>
          <w:p w14:paraId="00847EBA">
            <w:pPr>
              <w:pStyle w:val="296"/>
              <w:adjustRightInd w:val="0"/>
              <w:snapToGrid w:val="0"/>
              <w:spacing w:line="300" w:lineRule="exact"/>
              <w:rPr>
                <w:rFonts w:hint="eastAsia"/>
                <w:color w:val="auto"/>
              </w:rPr>
            </w:pPr>
            <w:r>
              <w:rPr>
                <w:rFonts w:hint="eastAsia"/>
                <w:color w:val="auto"/>
              </w:rPr>
              <w:t>1</w:t>
            </w:r>
          </w:p>
        </w:tc>
        <w:tc>
          <w:tcPr>
            <w:tcW w:w="569" w:type="pct"/>
            <w:vAlign w:val="center"/>
          </w:tcPr>
          <w:p w14:paraId="75FE5752">
            <w:pPr>
              <w:pStyle w:val="296"/>
              <w:adjustRightInd w:val="0"/>
              <w:snapToGrid w:val="0"/>
              <w:spacing w:line="300" w:lineRule="exact"/>
              <w:rPr>
                <w:rFonts w:hint="eastAsia"/>
                <w:color w:val="auto"/>
              </w:rPr>
            </w:pPr>
            <w:r>
              <w:rPr>
                <w:i/>
                <w:iCs/>
                <w:color w:val="auto"/>
              </w:rPr>
              <w:t>C</w:t>
            </w:r>
            <w:r>
              <w:rPr>
                <w:i/>
                <w:iCs/>
                <w:color w:val="auto"/>
                <w:vertAlign w:val="subscript"/>
              </w:rPr>
              <w:t>0</w:t>
            </w:r>
          </w:p>
        </w:tc>
        <w:tc>
          <w:tcPr>
            <w:tcW w:w="892" w:type="pct"/>
            <w:vAlign w:val="center"/>
          </w:tcPr>
          <w:p w14:paraId="3968D602">
            <w:pPr>
              <w:pStyle w:val="296"/>
              <w:adjustRightInd w:val="0"/>
              <w:snapToGrid w:val="0"/>
              <w:spacing w:line="300" w:lineRule="exact"/>
              <w:rPr>
                <w:rFonts w:hint="eastAsia"/>
                <w:color w:val="auto"/>
              </w:rPr>
            </w:pPr>
            <w:r>
              <w:rPr>
                <w:rFonts w:hint="eastAsia"/>
                <w:color w:val="auto"/>
                <w:position w:val="2"/>
              </w:rPr>
              <w:t>污染物浓度</w:t>
            </w:r>
          </w:p>
        </w:tc>
        <w:tc>
          <w:tcPr>
            <w:tcW w:w="3113" w:type="pct"/>
            <w:vAlign w:val="center"/>
          </w:tcPr>
          <w:p w14:paraId="05E6DB6E">
            <w:pPr>
              <w:pStyle w:val="296"/>
              <w:adjustRightInd w:val="0"/>
              <w:snapToGrid w:val="0"/>
              <w:spacing w:line="300" w:lineRule="exact"/>
              <w:rPr>
                <w:rFonts w:hint="eastAsia"/>
                <w:color w:val="auto"/>
              </w:rPr>
            </w:pPr>
            <w:r>
              <w:rPr>
                <w:rFonts w:hint="eastAsia"/>
                <w:color w:val="auto"/>
              </w:rPr>
              <w:t>18mg/L（参照美国石油协会石油烃标准化工作组TPHCWG（1997）中关于石油类污染物的溶解度等相关文献）</w:t>
            </w:r>
          </w:p>
        </w:tc>
      </w:tr>
      <w:tr w14:paraId="7C8977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25" w:type="pct"/>
            <w:vAlign w:val="center"/>
          </w:tcPr>
          <w:p w14:paraId="3E7D9910">
            <w:pPr>
              <w:pStyle w:val="296"/>
              <w:adjustRightInd w:val="0"/>
              <w:snapToGrid w:val="0"/>
              <w:spacing w:line="300" w:lineRule="exact"/>
              <w:rPr>
                <w:rFonts w:hint="eastAsia"/>
                <w:color w:val="auto"/>
              </w:rPr>
            </w:pPr>
            <w:r>
              <w:rPr>
                <w:rFonts w:hint="eastAsia"/>
                <w:color w:val="auto"/>
              </w:rPr>
              <w:t>2</w:t>
            </w:r>
          </w:p>
        </w:tc>
        <w:tc>
          <w:tcPr>
            <w:tcW w:w="569" w:type="pct"/>
            <w:vAlign w:val="center"/>
          </w:tcPr>
          <w:p w14:paraId="7365C1B1">
            <w:pPr>
              <w:pStyle w:val="296"/>
              <w:adjustRightInd w:val="0"/>
              <w:snapToGrid w:val="0"/>
              <w:spacing w:line="300" w:lineRule="exact"/>
              <w:rPr>
                <w:rFonts w:hint="eastAsia"/>
                <w:color w:val="auto"/>
              </w:rPr>
            </w:pPr>
            <w:r>
              <w:rPr>
                <w:color w:val="auto"/>
              </w:rPr>
              <w:t>t</w:t>
            </w:r>
          </w:p>
        </w:tc>
        <w:tc>
          <w:tcPr>
            <w:tcW w:w="892" w:type="pct"/>
            <w:vAlign w:val="center"/>
          </w:tcPr>
          <w:p w14:paraId="21C49D10">
            <w:pPr>
              <w:pStyle w:val="296"/>
              <w:adjustRightInd w:val="0"/>
              <w:snapToGrid w:val="0"/>
              <w:spacing w:line="300" w:lineRule="exact"/>
              <w:rPr>
                <w:rFonts w:hint="eastAsia"/>
                <w:color w:val="auto"/>
              </w:rPr>
            </w:pPr>
            <w:r>
              <w:rPr>
                <w:rFonts w:hint="eastAsia"/>
                <w:color w:val="auto"/>
              </w:rPr>
              <w:t>时间</w:t>
            </w:r>
          </w:p>
        </w:tc>
        <w:tc>
          <w:tcPr>
            <w:tcW w:w="3113" w:type="pct"/>
            <w:vAlign w:val="center"/>
          </w:tcPr>
          <w:p w14:paraId="0ECA28BC">
            <w:pPr>
              <w:pStyle w:val="296"/>
              <w:adjustRightInd w:val="0"/>
              <w:snapToGrid w:val="0"/>
              <w:spacing w:line="300" w:lineRule="exact"/>
              <w:rPr>
                <w:rFonts w:hint="eastAsia"/>
                <w:color w:val="auto"/>
              </w:rPr>
            </w:pPr>
            <w:r>
              <w:rPr>
                <w:rFonts w:hint="eastAsia"/>
                <w:color w:val="auto"/>
              </w:rPr>
              <w:t>100d、1000d</w:t>
            </w:r>
          </w:p>
        </w:tc>
      </w:tr>
      <w:tr w14:paraId="7E235E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25" w:type="pct"/>
            <w:vAlign w:val="center"/>
          </w:tcPr>
          <w:p w14:paraId="40B7AD93">
            <w:pPr>
              <w:pStyle w:val="296"/>
              <w:adjustRightInd w:val="0"/>
              <w:snapToGrid w:val="0"/>
              <w:spacing w:line="300" w:lineRule="exact"/>
              <w:rPr>
                <w:rFonts w:hint="eastAsia"/>
                <w:color w:val="auto"/>
              </w:rPr>
            </w:pPr>
            <w:r>
              <w:rPr>
                <w:rFonts w:hint="eastAsia"/>
                <w:color w:val="auto"/>
              </w:rPr>
              <w:t>3</w:t>
            </w:r>
          </w:p>
        </w:tc>
        <w:tc>
          <w:tcPr>
            <w:tcW w:w="569" w:type="pct"/>
            <w:vAlign w:val="center"/>
          </w:tcPr>
          <w:p w14:paraId="618AA88E">
            <w:pPr>
              <w:pStyle w:val="296"/>
              <w:adjustRightInd w:val="0"/>
              <w:snapToGrid w:val="0"/>
              <w:spacing w:line="300" w:lineRule="exact"/>
              <w:rPr>
                <w:rFonts w:hint="eastAsia"/>
                <w:color w:val="auto"/>
              </w:rPr>
            </w:pPr>
            <w:r>
              <w:rPr>
                <w:rFonts w:hint="eastAsia"/>
                <w:color w:val="auto"/>
              </w:rPr>
              <w:t>u</w:t>
            </w:r>
          </w:p>
        </w:tc>
        <w:tc>
          <w:tcPr>
            <w:tcW w:w="892" w:type="pct"/>
            <w:vAlign w:val="center"/>
          </w:tcPr>
          <w:p w14:paraId="1F714CB8">
            <w:pPr>
              <w:pStyle w:val="296"/>
              <w:adjustRightInd w:val="0"/>
              <w:snapToGrid w:val="0"/>
              <w:spacing w:line="300" w:lineRule="exact"/>
              <w:rPr>
                <w:rFonts w:hint="eastAsia"/>
                <w:color w:val="auto"/>
              </w:rPr>
            </w:pPr>
            <w:r>
              <w:rPr>
                <w:rFonts w:hint="eastAsia"/>
                <w:color w:val="auto"/>
              </w:rPr>
              <w:t>水流速度</w:t>
            </w:r>
          </w:p>
        </w:tc>
        <w:tc>
          <w:tcPr>
            <w:tcW w:w="3113" w:type="pct"/>
            <w:vAlign w:val="center"/>
          </w:tcPr>
          <w:p w14:paraId="5898EF5B">
            <w:pPr>
              <w:pStyle w:val="296"/>
              <w:adjustRightInd w:val="0"/>
              <w:snapToGrid w:val="0"/>
              <w:spacing w:line="300" w:lineRule="exact"/>
              <w:rPr>
                <w:rFonts w:hint="eastAsia"/>
                <w:color w:val="auto"/>
              </w:rPr>
            </w:pPr>
            <w:r>
              <w:rPr>
                <w:rFonts w:hint="eastAsia"/>
                <w:color w:val="auto"/>
              </w:rPr>
              <w:t>0.2m/d</w:t>
            </w:r>
          </w:p>
        </w:tc>
      </w:tr>
      <w:tr w14:paraId="22A4AD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25" w:type="pct"/>
            <w:vAlign w:val="center"/>
          </w:tcPr>
          <w:p w14:paraId="2DFEC23C">
            <w:pPr>
              <w:pStyle w:val="296"/>
              <w:adjustRightInd w:val="0"/>
              <w:snapToGrid w:val="0"/>
              <w:spacing w:line="300" w:lineRule="exact"/>
              <w:rPr>
                <w:rFonts w:hint="eastAsia"/>
                <w:color w:val="auto"/>
              </w:rPr>
            </w:pPr>
            <w:r>
              <w:rPr>
                <w:rFonts w:hint="eastAsia"/>
                <w:color w:val="auto"/>
              </w:rPr>
              <w:t>4</w:t>
            </w:r>
          </w:p>
        </w:tc>
        <w:tc>
          <w:tcPr>
            <w:tcW w:w="569" w:type="pct"/>
            <w:vAlign w:val="center"/>
          </w:tcPr>
          <w:p w14:paraId="216E3A8F">
            <w:pPr>
              <w:pStyle w:val="296"/>
              <w:adjustRightInd w:val="0"/>
              <w:snapToGrid w:val="0"/>
              <w:spacing w:line="300" w:lineRule="exact"/>
              <w:rPr>
                <w:rFonts w:hint="eastAsia"/>
                <w:color w:val="auto"/>
              </w:rPr>
            </w:pPr>
            <w:r>
              <w:rPr>
                <w:rFonts w:hint="eastAsia"/>
                <w:color w:val="auto"/>
              </w:rPr>
              <w:t>D</w:t>
            </w:r>
            <w:r>
              <w:rPr>
                <w:rFonts w:hint="eastAsia"/>
                <w:color w:val="auto"/>
                <w:vertAlign w:val="subscript"/>
              </w:rPr>
              <w:t>L</w:t>
            </w:r>
          </w:p>
        </w:tc>
        <w:tc>
          <w:tcPr>
            <w:tcW w:w="892" w:type="pct"/>
            <w:vAlign w:val="center"/>
          </w:tcPr>
          <w:p w14:paraId="1CC953B9">
            <w:pPr>
              <w:pStyle w:val="296"/>
              <w:adjustRightInd w:val="0"/>
              <w:snapToGrid w:val="0"/>
              <w:spacing w:line="300" w:lineRule="exact"/>
              <w:rPr>
                <w:rFonts w:hint="eastAsia"/>
                <w:color w:val="auto"/>
              </w:rPr>
            </w:pPr>
            <w:r>
              <w:rPr>
                <w:rFonts w:hint="eastAsia"/>
                <w:color w:val="auto"/>
                <w:spacing w:val="-1"/>
              </w:rPr>
              <w:t>纵向弥散系数</w:t>
            </w:r>
          </w:p>
        </w:tc>
        <w:tc>
          <w:tcPr>
            <w:tcW w:w="3113" w:type="pct"/>
            <w:vAlign w:val="center"/>
          </w:tcPr>
          <w:p w14:paraId="729D9687">
            <w:pPr>
              <w:pStyle w:val="296"/>
              <w:adjustRightInd w:val="0"/>
              <w:snapToGrid w:val="0"/>
              <w:spacing w:line="300" w:lineRule="exact"/>
              <w:rPr>
                <w:rFonts w:hint="eastAsia"/>
                <w:color w:val="auto"/>
              </w:rPr>
            </w:pPr>
            <w:r>
              <w:rPr>
                <w:rFonts w:hint="eastAsia"/>
                <w:color w:val="auto"/>
              </w:rPr>
              <w:t>0.5m</w:t>
            </w:r>
            <w:r>
              <w:rPr>
                <w:rFonts w:hint="eastAsia"/>
                <w:color w:val="auto"/>
                <w:vertAlign w:val="superscript"/>
              </w:rPr>
              <w:t>2</w:t>
            </w:r>
            <w:r>
              <w:rPr>
                <w:rFonts w:hint="eastAsia"/>
                <w:color w:val="auto"/>
              </w:rPr>
              <w:t>/d</w:t>
            </w:r>
          </w:p>
        </w:tc>
      </w:tr>
      <w:tr w14:paraId="58342A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25" w:type="pct"/>
            <w:vAlign w:val="center"/>
          </w:tcPr>
          <w:p w14:paraId="229A6C20">
            <w:pPr>
              <w:pStyle w:val="296"/>
              <w:adjustRightInd w:val="0"/>
              <w:snapToGrid w:val="0"/>
              <w:spacing w:line="300" w:lineRule="exact"/>
              <w:rPr>
                <w:rFonts w:hint="eastAsia"/>
                <w:color w:val="auto"/>
              </w:rPr>
            </w:pPr>
            <w:r>
              <w:rPr>
                <w:rFonts w:hint="eastAsia"/>
                <w:color w:val="auto"/>
              </w:rPr>
              <w:t>5</w:t>
            </w:r>
          </w:p>
        </w:tc>
        <w:tc>
          <w:tcPr>
            <w:tcW w:w="569" w:type="pct"/>
            <w:vAlign w:val="center"/>
          </w:tcPr>
          <w:p w14:paraId="1932BDBA">
            <w:pPr>
              <w:pStyle w:val="296"/>
              <w:adjustRightInd w:val="0"/>
              <w:snapToGrid w:val="0"/>
              <w:spacing w:line="300" w:lineRule="exact"/>
              <w:rPr>
                <w:rFonts w:hint="eastAsia"/>
                <w:color w:val="auto"/>
              </w:rPr>
            </w:pPr>
            <w:r>
              <w:rPr>
                <w:color w:val="auto"/>
                <w:position w:val="2"/>
              </w:rPr>
              <w:t>n</w:t>
            </w:r>
            <w:r>
              <w:rPr>
                <w:color w:val="auto"/>
                <w:vertAlign w:val="subscript"/>
              </w:rPr>
              <w:t>e</w:t>
            </w:r>
          </w:p>
        </w:tc>
        <w:tc>
          <w:tcPr>
            <w:tcW w:w="892" w:type="pct"/>
            <w:vAlign w:val="center"/>
          </w:tcPr>
          <w:p w14:paraId="4AA54197">
            <w:pPr>
              <w:pStyle w:val="296"/>
              <w:adjustRightInd w:val="0"/>
              <w:snapToGrid w:val="0"/>
              <w:spacing w:line="300" w:lineRule="exact"/>
              <w:rPr>
                <w:rFonts w:hint="eastAsia"/>
                <w:color w:val="auto"/>
              </w:rPr>
            </w:pPr>
            <w:r>
              <w:rPr>
                <w:rFonts w:hint="eastAsia"/>
                <w:color w:val="auto"/>
                <w:spacing w:val="-1"/>
              </w:rPr>
              <w:t>有效孔隙度</w:t>
            </w:r>
          </w:p>
        </w:tc>
        <w:tc>
          <w:tcPr>
            <w:tcW w:w="3113" w:type="pct"/>
            <w:vAlign w:val="center"/>
          </w:tcPr>
          <w:p w14:paraId="40D22076">
            <w:pPr>
              <w:pStyle w:val="296"/>
              <w:adjustRightInd w:val="0"/>
              <w:snapToGrid w:val="0"/>
              <w:spacing w:line="300" w:lineRule="exact"/>
              <w:rPr>
                <w:rFonts w:hint="eastAsia"/>
                <w:color w:val="auto"/>
              </w:rPr>
            </w:pPr>
            <w:r>
              <w:rPr>
                <w:color w:val="auto"/>
              </w:rPr>
              <w:t>0.</w:t>
            </w:r>
            <w:r>
              <w:rPr>
                <w:rFonts w:hint="eastAsia"/>
                <w:color w:val="auto"/>
              </w:rPr>
              <w:t>21</w:t>
            </w:r>
          </w:p>
        </w:tc>
      </w:tr>
    </w:tbl>
    <w:p w14:paraId="6443F6D6">
      <w:pPr>
        <w:pStyle w:val="86"/>
        <w:tabs>
          <w:tab w:val="left" w:pos="709"/>
        </w:tabs>
        <w:adjustRightInd w:val="0"/>
        <w:snapToGrid w:val="0"/>
        <w:ind w:firstLine="480"/>
        <w:rPr>
          <w:rFonts w:hint="eastAsia"/>
          <w:bCs/>
          <w:color w:val="auto"/>
        </w:rPr>
      </w:pPr>
      <w:r>
        <w:rPr>
          <w:rFonts w:hint="eastAsia"/>
          <w:color w:val="auto"/>
        </w:rPr>
        <w:t>当油水窜层发生泄漏时，石油类物质经过100d和1000d后在地下水中的扩散结果见表5.2-10。</w:t>
      </w:r>
    </w:p>
    <w:p w14:paraId="1E6169CE">
      <w:pPr>
        <w:pStyle w:val="15"/>
        <w:adjustRightInd w:val="0"/>
        <w:snapToGrid w:val="0"/>
        <w:spacing w:line="500" w:lineRule="exact"/>
        <w:rPr>
          <w:rFonts w:hint="eastAsia"/>
          <w:bCs/>
          <w:color w:val="auto"/>
        </w:rPr>
      </w:pPr>
      <w:r>
        <w:rPr>
          <w:rFonts w:hint="eastAsia"/>
          <w:bCs/>
          <w:color w:val="auto"/>
        </w:rPr>
        <w:t>表5.2-10</w:t>
      </w:r>
      <w:r>
        <w:rPr>
          <w:bCs/>
          <w:color w:val="auto"/>
        </w:rPr>
        <w:t xml:space="preserve">  </w:t>
      </w:r>
      <w:r>
        <w:rPr>
          <w:rFonts w:hint="eastAsia"/>
          <w:bCs/>
          <w:color w:val="auto"/>
        </w:rPr>
        <w:t>地下水影响预测结果一览表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171"/>
        <w:gridCol w:w="850"/>
        <w:gridCol w:w="1109"/>
        <w:gridCol w:w="1853"/>
        <w:gridCol w:w="1853"/>
        <w:gridCol w:w="1894"/>
      </w:tblGrid>
      <w:tr w14:paraId="08A82ED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29" w:hRule="atLeast"/>
          <w:jc w:val="center"/>
        </w:trPr>
        <w:tc>
          <w:tcPr>
            <w:tcW w:w="671" w:type="pct"/>
            <w:tcBorders>
              <w:right w:val="single" w:color="auto" w:sz="4" w:space="0"/>
            </w:tcBorders>
            <w:vAlign w:val="center"/>
          </w:tcPr>
          <w:p w14:paraId="1A24B331">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泄漏点名称</w:t>
            </w:r>
          </w:p>
        </w:tc>
        <w:tc>
          <w:tcPr>
            <w:tcW w:w="487" w:type="pct"/>
            <w:tcBorders>
              <w:right w:val="single" w:color="auto" w:sz="4" w:space="0"/>
            </w:tcBorders>
            <w:vAlign w:val="center"/>
          </w:tcPr>
          <w:p w14:paraId="0CFB30DA">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污染物</w:t>
            </w:r>
          </w:p>
        </w:tc>
        <w:tc>
          <w:tcPr>
            <w:tcW w:w="635" w:type="pct"/>
            <w:vAlign w:val="center"/>
          </w:tcPr>
          <w:p w14:paraId="1B8DCAB4">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预测时间d</w:t>
            </w:r>
          </w:p>
        </w:tc>
        <w:tc>
          <w:tcPr>
            <w:tcW w:w="1061" w:type="pct"/>
            <w:tcBorders>
              <w:left w:val="single" w:color="auto" w:sz="4" w:space="0"/>
              <w:right w:val="single" w:color="auto" w:sz="4" w:space="0"/>
            </w:tcBorders>
          </w:tcPr>
          <w:p w14:paraId="29A61503">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下游达标浓度</w:t>
            </w:r>
          </w:p>
          <w:p w14:paraId="6380E1B7">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(mg/L)</w:t>
            </w:r>
          </w:p>
        </w:tc>
        <w:tc>
          <w:tcPr>
            <w:tcW w:w="1061" w:type="pct"/>
            <w:tcBorders>
              <w:left w:val="single" w:color="auto" w:sz="4" w:space="0"/>
              <w:right w:val="single" w:color="auto" w:sz="4" w:space="0"/>
            </w:tcBorders>
            <w:vAlign w:val="center"/>
          </w:tcPr>
          <w:p w14:paraId="62600A36">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下游达标浓度对应距离（m）</w:t>
            </w:r>
          </w:p>
        </w:tc>
        <w:tc>
          <w:tcPr>
            <w:tcW w:w="1085" w:type="pct"/>
            <w:tcBorders>
              <w:left w:val="single" w:color="auto" w:sz="4" w:space="0"/>
            </w:tcBorders>
            <w:vAlign w:val="center"/>
          </w:tcPr>
          <w:p w14:paraId="1974A691">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Ⅲ类标准</w:t>
            </w:r>
          </w:p>
          <w:p w14:paraId="2B26C033">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(mg/L)</w:t>
            </w:r>
          </w:p>
        </w:tc>
      </w:tr>
      <w:tr w14:paraId="064F7A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29" w:hRule="atLeast"/>
          <w:jc w:val="center"/>
        </w:trPr>
        <w:tc>
          <w:tcPr>
            <w:tcW w:w="671" w:type="pct"/>
            <w:vMerge w:val="restart"/>
            <w:tcBorders>
              <w:right w:val="single" w:color="auto" w:sz="4" w:space="0"/>
            </w:tcBorders>
            <w:vAlign w:val="center"/>
          </w:tcPr>
          <w:p w14:paraId="371A6897">
            <w:pPr>
              <w:widowControl/>
              <w:adjustRightInd w:val="0"/>
              <w:snapToGrid w:val="0"/>
              <w:spacing w:line="300" w:lineRule="exact"/>
              <w:jc w:val="center"/>
              <w:rPr>
                <w:rFonts w:hint="eastAsia" w:ascii="宋体" w:hAnsi="宋体" w:cs="宋体"/>
                <w:color w:val="auto"/>
                <w:szCs w:val="21"/>
              </w:rPr>
            </w:pPr>
            <w:r>
              <w:rPr>
                <w:rFonts w:hint="eastAsia"/>
                <w:color w:val="auto"/>
              </w:rPr>
              <w:t>油水窜层</w:t>
            </w:r>
          </w:p>
        </w:tc>
        <w:tc>
          <w:tcPr>
            <w:tcW w:w="487" w:type="pct"/>
            <w:vMerge w:val="restart"/>
            <w:tcBorders>
              <w:right w:val="single" w:color="auto" w:sz="4" w:space="0"/>
            </w:tcBorders>
            <w:vAlign w:val="center"/>
          </w:tcPr>
          <w:p w14:paraId="0B2B4B51">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石油类</w:t>
            </w:r>
          </w:p>
        </w:tc>
        <w:tc>
          <w:tcPr>
            <w:tcW w:w="635" w:type="pct"/>
            <w:vAlign w:val="center"/>
          </w:tcPr>
          <w:p w14:paraId="16F50977">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100</w:t>
            </w:r>
          </w:p>
        </w:tc>
        <w:tc>
          <w:tcPr>
            <w:tcW w:w="1061" w:type="pct"/>
            <w:tcBorders>
              <w:left w:val="single" w:color="auto" w:sz="4" w:space="0"/>
              <w:right w:val="single" w:color="auto" w:sz="4" w:space="0"/>
            </w:tcBorders>
          </w:tcPr>
          <w:p w14:paraId="5178E60F">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0.0297</w:t>
            </w:r>
          </w:p>
        </w:tc>
        <w:tc>
          <w:tcPr>
            <w:tcW w:w="1061" w:type="pct"/>
            <w:tcBorders>
              <w:left w:val="single" w:color="auto" w:sz="4" w:space="0"/>
              <w:right w:val="single" w:color="auto" w:sz="4" w:space="0"/>
            </w:tcBorders>
            <w:vAlign w:val="center"/>
          </w:tcPr>
          <w:p w14:paraId="261EA066">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25</w:t>
            </w:r>
          </w:p>
        </w:tc>
        <w:tc>
          <w:tcPr>
            <w:tcW w:w="1085" w:type="pct"/>
            <w:vMerge w:val="restart"/>
            <w:tcBorders>
              <w:left w:val="single" w:color="auto" w:sz="4" w:space="0"/>
            </w:tcBorders>
            <w:vAlign w:val="center"/>
          </w:tcPr>
          <w:p w14:paraId="7FFC1F73">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≤0.05</w:t>
            </w:r>
          </w:p>
        </w:tc>
      </w:tr>
      <w:tr w14:paraId="383218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29" w:hRule="atLeast"/>
          <w:jc w:val="center"/>
        </w:trPr>
        <w:tc>
          <w:tcPr>
            <w:tcW w:w="671" w:type="pct"/>
            <w:vMerge w:val="continue"/>
            <w:tcBorders>
              <w:right w:val="single" w:color="auto" w:sz="4" w:space="0"/>
            </w:tcBorders>
            <w:vAlign w:val="center"/>
          </w:tcPr>
          <w:p w14:paraId="32097D78">
            <w:pPr>
              <w:widowControl/>
              <w:adjustRightInd w:val="0"/>
              <w:snapToGrid w:val="0"/>
              <w:spacing w:line="300" w:lineRule="exact"/>
              <w:jc w:val="center"/>
              <w:rPr>
                <w:rFonts w:hint="eastAsia" w:ascii="宋体" w:hAnsi="宋体" w:cs="宋体"/>
                <w:color w:val="auto"/>
                <w:szCs w:val="21"/>
              </w:rPr>
            </w:pPr>
          </w:p>
        </w:tc>
        <w:tc>
          <w:tcPr>
            <w:tcW w:w="487" w:type="pct"/>
            <w:vMerge w:val="continue"/>
            <w:tcBorders>
              <w:right w:val="single" w:color="auto" w:sz="4" w:space="0"/>
            </w:tcBorders>
            <w:vAlign w:val="center"/>
          </w:tcPr>
          <w:p w14:paraId="311F2209">
            <w:pPr>
              <w:widowControl/>
              <w:adjustRightInd w:val="0"/>
              <w:snapToGrid w:val="0"/>
              <w:spacing w:line="300" w:lineRule="exact"/>
              <w:jc w:val="center"/>
              <w:rPr>
                <w:rFonts w:hint="eastAsia" w:ascii="宋体" w:hAnsi="宋体" w:cs="宋体"/>
                <w:color w:val="auto"/>
                <w:szCs w:val="21"/>
              </w:rPr>
            </w:pPr>
          </w:p>
        </w:tc>
        <w:tc>
          <w:tcPr>
            <w:tcW w:w="635" w:type="pct"/>
            <w:vAlign w:val="center"/>
          </w:tcPr>
          <w:p w14:paraId="12698B03">
            <w:pPr>
              <w:widowControl/>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1000</w:t>
            </w:r>
          </w:p>
        </w:tc>
        <w:tc>
          <w:tcPr>
            <w:tcW w:w="1061" w:type="pct"/>
            <w:tcBorders>
              <w:left w:val="single" w:color="auto" w:sz="4" w:space="0"/>
              <w:right w:val="single" w:color="auto" w:sz="4" w:space="0"/>
            </w:tcBorders>
          </w:tcPr>
          <w:p w14:paraId="7606C076">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0.041</w:t>
            </w:r>
          </w:p>
        </w:tc>
        <w:tc>
          <w:tcPr>
            <w:tcW w:w="1061" w:type="pct"/>
            <w:tcBorders>
              <w:left w:val="single" w:color="auto" w:sz="4" w:space="0"/>
              <w:right w:val="single" w:color="auto" w:sz="4" w:space="0"/>
            </w:tcBorders>
            <w:vAlign w:val="center"/>
          </w:tcPr>
          <w:p w14:paraId="7C126EEB">
            <w:pPr>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144</w:t>
            </w:r>
          </w:p>
        </w:tc>
        <w:tc>
          <w:tcPr>
            <w:tcW w:w="1085" w:type="pct"/>
            <w:vMerge w:val="continue"/>
            <w:tcBorders>
              <w:left w:val="single" w:color="auto" w:sz="4" w:space="0"/>
            </w:tcBorders>
            <w:vAlign w:val="center"/>
          </w:tcPr>
          <w:p w14:paraId="6A36178B">
            <w:pPr>
              <w:adjustRightInd w:val="0"/>
              <w:snapToGrid w:val="0"/>
              <w:spacing w:line="300" w:lineRule="exact"/>
              <w:jc w:val="center"/>
              <w:rPr>
                <w:rFonts w:hint="eastAsia" w:ascii="宋体" w:hAnsi="宋体" w:cs="宋体"/>
                <w:color w:val="auto"/>
                <w:szCs w:val="21"/>
              </w:rPr>
            </w:pPr>
          </w:p>
        </w:tc>
      </w:tr>
    </w:tbl>
    <w:p w14:paraId="74D6204E">
      <w:pPr>
        <w:pStyle w:val="86"/>
        <w:ind w:firstLine="480"/>
        <w:rPr>
          <w:rFonts w:hint="eastAsia"/>
          <w:color w:val="auto"/>
        </w:rPr>
      </w:pPr>
      <w:r>
        <w:rPr>
          <w:rFonts w:hint="eastAsia"/>
          <w:color w:val="auto"/>
        </w:rPr>
        <w:t>从预测结果可知：随着时间的增加，污染范围有所增加，油水窜层发生泄漏后100d和1000d下游石油类达标时对应的距离分别为25m和144m。采油井套管发生泄漏后，采出液中的石油类在含水层中的迁移随着时间、距离增加，污染物污染范围也呈增加趋势。由于项目区地下水影响范围内无集中式饮用水源和分散式饮用水源地等地下水环境保护目标，流经的孔隙、裂隙对石油类的拦截作用，进入含水层的石油类量是有限的。为防止套管破损污染地下水，表层套管严格封闭含水层，定期维护，定期检查固井质量，保证其合格，若发现固井质量不合格以及套管破损的情况后，及时进行修复，尽量避免窜层污染到泄漏点周边区域内的地下水。</w:t>
      </w:r>
    </w:p>
    <w:bookmarkEnd w:id="679"/>
    <w:bookmarkEnd w:id="680"/>
    <w:bookmarkEnd w:id="681"/>
    <w:bookmarkEnd w:id="682"/>
    <w:p w14:paraId="55A245BF">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运营期声</w:t>
      </w:r>
      <w:r>
        <w:rPr>
          <w:rFonts w:ascii="黑体" w:hAnsi="黑体" w:eastAsia="黑体" w:cs="Times New Roman"/>
          <w:color w:val="auto"/>
          <w:sz w:val="24"/>
          <w:szCs w:val="21"/>
          <w:lang w:val="zh-CN"/>
          <w14:ligatures w14:val="none"/>
        </w:rPr>
        <w:t>环境影响</w:t>
      </w:r>
      <w:bookmarkEnd w:id="671"/>
      <w:bookmarkEnd w:id="672"/>
      <w:bookmarkEnd w:id="673"/>
      <w:bookmarkEnd w:id="674"/>
      <w:bookmarkEnd w:id="675"/>
      <w:bookmarkEnd w:id="676"/>
      <w:bookmarkEnd w:id="677"/>
      <w:bookmarkEnd w:id="678"/>
      <w:r>
        <w:rPr>
          <w:rFonts w:hint="eastAsia" w:ascii="黑体" w:hAnsi="黑体" w:eastAsia="黑体" w:cs="Times New Roman"/>
          <w:color w:val="auto"/>
          <w:sz w:val="24"/>
          <w:szCs w:val="21"/>
          <w:lang w:val="zh-CN"/>
          <w14:ligatures w14:val="none"/>
        </w:rPr>
        <w:t>分析</w:t>
      </w:r>
    </w:p>
    <w:p w14:paraId="4D5AA281">
      <w:pPr>
        <w:pStyle w:val="86"/>
        <w:ind w:firstLine="480"/>
        <w:rPr>
          <w:rFonts w:hint="eastAsia" w:cs="宋体"/>
          <w:color w:val="auto"/>
        </w:rPr>
      </w:pPr>
      <w:bookmarkStart w:id="690" w:name="_Toc489734603"/>
      <w:bookmarkStart w:id="691" w:name="_Toc445842094"/>
      <w:bookmarkStart w:id="692" w:name="_Toc445842097"/>
      <w:bookmarkStart w:id="693" w:name="_Toc1325"/>
      <w:bookmarkStart w:id="694" w:name="_Toc445996416"/>
      <w:bookmarkStart w:id="695" w:name="_Toc16549"/>
      <w:bookmarkStart w:id="696" w:name="_Toc445996419"/>
      <w:bookmarkStart w:id="697" w:name="_Hlk78996296"/>
      <w:r>
        <w:rPr>
          <w:rFonts w:hint="eastAsia" w:cs="宋体"/>
          <w:color w:val="auto"/>
        </w:rPr>
        <w:t>（1）预测模式</w:t>
      </w:r>
    </w:p>
    <w:p w14:paraId="2918FAD8">
      <w:pPr>
        <w:pStyle w:val="45"/>
        <w:spacing w:line="520" w:lineRule="exact"/>
        <w:ind w:firstLine="480" w:firstLineChars="200"/>
        <w:jc w:val="both"/>
        <w:rPr>
          <w:rFonts w:hint="eastAsia" w:ascii="宋体" w:hAnsi="宋体"/>
          <w:color w:val="auto"/>
          <w:lang w:bidi="ar"/>
        </w:rPr>
      </w:pPr>
      <w:r>
        <w:rPr>
          <w:rFonts w:hint="eastAsia" w:ascii="宋体" w:hAnsi="宋体"/>
          <w:color w:val="auto"/>
        </w:rPr>
        <w:t>采油井场井下作业时产噪设备均位于室外，</w:t>
      </w:r>
      <w:r>
        <w:rPr>
          <w:rFonts w:hint="eastAsia" w:ascii="宋体" w:hAnsi="宋体"/>
          <w:color w:val="auto"/>
          <w:lang w:bidi="ar"/>
        </w:rPr>
        <w:t>本次只考虑传播距离引起的衰减，鉴于声源到厂界预测点的传播距离远大于声源长度，各噪声源均按点源计。计算模式采用《环境影响评价技术导则—声环境》</w:t>
      </w:r>
      <w:r>
        <w:rPr>
          <w:rFonts w:hint="eastAsia" w:ascii="宋体" w:hAnsi="宋体"/>
          <w:color w:val="auto"/>
        </w:rPr>
        <w:t>（HJ2.4-20</w:t>
      </w:r>
      <w:r>
        <w:rPr>
          <w:rFonts w:ascii="宋体" w:hAnsi="宋体"/>
          <w:color w:val="auto"/>
        </w:rPr>
        <w:t>21</w:t>
      </w:r>
      <w:r>
        <w:rPr>
          <w:rFonts w:hint="eastAsia" w:ascii="宋体" w:hAnsi="宋体"/>
          <w:color w:val="auto"/>
        </w:rPr>
        <w:t>）</w:t>
      </w:r>
      <w:r>
        <w:rPr>
          <w:rFonts w:hint="eastAsia" w:ascii="宋体" w:hAnsi="宋体"/>
          <w:color w:val="auto"/>
          <w:lang w:bidi="ar"/>
        </w:rPr>
        <w:t>中所推荐的预测模式，计算式如下：</w:t>
      </w:r>
    </w:p>
    <w:p w14:paraId="3E5BEAFD">
      <w:pPr>
        <w:adjustRightInd w:val="0"/>
        <w:snapToGrid w:val="0"/>
        <w:spacing w:line="500" w:lineRule="exact"/>
        <w:ind w:firstLine="480" w:firstLineChars="200"/>
        <w:jc w:val="center"/>
        <w:rPr>
          <w:rFonts w:hint="eastAsia" w:ascii="宋体" w:hAnsi="宋体" w:cs="宋体"/>
          <w:color w:val="auto"/>
          <w:sz w:val="24"/>
        </w:rPr>
      </w:pPr>
      <w:r>
        <w:rPr>
          <w:rFonts w:hint="eastAsia" w:ascii="宋体" w:hAnsi="宋体" w:cs="宋体"/>
          <w:color w:val="auto"/>
          <w:sz w:val="24"/>
          <w:lang w:bidi="ar"/>
        </w:rPr>
        <w:t>L</w:t>
      </w:r>
      <w:r>
        <w:rPr>
          <w:rFonts w:hint="eastAsia" w:ascii="宋体" w:hAnsi="宋体" w:cs="宋体"/>
          <w:color w:val="auto"/>
          <w:sz w:val="24"/>
          <w:vertAlign w:val="subscript"/>
          <w:lang w:bidi="ar"/>
        </w:rPr>
        <w:t>A</w:t>
      </w:r>
      <w:r>
        <w:rPr>
          <w:rFonts w:hint="eastAsia" w:ascii="宋体" w:hAnsi="宋体" w:cs="宋体"/>
          <w:color w:val="auto"/>
          <w:sz w:val="24"/>
          <w:lang w:bidi="ar"/>
        </w:rPr>
        <w:t>（r）=L</w:t>
      </w:r>
      <w:r>
        <w:rPr>
          <w:rFonts w:hint="eastAsia" w:ascii="宋体" w:hAnsi="宋体" w:cs="宋体"/>
          <w:color w:val="auto"/>
          <w:sz w:val="24"/>
          <w:vertAlign w:val="subscript"/>
          <w:lang w:bidi="ar"/>
        </w:rPr>
        <w:t>A</w:t>
      </w:r>
      <w:r>
        <w:rPr>
          <w:rFonts w:hint="eastAsia" w:ascii="宋体" w:hAnsi="宋体" w:cs="宋体"/>
          <w:color w:val="auto"/>
          <w:sz w:val="24"/>
          <w:lang w:bidi="ar"/>
        </w:rPr>
        <w:t>（r</w:t>
      </w:r>
      <w:r>
        <w:rPr>
          <w:rFonts w:hint="eastAsia" w:ascii="宋体" w:hAnsi="宋体" w:cs="宋体"/>
          <w:color w:val="auto"/>
          <w:sz w:val="24"/>
          <w:vertAlign w:val="subscript"/>
          <w:lang w:bidi="ar"/>
        </w:rPr>
        <w:t>0</w:t>
      </w:r>
      <w:r>
        <w:rPr>
          <w:rFonts w:hint="eastAsia" w:ascii="宋体" w:hAnsi="宋体" w:cs="宋体"/>
          <w:color w:val="auto"/>
          <w:sz w:val="24"/>
          <w:lang w:bidi="ar"/>
        </w:rPr>
        <w:t>）-20lg（r/r</w:t>
      </w:r>
      <w:r>
        <w:rPr>
          <w:rFonts w:hint="eastAsia" w:ascii="宋体" w:hAnsi="宋体" w:cs="宋体"/>
          <w:color w:val="auto"/>
          <w:sz w:val="24"/>
          <w:vertAlign w:val="subscript"/>
          <w:lang w:bidi="ar"/>
        </w:rPr>
        <w:t>0</w:t>
      </w:r>
      <w:r>
        <w:rPr>
          <w:rFonts w:hint="eastAsia" w:ascii="宋体" w:hAnsi="宋体" w:cs="宋体"/>
          <w:color w:val="auto"/>
          <w:sz w:val="24"/>
          <w:lang w:bidi="ar"/>
        </w:rPr>
        <w:t>）</w:t>
      </w:r>
    </w:p>
    <w:p w14:paraId="6752C06D">
      <w:pPr>
        <w:tabs>
          <w:tab w:val="left" w:pos="525"/>
        </w:tabs>
        <w:adjustRightInd w:val="0"/>
        <w:snapToGrid w:val="0"/>
        <w:spacing w:line="500" w:lineRule="exact"/>
        <w:ind w:firstLine="480" w:firstLineChars="200"/>
        <w:rPr>
          <w:rFonts w:hint="eastAsia" w:ascii="宋体" w:hAnsi="宋体" w:cs="宋体"/>
          <w:color w:val="auto"/>
          <w:sz w:val="24"/>
        </w:rPr>
      </w:pPr>
      <w:r>
        <w:rPr>
          <w:rFonts w:hint="eastAsia" w:ascii="宋体" w:hAnsi="宋体" w:cs="宋体"/>
          <w:color w:val="auto"/>
          <w:sz w:val="24"/>
          <w:lang w:bidi="ar"/>
        </w:rPr>
        <w:t xml:space="preserve">       式中：L</w:t>
      </w:r>
      <w:r>
        <w:rPr>
          <w:rFonts w:hint="eastAsia" w:ascii="宋体" w:hAnsi="宋体" w:cs="宋体"/>
          <w:color w:val="auto"/>
          <w:sz w:val="24"/>
          <w:vertAlign w:val="subscript"/>
          <w:lang w:bidi="ar"/>
        </w:rPr>
        <w:t>A</w:t>
      </w:r>
      <w:r>
        <w:rPr>
          <w:rFonts w:hint="eastAsia" w:ascii="宋体" w:hAnsi="宋体" w:cs="宋体"/>
          <w:color w:val="auto"/>
          <w:sz w:val="24"/>
          <w:lang w:bidi="ar"/>
        </w:rPr>
        <w:t>（r）—距声源r处的A声级；</w:t>
      </w:r>
    </w:p>
    <w:p w14:paraId="6CAD119A">
      <w:pPr>
        <w:adjustRightInd w:val="0"/>
        <w:snapToGrid w:val="0"/>
        <w:spacing w:line="500" w:lineRule="exact"/>
        <w:ind w:firstLine="480" w:firstLineChars="200"/>
        <w:rPr>
          <w:rFonts w:hint="eastAsia" w:ascii="宋体" w:hAnsi="宋体" w:cs="宋体"/>
          <w:color w:val="auto"/>
          <w:sz w:val="24"/>
        </w:rPr>
      </w:pPr>
      <w:r>
        <w:rPr>
          <w:rFonts w:hint="eastAsia" w:ascii="宋体" w:hAnsi="宋体" w:cs="宋体"/>
          <w:color w:val="auto"/>
          <w:sz w:val="24"/>
          <w:lang w:bidi="ar"/>
        </w:rPr>
        <w:t xml:space="preserve">             L</w:t>
      </w:r>
      <w:r>
        <w:rPr>
          <w:rFonts w:hint="eastAsia" w:ascii="宋体" w:hAnsi="宋体" w:cs="宋体"/>
          <w:color w:val="auto"/>
          <w:sz w:val="24"/>
          <w:vertAlign w:val="subscript"/>
          <w:lang w:bidi="ar"/>
        </w:rPr>
        <w:t>A</w:t>
      </w:r>
      <w:r>
        <w:rPr>
          <w:rFonts w:hint="eastAsia" w:ascii="宋体" w:hAnsi="宋体" w:cs="宋体"/>
          <w:color w:val="auto"/>
          <w:sz w:val="24"/>
          <w:lang w:bidi="ar"/>
        </w:rPr>
        <w:t>（r</w:t>
      </w:r>
      <w:r>
        <w:rPr>
          <w:rFonts w:hint="eastAsia" w:ascii="宋体" w:hAnsi="宋体" w:cs="宋体"/>
          <w:color w:val="auto"/>
          <w:sz w:val="24"/>
          <w:vertAlign w:val="subscript"/>
          <w:lang w:bidi="ar"/>
        </w:rPr>
        <w:t>0</w:t>
      </w:r>
      <w:r>
        <w:rPr>
          <w:rFonts w:hint="eastAsia" w:ascii="宋体" w:hAnsi="宋体" w:cs="宋体"/>
          <w:color w:val="auto"/>
          <w:sz w:val="24"/>
          <w:lang w:bidi="ar"/>
        </w:rPr>
        <w:t>）—参考位置r</w:t>
      </w:r>
      <w:r>
        <w:rPr>
          <w:rFonts w:hint="eastAsia" w:ascii="宋体" w:hAnsi="宋体" w:cs="宋体"/>
          <w:color w:val="auto"/>
          <w:sz w:val="24"/>
          <w:vertAlign w:val="subscript"/>
          <w:lang w:bidi="ar"/>
        </w:rPr>
        <w:t>0</w:t>
      </w:r>
      <w:r>
        <w:rPr>
          <w:rFonts w:hint="eastAsia" w:ascii="宋体" w:hAnsi="宋体" w:cs="宋体"/>
          <w:color w:val="auto"/>
          <w:sz w:val="24"/>
          <w:lang w:bidi="ar"/>
        </w:rPr>
        <w:t>处的A声级；</w:t>
      </w:r>
    </w:p>
    <w:p w14:paraId="46893263">
      <w:pPr>
        <w:adjustRightInd w:val="0"/>
        <w:snapToGrid w:val="0"/>
        <w:spacing w:line="500" w:lineRule="exact"/>
        <w:ind w:firstLine="480" w:firstLineChars="200"/>
        <w:rPr>
          <w:rFonts w:hint="eastAsia" w:ascii="宋体" w:hAnsi="宋体" w:cs="宋体"/>
          <w:color w:val="auto"/>
          <w:sz w:val="24"/>
        </w:rPr>
      </w:pPr>
      <w:r>
        <w:rPr>
          <w:rFonts w:hint="eastAsia" w:ascii="宋体" w:hAnsi="宋体" w:cs="宋体"/>
          <w:color w:val="auto"/>
          <w:sz w:val="24"/>
          <w:lang w:bidi="ar"/>
        </w:rPr>
        <w:t xml:space="preserve">             r—预测点距声源距离，m；</w:t>
      </w:r>
    </w:p>
    <w:p w14:paraId="185EDA1B">
      <w:pPr>
        <w:adjustRightInd w:val="0"/>
        <w:snapToGrid w:val="0"/>
        <w:spacing w:line="500" w:lineRule="exact"/>
        <w:ind w:firstLine="480" w:firstLineChars="200"/>
        <w:rPr>
          <w:rFonts w:hint="eastAsia" w:ascii="宋体" w:hAnsi="宋体" w:cs="宋体"/>
          <w:color w:val="auto"/>
          <w:sz w:val="24"/>
          <w:lang w:bidi="ar"/>
        </w:rPr>
      </w:pPr>
      <w:r>
        <w:rPr>
          <w:rFonts w:hint="eastAsia" w:ascii="宋体" w:hAnsi="宋体" w:cs="宋体"/>
          <w:color w:val="auto"/>
          <w:sz w:val="24"/>
          <w:lang w:bidi="ar"/>
        </w:rPr>
        <w:t xml:space="preserve">             r</w:t>
      </w:r>
      <w:r>
        <w:rPr>
          <w:rFonts w:hint="eastAsia" w:ascii="宋体" w:hAnsi="宋体" w:cs="宋体"/>
          <w:color w:val="auto"/>
          <w:sz w:val="24"/>
          <w:vertAlign w:val="subscript"/>
          <w:lang w:bidi="ar"/>
        </w:rPr>
        <w:t>0</w:t>
      </w:r>
      <w:r>
        <w:rPr>
          <w:rFonts w:hint="eastAsia" w:ascii="宋体" w:hAnsi="宋体" w:cs="宋体"/>
          <w:color w:val="auto"/>
          <w:sz w:val="24"/>
          <w:lang w:bidi="ar"/>
        </w:rPr>
        <w:t>—参考位置距离声源距离，m。</w:t>
      </w:r>
    </w:p>
    <w:p w14:paraId="09E204FE">
      <w:pPr>
        <w:pStyle w:val="362"/>
        <w:spacing w:line="500" w:lineRule="atLeast"/>
        <w:rPr>
          <w:rFonts w:hint="eastAsia" w:ascii="宋体" w:hAnsi="宋体"/>
          <w:color w:val="auto"/>
        </w:rPr>
      </w:pPr>
      <w:r>
        <w:rPr>
          <w:rFonts w:ascii="宋体" w:hAnsi="宋体"/>
          <w:color w:val="auto"/>
        </w:rPr>
        <w:t>设第i个室外声源在预测点产生的A声级为</w:t>
      </w:r>
      <w:r>
        <w:rPr>
          <w:rFonts w:ascii="宋体" w:hAnsi="宋体"/>
          <w:i/>
          <w:color w:val="auto"/>
        </w:rPr>
        <w:t>L</w:t>
      </w:r>
      <w:r>
        <w:rPr>
          <w:rFonts w:ascii="宋体" w:hAnsi="宋体"/>
          <w:i/>
          <w:color w:val="auto"/>
          <w:vertAlign w:val="subscript"/>
        </w:rPr>
        <w:t>Ain,i</w:t>
      </w:r>
      <w:r>
        <w:rPr>
          <w:rFonts w:ascii="宋体" w:hAnsi="宋体"/>
          <w:color w:val="auto"/>
        </w:rPr>
        <w:t>，在T时间内该声源工作时间为</w:t>
      </w:r>
      <w:r>
        <w:rPr>
          <w:rFonts w:ascii="宋体" w:hAnsi="宋体"/>
          <w:i/>
          <w:color w:val="auto"/>
        </w:rPr>
        <w:t>t</w:t>
      </w:r>
      <w:r>
        <w:rPr>
          <w:rFonts w:ascii="宋体" w:hAnsi="宋体"/>
          <w:i/>
          <w:color w:val="auto"/>
          <w:vertAlign w:val="subscript"/>
        </w:rPr>
        <w:t>in,i</w:t>
      </w:r>
      <w:r>
        <w:rPr>
          <w:rFonts w:ascii="宋体" w:hAnsi="宋体"/>
          <w:color w:val="auto"/>
        </w:rPr>
        <w:t>；第j个等效室外声源在预测点产生的A声级为</w:t>
      </w:r>
      <w:r>
        <w:rPr>
          <w:rFonts w:ascii="宋体" w:hAnsi="宋体"/>
          <w:i/>
          <w:color w:val="auto"/>
        </w:rPr>
        <w:t>L</w:t>
      </w:r>
      <w:r>
        <w:rPr>
          <w:rFonts w:ascii="宋体" w:hAnsi="宋体"/>
          <w:i/>
          <w:color w:val="auto"/>
          <w:vertAlign w:val="subscript"/>
        </w:rPr>
        <w:t>Aout,j</w:t>
      </w:r>
      <w:r>
        <w:rPr>
          <w:rFonts w:ascii="宋体" w:hAnsi="宋体"/>
          <w:color w:val="auto"/>
        </w:rPr>
        <w:t>，在T时间内该声源工作时间为</w:t>
      </w:r>
      <w:r>
        <w:rPr>
          <w:rFonts w:ascii="宋体" w:hAnsi="宋体"/>
          <w:i/>
          <w:color w:val="auto"/>
        </w:rPr>
        <w:t>t</w:t>
      </w:r>
      <w:r>
        <w:rPr>
          <w:rFonts w:ascii="宋体" w:hAnsi="宋体"/>
          <w:i/>
          <w:color w:val="auto"/>
          <w:vertAlign w:val="subscript"/>
        </w:rPr>
        <w:t>out,j</w:t>
      </w:r>
      <w:r>
        <w:rPr>
          <w:rFonts w:ascii="宋体" w:hAnsi="宋体"/>
          <w:color w:val="auto"/>
        </w:rPr>
        <w:t>，则预测点的总等效声级</w:t>
      </w:r>
      <w:r>
        <w:rPr>
          <w:rFonts w:hint="eastAsia" w:ascii="宋体" w:hAnsi="宋体"/>
          <w:color w:val="auto"/>
        </w:rPr>
        <w:t>按照下列公式进行计算：</w:t>
      </w:r>
    </w:p>
    <w:p w14:paraId="3EE64D2E">
      <w:pPr>
        <w:spacing w:before="156" w:beforeLines="50" w:after="156" w:afterLines="50" w:line="500" w:lineRule="atLeast"/>
        <w:jc w:val="center"/>
        <w:rPr>
          <w:rFonts w:hint="eastAsia" w:ascii="宋体" w:hAnsi="宋体"/>
          <w:color w:val="auto"/>
        </w:rPr>
      </w:pPr>
      <w:r>
        <w:rPr>
          <w:rFonts w:ascii="宋体" w:hAnsi="宋体"/>
          <w:color w:val="auto"/>
          <w:position w:val="-32"/>
        </w:rPr>
        <w:object>
          <v:shape id="_x0000_i1031" o:spt="75" type="#_x0000_t75" style="height:34.6pt;width:246.35pt;" o:ole="t" filled="f" o:preferrelative="t" stroked="f" coordsize="21600,21600">
            <v:path/>
            <v:fill on="f" focussize="0,0"/>
            <v:stroke on="f" joinstyle="miter"/>
            <v:imagedata r:id="rId105" o:title=""/>
            <o:lock v:ext="edit" aspectratio="t"/>
            <w10:wrap type="none"/>
            <w10:anchorlock/>
          </v:shape>
          <o:OLEObject Type="Embed" ProgID="Visio.Drawing.11" ShapeID="_x0000_i1031" DrawAspect="Content" ObjectID="_1468075731" r:id="rId104">
            <o:LockedField>false</o:LockedField>
          </o:OLEObject>
        </w:object>
      </w:r>
    </w:p>
    <w:p w14:paraId="242BAD70">
      <w:pPr>
        <w:spacing w:line="500" w:lineRule="atLeast"/>
        <w:ind w:firstLine="480" w:firstLineChars="200"/>
        <w:rPr>
          <w:rFonts w:hint="eastAsia" w:ascii="宋体" w:hAnsi="宋体"/>
          <w:color w:val="auto"/>
          <w:sz w:val="24"/>
          <w:szCs w:val="24"/>
        </w:rPr>
      </w:pPr>
      <w:r>
        <w:rPr>
          <w:rFonts w:ascii="宋体" w:hAnsi="宋体"/>
          <w:color w:val="auto"/>
          <w:sz w:val="24"/>
          <w:szCs w:val="24"/>
        </w:rPr>
        <w:t>式中：</w:t>
      </w:r>
    </w:p>
    <w:p w14:paraId="3AA95F5B">
      <w:pPr>
        <w:spacing w:line="500" w:lineRule="atLeast"/>
        <w:ind w:firstLine="480" w:firstLineChars="200"/>
        <w:rPr>
          <w:rFonts w:hint="eastAsia" w:ascii="宋体" w:hAnsi="宋体"/>
          <w:color w:val="auto"/>
          <w:sz w:val="24"/>
          <w:szCs w:val="24"/>
        </w:rPr>
      </w:pPr>
      <w:r>
        <w:rPr>
          <w:rFonts w:ascii="宋体" w:hAnsi="宋体"/>
          <w:color w:val="auto"/>
          <w:sz w:val="24"/>
          <w:szCs w:val="24"/>
        </w:rPr>
        <w:t xml:space="preserve">      T</w:t>
      </w:r>
      <w:r>
        <w:rPr>
          <w:rFonts w:hint="eastAsia" w:ascii="宋体" w:hAnsi="宋体"/>
          <w:color w:val="auto"/>
          <w:sz w:val="24"/>
          <w:szCs w:val="24"/>
        </w:rPr>
        <w:t>——</w:t>
      </w:r>
      <w:r>
        <w:rPr>
          <w:rFonts w:ascii="宋体" w:hAnsi="宋体"/>
          <w:color w:val="auto"/>
          <w:sz w:val="24"/>
          <w:szCs w:val="24"/>
        </w:rPr>
        <w:t>计算等效声级的时间</w:t>
      </w:r>
      <w:r>
        <w:rPr>
          <w:rFonts w:hint="eastAsia" w:ascii="宋体" w:hAnsi="宋体"/>
          <w:color w:val="auto"/>
          <w:sz w:val="24"/>
          <w:szCs w:val="24"/>
        </w:rPr>
        <w:t>；</w:t>
      </w:r>
    </w:p>
    <w:p w14:paraId="0EBBEC58">
      <w:pPr>
        <w:spacing w:line="500" w:lineRule="atLeast"/>
        <w:ind w:firstLine="480" w:firstLineChars="200"/>
        <w:rPr>
          <w:rFonts w:hint="eastAsia" w:ascii="宋体" w:hAnsi="宋体"/>
          <w:color w:val="auto"/>
          <w:sz w:val="24"/>
          <w:szCs w:val="24"/>
        </w:rPr>
      </w:pPr>
      <w:r>
        <w:rPr>
          <w:rFonts w:ascii="宋体" w:hAnsi="宋体"/>
          <w:color w:val="auto"/>
          <w:sz w:val="24"/>
          <w:szCs w:val="24"/>
        </w:rPr>
        <w:t xml:space="preserve">      N</w:t>
      </w:r>
      <w:r>
        <w:rPr>
          <w:rFonts w:hint="eastAsia" w:ascii="宋体" w:hAnsi="宋体"/>
          <w:color w:val="auto"/>
          <w:sz w:val="24"/>
          <w:szCs w:val="24"/>
        </w:rPr>
        <w:t>——</w:t>
      </w:r>
      <w:r>
        <w:rPr>
          <w:rFonts w:ascii="宋体" w:hAnsi="宋体"/>
          <w:color w:val="auto"/>
          <w:sz w:val="24"/>
          <w:szCs w:val="24"/>
        </w:rPr>
        <w:t>为室外声源个数</w:t>
      </w:r>
      <w:r>
        <w:rPr>
          <w:rFonts w:hint="eastAsia" w:ascii="宋体" w:hAnsi="宋体"/>
          <w:color w:val="auto"/>
          <w:sz w:val="24"/>
          <w:szCs w:val="24"/>
        </w:rPr>
        <w:t>；</w:t>
      </w:r>
    </w:p>
    <w:p w14:paraId="5A66ADFB">
      <w:pPr>
        <w:spacing w:line="500" w:lineRule="atLeast"/>
        <w:ind w:firstLine="480" w:firstLineChars="200"/>
        <w:rPr>
          <w:rFonts w:hint="eastAsia" w:ascii="宋体" w:hAnsi="宋体"/>
          <w:color w:val="auto"/>
          <w:sz w:val="24"/>
          <w:szCs w:val="24"/>
        </w:rPr>
      </w:pPr>
      <w:r>
        <w:rPr>
          <w:rFonts w:ascii="宋体" w:hAnsi="宋体"/>
          <w:color w:val="auto"/>
          <w:sz w:val="24"/>
          <w:szCs w:val="24"/>
        </w:rPr>
        <w:t xml:space="preserve">      M</w:t>
      </w:r>
      <w:r>
        <w:rPr>
          <w:rFonts w:hint="eastAsia" w:ascii="宋体" w:hAnsi="宋体"/>
          <w:color w:val="auto"/>
          <w:sz w:val="24"/>
          <w:szCs w:val="24"/>
        </w:rPr>
        <w:t>——</w:t>
      </w:r>
      <w:r>
        <w:rPr>
          <w:rFonts w:ascii="宋体" w:hAnsi="宋体"/>
          <w:color w:val="auto"/>
          <w:sz w:val="24"/>
          <w:szCs w:val="24"/>
        </w:rPr>
        <w:t>为等效室外声源个数。</w:t>
      </w:r>
    </w:p>
    <w:bookmarkEnd w:id="690"/>
    <w:p w14:paraId="302D50FF">
      <w:pPr>
        <w:pStyle w:val="45"/>
        <w:adjustRightInd w:val="0"/>
        <w:snapToGrid w:val="0"/>
        <w:spacing w:line="500" w:lineRule="exact"/>
        <w:ind w:firstLine="480" w:firstLineChars="200"/>
        <w:jc w:val="both"/>
        <w:rPr>
          <w:rFonts w:hint="eastAsia" w:ascii="宋体" w:hAnsi="宋体"/>
          <w:color w:val="auto"/>
          <w:szCs w:val="22"/>
          <w:lang w:val="zh-CN" w:bidi="ar"/>
        </w:rPr>
      </w:pPr>
      <w:r>
        <w:rPr>
          <w:rFonts w:hint="eastAsia" w:ascii="宋体" w:hAnsi="宋体"/>
          <w:color w:val="auto"/>
          <w:szCs w:val="22"/>
          <w:lang w:val="zh-CN" w:bidi="ar"/>
        </w:rPr>
        <w:t>（</w:t>
      </w:r>
      <w:r>
        <w:rPr>
          <w:rFonts w:hint="eastAsia" w:ascii="宋体" w:hAnsi="宋体"/>
          <w:color w:val="auto"/>
          <w:szCs w:val="22"/>
          <w:lang w:bidi="ar"/>
        </w:rPr>
        <w:t>2</w:t>
      </w:r>
      <w:r>
        <w:rPr>
          <w:rFonts w:hint="eastAsia" w:ascii="宋体" w:hAnsi="宋体"/>
          <w:color w:val="auto"/>
          <w:szCs w:val="22"/>
          <w:lang w:val="zh-CN" w:bidi="ar"/>
        </w:rPr>
        <w:t>）噪声源源强及分布</w:t>
      </w:r>
    </w:p>
    <w:p w14:paraId="5589262B">
      <w:pPr>
        <w:pStyle w:val="183"/>
        <w:rPr>
          <w:rStyle w:val="85"/>
          <w:rFonts w:hint="eastAsia"/>
          <w:color w:val="auto"/>
        </w:rPr>
      </w:pPr>
      <w:r>
        <w:rPr>
          <w:rFonts w:hint="eastAsia" w:cs="宋体"/>
          <w:color w:val="auto"/>
          <w:lang w:bidi="ar"/>
        </w:rPr>
        <w:t>噪声源强主要为井下作业时各类机泵和CNG橇装天然气处理装置中的压缩机、机泵等，设备选用低噪设备，并采取基础减振等措施，衰减量按2</w:t>
      </w:r>
      <w:r>
        <w:rPr>
          <w:rFonts w:cs="宋体"/>
          <w:color w:val="auto"/>
          <w:lang w:bidi="ar"/>
        </w:rPr>
        <w:t>5</w:t>
      </w:r>
      <w:r>
        <w:rPr>
          <w:rFonts w:hint="eastAsia" w:cs="宋体"/>
          <w:color w:val="auto"/>
          <w:lang w:bidi="ar"/>
        </w:rPr>
        <w:t>dB（A）。</w:t>
      </w:r>
    </w:p>
    <w:p w14:paraId="098A302B">
      <w:pPr>
        <w:spacing w:line="520" w:lineRule="exact"/>
        <w:ind w:firstLine="480"/>
        <w:rPr>
          <w:rFonts w:hint="eastAsia" w:ascii="宋体" w:hAnsi="宋体" w:cs="宋体"/>
          <w:color w:val="auto"/>
          <w:sz w:val="24"/>
          <w:szCs w:val="24"/>
          <w:lang w:bidi="ar"/>
        </w:rPr>
      </w:pPr>
      <w:r>
        <w:rPr>
          <w:rFonts w:hint="eastAsia" w:ascii="宋体" w:hAnsi="宋体" w:cs="宋体"/>
          <w:color w:val="auto"/>
          <w:sz w:val="24"/>
          <w:szCs w:val="24"/>
          <w:lang w:bidi="ar"/>
        </w:rPr>
        <w:t>（3）预测结果</w:t>
      </w:r>
    </w:p>
    <w:p w14:paraId="15668E5B">
      <w:pPr>
        <w:pStyle w:val="183"/>
        <w:rPr>
          <w:rFonts w:hint="eastAsia"/>
          <w:color w:val="auto"/>
        </w:rPr>
      </w:pPr>
      <w:r>
        <w:rPr>
          <w:rFonts w:hint="eastAsia"/>
          <w:color w:val="auto"/>
        </w:rPr>
        <w:t>根据以上公式，预测运营期厂界四周噪声贡献值，详见表</w:t>
      </w:r>
      <w:r>
        <w:rPr>
          <w:color w:val="auto"/>
        </w:rPr>
        <w:t>5.2</w:t>
      </w:r>
      <w:r>
        <w:rPr>
          <w:rFonts w:hint="eastAsia"/>
          <w:color w:val="auto"/>
        </w:rPr>
        <w:t>-11。</w:t>
      </w:r>
    </w:p>
    <w:p w14:paraId="1A6FFD65">
      <w:pPr>
        <w:pStyle w:val="15"/>
        <w:adjustRightInd w:val="0"/>
        <w:snapToGrid w:val="0"/>
        <w:spacing w:line="500" w:lineRule="exact"/>
        <w:rPr>
          <w:rFonts w:hint="eastAsia"/>
          <w:bCs/>
          <w:color w:val="auto"/>
        </w:rPr>
      </w:pPr>
      <w:r>
        <w:rPr>
          <w:rFonts w:hint="eastAsia"/>
          <w:bCs/>
          <w:color w:val="auto"/>
        </w:rPr>
        <w:t>表</w:t>
      </w:r>
      <w:r>
        <w:rPr>
          <w:bCs/>
          <w:color w:val="auto"/>
        </w:rPr>
        <w:t>5.2</w:t>
      </w:r>
      <w:r>
        <w:rPr>
          <w:rFonts w:hint="eastAsia"/>
          <w:bCs/>
          <w:color w:val="auto"/>
        </w:rPr>
        <w:t xml:space="preserve">-11    厂界噪声贡献值预测结果   </w:t>
      </w:r>
      <w:r>
        <w:rPr>
          <w:bCs/>
          <w:color w:val="auto"/>
        </w:rPr>
        <w:t>[</w:t>
      </w:r>
      <w:r>
        <w:rPr>
          <w:rFonts w:hint="eastAsia"/>
          <w:bCs/>
          <w:color w:val="auto"/>
        </w:rPr>
        <w:t>单位：dB（A）</w:t>
      </w:r>
      <w:r>
        <w:rPr>
          <w:bCs/>
          <w:color w:val="auto"/>
        </w:rPr>
        <w:t>]</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474"/>
        <w:gridCol w:w="1806"/>
        <w:gridCol w:w="1285"/>
        <w:gridCol w:w="1420"/>
        <w:gridCol w:w="1801"/>
      </w:tblGrid>
      <w:tr w14:paraId="38AD59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33" w:hRule="atLeast"/>
          <w:jc w:val="center"/>
        </w:trPr>
        <w:tc>
          <w:tcPr>
            <w:tcW w:w="2436" w:type="pct"/>
            <w:gridSpan w:val="2"/>
            <w:vAlign w:val="center"/>
          </w:tcPr>
          <w:p w14:paraId="5558D858">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位置</w:t>
            </w:r>
          </w:p>
        </w:tc>
        <w:tc>
          <w:tcPr>
            <w:tcW w:w="731" w:type="pct"/>
            <w:noWrap/>
            <w:vAlign w:val="center"/>
          </w:tcPr>
          <w:p w14:paraId="4C707AD7">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贡献值</w:t>
            </w:r>
          </w:p>
        </w:tc>
        <w:tc>
          <w:tcPr>
            <w:tcW w:w="808" w:type="pct"/>
            <w:vAlign w:val="center"/>
          </w:tcPr>
          <w:p w14:paraId="12255FE7">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标准值</w:t>
            </w:r>
          </w:p>
        </w:tc>
        <w:tc>
          <w:tcPr>
            <w:tcW w:w="1025" w:type="pct"/>
            <w:vAlign w:val="center"/>
          </w:tcPr>
          <w:p w14:paraId="3EDCD392">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达标情况</w:t>
            </w:r>
          </w:p>
        </w:tc>
      </w:tr>
      <w:tr w14:paraId="50B8A6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08" w:type="pct"/>
            <w:vMerge w:val="restart"/>
            <w:vAlign w:val="center"/>
          </w:tcPr>
          <w:p w14:paraId="6D5A5460">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莫27井</w:t>
            </w:r>
          </w:p>
        </w:tc>
        <w:tc>
          <w:tcPr>
            <w:tcW w:w="1028" w:type="pct"/>
            <w:vAlign w:val="center"/>
          </w:tcPr>
          <w:p w14:paraId="3D63D758">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北厂界</w:t>
            </w:r>
          </w:p>
        </w:tc>
        <w:tc>
          <w:tcPr>
            <w:tcW w:w="731" w:type="pct"/>
            <w:noWrap/>
            <w:vAlign w:val="center"/>
          </w:tcPr>
          <w:p w14:paraId="3A49172C">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41</w:t>
            </w:r>
          </w:p>
        </w:tc>
        <w:tc>
          <w:tcPr>
            <w:tcW w:w="808" w:type="pct"/>
            <w:vAlign w:val="center"/>
          </w:tcPr>
          <w:p w14:paraId="210AC269">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60</w:t>
            </w:r>
          </w:p>
        </w:tc>
        <w:tc>
          <w:tcPr>
            <w:tcW w:w="1025" w:type="pct"/>
            <w:vAlign w:val="center"/>
          </w:tcPr>
          <w:p w14:paraId="34D0FE4D">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w:t>
            </w:r>
          </w:p>
        </w:tc>
      </w:tr>
      <w:tr w14:paraId="5A91D7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08" w:type="pct"/>
            <w:vMerge w:val="continue"/>
            <w:vAlign w:val="center"/>
          </w:tcPr>
          <w:p w14:paraId="56E18789">
            <w:pPr>
              <w:widowControl/>
              <w:adjustRightInd w:val="0"/>
              <w:snapToGrid w:val="0"/>
              <w:spacing w:line="300" w:lineRule="exact"/>
              <w:jc w:val="center"/>
              <w:rPr>
                <w:rFonts w:hint="eastAsia" w:ascii="宋体" w:hAnsi="宋体"/>
                <w:color w:val="auto"/>
                <w:kern w:val="0"/>
                <w:szCs w:val="21"/>
              </w:rPr>
            </w:pPr>
          </w:p>
        </w:tc>
        <w:tc>
          <w:tcPr>
            <w:tcW w:w="1028" w:type="pct"/>
            <w:vAlign w:val="center"/>
          </w:tcPr>
          <w:p w14:paraId="25197BAC">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东厂界</w:t>
            </w:r>
          </w:p>
        </w:tc>
        <w:tc>
          <w:tcPr>
            <w:tcW w:w="731" w:type="pct"/>
            <w:noWrap/>
            <w:vAlign w:val="center"/>
          </w:tcPr>
          <w:p w14:paraId="5DAA3459">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43</w:t>
            </w:r>
          </w:p>
        </w:tc>
        <w:tc>
          <w:tcPr>
            <w:tcW w:w="808" w:type="pct"/>
            <w:vAlign w:val="center"/>
          </w:tcPr>
          <w:p w14:paraId="65A72361">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60</w:t>
            </w:r>
          </w:p>
        </w:tc>
        <w:tc>
          <w:tcPr>
            <w:tcW w:w="1025" w:type="pct"/>
            <w:vAlign w:val="center"/>
          </w:tcPr>
          <w:p w14:paraId="58053367">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w:t>
            </w:r>
          </w:p>
        </w:tc>
      </w:tr>
      <w:tr w14:paraId="7E19CD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08" w:type="pct"/>
            <w:vMerge w:val="continue"/>
            <w:vAlign w:val="center"/>
          </w:tcPr>
          <w:p w14:paraId="27FA999F">
            <w:pPr>
              <w:widowControl/>
              <w:adjustRightInd w:val="0"/>
              <w:snapToGrid w:val="0"/>
              <w:spacing w:line="300" w:lineRule="exact"/>
              <w:jc w:val="center"/>
              <w:rPr>
                <w:rFonts w:hint="eastAsia" w:ascii="宋体" w:hAnsi="宋体"/>
                <w:color w:val="auto"/>
                <w:kern w:val="0"/>
                <w:szCs w:val="21"/>
              </w:rPr>
            </w:pPr>
          </w:p>
        </w:tc>
        <w:tc>
          <w:tcPr>
            <w:tcW w:w="1028" w:type="pct"/>
            <w:vAlign w:val="center"/>
          </w:tcPr>
          <w:p w14:paraId="53E44286">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南厂界</w:t>
            </w:r>
          </w:p>
        </w:tc>
        <w:tc>
          <w:tcPr>
            <w:tcW w:w="731" w:type="pct"/>
            <w:noWrap/>
            <w:vAlign w:val="center"/>
          </w:tcPr>
          <w:p w14:paraId="76D8FFBE">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41</w:t>
            </w:r>
          </w:p>
        </w:tc>
        <w:tc>
          <w:tcPr>
            <w:tcW w:w="808" w:type="pct"/>
            <w:vAlign w:val="center"/>
          </w:tcPr>
          <w:p w14:paraId="7DD81FE5">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60</w:t>
            </w:r>
          </w:p>
        </w:tc>
        <w:tc>
          <w:tcPr>
            <w:tcW w:w="1025" w:type="pct"/>
            <w:vAlign w:val="center"/>
          </w:tcPr>
          <w:p w14:paraId="674C8867">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w:t>
            </w:r>
          </w:p>
        </w:tc>
      </w:tr>
      <w:tr w14:paraId="730DDF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08" w:type="pct"/>
            <w:vMerge w:val="continue"/>
            <w:vAlign w:val="center"/>
          </w:tcPr>
          <w:p w14:paraId="3EDF528A">
            <w:pPr>
              <w:widowControl/>
              <w:adjustRightInd w:val="0"/>
              <w:snapToGrid w:val="0"/>
              <w:spacing w:line="300" w:lineRule="exact"/>
              <w:jc w:val="center"/>
              <w:rPr>
                <w:rFonts w:hint="eastAsia" w:ascii="宋体" w:hAnsi="宋体"/>
                <w:color w:val="auto"/>
                <w:kern w:val="0"/>
                <w:szCs w:val="21"/>
              </w:rPr>
            </w:pPr>
          </w:p>
        </w:tc>
        <w:tc>
          <w:tcPr>
            <w:tcW w:w="1028" w:type="pct"/>
            <w:vAlign w:val="center"/>
          </w:tcPr>
          <w:p w14:paraId="186E532C">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西厂界</w:t>
            </w:r>
          </w:p>
        </w:tc>
        <w:tc>
          <w:tcPr>
            <w:tcW w:w="731" w:type="pct"/>
            <w:noWrap/>
            <w:vAlign w:val="center"/>
          </w:tcPr>
          <w:p w14:paraId="5B798D0F">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43</w:t>
            </w:r>
          </w:p>
        </w:tc>
        <w:tc>
          <w:tcPr>
            <w:tcW w:w="808" w:type="pct"/>
            <w:vAlign w:val="center"/>
          </w:tcPr>
          <w:p w14:paraId="61255CA0">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60</w:t>
            </w:r>
          </w:p>
        </w:tc>
        <w:tc>
          <w:tcPr>
            <w:tcW w:w="1025" w:type="pct"/>
            <w:vAlign w:val="center"/>
          </w:tcPr>
          <w:p w14:paraId="715F60B4">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w:t>
            </w:r>
          </w:p>
        </w:tc>
      </w:tr>
      <w:tr w14:paraId="0A133F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08" w:type="pct"/>
            <w:vMerge w:val="restart"/>
            <w:vAlign w:val="center"/>
          </w:tcPr>
          <w:p w14:paraId="7652E319">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莫172H井（包括撬装天然气浅冷处理装置）</w:t>
            </w:r>
          </w:p>
        </w:tc>
        <w:tc>
          <w:tcPr>
            <w:tcW w:w="1028" w:type="pct"/>
            <w:vAlign w:val="center"/>
          </w:tcPr>
          <w:p w14:paraId="64DF3BFA">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北厂界</w:t>
            </w:r>
          </w:p>
        </w:tc>
        <w:tc>
          <w:tcPr>
            <w:tcW w:w="731" w:type="pct"/>
            <w:noWrap/>
            <w:vAlign w:val="center"/>
          </w:tcPr>
          <w:p w14:paraId="630CD670">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45</w:t>
            </w:r>
          </w:p>
        </w:tc>
        <w:tc>
          <w:tcPr>
            <w:tcW w:w="808" w:type="pct"/>
            <w:vAlign w:val="center"/>
          </w:tcPr>
          <w:p w14:paraId="7E8B60BF">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60</w:t>
            </w:r>
          </w:p>
        </w:tc>
        <w:tc>
          <w:tcPr>
            <w:tcW w:w="1025" w:type="pct"/>
            <w:vAlign w:val="center"/>
          </w:tcPr>
          <w:p w14:paraId="440B8C54">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w:t>
            </w:r>
          </w:p>
        </w:tc>
      </w:tr>
      <w:tr w14:paraId="4CB14B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08" w:type="pct"/>
            <w:vMerge w:val="continue"/>
            <w:vAlign w:val="center"/>
          </w:tcPr>
          <w:p w14:paraId="1F7C66B8">
            <w:pPr>
              <w:widowControl/>
              <w:adjustRightInd w:val="0"/>
              <w:snapToGrid w:val="0"/>
              <w:spacing w:line="300" w:lineRule="exact"/>
              <w:jc w:val="center"/>
              <w:rPr>
                <w:rFonts w:hint="eastAsia" w:ascii="宋体" w:hAnsi="宋体"/>
                <w:color w:val="auto"/>
                <w:kern w:val="0"/>
                <w:szCs w:val="21"/>
              </w:rPr>
            </w:pPr>
          </w:p>
        </w:tc>
        <w:tc>
          <w:tcPr>
            <w:tcW w:w="1028" w:type="pct"/>
            <w:vAlign w:val="center"/>
          </w:tcPr>
          <w:p w14:paraId="027D5DEA">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东厂界</w:t>
            </w:r>
          </w:p>
        </w:tc>
        <w:tc>
          <w:tcPr>
            <w:tcW w:w="731" w:type="pct"/>
            <w:noWrap/>
            <w:vAlign w:val="center"/>
          </w:tcPr>
          <w:p w14:paraId="1E888EE9">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42</w:t>
            </w:r>
          </w:p>
        </w:tc>
        <w:tc>
          <w:tcPr>
            <w:tcW w:w="808" w:type="pct"/>
            <w:vAlign w:val="center"/>
          </w:tcPr>
          <w:p w14:paraId="77DF3D43">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60</w:t>
            </w:r>
          </w:p>
        </w:tc>
        <w:tc>
          <w:tcPr>
            <w:tcW w:w="1025" w:type="pct"/>
            <w:vAlign w:val="center"/>
          </w:tcPr>
          <w:p w14:paraId="4A3E2229">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w:t>
            </w:r>
          </w:p>
        </w:tc>
      </w:tr>
      <w:tr w14:paraId="205256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08" w:type="pct"/>
            <w:vMerge w:val="continue"/>
            <w:vAlign w:val="center"/>
          </w:tcPr>
          <w:p w14:paraId="48A08D3F">
            <w:pPr>
              <w:widowControl/>
              <w:adjustRightInd w:val="0"/>
              <w:snapToGrid w:val="0"/>
              <w:spacing w:line="300" w:lineRule="exact"/>
              <w:jc w:val="center"/>
              <w:rPr>
                <w:rFonts w:hint="eastAsia" w:ascii="宋体" w:hAnsi="宋体"/>
                <w:color w:val="auto"/>
                <w:kern w:val="0"/>
                <w:szCs w:val="21"/>
              </w:rPr>
            </w:pPr>
          </w:p>
        </w:tc>
        <w:tc>
          <w:tcPr>
            <w:tcW w:w="1028" w:type="pct"/>
            <w:vAlign w:val="center"/>
          </w:tcPr>
          <w:p w14:paraId="5257902A">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南厂界</w:t>
            </w:r>
          </w:p>
        </w:tc>
        <w:tc>
          <w:tcPr>
            <w:tcW w:w="731" w:type="pct"/>
            <w:noWrap/>
            <w:vAlign w:val="center"/>
          </w:tcPr>
          <w:p w14:paraId="044272C7">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40</w:t>
            </w:r>
          </w:p>
        </w:tc>
        <w:tc>
          <w:tcPr>
            <w:tcW w:w="808" w:type="pct"/>
            <w:vAlign w:val="center"/>
          </w:tcPr>
          <w:p w14:paraId="0439F5C4">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60</w:t>
            </w:r>
          </w:p>
        </w:tc>
        <w:tc>
          <w:tcPr>
            <w:tcW w:w="1025" w:type="pct"/>
            <w:vAlign w:val="center"/>
          </w:tcPr>
          <w:p w14:paraId="3E961FE5">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w:t>
            </w:r>
          </w:p>
        </w:tc>
      </w:tr>
      <w:tr w14:paraId="4C5077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08" w:type="pct"/>
            <w:vMerge w:val="continue"/>
            <w:vAlign w:val="center"/>
          </w:tcPr>
          <w:p w14:paraId="11D8E2AC">
            <w:pPr>
              <w:widowControl/>
              <w:adjustRightInd w:val="0"/>
              <w:snapToGrid w:val="0"/>
              <w:spacing w:line="300" w:lineRule="exact"/>
              <w:jc w:val="center"/>
              <w:rPr>
                <w:rFonts w:hint="eastAsia" w:ascii="宋体" w:hAnsi="宋体"/>
                <w:color w:val="auto"/>
                <w:kern w:val="0"/>
                <w:szCs w:val="21"/>
              </w:rPr>
            </w:pPr>
          </w:p>
        </w:tc>
        <w:tc>
          <w:tcPr>
            <w:tcW w:w="1028" w:type="pct"/>
            <w:vAlign w:val="center"/>
          </w:tcPr>
          <w:p w14:paraId="487C9F0D">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西厂界</w:t>
            </w:r>
          </w:p>
        </w:tc>
        <w:tc>
          <w:tcPr>
            <w:tcW w:w="731" w:type="pct"/>
            <w:noWrap/>
            <w:vAlign w:val="center"/>
          </w:tcPr>
          <w:p w14:paraId="6FEE82E5">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40</w:t>
            </w:r>
          </w:p>
        </w:tc>
        <w:tc>
          <w:tcPr>
            <w:tcW w:w="808" w:type="pct"/>
            <w:vAlign w:val="center"/>
          </w:tcPr>
          <w:p w14:paraId="2C208ED8">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60</w:t>
            </w:r>
          </w:p>
        </w:tc>
        <w:tc>
          <w:tcPr>
            <w:tcW w:w="1025" w:type="pct"/>
            <w:vAlign w:val="center"/>
          </w:tcPr>
          <w:p w14:paraId="7814AD7C">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w:t>
            </w:r>
          </w:p>
        </w:tc>
      </w:tr>
      <w:tr w14:paraId="00FD9E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08" w:type="pct"/>
            <w:vMerge w:val="restart"/>
            <w:vAlign w:val="center"/>
          </w:tcPr>
          <w:p w14:paraId="45F2AFCA">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莫174H井（包括撬装天然气浅冷处理装置）</w:t>
            </w:r>
          </w:p>
        </w:tc>
        <w:tc>
          <w:tcPr>
            <w:tcW w:w="1028" w:type="pct"/>
            <w:vAlign w:val="center"/>
          </w:tcPr>
          <w:p w14:paraId="0A4EC256">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北厂界</w:t>
            </w:r>
          </w:p>
        </w:tc>
        <w:tc>
          <w:tcPr>
            <w:tcW w:w="731" w:type="pct"/>
            <w:noWrap/>
            <w:vAlign w:val="center"/>
          </w:tcPr>
          <w:p w14:paraId="0A820A94">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42</w:t>
            </w:r>
          </w:p>
        </w:tc>
        <w:tc>
          <w:tcPr>
            <w:tcW w:w="808" w:type="pct"/>
            <w:vAlign w:val="center"/>
          </w:tcPr>
          <w:p w14:paraId="39DC7F1F">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60</w:t>
            </w:r>
          </w:p>
        </w:tc>
        <w:tc>
          <w:tcPr>
            <w:tcW w:w="1025" w:type="pct"/>
            <w:vAlign w:val="center"/>
          </w:tcPr>
          <w:p w14:paraId="5B059A4F">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w:t>
            </w:r>
          </w:p>
        </w:tc>
      </w:tr>
      <w:tr w14:paraId="0376CD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08" w:type="pct"/>
            <w:vMerge w:val="continue"/>
            <w:vAlign w:val="center"/>
          </w:tcPr>
          <w:p w14:paraId="1CB900A9">
            <w:pPr>
              <w:widowControl/>
              <w:adjustRightInd w:val="0"/>
              <w:snapToGrid w:val="0"/>
              <w:spacing w:line="300" w:lineRule="exact"/>
              <w:jc w:val="center"/>
              <w:rPr>
                <w:rFonts w:hint="eastAsia" w:ascii="宋体" w:hAnsi="宋体"/>
                <w:color w:val="auto"/>
                <w:kern w:val="0"/>
                <w:szCs w:val="21"/>
              </w:rPr>
            </w:pPr>
          </w:p>
        </w:tc>
        <w:tc>
          <w:tcPr>
            <w:tcW w:w="1028" w:type="pct"/>
            <w:vAlign w:val="center"/>
          </w:tcPr>
          <w:p w14:paraId="005B2107">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东厂界</w:t>
            </w:r>
          </w:p>
        </w:tc>
        <w:tc>
          <w:tcPr>
            <w:tcW w:w="731" w:type="pct"/>
            <w:noWrap/>
            <w:vAlign w:val="center"/>
          </w:tcPr>
          <w:p w14:paraId="430EA90D">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42</w:t>
            </w:r>
          </w:p>
        </w:tc>
        <w:tc>
          <w:tcPr>
            <w:tcW w:w="808" w:type="pct"/>
            <w:vAlign w:val="center"/>
          </w:tcPr>
          <w:p w14:paraId="24782CF5">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60</w:t>
            </w:r>
          </w:p>
        </w:tc>
        <w:tc>
          <w:tcPr>
            <w:tcW w:w="1025" w:type="pct"/>
            <w:vAlign w:val="center"/>
          </w:tcPr>
          <w:p w14:paraId="3161794A">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w:t>
            </w:r>
          </w:p>
        </w:tc>
      </w:tr>
      <w:tr w14:paraId="01B866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08" w:type="pct"/>
            <w:vMerge w:val="continue"/>
            <w:vAlign w:val="center"/>
          </w:tcPr>
          <w:p w14:paraId="7FC5A500">
            <w:pPr>
              <w:widowControl/>
              <w:adjustRightInd w:val="0"/>
              <w:snapToGrid w:val="0"/>
              <w:spacing w:line="300" w:lineRule="exact"/>
              <w:jc w:val="center"/>
              <w:rPr>
                <w:rFonts w:hint="eastAsia" w:ascii="宋体" w:hAnsi="宋体"/>
                <w:color w:val="auto"/>
                <w:kern w:val="0"/>
                <w:szCs w:val="21"/>
              </w:rPr>
            </w:pPr>
          </w:p>
        </w:tc>
        <w:tc>
          <w:tcPr>
            <w:tcW w:w="1028" w:type="pct"/>
            <w:vAlign w:val="center"/>
          </w:tcPr>
          <w:p w14:paraId="5C57F6E5">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南厂界</w:t>
            </w:r>
          </w:p>
        </w:tc>
        <w:tc>
          <w:tcPr>
            <w:tcW w:w="731" w:type="pct"/>
            <w:noWrap/>
            <w:vAlign w:val="center"/>
          </w:tcPr>
          <w:p w14:paraId="35A79FCF">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40</w:t>
            </w:r>
          </w:p>
        </w:tc>
        <w:tc>
          <w:tcPr>
            <w:tcW w:w="808" w:type="pct"/>
            <w:vAlign w:val="center"/>
          </w:tcPr>
          <w:p w14:paraId="7AAAA243">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60</w:t>
            </w:r>
          </w:p>
        </w:tc>
        <w:tc>
          <w:tcPr>
            <w:tcW w:w="1025" w:type="pct"/>
            <w:vAlign w:val="center"/>
          </w:tcPr>
          <w:p w14:paraId="7F1FCAEA">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w:t>
            </w:r>
          </w:p>
        </w:tc>
      </w:tr>
      <w:tr w14:paraId="18A2FF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08" w:type="pct"/>
            <w:vMerge w:val="continue"/>
            <w:vAlign w:val="center"/>
          </w:tcPr>
          <w:p w14:paraId="1A40065A">
            <w:pPr>
              <w:widowControl/>
              <w:adjustRightInd w:val="0"/>
              <w:snapToGrid w:val="0"/>
              <w:spacing w:line="300" w:lineRule="exact"/>
              <w:jc w:val="center"/>
              <w:rPr>
                <w:rFonts w:hint="eastAsia" w:ascii="宋体" w:hAnsi="宋体"/>
                <w:color w:val="auto"/>
                <w:kern w:val="0"/>
                <w:szCs w:val="21"/>
              </w:rPr>
            </w:pPr>
          </w:p>
        </w:tc>
        <w:tc>
          <w:tcPr>
            <w:tcW w:w="1028" w:type="pct"/>
            <w:vAlign w:val="center"/>
          </w:tcPr>
          <w:p w14:paraId="25406EBC">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西厂界</w:t>
            </w:r>
          </w:p>
        </w:tc>
        <w:tc>
          <w:tcPr>
            <w:tcW w:w="731" w:type="pct"/>
            <w:noWrap/>
            <w:vAlign w:val="center"/>
          </w:tcPr>
          <w:p w14:paraId="33E4EA14">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40</w:t>
            </w:r>
          </w:p>
        </w:tc>
        <w:tc>
          <w:tcPr>
            <w:tcW w:w="808" w:type="pct"/>
            <w:vAlign w:val="center"/>
          </w:tcPr>
          <w:p w14:paraId="6FF4DB8D">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60</w:t>
            </w:r>
          </w:p>
        </w:tc>
        <w:tc>
          <w:tcPr>
            <w:tcW w:w="1025" w:type="pct"/>
            <w:vAlign w:val="center"/>
          </w:tcPr>
          <w:p w14:paraId="1F97ABB5">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w:t>
            </w:r>
          </w:p>
        </w:tc>
      </w:tr>
      <w:tr w14:paraId="7377BB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08" w:type="pct"/>
            <w:vMerge w:val="restart"/>
            <w:vAlign w:val="center"/>
          </w:tcPr>
          <w:p w14:paraId="402D7C58">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充装区</w:t>
            </w:r>
          </w:p>
        </w:tc>
        <w:tc>
          <w:tcPr>
            <w:tcW w:w="1028" w:type="pct"/>
            <w:vAlign w:val="center"/>
          </w:tcPr>
          <w:p w14:paraId="2C0818F5">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北厂界</w:t>
            </w:r>
          </w:p>
        </w:tc>
        <w:tc>
          <w:tcPr>
            <w:tcW w:w="731" w:type="pct"/>
            <w:noWrap/>
            <w:vAlign w:val="center"/>
          </w:tcPr>
          <w:p w14:paraId="4DB23270">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42</w:t>
            </w:r>
          </w:p>
        </w:tc>
        <w:tc>
          <w:tcPr>
            <w:tcW w:w="808" w:type="pct"/>
            <w:vAlign w:val="center"/>
          </w:tcPr>
          <w:p w14:paraId="4845DECF">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60</w:t>
            </w:r>
          </w:p>
        </w:tc>
        <w:tc>
          <w:tcPr>
            <w:tcW w:w="1025" w:type="pct"/>
            <w:vAlign w:val="center"/>
          </w:tcPr>
          <w:p w14:paraId="3B818929">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w:t>
            </w:r>
          </w:p>
        </w:tc>
      </w:tr>
      <w:tr w14:paraId="72FC53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08" w:type="pct"/>
            <w:vMerge w:val="continue"/>
            <w:vAlign w:val="center"/>
          </w:tcPr>
          <w:p w14:paraId="535523B6">
            <w:pPr>
              <w:widowControl/>
              <w:adjustRightInd w:val="0"/>
              <w:snapToGrid w:val="0"/>
              <w:spacing w:line="300" w:lineRule="exact"/>
              <w:jc w:val="center"/>
              <w:rPr>
                <w:rFonts w:hint="eastAsia" w:ascii="宋体" w:hAnsi="宋体"/>
                <w:color w:val="auto"/>
                <w:kern w:val="0"/>
                <w:szCs w:val="21"/>
              </w:rPr>
            </w:pPr>
          </w:p>
        </w:tc>
        <w:tc>
          <w:tcPr>
            <w:tcW w:w="1028" w:type="pct"/>
            <w:vAlign w:val="center"/>
          </w:tcPr>
          <w:p w14:paraId="0447DFF4">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东厂界</w:t>
            </w:r>
          </w:p>
        </w:tc>
        <w:tc>
          <w:tcPr>
            <w:tcW w:w="731" w:type="pct"/>
            <w:noWrap/>
            <w:vAlign w:val="center"/>
          </w:tcPr>
          <w:p w14:paraId="54673728">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43</w:t>
            </w:r>
          </w:p>
        </w:tc>
        <w:tc>
          <w:tcPr>
            <w:tcW w:w="808" w:type="pct"/>
            <w:vAlign w:val="center"/>
          </w:tcPr>
          <w:p w14:paraId="16BBD71F">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60</w:t>
            </w:r>
          </w:p>
        </w:tc>
        <w:tc>
          <w:tcPr>
            <w:tcW w:w="1025" w:type="pct"/>
            <w:vAlign w:val="center"/>
          </w:tcPr>
          <w:p w14:paraId="3F386EB8">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w:t>
            </w:r>
          </w:p>
        </w:tc>
      </w:tr>
      <w:tr w14:paraId="00F06B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08" w:type="pct"/>
            <w:vMerge w:val="continue"/>
            <w:vAlign w:val="center"/>
          </w:tcPr>
          <w:p w14:paraId="552F3E98">
            <w:pPr>
              <w:widowControl/>
              <w:adjustRightInd w:val="0"/>
              <w:snapToGrid w:val="0"/>
              <w:spacing w:line="300" w:lineRule="exact"/>
              <w:jc w:val="center"/>
              <w:rPr>
                <w:rFonts w:hint="eastAsia" w:ascii="宋体" w:hAnsi="宋体"/>
                <w:color w:val="auto"/>
                <w:kern w:val="0"/>
                <w:szCs w:val="21"/>
              </w:rPr>
            </w:pPr>
          </w:p>
        </w:tc>
        <w:tc>
          <w:tcPr>
            <w:tcW w:w="1028" w:type="pct"/>
            <w:vAlign w:val="center"/>
          </w:tcPr>
          <w:p w14:paraId="108128DC">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南厂界</w:t>
            </w:r>
          </w:p>
        </w:tc>
        <w:tc>
          <w:tcPr>
            <w:tcW w:w="731" w:type="pct"/>
            <w:noWrap/>
            <w:vAlign w:val="center"/>
          </w:tcPr>
          <w:p w14:paraId="46093904">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45</w:t>
            </w:r>
          </w:p>
        </w:tc>
        <w:tc>
          <w:tcPr>
            <w:tcW w:w="808" w:type="pct"/>
            <w:vAlign w:val="center"/>
          </w:tcPr>
          <w:p w14:paraId="6ADD3806">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60</w:t>
            </w:r>
          </w:p>
        </w:tc>
        <w:tc>
          <w:tcPr>
            <w:tcW w:w="1025" w:type="pct"/>
            <w:vAlign w:val="center"/>
          </w:tcPr>
          <w:p w14:paraId="43BB3BC2">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w:t>
            </w:r>
          </w:p>
        </w:tc>
      </w:tr>
      <w:tr w14:paraId="0C6338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408" w:type="pct"/>
            <w:vMerge w:val="continue"/>
            <w:vAlign w:val="center"/>
          </w:tcPr>
          <w:p w14:paraId="226467A6">
            <w:pPr>
              <w:widowControl/>
              <w:adjustRightInd w:val="0"/>
              <w:snapToGrid w:val="0"/>
              <w:spacing w:line="300" w:lineRule="exact"/>
              <w:jc w:val="center"/>
              <w:rPr>
                <w:rFonts w:hint="eastAsia" w:ascii="宋体" w:hAnsi="宋体"/>
                <w:color w:val="auto"/>
                <w:kern w:val="0"/>
                <w:szCs w:val="21"/>
              </w:rPr>
            </w:pPr>
          </w:p>
        </w:tc>
        <w:tc>
          <w:tcPr>
            <w:tcW w:w="1028" w:type="pct"/>
            <w:vAlign w:val="center"/>
          </w:tcPr>
          <w:p w14:paraId="00E90C6C">
            <w:pPr>
              <w:widowControl/>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西厂界</w:t>
            </w:r>
          </w:p>
        </w:tc>
        <w:tc>
          <w:tcPr>
            <w:tcW w:w="731" w:type="pct"/>
            <w:noWrap/>
            <w:vAlign w:val="center"/>
          </w:tcPr>
          <w:p w14:paraId="078E444C">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43</w:t>
            </w:r>
          </w:p>
        </w:tc>
        <w:tc>
          <w:tcPr>
            <w:tcW w:w="808" w:type="pct"/>
            <w:vAlign w:val="center"/>
          </w:tcPr>
          <w:p w14:paraId="77DEC427">
            <w:pPr>
              <w:adjustRightInd w:val="0"/>
              <w:snapToGrid w:val="0"/>
              <w:spacing w:line="300" w:lineRule="exact"/>
              <w:jc w:val="center"/>
              <w:rPr>
                <w:rFonts w:hint="eastAsia" w:ascii="宋体" w:hAnsi="宋体"/>
                <w:color w:val="auto"/>
                <w:kern w:val="0"/>
                <w:szCs w:val="21"/>
              </w:rPr>
            </w:pPr>
            <w:r>
              <w:rPr>
                <w:rFonts w:ascii="宋体" w:hAnsi="宋体"/>
                <w:color w:val="auto"/>
                <w:kern w:val="0"/>
                <w:szCs w:val="21"/>
              </w:rPr>
              <w:t>60</w:t>
            </w:r>
          </w:p>
        </w:tc>
        <w:tc>
          <w:tcPr>
            <w:tcW w:w="1025" w:type="pct"/>
            <w:vAlign w:val="center"/>
          </w:tcPr>
          <w:p w14:paraId="38180421">
            <w:pPr>
              <w:adjustRightInd w:val="0"/>
              <w:snapToGrid w:val="0"/>
              <w:spacing w:line="300" w:lineRule="exact"/>
              <w:jc w:val="center"/>
              <w:rPr>
                <w:rFonts w:hint="eastAsia" w:ascii="宋体" w:hAnsi="宋体"/>
                <w:color w:val="auto"/>
                <w:kern w:val="0"/>
                <w:szCs w:val="21"/>
              </w:rPr>
            </w:pPr>
            <w:r>
              <w:rPr>
                <w:rFonts w:hint="eastAsia" w:ascii="宋体" w:hAnsi="宋体"/>
                <w:color w:val="auto"/>
                <w:kern w:val="0"/>
                <w:szCs w:val="21"/>
              </w:rPr>
              <w:t>达标</w:t>
            </w:r>
          </w:p>
        </w:tc>
      </w:tr>
    </w:tbl>
    <w:p w14:paraId="557AC65C">
      <w:pPr>
        <w:pStyle w:val="86"/>
        <w:ind w:firstLine="480"/>
        <w:rPr>
          <w:rFonts w:hint="eastAsia" w:ascii="黑体" w:hAnsi="黑体" w:eastAsia="黑体" w:cs="宋体"/>
          <w:color w:val="auto"/>
          <w:sz w:val="21"/>
          <w:szCs w:val="21"/>
        </w:rPr>
      </w:pPr>
      <w:r>
        <w:rPr>
          <w:rFonts w:hint="eastAsia"/>
          <w:color w:val="auto"/>
          <w:lang w:bidi="ar"/>
        </w:rPr>
        <w:t>由预测结果可知：莫27井、</w:t>
      </w:r>
      <w:r>
        <w:rPr>
          <w:rFonts w:hint="eastAsia"/>
          <w:color w:val="auto"/>
        </w:rPr>
        <w:t>莫172H井、莫174H井和充装区的</w:t>
      </w:r>
      <w:r>
        <w:rPr>
          <w:rFonts w:hint="eastAsia"/>
          <w:color w:val="auto"/>
          <w:lang w:bidi="ar"/>
        </w:rPr>
        <w:t>厂界四周噪声值均满足《工业企业厂界环境噪声排放标准》（GB12348-2008）2类标准限值要求</w:t>
      </w:r>
      <w:r>
        <w:rPr>
          <w:rFonts w:hint="eastAsia" w:cs="宋体"/>
          <w:color w:val="auto"/>
        </w:rPr>
        <w:t>。声环境评价范围内</w:t>
      </w:r>
      <w:r>
        <w:rPr>
          <w:rFonts w:hint="eastAsia"/>
          <w:color w:val="auto"/>
          <w:lang w:bidi="ar"/>
        </w:rPr>
        <w:t>无声环境敏感点，不会出现扰民现象，</w:t>
      </w:r>
      <w:r>
        <w:rPr>
          <w:rFonts w:cs="宋体"/>
          <w:color w:val="auto"/>
        </w:rPr>
        <w:t>不会对周围声环境产生明显的影响。</w:t>
      </w:r>
    </w:p>
    <w:bookmarkEnd w:id="691"/>
    <w:bookmarkEnd w:id="692"/>
    <w:bookmarkEnd w:id="693"/>
    <w:bookmarkEnd w:id="694"/>
    <w:bookmarkEnd w:id="695"/>
    <w:bookmarkEnd w:id="696"/>
    <w:bookmarkEnd w:id="697"/>
    <w:p w14:paraId="6218A50A">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698" w:name="_Toc445842101"/>
      <w:bookmarkStart w:id="699" w:name="_Toc13399"/>
      <w:bookmarkStart w:id="700" w:name="_Toc445996422"/>
      <w:r>
        <w:rPr>
          <w:rFonts w:hint="eastAsia" w:ascii="黑体" w:hAnsi="黑体" w:eastAsia="黑体" w:cs="Times New Roman"/>
          <w:color w:val="auto"/>
          <w:sz w:val="24"/>
          <w:szCs w:val="21"/>
          <w:lang w:val="zh-CN"/>
          <w14:ligatures w14:val="none"/>
        </w:rPr>
        <w:t>运营期固体废物</w:t>
      </w:r>
      <w:r>
        <w:rPr>
          <w:rFonts w:ascii="黑体" w:hAnsi="黑体" w:eastAsia="黑体" w:cs="Times New Roman"/>
          <w:color w:val="auto"/>
          <w:sz w:val="24"/>
          <w:szCs w:val="21"/>
          <w:lang w:val="zh-CN"/>
          <w14:ligatures w14:val="none"/>
        </w:rPr>
        <w:t>环境影响</w:t>
      </w:r>
      <w:bookmarkEnd w:id="698"/>
      <w:bookmarkEnd w:id="699"/>
      <w:bookmarkEnd w:id="700"/>
      <w:r>
        <w:rPr>
          <w:rFonts w:hint="eastAsia" w:ascii="黑体" w:hAnsi="黑体" w:eastAsia="黑体" w:cs="Times New Roman"/>
          <w:color w:val="auto"/>
          <w:sz w:val="24"/>
          <w:szCs w:val="21"/>
          <w:lang w:val="zh-CN"/>
          <w14:ligatures w14:val="none"/>
        </w:rPr>
        <w:t>分析</w:t>
      </w:r>
    </w:p>
    <w:p w14:paraId="668066DE">
      <w:pPr>
        <w:pStyle w:val="86"/>
        <w:ind w:firstLine="480" w:firstLineChars="0"/>
        <w:rPr>
          <w:rFonts w:hint="eastAsia"/>
          <w:color w:val="auto"/>
        </w:rPr>
      </w:pPr>
      <w:bookmarkStart w:id="701" w:name="_Hlk40434482"/>
      <w:bookmarkStart w:id="702" w:name="_Toc445842102"/>
      <w:bookmarkStart w:id="703" w:name="_Toc445996423"/>
      <w:bookmarkStart w:id="704" w:name="_Toc6279"/>
      <w:r>
        <w:rPr>
          <w:rFonts w:hint="eastAsia" w:cs="宋体"/>
          <w:color w:val="auto"/>
        </w:rPr>
        <w:t>固体废物主要为清罐底泥、废分子筛、废滤料、废润滑油、废润滑油桶、沾油废防渗材料、</w:t>
      </w:r>
      <w:r>
        <w:rPr>
          <w:rFonts w:hint="eastAsia" w:cs="宋体"/>
          <w:color w:val="auto"/>
          <w:lang w:val="zh-CN"/>
        </w:rPr>
        <w:t>废含油抹布及劳保用品</w:t>
      </w:r>
      <w:r>
        <w:rPr>
          <w:rFonts w:hint="eastAsia" w:cs="宋体"/>
          <w:color w:val="auto"/>
        </w:rPr>
        <w:t>，废分子筛、废滤料、</w:t>
      </w:r>
      <w:r>
        <w:rPr>
          <w:rFonts w:hint="eastAsia" w:cs="宋体"/>
          <w:color w:val="auto"/>
          <w:lang w:val="zh-CN"/>
        </w:rPr>
        <w:t>废含油抹布及劳保用品</w:t>
      </w:r>
      <w:r>
        <w:rPr>
          <w:rFonts w:hint="eastAsia" w:cs="宋体"/>
          <w:color w:val="auto"/>
        </w:rPr>
        <w:t>属于《国家危险废物名录（</w:t>
      </w:r>
      <w:r>
        <w:rPr>
          <w:rFonts w:cs="宋体"/>
          <w:color w:val="auto"/>
        </w:rPr>
        <w:t>20</w:t>
      </w:r>
      <w:r>
        <w:rPr>
          <w:rFonts w:hint="eastAsia" w:cs="宋体"/>
          <w:color w:val="auto"/>
        </w:rPr>
        <w:t>25年版</w:t>
      </w:r>
      <w:r>
        <w:rPr>
          <w:rFonts w:cs="宋体"/>
          <w:color w:val="auto"/>
        </w:rPr>
        <w:t>）</w:t>
      </w:r>
      <w:r>
        <w:rPr>
          <w:rFonts w:hint="eastAsia" w:cs="宋体"/>
          <w:color w:val="auto"/>
        </w:rPr>
        <w:t>》H</w:t>
      </w:r>
      <w:r>
        <w:rPr>
          <w:rFonts w:cs="宋体"/>
          <w:color w:val="auto"/>
        </w:rPr>
        <w:t>W49</w:t>
      </w:r>
      <w:r>
        <w:rPr>
          <w:rFonts w:hint="eastAsia" w:cs="宋体"/>
          <w:color w:val="auto"/>
        </w:rPr>
        <w:t>其他废物，清罐底泥、废润滑油、废润滑油桶和沾油废防渗材料</w:t>
      </w:r>
      <w:r>
        <w:rPr>
          <w:rFonts w:hint="eastAsia"/>
          <w:color w:val="auto"/>
        </w:rPr>
        <w:t>属于</w:t>
      </w:r>
      <w:r>
        <w:rPr>
          <w:rFonts w:hint="eastAsia" w:cs="宋体"/>
          <w:color w:val="auto"/>
        </w:rPr>
        <w:t>《国家危险废物名录（</w:t>
      </w:r>
      <w:r>
        <w:rPr>
          <w:rFonts w:cs="宋体"/>
          <w:color w:val="auto"/>
        </w:rPr>
        <w:t>20</w:t>
      </w:r>
      <w:r>
        <w:rPr>
          <w:rFonts w:hint="eastAsia" w:cs="宋体"/>
          <w:color w:val="auto"/>
        </w:rPr>
        <w:t>25年版</w:t>
      </w:r>
      <w:r>
        <w:rPr>
          <w:rFonts w:cs="宋体"/>
          <w:color w:val="auto"/>
        </w:rPr>
        <w:t>）</w:t>
      </w:r>
      <w:r>
        <w:rPr>
          <w:rFonts w:hint="eastAsia" w:cs="宋体"/>
          <w:color w:val="auto"/>
        </w:rPr>
        <w:t>》</w:t>
      </w:r>
      <w:r>
        <w:rPr>
          <w:rFonts w:cs="宋体"/>
          <w:color w:val="auto"/>
        </w:rPr>
        <w:t>HW08废矿物油与含矿物油类危险废物</w:t>
      </w:r>
      <w:r>
        <w:rPr>
          <w:rFonts w:hint="eastAsia" w:cs="宋体"/>
          <w:color w:val="auto"/>
        </w:rPr>
        <w:t>。废分子筛、废滤料、废润滑油桶、沾油废防渗材料、</w:t>
      </w:r>
      <w:r>
        <w:rPr>
          <w:rFonts w:hint="eastAsia" w:cs="宋体"/>
          <w:color w:val="auto"/>
          <w:lang w:val="zh-CN"/>
        </w:rPr>
        <w:t>废含油抹布及劳保用品</w:t>
      </w:r>
      <w:r>
        <w:rPr>
          <w:rFonts w:hint="eastAsia" w:cs="宋体"/>
          <w:color w:val="auto"/>
        </w:rPr>
        <w:t>集中收集后临时贮存在石西油田作业区危险废物临时储存场所，定期交由有相应危险废物处理资质的单位回收处置，清罐底泥、废润滑油直接交由有相应危险废物处理资质的单位回收处置，不贮存，危险废物的收集满足《危险废物收集 贮存 运输 技术规范》（HJ2025-2012）中的相关要求。石西油田作业区与克拉玛依市博达生态环保科技有限责任公司签订了危险废物处置协议，</w:t>
      </w:r>
      <w:r>
        <w:rPr>
          <w:rFonts w:hint="eastAsia"/>
          <w:color w:val="auto"/>
        </w:rPr>
        <w:t>产生的危险废物可</w:t>
      </w:r>
      <w:r>
        <w:rPr>
          <w:rFonts w:hint="eastAsia" w:cs="宋体"/>
          <w:color w:val="auto"/>
        </w:rPr>
        <w:t>得到妥善处置。生活垃圾送至玛纳斯县生活垃圾填埋场处理。</w:t>
      </w:r>
    </w:p>
    <w:p w14:paraId="66F7449D">
      <w:pPr>
        <w:pStyle w:val="86"/>
        <w:ind w:firstLine="480"/>
        <w:rPr>
          <w:rFonts w:hint="eastAsia" w:cs="宋体"/>
          <w:color w:val="auto"/>
        </w:rPr>
      </w:pPr>
      <w:r>
        <w:rPr>
          <w:rFonts w:hint="eastAsia" w:cs="宋体"/>
          <w:color w:val="auto"/>
        </w:rPr>
        <w:t>综上所述，固体废物均得到妥善处理，不会对周围环境造成不利影响。</w:t>
      </w:r>
    </w:p>
    <w:bookmarkEnd w:id="701"/>
    <w:p w14:paraId="37101F71">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运营期土壤</w:t>
      </w:r>
      <w:r>
        <w:rPr>
          <w:rFonts w:ascii="黑体" w:hAnsi="黑体" w:eastAsia="黑体" w:cs="Times New Roman"/>
          <w:color w:val="auto"/>
          <w:sz w:val="24"/>
          <w:szCs w:val="21"/>
          <w:lang w:val="zh-CN"/>
          <w14:ligatures w14:val="none"/>
        </w:rPr>
        <w:t>环境影响</w:t>
      </w:r>
      <w:r>
        <w:rPr>
          <w:rFonts w:hint="eastAsia" w:ascii="黑体" w:hAnsi="黑体" w:eastAsia="黑体" w:cs="Times New Roman"/>
          <w:color w:val="auto"/>
          <w:sz w:val="24"/>
          <w:szCs w:val="21"/>
          <w:lang w:val="zh-CN"/>
          <w14:ligatures w14:val="none"/>
        </w:rPr>
        <w:t>分析</w:t>
      </w:r>
    </w:p>
    <w:bookmarkEnd w:id="702"/>
    <w:bookmarkEnd w:id="703"/>
    <w:bookmarkEnd w:id="704"/>
    <w:p w14:paraId="0092F4D1">
      <w:pPr>
        <w:pStyle w:val="86"/>
        <w:ind w:firstLine="480"/>
        <w:rPr>
          <w:rFonts w:hint="eastAsia" w:cs="宋体"/>
          <w:color w:val="auto"/>
        </w:rPr>
      </w:pPr>
      <w:bookmarkStart w:id="705" w:name="_Toc475624483"/>
      <w:bookmarkStart w:id="706" w:name="_Toc474416145"/>
      <w:bookmarkStart w:id="707" w:name="_Toc474793588"/>
      <w:r>
        <w:rPr>
          <w:rFonts w:hint="eastAsia" w:cs="宋体"/>
          <w:color w:val="auto"/>
        </w:rPr>
        <w:t>根据《环境影响评价技术导则</w:t>
      </w:r>
      <w:r>
        <w:rPr>
          <w:rFonts w:cs="宋体"/>
          <w:color w:val="auto"/>
        </w:rPr>
        <w:t xml:space="preserve"> 土壤环境（试行）》（HJ 964-2018）</w:t>
      </w:r>
      <w:r>
        <w:rPr>
          <w:rFonts w:hint="eastAsia" w:cs="宋体"/>
          <w:color w:val="auto"/>
        </w:rPr>
        <w:t>，事故状态下对土壤环境的影响主要为污染影响型，对土壤环境的影响主要为采油管线和储油罐发生破裂泄漏的原油垂直入渗对土壤的影响，运营期土壤环境影响源及影响因子识别详见表</w:t>
      </w:r>
      <w:r>
        <w:rPr>
          <w:rFonts w:cs="宋体"/>
          <w:color w:val="auto"/>
        </w:rPr>
        <w:t>5.2</w:t>
      </w:r>
      <w:r>
        <w:rPr>
          <w:rFonts w:hint="eastAsia" w:cs="宋体"/>
          <w:color w:val="auto"/>
        </w:rPr>
        <w:t>-12。</w:t>
      </w:r>
    </w:p>
    <w:p w14:paraId="20C6A356">
      <w:pPr>
        <w:pStyle w:val="15"/>
        <w:adjustRightInd w:val="0"/>
        <w:snapToGrid w:val="0"/>
        <w:spacing w:line="500" w:lineRule="exact"/>
        <w:rPr>
          <w:rFonts w:hint="eastAsia"/>
          <w:bCs/>
          <w:color w:val="auto"/>
        </w:rPr>
      </w:pPr>
      <w:r>
        <w:rPr>
          <w:rFonts w:hint="eastAsia"/>
          <w:bCs/>
          <w:color w:val="auto"/>
        </w:rPr>
        <w:t>表</w:t>
      </w:r>
      <w:r>
        <w:rPr>
          <w:bCs/>
          <w:color w:val="auto"/>
        </w:rPr>
        <w:t>5.2</w:t>
      </w:r>
      <w:r>
        <w:rPr>
          <w:rFonts w:hint="eastAsia"/>
          <w:bCs/>
          <w:color w:val="auto"/>
        </w:rPr>
        <w:t xml:space="preserve">-12  </w:t>
      </w:r>
      <w:r>
        <w:rPr>
          <w:bCs/>
          <w:color w:val="auto"/>
        </w:rPr>
        <w:t xml:space="preserve"> </w:t>
      </w:r>
      <w:r>
        <w:rPr>
          <w:rFonts w:hint="eastAsia"/>
          <w:bCs/>
          <w:color w:val="auto"/>
        </w:rPr>
        <w:t xml:space="preserve"> 运营期土壤环境影响源及影响因子识别表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6"/>
        <w:gridCol w:w="2326"/>
        <w:gridCol w:w="1448"/>
        <w:gridCol w:w="1790"/>
        <w:gridCol w:w="1786"/>
      </w:tblGrid>
      <w:tr w14:paraId="28E6C2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2" w:type="pct"/>
            <w:vAlign w:val="center"/>
          </w:tcPr>
          <w:p w14:paraId="7F74D090">
            <w:pPr>
              <w:jc w:val="center"/>
              <w:rPr>
                <w:rFonts w:hint="eastAsia" w:ascii="宋体" w:hAnsi="宋体"/>
                <w:color w:val="auto"/>
              </w:rPr>
            </w:pPr>
            <w:r>
              <w:rPr>
                <w:rFonts w:hint="eastAsia" w:ascii="宋体" w:hAnsi="宋体"/>
                <w:color w:val="auto"/>
              </w:rPr>
              <w:t>污染源</w:t>
            </w:r>
          </w:p>
        </w:tc>
        <w:tc>
          <w:tcPr>
            <w:tcW w:w="1300" w:type="pct"/>
            <w:vAlign w:val="center"/>
          </w:tcPr>
          <w:p w14:paraId="3F72241A">
            <w:pPr>
              <w:jc w:val="center"/>
              <w:rPr>
                <w:rFonts w:hint="eastAsia" w:ascii="宋体" w:hAnsi="宋体"/>
                <w:color w:val="auto"/>
              </w:rPr>
            </w:pPr>
            <w:r>
              <w:rPr>
                <w:rFonts w:hint="eastAsia" w:ascii="宋体" w:hAnsi="宋体"/>
                <w:color w:val="auto"/>
              </w:rPr>
              <w:t>工艺流程/节点</w:t>
            </w:r>
          </w:p>
        </w:tc>
        <w:tc>
          <w:tcPr>
            <w:tcW w:w="809" w:type="pct"/>
            <w:vAlign w:val="center"/>
          </w:tcPr>
          <w:p w14:paraId="18DFDE60">
            <w:pPr>
              <w:jc w:val="center"/>
              <w:rPr>
                <w:rFonts w:hint="eastAsia" w:ascii="宋体" w:hAnsi="宋体"/>
                <w:color w:val="auto"/>
              </w:rPr>
            </w:pPr>
            <w:r>
              <w:rPr>
                <w:rFonts w:hint="eastAsia" w:ascii="宋体" w:hAnsi="宋体"/>
                <w:color w:val="auto"/>
              </w:rPr>
              <w:t>污染途径</w:t>
            </w:r>
          </w:p>
        </w:tc>
        <w:tc>
          <w:tcPr>
            <w:tcW w:w="1000" w:type="pct"/>
            <w:vAlign w:val="center"/>
          </w:tcPr>
          <w:p w14:paraId="5F62D60D">
            <w:pPr>
              <w:jc w:val="center"/>
              <w:rPr>
                <w:rFonts w:hint="eastAsia" w:ascii="宋体" w:hAnsi="宋体"/>
                <w:color w:val="auto"/>
              </w:rPr>
            </w:pPr>
            <w:r>
              <w:rPr>
                <w:rFonts w:hint="eastAsia" w:ascii="宋体" w:hAnsi="宋体"/>
                <w:color w:val="auto"/>
              </w:rPr>
              <w:t>全部污染物指标</w:t>
            </w:r>
          </w:p>
        </w:tc>
        <w:tc>
          <w:tcPr>
            <w:tcW w:w="998" w:type="pct"/>
            <w:vAlign w:val="center"/>
          </w:tcPr>
          <w:p w14:paraId="6DBA8E02">
            <w:pPr>
              <w:jc w:val="center"/>
              <w:rPr>
                <w:rFonts w:hint="eastAsia" w:ascii="宋体" w:hAnsi="宋体"/>
                <w:color w:val="auto"/>
              </w:rPr>
            </w:pPr>
            <w:r>
              <w:rPr>
                <w:rFonts w:hint="eastAsia" w:ascii="宋体" w:hAnsi="宋体"/>
                <w:color w:val="auto"/>
              </w:rPr>
              <w:t>特征因子</w:t>
            </w:r>
          </w:p>
        </w:tc>
      </w:tr>
      <w:tr w14:paraId="3FD10D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2" w:type="pct"/>
            <w:vAlign w:val="center"/>
          </w:tcPr>
          <w:p w14:paraId="37AEAEE8">
            <w:pPr>
              <w:jc w:val="center"/>
              <w:rPr>
                <w:rFonts w:hint="eastAsia" w:ascii="宋体" w:hAnsi="宋体"/>
                <w:color w:val="auto"/>
              </w:rPr>
            </w:pPr>
            <w:r>
              <w:rPr>
                <w:rFonts w:hint="eastAsia" w:ascii="宋体" w:hAnsi="宋体"/>
                <w:color w:val="auto"/>
              </w:rPr>
              <w:t>单井采油管线和储油罐</w:t>
            </w:r>
          </w:p>
        </w:tc>
        <w:tc>
          <w:tcPr>
            <w:tcW w:w="1300" w:type="pct"/>
            <w:vAlign w:val="center"/>
          </w:tcPr>
          <w:p w14:paraId="4378D9BD">
            <w:pPr>
              <w:jc w:val="center"/>
              <w:rPr>
                <w:rFonts w:hint="eastAsia" w:ascii="宋体" w:hAnsi="宋体"/>
                <w:color w:val="auto"/>
              </w:rPr>
            </w:pPr>
            <w:r>
              <w:rPr>
                <w:rFonts w:hint="eastAsia" w:ascii="宋体" w:hAnsi="宋体"/>
                <w:color w:val="auto"/>
              </w:rPr>
              <w:t>单井采油管线和储油罐</w:t>
            </w:r>
          </w:p>
        </w:tc>
        <w:tc>
          <w:tcPr>
            <w:tcW w:w="809" w:type="pct"/>
            <w:vAlign w:val="center"/>
          </w:tcPr>
          <w:p w14:paraId="0E46113D">
            <w:pPr>
              <w:jc w:val="center"/>
              <w:rPr>
                <w:rFonts w:hint="eastAsia" w:ascii="宋体" w:hAnsi="宋体"/>
                <w:color w:val="auto"/>
              </w:rPr>
            </w:pPr>
            <w:r>
              <w:rPr>
                <w:rFonts w:hint="eastAsia" w:ascii="宋体" w:hAnsi="宋体"/>
                <w:color w:val="auto"/>
              </w:rPr>
              <w:t>垂直入渗</w:t>
            </w:r>
          </w:p>
        </w:tc>
        <w:tc>
          <w:tcPr>
            <w:tcW w:w="1000" w:type="pct"/>
            <w:vAlign w:val="center"/>
          </w:tcPr>
          <w:p w14:paraId="31100204">
            <w:pPr>
              <w:jc w:val="center"/>
              <w:rPr>
                <w:rFonts w:hint="eastAsia" w:ascii="宋体" w:hAnsi="宋体"/>
                <w:color w:val="auto"/>
              </w:rPr>
            </w:pPr>
            <w:r>
              <w:rPr>
                <w:rFonts w:hint="eastAsia" w:ascii="宋体" w:hAnsi="宋体"/>
                <w:color w:val="auto"/>
              </w:rPr>
              <w:t>石油烃</w:t>
            </w:r>
          </w:p>
        </w:tc>
        <w:tc>
          <w:tcPr>
            <w:tcW w:w="998" w:type="pct"/>
            <w:vAlign w:val="center"/>
          </w:tcPr>
          <w:p w14:paraId="4E2A176A">
            <w:pPr>
              <w:jc w:val="center"/>
              <w:rPr>
                <w:rFonts w:hint="eastAsia" w:ascii="宋体" w:hAnsi="宋体"/>
                <w:color w:val="auto"/>
              </w:rPr>
            </w:pPr>
            <w:r>
              <w:rPr>
                <w:rFonts w:hint="eastAsia" w:ascii="宋体" w:hAnsi="宋体"/>
                <w:color w:val="auto"/>
              </w:rPr>
              <w:t>石油烃</w:t>
            </w:r>
          </w:p>
        </w:tc>
      </w:tr>
    </w:tbl>
    <w:p w14:paraId="5206B3B0">
      <w:pPr>
        <w:pStyle w:val="86"/>
        <w:ind w:firstLine="480"/>
        <w:rPr>
          <w:rFonts w:hint="eastAsia"/>
          <w:color w:val="auto"/>
        </w:rPr>
      </w:pPr>
      <w:bookmarkStart w:id="708" w:name="_Hlk115193801"/>
      <w:r>
        <w:rPr>
          <w:rFonts w:hint="eastAsia"/>
          <w:color w:val="auto"/>
        </w:rPr>
        <w:t>根据《环境影响评价技术导则</w:t>
      </w:r>
      <w:r>
        <w:rPr>
          <w:color w:val="auto"/>
        </w:rPr>
        <w:t xml:space="preserve">  土壤环境（试行）》（HJ964-02018）8.7.3污染影响型</w:t>
      </w:r>
      <w:r>
        <w:rPr>
          <w:rFonts w:hint="eastAsia"/>
          <w:color w:val="auto"/>
        </w:rPr>
        <w:t>——</w:t>
      </w:r>
      <w:r>
        <w:rPr>
          <w:color w:val="auto"/>
        </w:rPr>
        <w:t>评价工作等级为</w:t>
      </w:r>
      <w:r>
        <w:rPr>
          <w:rFonts w:hint="eastAsia"/>
          <w:color w:val="auto"/>
        </w:rPr>
        <w:t>二</w:t>
      </w:r>
      <w:r>
        <w:rPr>
          <w:color w:val="auto"/>
        </w:rPr>
        <w:t>级的建设项目，</w:t>
      </w:r>
      <w:r>
        <w:rPr>
          <w:rFonts w:hint="eastAsia"/>
          <w:color w:val="auto"/>
        </w:rPr>
        <w:t>预测方法可参见附录E或类比分析进行预测。本次评价采用类比分析法预测项目实施对土壤环境的影响。管线和储油罐发生泄漏后，泄漏的采出液通过垂直入渗的方式进入管线、新增设备污染下方及周边土壤，使受浸染的土壤理化性状发生变化，对土壤产生一定的影响。</w:t>
      </w:r>
    </w:p>
    <w:p w14:paraId="66283ADB">
      <w:pPr>
        <w:pStyle w:val="86"/>
        <w:ind w:firstLine="480"/>
        <w:rPr>
          <w:rFonts w:hint="eastAsia" w:cs="宋体"/>
          <w:color w:val="auto"/>
        </w:rPr>
      </w:pPr>
      <w:r>
        <w:rPr>
          <w:rFonts w:cs="宋体"/>
          <w:color w:val="auto"/>
        </w:rPr>
        <w:t>本次评价</w:t>
      </w:r>
      <w:bookmarkStart w:id="709" w:name="_Hlk115191896"/>
      <w:bookmarkStart w:id="710" w:name="_Hlk109730584"/>
      <w:r>
        <w:rPr>
          <w:rFonts w:hint="eastAsia" w:cs="宋体"/>
          <w:color w:val="auto"/>
        </w:rPr>
        <w:t>引用的《</w:t>
      </w:r>
      <w:bookmarkStart w:id="711" w:name="_Hlk115191207"/>
      <w:r>
        <w:rPr>
          <w:rFonts w:hint="eastAsia" w:cs="宋体"/>
          <w:color w:val="auto"/>
        </w:rPr>
        <w:t>石西油田作业区石南</w:t>
      </w:r>
      <w:r>
        <w:rPr>
          <w:rFonts w:cs="宋体"/>
          <w:color w:val="auto"/>
        </w:rPr>
        <w:t>4原油转输管线</w:t>
      </w:r>
      <w:bookmarkEnd w:id="711"/>
      <w:r>
        <w:rPr>
          <w:rFonts w:cs="宋体"/>
          <w:color w:val="auto"/>
        </w:rPr>
        <w:t>安全隐患治理工程</w:t>
      </w:r>
      <w:r>
        <w:rPr>
          <w:rFonts w:hint="eastAsia" w:cs="宋体"/>
          <w:color w:val="auto"/>
        </w:rPr>
        <w:t>》</w:t>
      </w:r>
      <w:bookmarkEnd w:id="709"/>
      <w:r>
        <w:rPr>
          <w:rFonts w:hint="eastAsia" w:cs="宋体"/>
          <w:color w:val="auto"/>
        </w:rPr>
        <w:t>中发生过原油泄漏并进行过应急处置的管段土壤环境质量现状监测数据来进行类比分析说明本项目单井采油管线事故状态下原油泄漏对土壤环境的影响，监测数据详见表</w:t>
      </w:r>
      <w:r>
        <w:rPr>
          <w:rFonts w:cs="宋体"/>
          <w:color w:val="auto"/>
        </w:rPr>
        <w:t>5.2</w:t>
      </w:r>
      <w:r>
        <w:rPr>
          <w:rFonts w:hint="eastAsia" w:cs="宋体"/>
          <w:color w:val="auto"/>
        </w:rPr>
        <w:t>-13。</w:t>
      </w:r>
    </w:p>
    <w:p w14:paraId="3066CE2F">
      <w:pPr>
        <w:pStyle w:val="134"/>
        <w:rPr>
          <w:rFonts w:hint="eastAsia"/>
          <w:color w:val="auto"/>
        </w:rPr>
      </w:pPr>
      <w:r>
        <w:rPr>
          <w:color w:val="auto"/>
        </w:rPr>
        <w:t>表5.2</w:t>
      </w:r>
      <w:r>
        <w:rPr>
          <w:rFonts w:hint="eastAsia"/>
          <w:color w:val="auto"/>
        </w:rPr>
        <w:t xml:space="preserve">-13 </w:t>
      </w:r>
      <w:r>
        <w:rPr>
          <w:color w:val="auto"/>
        </w:rPr>
        <w:t xml:space="preserve">  </w:t>
      </w:r>
      <w:r>
        <w:rPr>
          <w:rFonts w:hint="eastAsia"/>
          <w:color w:val="auto"/>
        </w:rPr>
        <w:t>《石西油田作业区石南</w:t>
      </w:r>
      <w:r>
        <w:rPr>
          <w:color w:val="auto"/>
        </w:rPr>
        <w:t>4原油转输管线安全隐患治理工程</w:t>
      </w:r>
      <w:r>
        <w:rPr>
          <w:rFonts w:hint="eastAsia"/>
          <w:color w:val="auto"/>
        </w:rPr>
        <w:t>》土壤监测结果一览表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76"/>
        <w:gridCol w:w="1134"/>
        <w:gridCol w:w="846"/>
        <w:gridCol w:w="1140"/>
        <w:gridCol w:w="1134"/>
        <w:gridCol w:w="1136"/>
        <w:gridCol w:w="991"/>
        <w:gridCol w:w="1137"/>
        <w:gridCol w:w="752"/>
      </w:tblGrid>
      <w:tr w14:paraId="08A809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restart"/>
            <w:vAlign w:val="center"/>
          </w:tcPr>
          <w:p w14:paraId="7300A6C1">
            <w:pPr>
              <w:jc w:val="center"/>
              <w:rPr>
                <w:rFonts w:hint="eastAsia" w:ascii="宋体" w:hAnsi="宋体"/>
                <w:color w:val="auto"/>
              </w:rPr>
            </w:pPr>
            <w:bookmarkStart w:id="712" w:name="_Hlk110354415"/>
            <w:r>
              <w:rPr>
                <w:rFonts w:hint="eastAsia" w:ascii="宋体" w:hAnsi="宋体"/>
                <w:color w:val="auto"/>
              </w:rPr>
              <w:t>点位</w:t>
            </w:r>
            <w:r>
              <w:rPr>
                <w:rFonts w:ascii="宋体" w:hAnsi="宋体"/>
                <w:color w:val="auto"/>
              </w:rPr>
              <w:t>编号</w:t>
            </w:r>
          </w:p>
        </w:tc>
        <w:tc>
          <w:tcPr>
            <w:tcW w:w="634" w:type="pct"/>
            <w:vMerge w:val="restart"/>
            <w:vAlign w:val="center"/>
          </w:tcPr>
          <w:p w14:paraId="7B0A3777">
            <w:pPr>
              <w:jc w:val="center"/>
              <w:rPr>
                <w:rFonts w:hint="eastAsia" w:ascii="宋体" w:hAnsi="宋体"/>
                <w:color w:val="auto"/>
              </w:rPr>
            </w:pPr>
            <w:r>
              <w:rPr>
                <w:rFonts w:hint="eastAsia" w:ascii="宋体" w:hAnsi="宋体"/>
                <w:color w:val="auto"/>
              </w:rPr>
              <w:t>监测因子</w:t>
            </w:r>
          </w:p>
        </w:tc>
        <w:tc>
          <w:tcPr>
            <w:tcW w:w="3568" w:type="pct"/>
            <w:gridSpan w:val="6"/>
            <w:vAlign w:val="center"/>
          </w:tcPr>
          <w:p w14:paraId="51FECC16">
            <w:pPr>
              <w:jc w:val="center"/>
              <w:rPr>
                <w:rFonts w:hint="eastAsia" w:ascii="宋体" w:hAnsi="宋体"/>
                <w:color w:val="auto"/>
              </w:rPr>
            </w:pPr>
            <w:r>
              <w:rPr>
                <w:rFonts w:hint="eastAsia" w:ascii="宋体" w:hAnsi="宋体"/>
                <w:color w:val="auto"/>
              </w:rPr>
              <w:t>（柱状样）检测值</w:t>
            </w:r>
            <w:r>
              <w:rPr>
                <w:rFonts w:ascii="宋体" w:hAnsi="宋体"/>
                <w:color w:val="auto"/>
              </w:rPr>
              <w:t>（</w:t>
            </w:r>
            <w:r>
              <w:rPr>
                <w:rFonts w:hint="eastAsia" w:ascii="宋体" w:hAnsi="宋体"/>
                <w:color w:val="auto"/>
              </w:rPr>
              <w:t>m</w:t>
            </w:r>
            <w:r>
              <w:rPr>
                <w:rFonts w:ascii="宋体" w:hAnsi="宋体"/>
                <w:color w:val="auto"/>
              </w:rPr>
              <w:t>g/</w:t>
            </w:r>
            <w:r>
              <w:rPr>
                <w:rFonts w:hint="eastAsia" w:ascii="宋体" w:hAnsi="宋体"/>
                <w:color w:val="auto"/>
              </w:rPr>
              <w:t>kg</w:t>
            </w:r>
            <w:r>
              <w:rPr>
                <w:rFonts w:ascii="宋体" w:hAnsi="宋体"/>
                <w:color w:val="auto"/>
              </w:rPr>
              <w:t>）</w:t>
            </w:r>
          </w:p>
        </w:tc>
        <w:tc>
          <w:tcPr>
            <w:tcW w:w="420" w:type="pct"/>
            <w:vMerge w:val="restart"/>
            <w:vAlign w:val="center"/>
          </w:tcPr>
          <w:p w14:paraId="36E84B93">
            <w:pPr>
              <w:jc w:val="center"/>
              <w:rPr>
                <w:rFonts w:hint="eastAsia" w:ascii="宋体" w:hAnsi="宋体"/>
                <w:color w:val="auto"/>
              </w:rPr>
            </w:pPr>
            <w:r>
              <w:rPr>
                <w:rFonts w:hint="eastAsia" w:ascii="宋体" w:hAnsi="宋体"/>
                <w:color w:val="auto"/>
              </w:rPr>
              <w:t>达标情况</w:t>
            </w:r>
          </w:p>
        </w:tc>
      </w:tr>
      <w:tr w14:paraId="7AE195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317743E6">
            <w:pPr>
              <w:jc w:val="center"/>
              <w:rPr>
                <w:rFonts w:hint="eastAsia" w:ascii="宋体" w:hAnsi="宋体"/>
                <w:color w:val="auto"/>
              </w:rPr>
            </w:pPr>
          </w:p>
        </w:tc>
        <w:tc>
          <w:tcPr>
            <w:tcW w:w="634" w:type="pct"/>
            <w:vMerge w:val="continue"/>
            <w:vAlign w:val="center"/>
          </w:tcPr>
          <w:p w14:paraId="4774A71F">
            <w:pPr>
              <w:jc w:val="center"/>
              <w:rPr>
                <w:rFonts w:hint="eastAsia" w:ascii="宋体" w:hAnsi="宋体"/>
                <w:color w:val="auto"/>
              </w:rPr>
            </w:pPr>
          </w:p>
        </w:tc>
        <w:tc>
          <w:tcPr>
            <w:tcW w:w="1110" w:type="pct"/>
            <w:gridSpan w:val="2"/>
            <w:tcBorders>
              <w:bottom w:val="single" w:color="auto" w:sz="4" w:space="0"/>
            </w:tcBorders>
            <w:vAlign w:val="center"/>
          </w:tcPr>
          <w:p w14:paraId="613C1E8F">
            <w:pPr>
              <w:jc w:val="center"/>
              <w:rPr>
                <w:rFonts w:hint="eastAsia" w:ascii="宋体" w:hAnsi="宋体"/>
                <w:color w:val="auto"/>
              </w:rPr>
            </w:pPr>
            <w:r>
              <w:rPr>
                <w:rFonts w:hint="eastAsia" w:ascii="宋体" w:hAnsi="宋体"/>
                <w:color w:val="auto"/>
              </w:rPr>
              <w:t>0～</w:t>
            </w:r>
            <w:r>
              <w:rPr>
                <w:rFonts w:ascii="宋体" w:hAnsi="宋体"/>
                <w:color w:val="auto"/>
              </w:rPr>
              <w:t>0.5</w:t>
            </w:r>
            <w:r>
              <w:rPr>
                <w:rFonts w:hint="eastAsia" w:ascii="宋体" w:hAnsi="宋体"/>
                <w:color w:val="auto"/>
              </w:rPr>
              <w:t>m</w:t>
            </w:r>
          </w:p>
        </w:tc>
        <w:tc>
          <w:tcPr>
            <w:tcW w:w="1269" w:type="pct"/>
            <w:gridSpan w:val="2"/>
            <w:tcBorders>
              <w:bottom w:val="single" w:color="auto" w:sz="4" w:space="0"/>
            </w:tcBorders>
            <w:vAlign w:val="center"/>
          </w:tcPr>
          <w:p w14:paraId="5A6D4D08">
            <w:pPr>
              <w:jc w:val="center"/>
              <w:rPr>
                <w:rFonts w:hint="eastAsia" w:ascii="宋体" w:hAnsi="宋体"/>
                <w:color w:val="auto"/>
              </w:rPr>
            </w:pPr>
            <w:r>
              <w:rPr>
                <w:rFonts w:ascii="宋体" w:hAnsi="宋体"/>
                <w:color w:val="auto"/>
              </w:rPr>
              <w:t>0.5</w:t>
            </w:r>
            <w:r>
              <w:rPr>
                <w:rFonts w:hint="eastAsia" w:ascii="宋体" w:hAnsi="宋体"/>
                <w:color w:val="auto"/>
              </w:rPr>
              <w:t>～1</w:t>
            </w:r>
            <w:r>
              <w:rPr>
                <w:rFonts w:ascii="宋体" w:hAnsi="宋体"/>
                <w:color w:val="auto"/>
              </w:rPr>
              <w:t>.5</w:t>
            </w:r>
            <w:r>
              <w:rPr>
                <w:rFonts w:hint="eastAsia" w:ascii="宋体" w:hAnsi="宋体"/>
                <w:color w:val="auto"/>
              </w:rPr>
              <w:t>m</w:t>
            </w:r>
          </w:p>
        </w:tc>
        <w:tc>
          <w:tcPr>
            <w:tcW w:w="1189" w:type="pct"/>
            <w:gridSpan w:val="2"/>
            <w:tcBorders>
              <w:bottom w:val="single" w:color="auto" w:sz="4" w:space="0"/>
            </w:tcBorders>
            <w:vAlign w:val="center"/>
          </w:tcPr>
          <w:p w14:paraId="2E311A21">
            <w:pPr>
              <w:jc w:val="center"/>
              <w:rPr>
                <w:rFonts w:hint="eastAsia" w:ascii="宋体" w:hAnsi="宋体"/>
                <w:color w:val="auto"/>
              </w:rPr>
            </w:pPr>
            <w:r>
              <w:rPr>
                <w:rFonts w:hint="eastAsia" w:ascii="宋体" w:hAnsi="宋体"/>
                <w:color w:val="auto"/>
              </w:rPr>
              <w:t>1</w:t>
            </w:r>
            <w:r>
              <w:rPr>
                <w:rFonts w:ascii="宋体" w:hAnsi="宋体"/>
                <w:color w:val="auto"/>
              </w:rPr>
              <w:t>.5</w:t>
            </w:r>
            <w:r>
              <w:rPr>
                <w:rFonts w:hint="eastAsia" w:ascii="宋体" w:hAnsi="宋体"/>
                <w:color w:val="auto"/>
              </w:rPr>
              <w:t>～3m</w:t>
            </w:r>
          </w:p>
        </w:tc>
        <w:tc>
          <w:tcPr>
            <w:tcW w:w="420" w:type="pct"/>
            <w:vMerge w:val="continue"/>
            <w:vAlign w:val="center"/>
          </w:tcPr>
          <w:p w14:paraId="2CC41EE2">
            <w:pPr>
              <w:jc w:val="center"/>
              <w:rPr>
                <w:rFonts w:hint="eastAsia" w:ascii="宋体" w:hAnsi="宋体"/>
                <w:color w:val="auto"/>
              </w:rPr>
            </w:pPr>
          </w:p>
        </w:tc>
      </w:tr>
      <w:tr w14:paraId="3AD939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3B21C77C">
            <w:pPr>
              <w:jc w:val="center"/>
              <w:rPr>
                <w:rFonts w:hint="eastAsia" w:ascii="宋体" w:hAnsi="宋体"/>
                <w:color w:val="auto"/>
              </w:rPr>
            </w:pPr>
          </w:p>
        </w:tc>
        <w:tc>
          <w:tcPr>
            <w:tcW w:w="634" w:type="pct"/>
            <w:vMerge w:val="continue"/>
            <w:vAlign w:val="center"/>
          </w:tcPr>
          <w:p w14:paraId="19EEAD00">
            <w:pPr>
              <w:jc w:val="center"/>
              <w:rPr>
                <w:rFonts w:hint="eastAsia" w:ascii="宋体" w:hAnsi="宋体"/>
                <w:color w:val="auto"/>
              </w:rPr>
            </w:pPr>
          </w:p>
        </w:tc>
        <w:tc>
          <w:tcPr>
            <w:tcW w:w="473" w:type="pct"/>
            <w:tcBorders>
              <w:top w:val="single" w:color="auto" w:sz="4" w:space="0"/>
              <w:right w:val="single" w:color="auto" w:sz="4" w:space="0"/>
            </w:tcBorders>
            <w:vAlign w:val="center"/>
          </w:tcPr>
          <w:p w14:paraId="746FA161">
            <w:pPr>
              <w:jc w:val="center"/>
              <w:rPr>
                <w:rFonts w:hint="eastAsia" w:ascii="宋体" w:hAnsi="宋体"/>
                <w:color w:val="auto"/>
              </w:rPr>
            </w:pPr>
            <w:r>
              <w:rPr>
                <w:rFonts w:hint="eastAsia" w:ascii="宋体" w:hAnsi="宋体"/>
                <w:color w:val="auto"/>
              </w:rPr>
              <w:t>监测值</w:t>
            </w:r>
          </w:p>
        </w:tc>
        <w:tc>
          <w:tcPr>
            <w:tcW w:w="637" w:type="pct"/>
            <w:tcBorders>
              <w:top w:val="single" w:color="auto" w:sz="4" w:space="0"/>
              <w:left w:val="single" w:color="auto" w:sz="4" w:space="0"/>
            </w:tcBorders>
            <w:vAlign w:val="center"/>
          </w:tcPr>
          <w:p w14:paraId="798EF1E8">
            <w:pPr>
              <w:jc w:val="center"/>
              <w:rPr>
                <w:rFonts w:hint="eastAsia" w:ascii="宋体" w:hAnsi="宋体"/>
                <w:color w:val="auto"/>
              </w:rPr>
            </w:pPr>
            <w:r>
              <w:rPr>
                <w:rFonts w:hint="eastAsia" w:ascii="宋体" w:hAnsi="宋体"/>
                <w:color w:val="auto"/>
              </w:rPr>
              <w:t>标准指数</w:t>
            </w:r>
          </w:p>
        </w:tc>
        <w:tc>
          <w:tcPr>
            <w:tcW w:w="634" w:type="pct"/>
            <w:tcBorders>
              <w:top w:val="single" w:color="auto" w:sz="4" w:space="0"/>
              <w:right w:val="single" w:color="auto" w:sz="4" w:space="0"/>
            </w:tcBorders>
            <w:vAlign w:val="center"/>
          </w:tcPr>
          <w:p w14:paraId="7BE3523B">
            <w:pPr>
              <w:jc w:val="center"/>
              <w:rPr>
                <w:rFonts w:hint="eastAsia" w:ascii="宋体" w:hAnsi="宋体"/>
                <w:color w:val="auto"/>
              </w:rPr>
            </w:pPr>
            <w:r>
              <w:rPr>
                <w:rFonts w:hint="eastAsia" w:ascii="宋体" w:hAnsi="宋体"/>
                <w:color w:val="auto"/>
              </w:rPr>
              <w:t>监测值</w:t>
            </w:r>
          </w:p>
        </w:tc>
        <w:tc>
          <w:tcPr>
            <w:tcW w:w="635" w:type="pct"/>
            <w:tcBorders>
              <w:top w:val="single" w:color="auto" w:sz="4" w:space="0"/>
              <w:left w:val="single" w:color="auto" w:sz="4" w:space="0"/>
            </w:tcBorders>
            <w:vAlign w:val="center"/>
          </w:tcPr>
          <w:p w14:paraId="5AD69280">
            <w:pPr>
              <w:jc w:val="center"/>
              <w:rPr>
                <w:rFonts w:hint="eastAsia" w:ascii="宋体" w:hAnsi="宋体"/>
                <w:color w:val="auto"/>
              </w:rPr>
            </w:pPr>
            <w:r>
              <w:rPr>
                <w:rFonts w:hint="eastAsia" w:ascii="宋体" w:hAnsi="宋体"/>
                <w:color w:val="auto"/>
              </w:rPr>
              <w:t>标准指数</w:t>
            </w:r>
          </w:p>
        </w:tc>
        <w:tc>
          <w:tcPr>
            <w:tcW w:w="554" w:type="pct"/>
            <w:tcBorders>
              <w:top w:val="single" w:color="auto" w:sz="4" w:space="0"/>
              <w:right w:val="single" w:color="auto" w:sz="4" w:space="0"/>
            </w:tcBorders>
            <w:vAlign w:val="center"/>
          </w:tcPr>
          <w:p w14:paraId="74BF1615">
            <w:pPr>
              <w:jc w:val="center"/>
              <w:rPr>
                <w:rFonts w:hint="eastAsia" w:ascii="宋体" w:hAnsi="宋体"/>
                <w:color w:val="auto"/>
              </w:rPr>
            </w:pPr>
            <w:r>
              <w:rPr>
                <w:rFonts w:hint="eastAsia" w:ascii="宋体" w:hAnsi="宋体"/>
                <w:color w:val="auto"/>
              </w:rPr>
              <w:t>监测值</w:t>
            </w:r>
          </w:p>
        </w:tc>
        <w:tc>
          <w:tcPr>
            <w:tcW w:w="635" w:type="pct"/>
            <w:tcBorders>
              <w:top w:val="single" w:color="auto" w:sz="4" w:space="0"/>
              <w:left w:val="single" w:color="auto" w:sz="4" w:space="0"/>
            </w:tcBorders>
            <w:vAlign w:val="center"/>
          </w:tcPr>
          <w:p w14:paraId="61BF1ECF">
            <w:pPr>
              <w:jc w:val="center"/>
              <w:rPr>
                <w:rFonts w:hint="eastAsia" w:ascii="宋体" w:hAnsi="宋体"/>
                <w:color w:val="auto"/>
              </w:rPr>
            </w:pPr>
            <w:r>
              <w:rPr>
                <w:rFonts w:hint="eastAsia" w:ascii="宋体" w:hAnsi="宋体"/>
                <w:color w:val="auto"/>
              </w:rPr>
              <w:t>标准指数</w:t>
            </w:r>
          </w:p>
        </w:tc>
        <w:tc>
          <w:tcPr>
            <w:tcW w:w="420" w:type="pct"/>
            <w:vMerge w:val="continue"/>
            <w:vAlign w:val="center"/>
          </w:tcPr>
          <w:p w14:paraId="7C0DDCB6">
            <w:pPr>
              <w:jc w:val="center"/>
              <w:rPr>
                <w:rFonts w:hint="eastAsia" w:ascii="宋体" w:hAnsi="宋体"/>
                <w:color w:val="auto"/>
              </w:rPr>
            </w:pPr>
          </w:p>
        </w:tc>
      </w:tr>
      <w:tr w14:paraId="780725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restart"/>
            <w:vAlign w:val="center"/>
          </w:tcPr>
          <w:p w14:paraId="3A7D5953">
            <w:pPr>
              <w:jc w:val="center"/>
              <w:rPr>
                <w:rFonts w:hint="eastAsia" w:ascii="宋体" w:hAnsi="宋体"/>
                <w:color w:val="auto"/>
              </w:rPr>
            </w:pPr>
            <w:r>
              <w:rPr>
                <w:rFonts w:ascii="宋体" w:hAnsi="宋体"/>
                <w:color w:val="auto"/>
              </w:rPr>
              <w:t>S1</w:t>
            </w:r>
          </w:p>
        </w:tc>
        <w:tc>
          <w:tcPr>
            <w:tcW w:w="634" w:type="pct"/>
            <w:vAlign w:val="center"/>
          </w:tcPr>
          <w:p w14:paraId="75D8A49C">
            <w:pPr>
              <w:jc w:val="center"/>
              <w:rPr>
                <w:rFonts w:hint="eastAsia" w:ascii="宋体" w:hAnsi="宋体"/>
                <w:color w:val="auto"/>
              </w:rPr>
            </w:pPr>
            <w:r>
              <w:rPr>
                <w:rFonts w:ascii="宋体" w:hAnsi="宋体"/>
                <w:color w:val="auto"/>
              </w:rPr>
              <w:t>pH</w:t>
            </w:r>
          </w:p>
        </w:tc>
        <w:tc>
          <w:tcPr>
            <w:tcW w:w="473" w:type="pct"/>
            <w:tcBorders>
              <w:right w:val="single" w:color="auto" w:sz="4" w:space="0"/>
            </w:tcBorders>
            <w:vAlign w:val="center"/>
          </w:tcPr>
          <w:p w14:paraId="132FDE40">
            <w:pPr>
              <w:jc w:val="center"/>
              <w:rPr>
                <w:rFonts w:hint="eastAsia" w:ascii="宋体" w:hAnsi="宋体"/>
                <w:color w:val="auto"/>
              </w:rPr>
            </w:pPr>
            <w:r>
              <w:rPr>
                <w:rFonts w:hint="eastAsia" w:ascii="宋体" w:hAnsi="宋体"/>
                <w:color w:val="auto"/>
              </w:rPr>
              <w:t>8</w:t>
            </w:r>
            <w:r>
              <w:rPr>
                <w:rFonts w:ascii="宋体" w:hAnsi="宋体"/>
                <w:color w:val="auto"/>
              </w:rPr>
              <w:t>.37</w:t>
            </w:r>
          </w:p>
        </w:tc>
        <w:tc>
          <w:tcPr>
            <w:tcW w:w="637" w:type="pct"/>
            <w:tcBorders>
              <w:left w:val="single" w:color="auto" w:sz="4" w:space="0"/>
            </w:tcBorders>
            <w:vAlign w:val="center"/>
          </w:tcPr>
          <w:p w14:paraId="2E6DEE2E">
            <w:pPr>
              <w:jc w:val="center"/>
              <w:rPr>
                <w:rFonts w:hint="eastAsia" w:ascii="宋体" w:hAnsi="宋体"/>
                <w:color w:val="auto"/>
              </w:rPr>
            </w:pPr>
            <w:r>
              <w:rPr>
                <w:rFonts w:hint="eastAsia" w:ascii="宋体" w:hAnsi="宋体"/>
                <w:color w:val="auto"/>
              </w:rPr>
              <w:t>/</w:t>
            </w:r>
          </w:p>
        </w:tc>
        <w:tc>
          <w:tcPr>
            <w:tcW w:w="634" w:type="pct"/>
            <w:tcBorders>
              <w:right w:val="single" w:color="auto" w:sz="4" w:space="0"/>
            </w:tcBorders>
            <w:vAlign w:val="center"/>
          </w:tcPr>
          <w:p w14:paraId="4A5725A4">
            <w:pPr>
              <w:jc w:val="center"/>
              <w:rPr>
                <w:rFonts w:hint="eastAsia" w:ascii="宋体" w:hAnsi="宋体"/>
                <w:color w:val="auto"/>
              </w:rPr>
            </w:pPr>
            <w:r>
              <w:rPr>
                <w:rFonts w:hint="eastAsia" w:ascii="宋体" w:hAnsi="宋体"/>
                <w:color w:val="auto"/>
              </w:rPr>
              <w:t>8</w:t>
            </w:r>
            <w:r>
              <w:rPr>
                <w:rFonts w:ascii="宋体" w:hAnsi="宋体"/>
                <w:color w:val="auto"/>
              </w:rPr>
              <w:t>.39</w:t>
            </w:r>
          </w:p>
        </w:tc>
        <w:tc>
          <w:tcPr>
            <w:tcW w:w="635" w:type="pct"/>
            <w:tcBorders>
              <w:left w:val="single" w:color="auto" w:sz="4" w:space="0"/>
            </w:tcBorders>
            <w:vAlign w:val="center"/>
          </w:tcPr>
          <w:p w14:paraId="0C4BD0A2">
            <w:pPr>
              <w:jc w:val="center"/>
              <w:rPr>
                <w:rFonts w:hint="eastAsia" w:ascii="宋体" w:hAnsi="宋体"/>
                <w:color w:val="auto"/>
              </w:rPr>
            </w:pPr>
            <w:r>
              <w:rPr>
                <w:rFonts w:hint="eastAsia" w:ascii="宋体" w:hAnsi="宋体"/>
                <w:color w:val="auto"/>
              </w:rPr>
              <w:t>/</w:t>
            </w:r>
          </w:p>
        </w:tc>
        <w:tc>
          <w:tcPr>
            <w:tcW w:w="554" w:type="pct"/>
            <w:tcBorders>
              <w:right w:val="single" w:color="auto" w:sz="4" w:space="0"/>
            </w:tcBorders>
            <w:vAlign w:val="center"/>
          </w:tcPr>
          <w:p w14:paraId="538F9857">
            <w:pPr>
              <w:jc w:val="center"/>
              <w:rPr>
                <w:rFonts w:hint="eastAsia" w:ascii="宋体" w:hAnsi="宋体"/>
                <w:color w:val="auto"/>
              </w:rPr>
            </w:pPr>
            <w:r>
              <w:rPr>
                <w:rFonts w:hint="eastAsia" w:ascii="宋体" w:hAnsi="宋体"/>
                <w:color w:val="auto"/>
              </w:rPr>
              <w:t>8</w:t>
            </w:r>
            <w:r>
              <w:rPr>
                <w:rFonts w:ascii="宋体" w:hAnsi="宋体"/>
                <w:color w:val="auto"/>
              </w:rPr>
              <w:t>.45</w:t>
            </w:r>
          </w:p>
        </w:tc>
        <w:tc>
          <w:tcPr>
            <w:tcW w:w="635" w:type="pct"/>
            <w:tcBorders>
              <w:left w:val="single" w:color="auto" w:sz="4" w:space="0"/>
            </w:tcBorders>
            <w:vAlign w:val="center"/>
          </w:tcPr>
          <w:p w14:paraId="46D41201">
            <w:pPr>
              <w:jc w:val="center"/>
              <w:rPr>
                <w:rFonts w:hint="eastAsia" w:ascii="宋体" w:hAnsi="宋体"/>
                <w:color w:val="auto"/>
              </w:rPr>
            </w:pPr>
            <w:r>
              <w:rPr>
                <w:rFonts w:hint="eastAsia" w:ascii="宋体" w:hAnsi="宋体"/>
                <w:color w:val="auto"/>
              </w:rPr>
              <w:t>/</w:t>
            </w:r>
          </w:p>
        </w:tc>
        <w:tc>
          <w:tcPr>
            <w:tcW w:w="420" w:type="pct"/>
            <w:vAlign w:val="center"/>
          </w:tcPr>
          <w:p w14:paraId="50C38661">
            <w:pPr>
              <w:jc w:val="center"/>
              <w:rPr>
                <w:rFonts w:hint="eastAsia" w:ascii="宋体" w:hAnsi="宋体"/>
                <w:color w:val="auto"/>
              </w:rPr>
            </w:pPr>
            <w:r>
              <w:rPr>
                <w:rFonts w:hint="eastAsia" w:ascii="宋体" w:hAnsi="宋体"/>
                <w:color w:val="auto"/>
              </w:rPr>
              <w:t>达标</w:t>
            </w:r>
          </w:p>
        </w:tc>
      </w:tr>
      <w:tr w14:paraId="771A41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45295B47">
            <w:pPr>
              <w:jc w:val="center"/>
              <w:rPr>
                <w:rFonts w:hint="eastAsia" w:ascii="宋体" w:hAnsi="宋体"/>
                <w:color w:val="auto"/>
              </w:rPr>
            </w:pPr>
          </w:p>
        </w:tc>
        <w:tc>
          <w:tcPr>
            <w:tcW w:w="634" w:type="pct"/>
            <w:vAlign w:val="center"/>
          </w:tcPr>
          <w:p w14:paraId="5E9F946C">
            <w:pPr>
              <w:jc w:val="center"/>
              <w:rPr>
                <w:rFonts w:hint="eastAsia" w:ascii="宋体" w:hAnsi="宋体"/>
                <w:color w:val="auto"/>
              </w:rPr>
            </w:pPr>
            <w:r>
              <w:rPr>
                <w:rFonts w:hint="eastAsia" w:ascii="宋体" w:hAnsi="宋体"/>
                <w:color w:val="auto"/>
              </w:rPr>
              <w:t>石油烃（</w:t>
            </w:r>
            <w:r>
              <w:rPr>
                <w:rFonts w:ascii="宋体" w:hAnsi="宋体"/>
                <w:color w:val="auto"/>
              </w:rPr>
              <w:t>C</w:t>
            </w:r>
            <w:r>
              <w:rPr>
                <w:rFonts w:ascii="宋体" w:hAnsi="宋体"/>
                <w:color w:val="auto"/>
                <w:vertAlign w:val="subscript"/>
              </w:rPr>
              <w:t>10</w:t>
            </w:r>
            <w:r>
              <w:rPr>
                <w:rFonts w:ascii="宋体" w:hAnsi="宋体"/>
                <w:color w:val="auto"/>
              </w:rPr>
              <w:t>～C</w:t>
            </w:r>
            <w:r>
              <w:rPr>
                <w:rFonts w:ascii="宋体" w:hAnsi="宋体"/>
                <w:color w:val="auto"/>
                <w:vertAlign w:val="subscript"/>
              </w:rPr>
              <w:t>40</w:t>
            </w:r>
            <w:r>
              <w:rPr>
                <w:rFonts w:hint="eastAsia" w:ascii="宋体" w:hAnsi="宋体"/>
                <w:color w:val="auto"/>
                <w:vertAlign w:val="subscript"/>
              </w:rPr>
              <w:t>）</w:t>
            </w:r>
          </w:p>
        </w:tc>
        <w:tc>
          <w:tcPr>
            <w:tcW w:w="473" w:type="pct"/>
            <w:tcBorders>
              <w:right w:val="single" w:color="auto" w:sz="4" w:space="0"/>
            </w:tcBorders>
            <w:vAlign w:val="center"/>
          </w:tcPr>
          <w:p w14:paraId="2B0DE713">
            <w:pPr>
              <w:jc w:val="center"/>
              <w:rPr>
                <w:rFonts w:hint="eastAsia" w:ascii="宋体" w:hAnsi="宋体"/>
                <w:color w:val="auto"/>
              </w:rPr>
            </w:pPr>
            <w:r>
              <w:rPr>
                <w:rFonts w:hint="eastAsia" w:ascii="宋体" w:hAnsi="宋体"/>
                <w:color w:val="auto"/>
              </w:rPr>
              <w:t>6</w:t>
            </w:r>
            <w:r>
              <w:rPr>
                <w:rFonts w:ascii="宋体" w:hAnsi="宋体"/>
                <w:color w:val="auto"/>
              </w:rPr>
              <w:t>3</w:t>
            </w:r>
          </w:p>
        </w:tc>
        <w:tc>
          <w:tcPr>
            <w:tcW w:w="637" w:type="pct"/>
            <w:tcBorders>
              <w:left w:val="single" w:color="auto" w:sz="4" w:space="0"/>
            </w:tcBorders>
            <w:vAlign w:val="center"/>
          </w:tcPr>
          <w:p w14:paraId="4F6696B3">
            <w:pPr>
              <w:jc w:val="center"/>
              <w:rPr>
                <w:rFonts w:hint="eastAsia" w:ascii="宋体" w:hAnsi="宋体"/>
                <w:color w:val="auto"/>
              </w:rPr>
            </w:pPr>
            <w:r>
              <w:rPr>
                <w:rFonts w:ascii="宋体" w:hAnsi="宋体"/>
                <w:color w:val="auto"/>
              </w:rPr>
              <w:t>0.0140</w:t>
            </w:r>
          </w:p>
        </w:tc>
        <w:tc>
          <w:tcPr>
            <w:tcW w:w="634" w:type="pct"/>
            <w:tcBorders>
              <w:right w:val="single" w:color="auto" w:sz="4" w:space="0"/>
            </w:tcBorders>
            <w:vAlign w:val="center"/>
          </w:tcPr>
          <w:p w14:paraId="2DB01FDA">
            <w:pPr>
              <w:jc w:val="center"/>
              <w:rPr>
                <w:rFonts w:hint="eastAsia" w:ascii="宋体" w:hAnsi="宋体"/>
                <w:color w:val="auto"/>
              </w:rPr>
            </w:pPr>
            <w:r>
              <w:rPr>
                <w:rFonts w:hint="eastAsia" w:ascii="宋体" w:hAnsi="宋体"/>
                <w:color w:val="auto"/>
              </w:rPr>
              <w:t>3</w:t>
            </w:r>
            <w:r>
              <w:rPr>
                <w:rFonts w:ascii="宋体" w:hAnsi="宋体"/>
                <w:color w:val="auto"/>
              </w:rPr>
              <w:t>5</w:t>
            </w:r>
          </w:p>
        </w:tc>
        <w:tc>
          <w:tcPr>
            <w:tcW w:w="635" w:type="pct"/>
            <w:tcBorders>
              <w:left w:val="single" w:color="auto" w:sz="4" w:space="0"/>
            </w:tcBorders>
            <w:vAlign w:val="center"/>
          </w:tcPr>
          <w:p w14:paraId="58C2CB54">
            <w:pPr>
              <w:jc w:val="center"/>
              <w:rPr>
                <w:rFonts w:hint="eastAsia" w:ascii="宋体" w:hAnsi="宋体"/>
                <w:color w:val="auto"/>
              </w:rPr>
            </w:pPr>
            <w:r>
              <w:rPr>
                <w:rFonts w:ascii="宋体" w:hAnsi="宋体"/>
                <w:color w:val="auto"/>
              </w:rPr>
              <w:t>0.0078</w:t>
            </w:r>
          </w:p>
        </w:tc>
        <w:tc>
          <w:tcPr>
            <w:tcW w:w="554" w:type="pct"/>
            <w:tcBorders>
              <w:right w:val="single" w:color="auto" w:sz="4" w:space="0"/>
            </w:tcBorders>
            <w:vAlign w:val="center"/>
          </w:tcPr>
          <w:p w14:paraId="43FF4D40">
            <w:pPr>
              <w:jc w:val="center"/>
              <w:rPr>
                <w:rFonts w:hint="eastAsia" w:ascii="宋体" w:hAnsi="宋体"/>
                <w:color w:val="auto"/>
              </w:rPr>
            </w:pPr>
            <w:r>
              <w:rPr>
                <w:rFonts w:hint="eastAsia" w:ascii="宋体" w:hAnsi="宋体"/>
                <w:color w:val="auto"/>
              </w:rPr>
              <w:t>1</w:t>
            </w:r>
            <w:r>
              <w:rPr>
                <w:rFonts w:ascii="宋体" w:hAnsi="宋体"/>
                <w:color w:val="auto"/>
              </w:rPr>
              <w:t>0</w:t>
            </w:r>
          </w:p>
        </w:tc>
        <w:tc>
          <w:tcPr>
            <w:tcW w:w="635" w:type="pct"/>
            <w:tcBorders>
              <w:left w:val="single" w:color="auto" w:sz="4" w:space="0"/>
            </w:tcBorders>
            <w:vAlign w:val="center"/>
          </w:tcPr>
          <w:p w14:paraId="34437421">
            <w:pPr>
              <w:jc w:val="center"/>
              <w:rPr>
                <w:rFonts w:hint="eastAsia" w:ascii="宋体" w:hAnsi="宋体"/>
                <w:color w:val="auto"/>
              </w:rPr>
            </w:pPr>
            <w:r>
              <w:rPr>
                <w:rFonts w:hint="eastAsia" w:ascii="宋体" w:hAnsi="宋体"/>
                <w:color w:val="auto"/>
              </w:rPr>
              <w:t>0.0022</w:t>
            </w:r>
          </w:p>
        </w:tc>
        <w:tc>
          <w:tcPr>
            <w:tcW w:w="420" w:type="pct"/>
            <w:vAlign w:val="center"/>
          </w:tcPr>
          <w:p w14:paraId="1ACAF4B3">
            <w:pPr>
              <w:jc w:val="center"/>
              <w:rPr>
                <w:rFonts w:hint="eastAsia" w:ascii="宋体" w:hAnsi="宋体"/>
                <w:color w:val="auto"/>
              </w:rPr>
            </w:pPr>
            <w:r>
              <w:rPr>
                <w:rFonts w:hint="eastAsia" w:ascii="宋体" w:hAnsi="宋体"/>
                <w:color w:val="auto"/>
              </w:rPr>
              <w:t>达标</w:t>
            </w:r>
          </w:p>
        </w:tc>
      </w:tr>
      <w:tr w14:paraId="414EFA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45474138">
            <w:pPr>
              <w:jc w:val="center"/>
              <w:rPr>
                <w:rFonts w:hint="eastAsia" w:ascii="宋体" w:hAnsi="宋体"/>
                <w:color w:val="auto"/>
              </w:rPr>
            </w:pPr>
          </w:p>
        </w:tc>
        <w:tc>
          <w:tcPr>
            <w:tcW w:w="634" w:type="pct"/>
            <w:vAlign w:val="center"/>
          </w:tcPr>
          <w:p w14:paraId="599DE812">
            <w:pPr>
              <w:jc w:val="center"/>
              <w:rPr>
                <w:rFonts w:hint="eastAsia" w:ascii="宋体" w:hAnsi="宋体"/>
                <w:color w:val="auto"/>
              </w:rPr>
            </w:pPr>
            <w:r>
              <w:rPr>
                <w:rFonts w:hint="eastAsia" w:ascii="宋体" w:hAnsi="宋体"/>
                <w:color w:val="auto"/>
              </w:rPr>
              <w:t>镉</w:t>
            </w:r>
          </w:p>
        </w:tc>
        <w:tc>
          <w:tcPr>
            <w:tcW w:w="473" w:type="pct"/>
            <w:tcBorders>
              <w:right w:val="single" w:color="auto" w:sz="4" w:space="0"/>
            </w:tcBorders>
            <w:vAlign w:val="center"/>
          </w:tcPr>
          <w:p w14:paraId="19DCD581">
            <w:pPr>
              <w:jc w:val="center"/>
              <w:rPr>
                <w:rFonts w:hint="eastAsia" w:ascii="宋体" w:hAnsi="宋体"/>
                <w:color w:val="auto"/>
              </w:rPr>
            </w:pPr>
            <w:r>
              <w:rPr>
                <w:rFonts w:hint="eastAsia" w:ascii="宋体" w:hAnsi="宋体"/>
                <w:color w:val="auto"/>
              </w:rPr>
              <w:t>0</w:t>
            </w:r>
            <w:r>
              <w:rPr>
                <w:rFonts w:ascii="宋体" w:hAnsi="宋体"/>
                <w:color w:val="auto"/>
              </w:rPr>
              <w:t>.07</w:t>
            </w:r>
          </w:p>
        </w:tc>
        <w:tc>
          <w:tcPr>
            <w:tcW w:w="637" w:type="pct"/>
            <w:tcBorders>
              <w:left w:val="single" w:color="auto" w:sz="4" w:space="0"/>
            </w:tcBorders>
            <w:vAlign w:val="center"/>
          </w:tcPr>
          <w:p w14:paraId="47F77CF8">
            <w:pPr>
              <w:jc w:val="center"/>
              <w:rPr>
                <w:rFonts w:hint="eastAsia" w:ascii="宋体" w:hAnsi="宋体"/>
                <w:color w:val="auto"/>
              </w:rPr>
            </w:pPr>
            <w:r>
              <w:rPr>
                <w:rFonts w:ascii="宋体" w:hAnsi="宋体"/>
                <w:color w:val="auto"/>
              </w:rPr>
              <w:t>0.0011</w:t>
            </w:r>
          </w:p>
        </w:tc>
        <w:tc>
          <w:tcPr>
            <w:tcW w:w="634" w:type="pct"/>
            <w:tcBorders>
              <w:right w:val="single" w:color="auto" w:sz="4" w:space="0"/>
            </w:tcBorders>
            <w:vAlign w:val="center"/>
          </w:tcPr>
          <w:p w14:paraId="7C821E64">
            <w:pPr>
              <w:jc w:val="center"/>
              <w:rPr>
                <w:rFonts w:hint="eastAsia" w:ascii="宋体" w:hAnsi="宋体"/>
                <w:color w:val="auto"/>
              </w:rPr>
            </w:pPr>
            <w:r>
              <w:rPr>
                <w:rFonts w:hint="eastAsia" w:ascii="宋体" w:hAnsi="宋体"/>
                <w:color w:val="auto"/>
              </w:rPr>
              <w:t>0</w:t>
            </w:r>
            <w:r>
              <w:rPr>
                <w:rFonts w:ascii="宋体" w:hAnsi="宋体"/>
                <w:color w:val="auto"/>
              </w:rPr>
              <w:t>.05</w:t>
            </w:r>
          </w:p>
        </w:tc>
        <w:tc>
          <w:tcPr>
            <w:tcW w:w="635" w:type="pct"/>
            <w:tcBorders>
              <w:left w:val="single" w:color="auto" w:sz="4" w:space="0"/>
            </w:tcBorders>
            <w:vAlign w:val="center"/>
          </w:tcPr>
          <w:p w14:paraId="26D4DC8A">
            <w:pPr>
              <w:jc w:val="center"/>
              <w:rPr>
                <w:rFonts w:hint="eastAsia" w:ascii="宋体" w:hAnsi="宋体"/>
                <w:color w:val="auto"/>
              </w:rPr>
            </w:pPr>
            <w:r>
              <w:rPr>
                <w:rFonts w:ascii="宋体" w:hAnsi="宋体"/>
                <w:color w:val="auto"/>
              </w:rPr>
              <w:t>0.0008</w:t>
            </w:r>
          </w:p>
        </w:tc>
        <w:tc>
          <w:tcPr>
            <w:tcW w:w="554" w:type="pct"/>
            <w:tcBorders>
              <w:right w:val="single" w:color="auto" w:sz="4" w:space="0"/>
            </w:tcBorders>
            <w:vAlign w:val="center"/>
          </w:tcPr>
          <w:p w14:paraId="4F1D5780">
            <w:pPr>
              <w:jc w:val="center"/>
              <w:rPr>
                <w:rFonts w:hint="eastAsia" w:ascii="宋体" w:hAnsi="宋体"/>
                <w:color w:val="auto"/>
              </w:rPr>
            </w:pPr>
            <w:r>
              <w:rPr>
                <w:rFonts w:hint="eastAsia" w:ascii="宋体" w:hAnsi="宋体"/>
                <w:color w:val="auto"/>
              </w:rPr>
              <w:t>0</w:t>
            </w:r>
            <w:r>
              <w:rPr>
                <w:rFonts w:ascii="宋体" w:hAnsi="宋体"/>
                <w:color w:val="auto"/>
              </w:rPr>
              <w:t>.05</w:t>
            </w:r>
          </w:p>
        </w:tc>
        <w:tc>
          <w:tcPr>
            <w:tcW w:w="635" w:type="pct"/>
            <w:tcBorders>
              <w:left w:val="single" w:color="auto" w:sz="4" w:space="0"/>
            </w:tcBorders>
            <w:vAlign w:val="center"/>
          </w:tcPr>
          <w:p w14:paraId="33B29A46">
            <w:pPr>
              <w:jc w:val="center"/>
              <w:rPr>
                <w:rFonts w:hint="eastAsia" w:ascii="宋体" w:hAnsi="宋体"/>
                <w:color w:val="auto"/>
              </w:rPr>
            </w:pPr>
            <w:r>
              <w:rPr>
                <w:rFonts w:hint="eastAsia" w:ascii="宋体" w:hAnsi="宋体"/>
                <w:color w:val="auto"/>
              </w:rPr>
              <w:t>0.0008</w:t>
            </w:r>
          </w:p>
        </w:tc>
        <w:tc>
          <w:tcPr>
            <w:tcW w:w="420" w:type="pct"/>
            <w:vAlign w:val="center"/>
          </w:tcPr>
          <w:p w14:paraId="65D541EC">
            <w:pPr>
              <w:jc w:val="center"/>
              <w:rPr>
                <w:rFonts w:hint="eastAsia" w:ascii="宋体" w:hAnsi="宋体"/>
                <w:color w:val="auto"/>
              </w:rPr>
            </w:pPr>
            <w:r>
              <w:rPr>
                <w:rFonts w:hint="eastAsia" w:ascii="宋体" w:hAnsi="宋体"/>
                <w:color w:val="auto"/>
              </w:rPr>
              <w:t>达标</w:t>
            </w:r>
          </w:p>
        </w:tc>
      </w:tr>
      <w:tr w14:paraId="089BE1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0DE97BC5">
            <w:pPr>
              <w:jc w:val="center"/>
              <w:rPr>
                <w:rFonts w:hint="eastAsia" w:ascii="宋体" w:hAnsi="宋体"/>
                <w:color w:val="auto"/>
              </w:rPr>
            </w:pPr>
          </w:p>
        </w:tc>
        <w:tc>
          <w:tcPr>
            <w:tcW w:w="634" w:type="pct"/>
            <w:vAlign w:val="center"/>
          </w:tcPr>
          <w:p w14:paraId="513DDE13">
            <w:pPr>
              <w:jc w:val="center"/>
              <w:rPr>
                <w:rFonts w:hint="eastAsia" w:ascii="宋体" w:hAnsi="宋体"/>
                <w:color w:val="auto"/>
              </w:rPr>
            </w:pPr>
            <w:r>
              <w:rPr>
                <w:rFonts w:hint="eastAsia" w:ascii="宋体" w:hAnsi="宋体"/>
                <w:color w:val="auto"/>
              </w:rPr>
              <w:t>镍</w:t>
            </w:r>
          </w:p>
        </w:tc>
        <w:tc>
          <w:tcPr>
            <w:tcW w:w="473" w:type="pct"/>
            <w:tcBorders>
              <w:right w:val="single" w:color="auto" w:sz="4" w:space="0"/>
            </w:tcBorders>
            <w:vAlign w:val="center"/>
          </w:tcPr>
          <w:p w14:paraId="4D7D70DE">
            <w:pPr>
              <w:jc w:val="center"/>
              <w:rPr>
                <w:rFonts w:hint="eastAsia" w:ascii="宋体" w:hAnsi="宋体"/>
                <w:color w:val="auto"/>
              </w:rPr>
            </w:pPr>
            <w:r>
              <w:rPr>
                <w:rFonts w:hint="eastAsia" w:ascii="宋体" w:hAnsi="宋体"/>
                <w:color w:val="auto"/>
              </w:rPr>
              <w:t>1</w:t>
            </w:r>
            <w:r>
              <w:rPr>
                <w:rFonts w:ascii="宋体" w:hAnsi="宋体"/>
                <w:color w:val="auto"/>
              </w:rPr>
              <w:t>3</w:t>
            </w:r>
          </w:p>
        </w:tc>
        <w:tc>
          <w:tcPr>
            <w:tcW w:w="637" w:type="pct"/>
            <w:tcBorders>
              <w:left w:val="single" w:color="auto" w:sz="4" w:space="0"/>
            </w:tcBorders>
            <w:vAlign w:val="center"/>
          </w:tcPr>
          <w:p w14:paraId="605FD90D">
            <w:pPr>
              <w:jc w:val="center"/>
              <w:rPr>
                <w:rFonts w:hint="eastAsia" w:ascii="宋体" w:hAnsi="宋体"/>
                <w:color w:val="auto"/>
              </w:rPr>
            </w:pPr>
            <w:r>
              <w:rPr>
                <w:rFonts w:ascii="宋体" w:hAnsi="宋体"/>
                <w:color w:val="auto"/>
              </w:rPr>
              <w:t>0.0144</w:t>
            </w:r>
          </w:p>
        </w:tc>
        <w:tc>
          <w:tcPr>
            <w:tcW w:w="634" w:type="pct"/>
            <w:tcBorders>
              <w:right w:val="single" w:color="auto" w:sz="4" w:space="0"/>
            </w:tcBorders>
            <w:vAlign w:val="center"/>
          </w:tcPr>
          <w:p w14:paraId="5816B0D9">
            <w:pPr>
              <w:jc w:val="center"/>
              <w:rPr>
                <w:rFonts w:hint="eastAsia" w:ascii="宋体" w:hAnsi="宋体"/>
                <w:color w:val="auto"/>
              </w:rPr>
            </w:pPr>
            <w:r>
              <w:rPr>
                <w:rFonts w:hint="eastAsia" w:ascii="宋体" w:hAnsi="宋体"/>
                <w:color w:val="auto"/>
              </w:rPr>
              <w:t>1</w:t>
            </w:r>
            <w:r>
              <w:rPr>
                <w:rFonts w:ascii="宋体" w:hAnsi="宋体"/>
                <w:color w:val="auto"/>
              </w:rPr>
              <w:t>5</w:t>
            </w:r>
          </w:p>
        </w:tc>
        <w:tc>
          <w:tcPr>
            <w:tcW w:w="635" w:type="pct"/>
            <w:tcBorders>
              <w:left w:val="single" w:color="auto" w:sz="4" w:space="0"/>
            </w:tcBorders>
            <w:vAlign w:val="center"/>
          </w:tcPr>
          <w:p w14:paraId="798B4899">
            <w:pPr>
              <w:jc w:val="center"/>
              <w:rPr>
                <w:rFonts w:hint="eastAsia" w:ascii="宋体" w:hAnsi="宋体"/>
                <w:color w:val="auto"/>
              </w:rPr>
            </w:pPr>
            <w:r>
              <w:rPr>
                <w:rFonts w:ascii="宋体" w:hAnsi="宋体"/>
                <w:color w:val="auto"/>
              </w:rPr>
              <w:t>0.0167</w:t>
            </w:r>
          </w:p>
        </w:tc>
        <w:tc>
          <w:tcPr>
            <w:tcW w:w="554" w:type="pct"/>
            <w:tcBorders>
              <w:right w:val="single" w:color="auto" w:sz="4" w:space="0"/>
            </w:tcBorders>
            <w:vAlign w:val="center"/>
          </w:tcPr>
          <w:p w14:paraId="6F6D18A1">
            <w:pPr>
              <w:jc w:val="center"/>
              <w:rPr>
                <w:rFonts w:hint="eastAsia" w:ascii="宋体" w:hAnsi="宋体"/>
                <w:color w:val="auto"/>
              </w:rPr>
            </w:pPr>
            <w:r>
              <w:rPr>
                <w:rFonts w:hint="eastAsia" w:ascii="宋体" w:hAnsi="宋体"/>
                <w:color w:val="auto"/>
              </w:rPr>
              <w:t>1</w:t>
            </w:r>
            <w:r>
              <w:rPr>
                <w:rFonts w:ascii="宋体" w:hAnsi="宋体"/>
                <w:color w:val="auto"/>
              </w:rPr>
              <w:t>3</w:t>
            </w:r>
          </w:p>
        </w:tc>
        <w:tc>
          <w:tcPr>
            <w:tcW w:w="635" w:type="pct"/>
            <w:tcBorders>
              <w:left w:val="single" w:color="auto" w:sz="4" w:space="0"/>
            </w:tcBorders>
            <w:vAlign w:val="center"/>
          </w:tcPr>
          <w:p w14:paraId="4756CCDA">
            <w:pPr>
              <w:jc w:val="center"/>
              <w:rPr>
                <w:rFonts w:hint="eastAsia" w:ascii="宋体" w:hAnsi="宋体"/>
                <w:color w:val="auto"/>
              </w:rPr>
            </w:pPr>
            <w:r>
              <w:rPr>
                <w:rFonts w:hint="eastAsia" w:ascii="宋体" w:hAnsi="宋体"/>
                <w:color w:val="auto"/>
              </w:rPr>
              <w:t>0.0144</w:t>
            </w:r>
          </w:p>
        </w:tc>
        <w:tc>
          <w:tcPr>
            <w:tcW w:w="420" w:type="pct"/>
            <w:vAlign w:val="center"/>
          </w:tcPr>
          <w:p w14:paraId="67FDA47B">
            <w:pPr>
              <w:jc w:val="center"/>
              <w:rPr>
                <w:rFonts w:hint="eastAsia" w:ascii="宋体" w:hAnsi="宋体"/>
                <w:color w:val="auto"/>
              </w:rPr>
            </w:pPr>
            <w:r>
              <w:rPr>
                <w:rFonts w:hint="eastAsia" w:ascii="宋体" w:hAnsi="宋体"/>
                <w:color w:val="auto"/>
              </w:rPr>
              <w:t>达标</w:t>
            </w:r>
          </w:p>
        </w:tc>
      </w:tr>
      <w:tr w14:paraId="3E1851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5F39A8E9">
            <w:pPr>
              <w:jc w:val="center"/>
              <w:rPr>
                <w:rFonts w:hint="eastAsia" w:ascii="宋体" w:hAnsi="宋体"/>
                <w:color w:val="auto"/>
              </w:rPr>
            </w:pPr>
          </w:p>
        </w:tc>
        <w:tc>
          <w:tcPr>
            <w:tcW w:w="634" w:type="pct"/>
            <w:vAlign w:val="center"/>
          </w:tcPr>
          <w:p w14:paraId="4211D21A">
            <w:pPr>
              <w:jc w:val="center"/>
              <w:rPr>
                <w:rFonts w:hint="eastAsia" w:ascii="宋体" w:hAnsi="宋体"/>
                <w:color w:val="auto"/>
              </w:rPr>
            </w:pPr>
            <w:r>
              <w:rPr>
                <w:rFonts w:hint="eastAsia" w:ascii="宋体" w:hAnsi="宋体"/>
                <w:color w:val="auto"/>
              </w:rPr>
              <w:t>铬</w:t>
            </w:r>
          </w:p>
        </w:tc>
        <w:tc>
          <w:tcPr>
            <w:tcW w:w="473" w:type="pct"/>
            <w:tcBorders>
              <w:right w:val="single" w:color="auto" w:sz="4" w:space="0"/>
            </w:tcBorders>
            <w:vAlign w:val="center"/>
          </w:tcPr>
          <w:p w14:paraId="40B61905">
            <w:pPr>
              <w:jc w:val="center"/>
              <w:rPr>
                <w:rFonts w:hint="eastAsia" w:ascii="宋体" w:hAnsi="宋体"/>
                <w:color w:val="auto"/>
              </w:rPr>
            </w:pPr>
            <w:r>
              <w:rPr>
                <w:rFonts w:hint="eastAsia" w:ascii="宋体" w:hAnsi="宋体"/>
                <w:color w:val="auto"/>
              </w:rPr>
              <w:t>0</w:t>
            </w:r>
            <w:r>
              <w:rPr>
                <w:rFonts w:ascii="宋体" w:hAnsi="宋体"/>
                <w:color w:val="auto"/>
              </w:rPr>
              <w:t>.5L</w:t>
            </w:r>
          </w:p>
        </w:tc>
        <w:tc>
          <w:tcPr>
            <w:tcW w:w="637" w:type="pct"/>
            <w:tcBorders>
              <w:left w:val="single" w:color="auto" w:sz="4" w:space="0"/>
            </w:tcBorders>
            <w:vAlign w:val="center"/>
          </w:tcPr>
          <w:p w14:paraId="24EAAC09">
            <w:pPr>
              <w:jc w:val="center"/>
              <w:rPr>
                <w:rFonts w:hint="eastAsia" w:ascii="宋体" w:hAnsi="宋体"/>
                <w:color w:val="auto"/>
              </w:rPr>
            </w:pPr>
            <w:r>
              <w:rPr>
                <w:rFonts w:hint="eastAsia" w:ascii="宋体" w:hAnsi="宋体"/>
                <w:color w:val="auto"/>
              </w:rPr>
              <w:t>/</w:t>
            </w:r>
          </w:p>
        </w:tc>
        <w:tc>
          <w:tcPr>
            <w:tcW w:w="634" w:type="pct"/>
            <w:tcBorders>
              <w:right w:val="single" w:color="auto" w:sz="4" w:space="0"/>
            </w:tcBorders>
            <w:vAlign w:val="center"/>
          </w:tcPr>
          <w:p w14:paraId="59D6993A">
            <w:pPr>
              <w:jc w:val="center"/>
              <w:rPr>
                <w:rFonts w:hint="eastAsia" w:ascii="宋体" w:hAnsi="宋体"/>
                <w:color w:val="auto"/>
              </w:rPr>
            </w:pPr>
            <w:r>
              <w:rPr>
                <w:rFonts w:hint="eastAsia" w:ascii="宋体" w:hAnsi="宋体"/>
                <w:color w:val="auto"/>
              </w:rPr>
              <w:t>0</w:t>
            </w:r>
            <w:r>
              <w:rPr>
                <w:rFonts w:ascii="宋体" w:hAnsi="宋体"/>
                <w:color w:val="auto"/>
              </w:rPr>
              <w:t>.5L</w:t>
            </w:r>
          </w:p>
        </w:tc>
        <w:tc>
          <w:tcPr>
            <w:tcW w:w="635" w:type="pct"/>
            <w:tcBorders>
              <w:left w:val="single" w:color="auto" w:sz="4" w:space="0"/>
            </w:tcBorders>
            <w:vAlign w:val="center"/>
          </w:tcPr>
          <w:p w14:paraId="18C13C9C">
            <w:pPr>
              <w:jc w:val="center"/>
              <w:rPr>
                <w:rFonts w:hint="eastAsia" w:ascii="宋体" w:hAnsi="宋体"/>
                <w:color w:val="auto"/>
              </w:rPr>
            </w:pPr>
            <w:r>
              <w:rPr>
                <w:rFonts w:hint="eastAsia" w:ascii="宋体" w:hAnsi="宋体"/>
                <w:color w:val="auto"/>
              </w:rPr>
              <w:t>/</w:t>
            </w:r>
          </w:p>
        </w:tc>
        <w:tc>
          <w:tcPr>
            <w:tcW w:w="554" w:type="pct"/>
            <w:tcBorders>
              <w:right w:val="single" w:color="auto" w:sz="4" w:space="0"/>
            </w:tcBorders>
            <w:vAlign w:val="center"/>
          </w:tcPr>
          <w:p w14:paraId="483EEDC9">
            <w:pPr>
              <w:jc w:val="center"/>
              <w:rPr>
                <w:rFonts w:hint="eastAsia" w:ascii="宋体" w:hAnsi="宋体"/>
                <w:color w:val="auto"/>
              </w:rPr>
            </w:pPr>
            <w:r>
              <w:rPr>
                <w:rFonts w:hint="eastAsia" w:ascii="宋体" w:hAnsi="宋体"/>
                <w:color w:val="auto"/>
              </w:rPr>
              <w:t>0</w:t>
            </w:r>
            <w:r>
              <w:rPr>
                <w:rFonts w:ascii="宋体" w:hAnsi="宋体"/>
                <w:color w:val="auto"/>
              </w:rPr>
              <w:t>.5L</w:t>
            </w:r>
          </w:p>
        </w:tc>
        <w:tc>
          <w:tcPr>
            <w:tcW w:w="635" w:type="pct"/>
            <w:tcBorders>
              <w:left w:val="single" w:color="auto" w:sz="4" w:space="0"/>
            </w:tcBorders>
            <w:vAlign w:val="center"/>
          </w:tcPr>
          <w:p w14:paraId="31350BF1">
            <w:pPr>
              <w:jc w:val="center"/>
              <w:rPr>
                <w:rFonts w:hint="eastAsia" w:ascii="宋体" w:hAnsi="宋体"/>
                <w:color w:val="auto"/>
              </w:rPr>
            </w:pPr>
            <w:r>
              <w:rPr>
                <w:rFonts w:hint="eastAsia" w:ascii="宋体" w:hAnsi="宋体"/>
                <w:color w:val="auto"/>
              </w:rPr>
              <w:t>/</w:t>
            </w:r>
          </w:p>
        </w:tc>
        <w:tc>
          <w:tcPr>
            <w:tcW w:w="420" w:type="pct"/>
            <w:vAlign w:val="center"/>
          </w:tcPr>
          <w:p w14:paraId="5B17E0CF">
            <w:pPr>
              <w:jc w:val="center"/>
              <w:rPr>
                <w:rFonts w:hint="eastAsia" w:ascii="宋体" w:hAnsi="宋体"/>
                <w:color w:val="auto"/>
              </w:rPr>
            </w:pPr>
            <w:r>
              <w:rPr>
                <w:rFonts w:hint="eastAsia" w:ascii="宋体" w:hAnsi="宋体"/>
                <w:color w:val="auto"/>
              </w:rPr>
              <w:t>达标</w:t>
            </w:r>
          </w:p>
        </w:tc>
      </w:tr>
      <w:tr w14:paraId="105F8A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45F1B4E1">
            <w:pPr>
              <w:jc w:val="center"/>
              <w:rPr>
                <w:rFonts w:hint="eastAsia" w:ascii="宋体" w:hAnsi="宋体"/>
                <w:color w:val="auto"/>
              </w:rPr>
            </w:pPr>
          </w:p>
        </w:tc>
        <w:tc>
          <w:tcPr>
            <w:tcW w:w="634" w:type="pct"/>
            <w:vAlign w:val="center"/>
          </w:tcPr>
          <w:p w14:paraId="64B4F128">
            <w:pPr>
              <w:jc w:val="center"/>
              <w:rPr>
                <w:rFonts w:hint="eastAsia" w:ascii="宋体" w:hAnsi="宋体"/>
                <w:color w:val="auto"/>
              </w:rPr>
            </w:pPr>
            <w:r>
              <w:rPr>
                <w:rFonts w:hint="eastAsia" w:ascii="宋体" w:hAnsi="宋体"/>
                <w:color w:val="auto"/>
              </w:rPr>
              <w:t>铜</w:t>
            </w:r>
          </w:p>
        </w:tc>
        <w:tc>
          <w:tcPr>
            <w:tcW w:w="473" w:type="pct"/>
            <w:tcBorders>
              <w:right w:val="single" w:color="auto" w:sz="4" w:space="0"/>
            </w:tcBorders>
            <w:vAlign w:val="center"/>
          </w:tcPr>
          <w:p w14:paraId="0C946812">
            <w:pPr>
              <w:jc w:val="center"/>
              <w:rPr>
                <w:rFonts w:hint="eastAsia" w:ascii="宋体" w:hAnsi="宋体"/>
                <w:color w:val="auto"/>
              </w:rPr>
            </w:pPr>
            <w:r>
              <w:rPr>
                <w:rFonts w:hint="eastAsia" w:ascii="宋体" w:hAnsi="宋体"/>
                <w:color w:val="auto"/>
              </w:rPr>
              <w:t>2</w:t>
            </w:r>
            <w:r>
              <w:rPr>
                <w:rFonts w:ascii="宋体" w:hAnsi="宋体"/>
                <w:color w:val="auto"/>
              </w:rPr>
              <w:t>4</w:t>
            </w:r>
          </w:p>
        </w:tc>
        <w:tc>
          <w:tcPr>
            <w:tcW w:w="637" w:type="pct"/>
            <w:tcBorders>
              <w:left w:val="single" w:color="auto" w:sz="4" w:space="0"/>
            </w:tcBorders>
            <w:vAlign w:val="center"/>
          </w:tcPr>
          <w:p w14:paraId="34693A87">
            <w:pPr>
              <w:jc w:val="center"/>
              <w:rPr>
                <w:rFonts w:hint="eastAsia" w:ascii="宋体" w:hAnsi="宋体"/>
                <w:color w:val="auto"/>
              </w:rPr>
            </w:pPr>
            <w:r>
              <w:rPr>
                <w:rFonts w:ascii="宋体" w:hAnsi="宋体"/>
                <w:color w:val="auto"/>
              </w:rPr>
              <w:t>0.0013</w:t>
            </w:r>
          </w:p>
        </w:tc>
        <w:tc>
          <w:tcPr>
            <w:tcW w:w="634" w:type="pct"/>
            <w:tcBorders>
              <w:right w:val="single" w:color="auto" w:sz="4" w:space="0"/>
            </w:tcBorders>
            <w:vAlign w:val="center"/>
          </w:tcPr>
          <w:p w14:paraId="43F72B87">
            <w:pPr>
              <w:jc w:val="center"/>
              <w:rPr>
                <w:rFonts w:hint="eastAsia" w:ascii="宋体" w:hAnsi="宋体"/>
                <w:color w:val="auto"/>
              </w:rPr>
            </w:pPr>
            <w:r>
              <w:rPr>
                <w:rFonts w:hint="eastAsia" w:ascii="宋体" w:hAnsi="宋体"/>
                <w:color w:val="auto"/>
              </w:rPr>
              <w:t>2</w:t>
            </w:r>
            <w:r>
              <w:rPr>
                <w:rFonts w:ascii="宋体" w:hAnsi="宋体"/>
                <w:color w:val="auto"/>
              </w:rPr>
              <w:t>5</w:t>
            </w:r>
          </w:p>
        </w:tc>
        <w:tc>
          <w:tcPr>
            <w:tcW w:w="635" w:type="pct"/>
            <w:tcBorders>
              <w:left w:val="single" w:color="auto" w:sz="4" w:space="0"/>
            </w:tcBorders>
            <w:vAlign w:val="center"/>
          </w:tcPr>
          <w:p w14:paraId="7C4DB5C0">
            <w:pPr>
              <w:jc w:val="center"/>
              <w:rPr>
                <w:rFonts w:hint="eastAsia" w:ascii="宋体" w:hAnsi="宋体"/>
                <w:color w:val="auto"/>
              </w:rPr>
            </w:pPr>
            <w:r>
              <w:rPr>
                <w:rFonts w:ascii="宋体" w:hAnsi="宋体"/>
                <w:color w:val="auto"/>
              </w:rPr>
              <w:t>0.0014</w:t>
            </w:r>
          </w:p>
        </w:tc>
        <w:tc>
          <w:tcPr>
            <w:tcW w:w="554" w:type="pct"/>
            <w:tcBorders>
              <w:right w:val="single" w:color="auto" w:sz="4" w:space="0"/>
            </w:tcBorders>
            <w:vAlign w:val="center"/>
          </w:tcPr>
          <w:p w14:paraId="4C42938A">
            <w:pPr>
              <w:jc w:val="center"/>
              <w:rPr>
                <w:rFonts w:hint="eastAsia" w:ascii="宋体" w:hAnsi="宋体"/>
                <w:color w:val="auto"/>
              </w:rPr>
            </w:pPr>
            <w:r>
              <w:rPr>
                <w:rFonts w:hint="eastAsia" w:ascii="宋体" w:hAnsi="宋体"/>
                <w:color w:val="auto"/>
              </w:rPr>
              <w:t>2</w:t>
            </w:r>
            <w:r>
              <w:rPr>
                <w:rFonts w:ascii="宋体" w:hAnsi="宋体"/>
                <w:color w:val="auto"/>
              </w:rPr>
              <w:t>5</w:t>
            </w:r>
          </w:p>
        </w:tc>
        <w:tc>
          <w:tcPr>
            <w:tcW w:w="635" w:type="pct"/>
            <w:tcBorders>
              <w:left w:val="single" w:color="auto" w:sz="4" w:space="0"/>
            </w:tcBorders>
            <w:vAlign w:val="center"/>
          </w:tcPr>
          <w:p w14:paraId="3122FAA9">
            <w:pPr>
              <w:jc w:val="center"/>
              <w:rPr>
                <w:rFonts w:hint="eastAsia" w:ascii="宋体" w:hAnsi="宋体"/>
                <w:color w:val="auto"/>
              </w:rPr>
            </w:pPr>
            <w:r>
              <w:rPr>
                <w:rFonts w:hint="eastAsia" w:ascii="宋体" w:hAnsi="宋体"/>
                <w:color w:val="auto"/>
              </w:rPr>
              <w:t>0.0014</w:t>
            </w:r>
          </w:p>
        </w:tc>
        <w:tc>
          <w:tcPr>
            <w:tcW w:w="420" w:type="pct"/>
            <w:vAlign w:val="center"/>
          </w:tcPr>
          <w:p w14:paraId="25F703F5">
            <w:pPr>
              <w:jc w:val="center"/>
              <w:rPr>
                <w:rFonts w:hint="eastAsia" w:ascii="宋体" w:hAnsi="宋体"/>
                <w:color w:val="auto"/>
              </w:rPr>
            </w:pPr>
            <w:r>
              <w:rPr>
                <w:rFonts w:hint="eastAsia" w:ascii="宋体" w:hAnsi="宋体"/>
                <w:color w:val="auto"/>
              </w:rPr>
              <w:t>达标</w:t>
            </w:r>
          </w:p>
        </w:tc>
      </w:tr>
      <w:tr w14:paraId="1B6A2E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3C4A4E18">
            <w:pPr>
              <w:jc w:val="center"/>
              <w:rPr>
                <w:rFonts w:hint="eastAsia" w:ascii="宋体" w:hAnsi="宋体"/>
                <w:color w:val="auto"/>
              </w:rPr>
            </w:pPr>
          </w:p>
        </w:tc>
        <w:tc>
          <w:tcPr>
            <w:tcW w:w="634" w:type="pct"/>
            <w:vAlign w:val="center"/>
          </w:tcPr>
          <w:p w14:paraId="09A2D48D">
            <w:pPr>
              <w:jc w:val="center"/>
              <w:rPr>
                <w:rFonts w:hint="eastAsia" w:ascii="宋体" w:hAnsi="宋体"/>
                <w:color w:val="auto"/>
              </w:rPr>
            </w:pPr>
            <w:r>
              <w:rPr>
                <w:rFonts w:hint="eastAsia" w:ascii="宋体" w:hAnsi="宋体"/>
                <w:color w:val="auto"/>
              </w:rPr>
              <w:t>铅</w:t>
            </w:r>
          </w:p>
        </w:tc>
        <w:tc>
          <w:tcPr>
            <w:tcW w:w="473" w:type="pct"/>
            <w:tcBorders>
              <w:right w:val="single" w:color="auto" w:sz="4" w:space="0"/>
            </w:tcBorders>
            <w:vAlign w:val="center"/>
          </w:tcPr>
          <w:p w14:paraId="46C0D2EE">
            <w:pPr>
              <w:jc w:val="center"/>
              <w:rPr>
                <w:rFonts w:hint="eastAsia" w:ascii="宋体" w:hAnsi="宋体"/>
                <w:color w:val="auto"/>
              </w:rPr>
            </w:pPr>
            <w:r>
              <w:rPr>
                <w:rFonts w:hint="eastAsia" w:ascii="宋体" w:hAnsi="宋体"/>
                <w:color w:val="auto"/>
              </w:rPr>
              <w:t>3</w:t>
            </w:r>
            <w:r>
              <w:rPr>
                <w:rFonts w:ascii="宋体" w:hAnsi="宋体"/>
                <w:color w:val="auto"/>
              </w:rPr>
              <w:t>3</w:t>
            </w:r>
          </w:p>
        </w:tc>
        <w:tc>
          <w:tcPr>
            <w:tcW w:w="637" w:type="pct"/>
            <w:tcBorders>
              <w:left w:val="single" w:color="auto" w:sz="4" w:space="0"/>
            </w:tcBorders>
            <w:vAlign w:val="center"/>
          </w:tcPr>
          <w:p w14:paraId="6E68C6A8">
            <w:pPr>
              <w:jc w:val="center"/>
              <w:rPr>
                <w:rFonts w:hint="eastAsia" w:ascii="宋体" w:hAnsi="宋体"/>
                <w:color w:val="auto"/>
              </w:rPr>
            </w:pPr>
            <w:r>
              <w:rPr>
                <w:rFonts w:ascii="宋体" w:hAnsi="宋体"/>
                <w:color w:val="auto"/>
              </w:rPr>
              <w:t>0.0413</w:t>
            </w:r>
          </w:p>
        </w:tc>
        <w:tc>
          <w:tcPr>
            <w:tcW w:w="634" w:type="pct"/>
            <w:tcBorders>
              <w:right w:val="single" w:color="auto" w:sz="4" w:space="0"/>
            </w:tcBorders>
            <w:vAlign w:val="center"/>
          </w:tcPr>
          <w:p w14:paraId="4499FED6">
            <w:pPr>
              <w:jc w:val="center"/>
              <w:rPr>
                <w:rFonts w:hint="eastAsia" w:ascii="宋体" w:hAnsi="宋体"/>
                <w:color w:val="auto"/>
              </w:rPr>
            </w:pPr>
            <w:r>
              <w:rPr>
                <w:rFonts w:hint="eastAsia" w:ascii="宋体" w:hAnsi="宋体"/>
                <w:color w:val="auto"/>
              </w:rPr>
              <w:t>3</w:t>
            </w:r>
            <w:r>
              <w:rPr>
                <w:rFonts w:ascii="宋体" w:hAnsi="宋体"/>
                <w:color w:val="auto"/>
              </w:rPr>
              <w:t>4</w:t>
            </w:r>
          </w:p>
        </w:tc>
        <w:tc>
          <w:tcPr>
            <w:tcW w:w="635" w:type="pct"/>
            <w:tcBorders>
              <w:left w:val="single" w:color="auto" w:sz="4" w:space="0"/>
            </w:tcBorders>
            <w:vAlign w:val="center"/>
          </w:tcPr>
          <w:p w14:paraId="62D22F7B">
            <w:pPr>
              <w:jc w:val="center"/>
              <w:rPr>
                <w:rFonts w:hint="eastAsia" w:ascii="宋体" w:hAnsi="宋体"/>
                <w:color w:val="auto"/>
              </w:rPr>
            </w:pPr>
            <w:r>
              <w:rPr>
                <w:rFonts w:ascii="宋体" w:hAnsi="宋体"/>
                <w:color w:val="auto"/>
              </w:rPr>
              <w:t>0.0425</w:t>
            </w:r>
          </w:p>
        </w:tc>
        <w:tc>
          <w:tcPr>
            <w:tcW w:w="554" w:type="pct"/>
            <w:tcBorders>
              <w:right w:val="single" w:color="auto" w:sz="4" w:space="0"/>
            </w:tcBorders>
            <w:vAlign w:val="center"/>
          </w:tcPr>
          <w:p w14:paraId="3474766C">
            <w:pPr>
              <w:jc w:val="center"/>
              <w:rPr>
                <w:rFonts w:hint="eastAsia" w:ascii="宋体" w:hAnsi="宋体"/>
                <w:color w:val="auto"/>
              </w:rPr>
            </w:pPr>
            <w:r>
              <w:rPr>
                <w:rFonts w:hint="eastAsia" w:ascii="宋体" w:hAnsi="宋体"/>
                <w:color w:val="auto"/>
              </w:rPr>
              <w:t>2</w:t>
            </w:r>
            <w:r>
              <w:rPr>
                <w:rFonts w:ascii="宋体" w:hAnsi="宋体"/>
                <w:color w:val="auto"/>
              </w:rPr>
              <w:t>6</w:t>
            </w:r>
          </w:p>
        </w:tc>
        <w:tc>
          <w:tcPr>
            <w:tcW w:w="635" w:type="pct"/>
            <w:tcBorders>
              <w:left w:val="single" w:color="auto" w:sz="4" w:space="0"/>
            </w:tcBorders>
            <w:vAlign w:val="center"/>
          </w:tcPr>
          <w:p w14:paraId="72EFE6EC">
            <w:pPr>
              <w:jc w:val="center"/>
              <w:rPr>
                <w:rFonts w:hint="eastAsia" w:ascii="宋体" w:hAnsi="宋体"/>
                <w:color w:val="auto"/>
              </w:rPr>
            </w:pPr>
            <w:r>
              <w:rPr>
                <w:rFonts w:hint="eastAsia" w:ascii="宋体" w:hAnsi="宋体"/>
                <w:color w:val="auto"/>
              </w:rPr>
              <w:t>0.0325</w:t>
            </w:r>
          </w:p>
        </w:tc>
        <w:tc>
          <w:tcPr>
            <w:tcW w:w="420" w:type="pct"/>
            <w:vAlign w:val="center"/>
          </w:tcPr>
          <w:p w14:paraId="787AD5D4">
            <w:pPr>
              <w:jc w:val="center"/>
              <w:rPr>
                <w:rFonts w:hint="eastAsia" w:ascii="宋体" w:hAnsi="宋体"/>
                <w:color w:val="auto"/>
              </w:rPr>
            </w:pPr>
            <w:r>
              <w:rPr>
                <w:rFonts w:hint="eastAsia" w:ascii="宋体" w:hAnsi="宋体"/>
                <w:color w:val="auto"/>
              </w:rPr>
              <w:t>达标</w:t>
            </w:r>
          </w:p>
        </w:tc>
      </w:tr>
      <w:tr w14:paraId="276C14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5373F6A4">
            <w:pPr>
              <w:jc w:val="center"/>
              <w:rPr>
                <w:rFonts w:hint="eastAsia" w:ascii="宋体" w:hAnsi="宋体"/>
                <w:color w:val="auto"/>
              </w:rPr>
            </w:pPr>
          </w:p>
        </w:tc>
        <w:tc>
          <w:tcPr>
            <w:tcW w:w="634" w:type="pct"/>
            <w:vAlign w:val="center"/>
          </w:tcPr>
          <w:p w14:paraId="22C9CB58">
            <w:pPr>
              <w:jc w:val="center"/>
              <w:rPr>
                <w:rFonts w:hint="eastAsia" w:ascii="宋体" w:hAnsi="宋体"/>
                <w:color w:val="auto"/>
              </w:rPr>
            </w:pPr>
            <w:r>
              <w:rPr>
                <w:rFonts w:hint="eastAsia" w:ascii="宋体" w:hAnsi="宋体"/>
                <w:color w:val="auto"/>
              </w:rPr>
              <w:t>汞</w:t>
            </w:r>
          </w:p>
        </w:tc>
        <w:tc>
          <w:tcPr>
            <w:tcW w:w="473" w:type="pct"/>
            <w:tcBorders>
              <w:right w:val="single" w:color="auto" w:sz="4" w:space="0"/>
            </w:tcBorders>
            <w:vAlign w:val="center"/>
          </w:tcPr>
          <w:p w14:paraId="328AB9AC">
            <w:pPr>
              <w:jc w:val="center"/>
              <w:rPr>
                <w:rFonts w:hint="eastAsia" w:ascii="宋体" w:hAnsi="宋体"/>
                <w:color w:val="auto"/>
              </w:rPr>
            </w:pPr>
            <w:r>
              <w:rPr>
                <w:rFonts w:hint="eastAsia" w:ascii="宋体" w:hAnsi="宋体"/>
                <w:color w:val="auto"/>
              </w:rPr>
              <w:t>0</w:t>
            </w:r>
            <w:r>
              <w:rPr>
                <w:rFonts w:ascii="宋体" w:hAnsi="宋体"/>
                <w:color w:val="auto"/>
              </w:rPr>
              <w:t>.062</w:t>
            </w:r>
          </w:p>
        </w:tc>
        <w:tc>
          <w:tcPr>
            <w:tcW w:w="637" w:type="pct"/>
            <w:tcBorders>
              <w:left w:val="single" w:color="auto" w:sz="4" w:space="0"/>
            </w:tcBorders>
            <w:vAlign w:val="center"/>
          </w:tcPr>
          <w:p w14:paraId="0F01D900">
            <w:pPr>
              <w:jc w:val="center"/>
              <w:rPr>
                <w:rFonts w:hint="eastAsia" w:ascii="宋体" w:hAnsi="宋体"/>
                <w:color w:val="auto"/>
              </w:rPr>
            </w:pPr>
            <w:r>
              <w:rPr>
                <w:rFonts w:ascii="宋体" w:hAnsi="宋体"/>
                <w:color w:val="auto"/>
              </w:rPr>
              <w:t>0.0016</w:t>
            </w:r>
          </w:p>
        </w:tc>
        <w:tc>
          <w:tcPr>
            <w:tcW w:w="634" w:type="pct"/>
            <w:tcBorders>
              <w:right w:val="single" w:color="auto" w:sz="4" w:space="0"/>
            </w:tcBorders>
            <w:vAlign w:val="center"/>
          </w:tcPr>
          <w:p w14:paraId="54EE7C7C">
            <w:pPr>
              <w:jc w:val="center"/>
              <w:rPr>
                <w:rFonts w:hint="eastAsia" w:ascii="宋体" w:hAnsi="宋体"/>
                <w:color w:val="auto"/>
              </w:rPr>
            </w:pPr>
            <w:r>
              <w:rPr>
                <w:rFonts w:hint="eastAsia" w:ascii="宋体" w:hAnsi="宋体"/>
                <w:color w:val="auto"/>
              </w:rPr>
              <w:t>0</w:t>
            </w:r>
            <w:r>
              <w:rPr>
                <w:rFonts w:ascii="宋体" w:hAnsi="宋体"/>
                <w:color w:val="auto"/>
              </w:rPr>
              <w:t>.062</w:t>
            </w:r>
          </w:p>
        </w:tc>
        <w:tc>
          <w:tcPr>
            <w:tcW w:w="635" w:type="pct"/>
            <w:tcBorders>
              <w:left w:val="single" w:color="auto" w:sz="4" w:space="0"/>
            </w:tcBorders>
            <w:vAlign w:val="center"/>
          </w:tcPr>
          <w:p w14:paraId="5C2A96AF">
            <w:pPr>
              <w:jc w:val="center"/>
              <w:rPr>
                <w:rFonts w:hint="eastAsia" w:ascii="宋体" w:hAnsi="宋体"/>
                <w:color w:val="auto"/>
              </w:rPr>
            </w:pPr>
            <w:r>
              <w:rPr>
                <w:rFonts w:ascii="宋体" w:hAnsi="宋体"/>
                <w:color w:val="auto"/>
              </w:rPr>
              <w:t>0.0016</w:t>
            </w:r>
          </w:p>
        </w:tc>
        <w:tc>
          <w:tcPr>
            <w:tcW w:w="554" w:type="pct"/>
            <w:tcBorders>
              <w:right w:val="single" w:color="auto" w:sz="4" w:space="0"/>
            </w:tcBorders>
            <w:vAlign w:val="center"/>
          </w:tcPr>
          <w:p w14:paraId="68E39828">
            <w:pPr>
              <w:jc w:val="center"/>
              <w:rPr>
                <w:rFonts w:hint="eastAsia" w:ascii="宋体" w:hAnsi="宋体"/>
                <w:color w:val="auto"/>
              </w:rPr>
            </w:pPr>
            <w:r>
              <w:rPr>
                <w:rFonts w:hint="eastAsia" w:ascii="宋体" w:hAnsi="宋体"/>
                <w:color w:val="auto"/>
              </w:rPr>
              <w:t>0</w:t>
            </w:r>
            <w:r>
              <w:rPr>
                <w:rFonts w:ascii="宋体" w:hAnsi="宋体"/>
                <w:color w:val="auto"/>
              </w:rPr>
              <w:t>.058</w:t>
            </w:r>
          </w:p>
        </w:tc>
        <w:tc>
          <w:tcPr>
            <w:tcW w:w="635" w:type="pct"/>
            <w:tcBorders>
              <w:left w:val="single" w:color="auto" w:sz="4" w:space="0"/>
            </w:tcBorders>
            <w:vAlign w:val="center"/>
          </w:tcPr>
          <w:p w14:paraId="7E511589">
            <w:pPr>
              <w:jc w:val="center"/>
              <w:rPr>
                <w:rFonts w:hint="eastAsia" w:ascii="宋体" w:hAnsi="宋体"/>
                <w:color w:val="auto"/>
              </w:rPr>
            </w:pPr>
            <w:r>
              <w:rPr>
                <w:rFonts w:hint="eastAsia" w:ascii="宋体" w:hAnsi="宋体"/>
                <w:color w:val="auto"/>
              </w:rPr>
              <w:t>0.0015</w:t>
            </w:r>
          </w:p>
        </w:tc>
        <w:tc>
          <w:tcPr>
            <w:tcW w:w="420" w:type="pct"/>
            <w:vAlign w:val="center"/>
          </w:tcPr>
          <w:p w14:paraId="07B43544">
            <w:pPr>
              <w:jc w:val="center"/>
              <w:rPr>
                <w:rFonts w:hint="eastAsia" w:ascii="宋体" w:hAnsi="宋体"/>
                <w:color w:val="auto"/>
              </w:rPr>
            </w:pPr>
            <w:r>
              <w:rPr>
                <w:rFonts w:hint="eastAsia" w:ascii="宋体" w:hAnsi="宋体"/>
                <w:color w:val="auto"/>
              </w:rPr>
              <w:t>达标</w:t>
            </w:r>
          </w:p>
        </w:tc>
      </w:tr>
      <w:tr w14:paraId="5C55C8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786E4350">
            <w:pPr>
              <w:jc w:val="center"/>
              <w:rPr>
                <w:rFonts w:hint="eastAsia" w:ascii="宋体" w:hAnsi="宋体"/>
                <w:color w:val="auto"/>
              </w:rPr>
            </w:pPr>
          </w:p>
        </w:tc>
        <w:tc>
          <w:tcPr>
            <w:tcW w:w="634" w:type="pct"/>
            <w:vAlign w:val="center"/>
          </w:tcPr>
          <w:p w14:paraId="39195B9C">
            <w:pPr>
              <w:jc w:val="center"/>
              <w:rPr>
                <w:rFonts w:hint="eastAsia" w:ascii="宋体" w:hAnsi="宋体"/>
                <w:color w:val="auto"/>
              </w:rPr>
            </w:pPr>
            <w:r>
              <w:rPr>
                <w:rFonts w:hint="eastAsia" w:ascii="宋体" w:hAnsi="宋体"/>
                <w:color w:val="auto"/>
              </w:rPr>
              <w:t>砷</w:t>
            </w:r>
          </w:p>
        </w:tc>
        <w:tc>
          <w:tcPr>
            <w:tcW w:w="473" w:type="pct"/>
            <w:tcBorders>
              <w:right w:val="single" w:color="auto" w:sz="4" w:space="0"/>
            </w:tcBorders>
            <w:vAlign w:val="center"/>
          </w:tcPr>
          <w:p w14:paraId="1CDC39C7">
            <w:pPr>
              <w:jc w:val="center"/>
              <w:rPr>
                <w:rFonts w:hint="eastAsia" w:ascii="宋体" w:hAnsi="宋体"/>
                <w:color w:val="auto"/>
              </w:rPr>
            </w:pPr>
            <w:r>
              <w:rPr>
                <w:rFonts w:hint="eastAsia" w:ascii="宋体" w:hAnsi="宋体"/>
                <w:color w:val="auto"/>
              </w:rPr>
              <w:t>6</w:t>
            </w:r>
            <w:r>
              <w:rPr>
                <w:rFonts w:ascii="宋体" w:hAnsi="宋体"/>
                <w:color w:val="auto"/>
              </w:rPr>
              <w:t>.13</w:t>
            </w:r>
          </w:p>
        </w:tc>
        <w:tc>
          <w:tcPr>
            <w:tcW w:w="637" w:type="pct"/>
            <w:tcBorders>
              <w:left w:val="single" w:color="auto" w:sz="4" w:space="0"/>
            </w:tcBorders>
            <w:vAlign w:val="center"/>
          </w:tcPr>
          <w:p w14:paraId="47A1536C">
            <w:pPr>
              <w:jc w:val="center"/>
              <w:rPr>
                <w:rFonts w:hint="eastAsia" w:ascii="宋体" w:hAnsi="宋体"/>
                <w:color w:val="auto"/>
              </w:rPr>
            </w:pPr>
            <w:r>
              <w:rPr>
                <w:rFonts w:ascii="宋体" w:hAnsi="宋体"/>
                <w:color w:val="auto"/>
              </w:rPr>
              <w:t>0.1022</w:t>
            </w:r>
          </w:p>
        </w:tc>
        <w:tc>
          <w:tcPr>
            <w:tcW w:w="634" w:type="pct"/>
            <w:tcBorders>
              <w:right w:val="single" w:color="auto" w:sz="4" w:space="0"/>
            </w:tcBorders>
            <w:vAlign w:val="center"/>
          </w:tcPr>
          <w:p w14:paraId="130A1EB1">
            <w:pPr>
              <w:jc w:val="center"/>
              <w:rPr>
                <w:rFonts w:hint="eastAsia" w:ascii="宋体" w:hAnsi="宋体"/>
                <w:color w:val="auto"/>
              </w:rPr>
            </w:pPr>
            <w:r>
              <w:rPr>
                <w:rFonts w:hint="eastAsia" w:ascii="宋体" w:hAnsi="宋体"/>
                <w:color w:val="auto"/>
              </w:rPr>
              <w:t>6</w:t>
            </w:r>
            <w:r>
              <w:rPr>
                <w:rFonts w:ascii="宋体" w:hAnsi="宋体"/>
                <w:color w:val="auto"/>
              </w:rPr>
              <w:t>.22</w:t>
            </w:r>
          </w:p>
        </w:tc>
        <w:tc>
          <w:tcPr>
            <w:tcW w:w="635" w:type="pct"/>
            <w:tcBorders>
              <w:left w:val="single" w:color="auto" w:sz="4" w:space="0"/>
            </w:tcBorders>
            <w:vAlign w:val="center"/>
          </w:tcPr>
          <w:p w14:paraId="06483895">
            <w:pPr>
              <w:jc w:val="center"/>
              <w:rPr>
                <w:rFonts w:hint="eastAsia" w:ascii="宋体" w:hAnsi="宋体"/>
                <w:color w:val="auto"/>
              </w:rPr>
            </w:pPr>
            <w:r>
              <w:rPr>
                <w:rFonts w:ascii="宋体" w:hAnsi="宋体"/>
                <w:color w:val="auto"/>
              </w:rPr>
              <w:t>0.1037</w:t>
            </w:r>
          </w:p>
        </w:tc>
        <w:tc>
          <w:tcPr>
            <w:tcW w:w="554" w:type="pct"/>
            <w:tcBorders>
              <w:right w:val="single" w:color="auto" w:sz="4" w:space="0"/>
            </w:tcBorders>
            <w:vAlign w:val="center"/>
          </w:tcPr>
          <w:p w14:paraId="1BAF5C29">
            <w:pPr>
              <w:jc w:val="center"/>
              <w:rPr>
                <w:rFonts w:hint="eastAsia" w:ascii="宋体" w:hAnsi="宋体"/>
                <w:color w:val="auto"/>
              </w:rPr>
            </w:pPr>
            <w:r>
              <w:rPr>
                <w:rFonts w:hint="eastAsia" w:ascii="宋体" w:hAnsi="宋体"/>
                <w:color w:val="auto"/>
              </w:rPr>
              <w:t>6</w:t>
            </w:r>
            <w:r>
              <w:rPr>
                <w:rFonts w:ascii="宋体" w:hAnsi="宋体"/>
                <w:color w:val="auto"/>
              </w:rPr>
              <w:t>.22</w:t>
            </w:r>
          </w:p>
        </w:tc>
        <w:tc>
          <w:tcPr>
            <w:tcW w:w="635" w:type="pct"/>
            <w:tcBorders>
              <w:left w:val="single" w:color="auto" w:sz="4" w:space="0"/>
            </w:tcBorders>
            <w:vAlign w:val="center"/>
          </w:tcPr>
          <w:p w14:paraId="316F54EE">
            <w:pPr>
              <w:jc w:val="center"/>
              <w:rPr>
                <w:rFonts w:hint="eastAsia" w:ascii="宋体" w:hAnsi="宋体"/>
                <w:color w:val="auto"/>
              </w:rPr>
            </w:pPr>
            <w:r>
              <w:rPr>
                <w:rFonts w:hint="eastAsia" w:ascii="宋体" w:hAnsi="宋体"/>
                <w:color w:val="auto"/>
              </w:rPr>
              <w:t>0.1037</w:t>
            </w:r>
          </w:p>
        </w:tc>
        <w:tc>
          <w:tcPr>
            <w:tcW w:w="420" w:type="pct"/>
            <w:vAlign w:val="center"/>
          </w:tcPr>
          <w:p w14:paraId="171A059B">
            <w:pPr>
              <w:jc w:val="center"/>
              <w:rPr>
                <w:rFonts w:hint="eastAsia" w:ascii="宋体" w:hAnsi="宋体"/>
                <w:color w:val="auto"/>
              </w:rPr>
            </w:pPr>
            <w:r>
              <w:rPr>
                <w:rFonts w:hint="eastAsia" w:ascii="宋体" w:hAnsi="宋体"/>
                <w:color w:val="auto"/>
              </w:rPr>
              <w:t>达标</w:t>
            </w:r>
          </w:p>
        </w:tc>
      </w:tr>
      <w:tr w14:paraId="201DA4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restart"/>
            <w:vAlign w:val="center"/>
          </w:tcPr>
          <w:p w14:paraId="61F20644">
            <w:pPr>
              <w:jc w:val="center"/>
              <w:rPr>
                <w:rFonts w:hint="eastAsia" w:ascii="宋体" w:hAnsi="宋体"/>
                <w:color w:val="auto"/>
              </w:rPr>
            </w:pPr>
            <w:r>
              <w:rPr>
                <w:rFonts w:hint="eastAsia" w:ascii="宋体" w:hAnsi="宋体"/>
                <w:color w:val="auto"/>
              </w:rPr>
              <w:t>S</w:t>
            </w:r>
            <w:r>
              <w:rPr>
                <w:rFonts w:ascii="宋体" w:hAnsi="宋体"/>
                <w:color w:val="auto"/>
              </w:rPr>
              <w:t>2</w:t>
            </w:r>
          </w:p>
        </w:tc>
        <w:tc>
          <w:tcPr>
            <w:tcW w:w="634" w:type="pct"/>
            <w:vAlign w:val="center"/>
          </w:tcPr>
          <w:p w14:paraId="1CE745CF">
            <w:pPr>
              <w:jc w:val="center"/>
              <w:rPr>
                <w:rFonts w:hint="eastAsia" w:ascii="宋体" w:hAnsi="宋体"/>
                <w:color w:val="auto"/>
              </w:rPr>
            </w:pPr>
            <w:r>
              <w:rPr>
                <w:rFonts w:ascii="宋体" w:hAnsi="宋体"/>
                <w:color w:val="auto"/>
              </w:rPr>
              <w:t>pH</w:t>
            </w:r>
          </w:p>
        </w:tc>
        <w:tc>
          <w:tcPr>
            <w:tcW w:w="473" w:type="pct"/>
            <w:tcBorders>
              <w:right w:val="single" w:color="auto" w:sz="4" w:space="0"/>
            </w:tcBorders>
            <w:vAlign w:val="center"/>
          </w:tcPr>
          <w:p w14:paraId="6F6DC746">
            <w:pPr>
              <w:jc w:val="center"/>
              <w:rPr>
                <w:rFonts w:hint="eastAsia" w:ascii="宋体" w:hAnsi="宋体"/>
                <w:color w:val="auto"/>
              </w:rPr>
            </w:pPr>
            <w:r>
              <w:rPr>
                <w:rFonts w:hint="eastAsia" w:ascii="宋体" w:hAnsi="宋体"/>
                <w:color w:val="auto"/>
              </w:rPr>
              <w:t>8</w:t>
            </w:r>
            <w:r>
              <w:rPr>
                <w:rFonts w:ascii="宋体" w:hAnsi="宋体"/>
                <w:color w:val="auto"/>
              </w:rPr>
              <w:t>.</w:t>
            </w:r>
            <w:r>
              <w:rPr>
                <w:rFonts w:hint="eastAsia" w:ascii="宋体" w:hAnsi="宋体"/>
                <w:color w:val="auto"/>
              </w:rPr>
              <w:t>4</w:t>
            </w:r>
            <w:r>
              <w:rPr>
                <w:rFonts w:ascii="宋体" w:hAnsi="宋体"/>
                <w:color w:val="auto"/>
              </w:rPr>
              <w:t>9</w:t>
            </w:r>
          </w:p>
        </w:tc>
        <w:tc>
          <w:tcPr>
            <w:tcW w:w="637" w:type="pct"/>
            <w:tcBorders>
              <w:left w:val="single" w:color="auto" w:sz="4" w:space="0"/>
            </w:tcBorders>
            <w:vAlign w:val="center"/>
          </w:tcPr>
          <w:p w14:paraId="6182C7A8">
            <w:pPr>
              <w:jc w:val="center"/>
              <w:rPr>
                <w:rFonts w:hint="eastAsia" w:ascii="宋体" w:hAnsi="宋体"/>
                <w:color w:val="auto"/>
              </w:rPr>
            </w:pPr>
            <w:r>
              <w:rPr>
                <w:rFonts w:hint="eastAsia" w:ascii="宋体" w:hAnsi="宋体"/>
                <w:color w:val="auto"/>
              </w:rPr>
              <w:t>/</w:t>
            </w:r>
          </w:p>
        </w:tc>
        <w:tc>
          <w:tcPr>
            <w:tcW w:w="634" w:type="pct"/>
            <w:tcBorders>
              <w:right w:val="single" w:color="auto" w:sz="4" w:space="0"/>
            </w:tcBorders>
            <w:vAlign w:val="center"/>
          </w:tcPr>
          <w:p w14:paraId="7132625A">
            <w:pPr>
              <w:jc w:val="center"/>
              <w:rPr>
                <w:rFonts w:hint="eastAsia" w:ascii="宋体" w:hAnsi="宋体"/>
                <w:color w:val="auto"/>
              </w:rPr>
            </w:pPr>
            <w:r>
              <w:rPr>
                <w:rFonts w:hint="eastAsia" w:ascii="宋体" w:hAnsi="宋体"/>
                <w:color w:val="auto"/>
              </w:rPr>
              <w:t>8</w:t>
            </w:r>
            <w:r>
              <w:rPr>
                <w:rFonts w:ascii="宋体" w:hAnsi="宋体"/>
                <w:color w:val="auto"/>
              </w:rPr>
              <w:t>.54</w:t>
            </w:r>
          </w:p>
        </w:tc>
        <w:tc>
          <w:tcPr>
            <w:tcW w:w="635" w:type="pct"/>
            <w:tcBorders>
              <w:left w:val="single" w:color="auto" w:sz="4" w:space="0"/>
            </w:tcBorders>
            <w:vAlign w:val="center"/>
          </w:tcPr>
          <w:p w14:paraId="34F40D3C">
            <w:pPr>
              <w:jc w:val="center"/>
              <w:rPr>
                <w:rFonts w:hint="eastAsia" w:ascii="宋体" w:hAnsi="宋体"/>
                <w:color w:val="auto"/>
              </w:rPr>
            </w:pPr>
            <w:r>
              <w:rPr>
                <w:rFonts w:hint="eastAsia" w:ascii="宋体" w:hAnsi="宋体"/>
                <w:color w:val="auto"/>
              </w:rPr>
              <w:t>/</w:t>
            </w:r>
          </w:p>
        </w:tc>
        <w:tc>
          <w:tcPr>
            <w:tcW w:w="554" w:type="pct"/>
            <w:tcBorders>
              <w:right w:val="single" w:color="auto" w:sz="4" w:space="0"/>
            </w:tcBorders>
            <w:vAlign w:val="center"/>
          </w:tcPr>
          <w:p w14:paraId="11AC7810">
            <w:pPr>
              <w:jc w:val="center"/>
              <w:rPr>
                <w:rFonts w:hint="eastAsia" w:ascii="宋体" w:hAnsi="宋体"/>
                <w:color w:val="auto"/>
              </w:rPr>
            </w:pPr>
            <w:r>
              <w:rPr>
                <w:rFonts w:hint="eastAsia" w:ascii="宋体" w:hAnsi="宋体"/>
                <w:color w:val="auto"/>
              </w:rPr>
              <w:t>8</w:t>
            </w:r>
            <w:r>
              <w:rPr>
                <w:rFonts w:ascii="宋体" w:hAnsi="宋体"/>
                <w:color w:val="auto"/>
              </w:rPr>
              <w:t>.62</w:t>
            </w:r>
          </w:p>
        </w:tc>
        <w:tc>
          <w:tcPr>
            <w:tcW w:w="635" w:type="pct"/>
            <w:tcBorders>
              <w:left w:val="single" w:color="auto" w:sz="4" w:space="0"/>
            </w:tcBorders>
            <w:vAlign w:val="center"/>
          </w:tcPr>
          <w:p w14:paraId="2086B94F">
            <w:pPr>
              <w:jc w:val="center"/>
              <w:rPr>
                <w:rFonts w:hint="eastAsia" w:ascii="宋体" w:hAnsi="宋体"/>
                <w:color w:val="auto"/>
              </w:rPr>
            </w:pPr>
            <w:r>
              <w:rPr>
                <w:rFonts w:hint="eastAsia" w:ascii="宋体" w:hAnsi="宋体"/>
                <w:color w:val="auto"/>
              </w:rPr>
              <w:t>/</w:t>
            </w:r>
          </w:p>
        </w:tc>
        <w:tc>
          <w:tcPr>
            <w:tcW w:w="420" w:type="pct"/>
            <w:vAlign w:val="center"/>
          </w:tcPr>
          <w:p w14:paraId="6B7FC7B7">
            <w:pPr>
              <w:jc w:val="center"/>
              <w:rPr>
                <w:rFonts w:hint="eastAsia" w:ascii="宋体" w:hAnsi="宋体"/>
                <w:color w:val="auto"/>
              </w:rPr>
            </w:pPr>
            <w:r>
              <w:rPr>
                <w:rFonts w:hint="eastAsia" w:ascii="宋体" w:hAnsi="宋体"/>
                <w:color w:val="auto"/>
              </w:rPr>
              <w:t>达标</w:t>
            </w:r>
          </w:p>
        </w:tc>
      </w:tr>
      <w:tr w14:paraId="44BC52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2C3407BE">
            <w:pPr>
              <w:jc w:val="center"/>
              <w:rPr>
                <w:rFonts w:hint="eastAsia" w:ascii="宋体" w:hAnsi="宋体"/>
                <w:color w:val="auto"/>
              </w:rPr>
            </w:pPr>
          </w:p>
        </w:tc>
        <w:tc>
          <w:tcPr>
            <w:tcW w:w="634" w:type="pct"/>
            <w:vAlign w:val="center"/>
          </w:tcPr>
          <w:p w14:paraId="6319D698">
            <w:pPr>
              <w:jc w:val="center"/>
              <w:rPr>
                <w:rFonts w:hint="eastAsia" w:ascii="宋体" w:hAnsi="宋体"/>
                <w:color w:val="auto"/>
              </w:rPr>
            </w:pPr>
            <w:r>
              <w:rPr>
                <w:rFonts w:hint="eastAsia" w:ascii="宋体" w:hAnsi="宋体"/>
                <w:color w:val="auto"/>
              </w:rPr>
              <w:t>石油烃（</w:t>
            </w:r>
            <w:r>
              <w:rPr>
                <w:rFonts w:ascii="宋体" w:hAnsi="宋体"/>
                <w:color w:val="auto"/>
              </w:rPr>
              <w:t>C</w:t>
            </w:r>
            <w:r>
              <w:rPr>
                <w:rFonts w:ascii="宋体" w:hAnsi="宋体"/>
                <w:color w:val="auto"/>
                <w:vertAlign w:val="subscript"/>
              </w:rPr>
              <w:t>10</w:t>
            </w:r>
            <w:r>
              <w:rPr>
                <w:rFonts w:ascii="宋体" w:hAnsi="宋体"/>
                <w:color w:val="auto"/>
              </w:rPr>
              <w:t>～C</w:t>
            </w:r>
            <w:r>
              <w:rPr>
                <w:rFonts w:ascii="宋体" w:hAnsi="宋体"/>
                <w:color w:val="auto"/>
                <w:vertAlign w:val="subscript"/>
              </w:rPr>
              <w:t>40</w:t>
            </w:r>
            <w:r>
              <w:rPr>
                <w:rFonts w:hint="eastAsia" w:ascii="宋体" w:hAnsi="宋体"/>
                <w:color w:val="auto"/>
                <w:vertAlign w:val="subscript"/>
              </w:rPr>
              <w:t>）</w:t>
            </w:r>
          </w:p>
        </w:tc>
        <w:tc>
          <w:tcPr>
            <w:tcW w:w="473" w:type="pct"/>
            <w:tcBorders>
              <w:right w:val="single" w:color="auto" w:sz="4" w:space="0"/>
            </w:tcBorders>
            <w:vAlign w:val="center"/>
          </w:tcPr>
          <w:p w14:paraId="714A6580">
            <w:pPr>
              <w:jc w:val="center"/>
              <w:rPr>
                <w:rFonts w:hint="eastAsia" w:ascii="宋体" w:hAnsi="宋体"/>
                <w:color w:val="auto"/>
              </w:rPr>
            </w:pPr>
            <w:r>
              <w:rPr>
                <w:rFonts w:hint="eastAsia" w:ascii="宋体" w:hAnsi="宋体"/>
                <w:color w:val="auto"/>
              </w:rPr>
              <w:t>4</w:t>
            </w:r>
            <w:r>
              <w:rPr>
                <w:rFonts w:ascii="宋体" w:hAnsi="宋体"/>
                <w:color w:val="auto"/>
              </w:rPr>
              <w:t>4</w:t>
            </w:r>
          </w:p>
        </w:tc>
        <w:tc>
          <w:tcPr>
            <w:tcW w:w="637" w:type="pct"/>
            <w:tcBorders>
              <w:left w:val="single" w:color="auto" w:sz="4" w:space="0"/>
            </w:tcBorders>
            <w:vAlign w:val="center"/>
          </w:tcPr>
          <w:p w14:paraId="4E24C900">
            <w:pPr>
              <w:jc w:val="center"/>
              <w:rPr>
                <w:rFonts w:hint="eastAsia" w:ascii="宋体" w:hAnsi="宋体"/>
                <w:color w:val="auto"/>
              </w:rPr>
            </w:pPr>
            <w:r>
              <w:rPr>
                <w:rFonts w:ascii="宋体" w:hAnsi="宋体"/>
                <w:color w:val="auto"/>
              </w:rPr>
              <w:t>0.0098</w:t>
            </w:r>
          </w:p>
        </w:tc>
        <w:tc>
          <w:tcPr>
            <w:tcW w:w="634" w:type="pct"/>
            <w:tcBorders>
              <w:right w:val="single" w:color="auto" w:sz="4" w:space="0"/>
            </w:tcBorders>
            <w:vAlign w:val="center"/>
          </w:tcPr>
          <w:p w14:paraId="743FD53F">
            <w:pPr>
              <w:jc w:val="center"/>
              <w:rPr>
                <w:rFonts w:hint="eastAsia" w:ascii="宋体" w:hAnsi="宋体"/>
                <w:color w:val="auto"/>
              </w:rPr>
            </w:pPr>
            <w:r>
              <w:rPr>
                <w:rFonts w:hint="eastAsia" w:ascii="宋体" w:hAnsi="宋体"/>
                <w:color w:val="auto"/>
              </w:rPr>
              <w:t>1</w:t>
            </w:r>
            <w:r>
              <w:rPr>
                <w:rFonts w:ascii="宋体" w:hAnsi="宋体"/>
                <w:color w:val="auto"/>
              </w:rPr>
              <w:t>5</w:t>
            </w:r>
          </w:p>
        </w:tc>
        <w:tc>
          <w:tcPr>
            <w:tcW w:w="635" w:type="pct"/>
            <w:tcBorders>
              <w:left w:val="single" w:color="auto" w:sz="4" w:space="0"/>
            </w:tcBorders>
            <w:vAlign w:val="center"/>
          </w:tcPr>
          <w:p w14:paraId="4FE4C055">
            <w:pPr>
              <w:jc w:val="center"/>
              <w:rPr>
                <w:rFonts w:hint="eastAsia" w:ascii="宋体" w:hAnsi="宋体"/>
                <w:color w:val="auto"/>
              </w:rPr>
            </w:pPr>
            <w:r>
              <w:rPr>
                <w:rFonts w:ascii="宋体" w:hAnsi="宋体"/>
                <w:color w:val="auto"/>
              </w:rPr>
              <w:t>0.0033</w:t>
            </w:r>
          </w:p>
        </w:tc>
        <w:tc>
          <w:tcPr>
            <w:tcW w:w="554" w:type="pct"/>
            <w:tcBorders>
              <w:right w:val="single" w:color="auto" w:sz="4" w:space="0"/>
            </w:tcBorders>
            <w:vAlign w:val="center"/>
          </w:tcPr>
          <w:p w14:paraId="15B34CD5">
            <w:pPr>
              <w:jc w:val="center"/>
              <w:rPr>
                <w:rFonts w:hint="eastAsia" w:ascii="宋体" w:hAnsi="宋体"/>
                <w:color w:val="auto"/>
              </w:rPr>
            </w:pPr>
            <w:r>
              <w:rPr>
                <w:rFonts w:hint="eastAsia" w:ascii="宋体" w:hAnsi="宋体"/>
                <w:color w:val="auto"/>
              </w:rPr>
              <w:t>1</w:t>
            </w:r>
            <w:r>
              <w:rPr>
                <w:rFonts w:ascii="宋体" w:hAnsi="宋体"/>
                <w:color w:val="auto"/>
              </w:rPr>
              <w:t>0</w:t>
            </w:r>
          </w:p>
        </w:tc>
        <w:tc>
          <w:tcPr>
            <w:tcW w:w="635" w:type="pct"/>
            <w:tcBorders>
              <w:left w:val="single" w:color="auto" w:sz="4" w:space="0"/>
            </w:tcBorders>
            <w:vAlign w:val="center"/>
          </w:tcPr>
          <w:p w14:paraId="1A973397">
            <w:pPr>
              <w:jc w:val="center"/>
              <w:rPr>
                <w:rFonts w:hint="eastAsia" w:ascii="宋体" w:hAnsi="宋体"/>
                <w:color w:val="auto"/>
              </w:rPr>
            </w:pPr>
            <w:r>
              <w:rPr>
                <w:rFonts w:hint="eastAsia" w:ascii="宋体" w:hAnsi="宋体"/>
                <w:color w:val="auto"/>
              </w:rPr>
              <w:t>0.0022</w:t>
            </w:r>
          </w:p>
        </w:tc>
        <w:tc>
          <w:tcPr>
            <w:tcW w:w="420" w:type="pct"/>
            <w:vAlign w:val="center"/>
          </w:tcPr>
          <w:p w14:paraId="35A2E1C7">
            <w:pPr>
              <w:jc w:val="center"/>
              <w:rPr>
                <w:rFonts w:hint="eastAsia" w:ascii="宋体" w:hAnsi="宋体"/>
                <w:color w:val="auto"/>
              </w:rPr>
            </w:pPr>
            <w:r>
              <w:rPr>
                <w:rFonts w:hint="eastAsia" w:ascii="宋体" w:hAnsi="宋体"/>
                <w:color w:val="auto"/>
              </w:rPr>
              <w:t>达标</w:t>
            </w:r>
          </w:p>
        </w:tc>
      </w:tr>
      <w:tr w14:paraId="11C0EB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07B31637">
            <w:pPr>
              <w:jc w:val="center"/>
              <w:rPr>
                <w:rFonts w:hint="eastAsia" w:ascii="宋体" w:hAnsi="宋体"/>
                <w:color w:val="auto"/>
              </w:rPr>
            </w:pPr>
          </w:p>
        </w:tc>
        <w:tc>
          <w:tcPr>
            <w:tcW w:w="634" w:type="pct"/>
            <w:vAlign w:val="center"/>
          </w:tcPr>
          <w:p w14:paraId="7C67DDB2">
            <w:pPr>
              <w:jc w:val="center"/>
              <w:rPr>
                <w:rFonts w:hint="eastAsia" w:ascii="宋体" w:hAnsi="宋体"/>
                <w:color w:val="auto"/>
              </w:rPr>
            </w:pPr>
            <w:r>
              <w:rPr>
                <w:rFonts w:hint="eastAsia" w:ascii="宋体" w:hAnsi="宋体"/>
                <w:color w:val="auto"/>
              </w:rPr>
              <w:t>镉</w:t>
            </w:r>
          </w:p>
        </w:tc>
        <w:tc>
          <w:tcPr>
            <w:tcW w:w="473" w:type="pct"/>
            <w:tcBorders>
              <w:right w:val="single" w:color="auto" w:sz="4" w:space="0"/>
            </w:tcBorders>
            <w:vAlign w:val="center"/>
          </w:tcPr>
          <w:p w14:paraId="37B0EBD4">
            <w:pPr>
              <w:jc w:val="center"/>
              <w:rPr>
                <w:rFonts w:hint="eastAsia" w:ascii="宋体" w:hAnsi="宋体"/>
                <w:color w:val="auto"/>
              </w:rPr>
            </w:pPr>
            <w:r>
              <w:rPr>
                <w:rFonts w:hint="eastAsia" w:ascii="宋体" w:hAnsi="宋体"/>
                <w:color w:val="auto"/>
              </w:rPr>
              <w:t>0</w:t>
            </w:r>
            <w:r>
              <w:rPr>
                <w:rFonts w:ascii="宋体" w:hAnsi="宋体"/>
                <w:color w:val="auto"/>
              </w:rPr>
              <w:t>.06</w:t>
            </w:r>
          </w:p>
        </w:tc>
        <w:tc>
          <w:tcPr>
            <w:tcW w:w="637" w:type="pct"/>
            <w:tcBorders>
              <w:left w:val="single" w:color="auto" w:sz="4" w:space="0"/>
            </w:tcBorders>
            <w:vAlign w:val="center"/>
          </w:tcPr>
          <w:p w14:paraId="1953E8BA">
            <w:pPr>
              <w:jc w:val="center"/>
              <w:rPr>
                <w:rFonts w:hint="eastAsia" w:ascii="宋体" w:hAnsi="宋体"/>
                <w:color w:val="auto"/>
              </w:rPr>
            </w:pPr>
            <w:r>
              <w:rPr>
                <w:rFonts w:ascii="宋体" w:hAnsi="宋体"/>
                <w:color w:val="auto"/>
              </w:rPr>
              <w:t>0.0009</w:t>
            </w:r>
          </w:p>
        </w:tc>
        <w:tc>
          <w:tcPr>
            <w:tcW w:w="634" w:type="pct"/>
            <w:tcBorders>
              <w:right w:val="single" w:color="auto" w:sz="4" w:space="0"/>
            </w:tcBorders>
            <w:vAlign w:val="center"/>
          </w:tcPr>
          <w:p w14:paraId="4313F0B3">
            <w:pPr>
              <w:jc w:val="center"/>
              <w:rPr>
                <w:rFonts w:hint="eastAsia" w:ascii="宋体" w:hAnsi="宋体"/>
                <w:color w:val="auto"/>
              </w:rPr>
            </w:pPr>
            <w:r>
              <w:rPr>
                <w:rFonts w:hint="eastAsia" w:ascii="宋体" w:hAnsi="宋体"/>
                <w:color w:val="auto"/>
              </w:rPr>
              <w:t>0</w:t>
            </w:r>
            <w:r>
              <w:rPr>
                <w:rFonts w:ascii="宋体" w:hAnsi="宋体"/>
                <w:color w:val="auto"/>
              </w:rPr>
              <w:t>.05</w:t>
            </w:r>
          </w:p>
        </w:tc>
        <w:tc>
          <w:tcPr>
            <w:tcW w:w="635" w:type="pct"/>
            <w:tcBorders>
              <w:left w:val="single" w:color="auto" w:sz="4" w:space="0"/>
            </w:tcBorders>
            <w:vAlign w:val="center"/>
          </w:tcPr>
          <w:p w14:paraId="6F05E7A7">
            <w:pPr>
              <w:jc w:val="center"/>
              <w:rPr>
                <w:rFonts w:hint="eastAsia" w:ascii="宋体" w:hAnsi="宋体"/>
                <w:color w:val="auto"/>
              </w:rPr>
            </w:pPr>
            <w:r>
              <w:rPr>
                <w:rFonts w:ascii="宋体" w:hAnsi="宋体"/>
                <w:color w:val="auto"/>
              </w:rPr>
              <w:t>0.0008</w:t>
            </w:r>
          </w:p>
        </w:tc>
        <w:tc>
          <w:tcPr>
            <w:tcW w:w="554" w:type="pct"/>
            <w:tcBorders>
              <w:right w:val="single" w:color="auto" w:sz="4" w:space="0"/>
            </w:tcBorders>
            <w:vAlign w:val="center"/>
          </w:tcPr>
          <w:p w14:paraId="5094EFB2">
            <w:pPr>
              <w:jc w:val="center"/>
              <w:rPr>
                <w:rFonts w:hint="eastAsia" w:ascii="宋体" w:hAnsi="宋体"/>
                <w:color w:val="auto"/>
              </w:rPr>
            </w:pPr>
            <w:r>
              <w:rPr>
                <w:rFonts w:hint="eastAsia" w:ascii="宋体" w:hAnsi="宋体"/>
                <w:color w:val="auto"/>
              </w:rPr>
              <w:t>0</w:t>
            </w:r>
            <w:r>
              <w:rPr>
                <w:rFonts w:ascii="宋体" w:hAnsi="宋体"/>
                <w:color w:val="auto"/>
              </w:rPr>
              <w:t>.05</w:t>
            </w:r>
          </w:p>
        </w:tc>
        <w:tc>
          <w:tcPr>
            <w:tcW w:w="635" w:type="pct"/>
            <w:tcBorders>
              <w:left w:val="single" w:color="auto" w:sz="4" w:space="0"/>
            </w:tcBorders>
            <w:vAlign w:val="center"/>
          </w:tcPr>
          <w:p w14:paraId="7CBC6D95">
            <w:pPr>
              <w:jc w:val="center"/>
              <w:rPr>
                <w:rFonts w:hint="eastAsia" w:ascii="宋体" w:hAnsi="宋体"/>
                <w:color w:val="auto"/>
              </w:rPr>
            </w:pPr>
            <w:r>
              <w:rPr>
                <w:rFonts w:hint="eastAsia" w:ascii="宋体" w:hAnsi="宋体"/>
                <w:color w:val="auto"/>
              </w:rPr>
              <w:t>0.0008</w:t>
            </w:r>
          </w:p>
        </w:tc>
        <w:tc>
          <w:tcPr>
            <w:tcW w:w="420" w:type="pct"/>
            <w:vAlign w:val="center"/>
          </w:tcPr>
          <w:p w14:paraId="63C4D8E0">
            <w:pPr>
              <w:jc w:val="center"/>
              <w:rPr>
                <w:rFonts w:hint="eastAsia" w:ascii="宋体" w:hAnsi="宋体"/>
                <w:color w:val="auto"/>
              </w:rPr>
            </w:pPr>
            <w:r>
              <w:rPr>
                <w:rFonts w:hint="eastAsia" w:ascii="宋体" w:hAnsi="宋体"/>
                <w:color w:val="auto"/>
              </w:rPr>
              <w:t>达标</w:t>
            </w:r>
          </w:p>
        </w:tc>
      </w:tr>
      <w:tr w14:paraId="6519C1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31047934">
            <w:pPr>
              <w:jc w:val="center"/>
              <w:rPr>
                <w:rFonts w:hint="eastAsia" w:ascii="宋体" w:hAnsi="宋体"/>
                <w:color w:val="auto"/>
              </w:rPr>
            </w:pPr>
          </w:p>
        </w:tc>
        <w:tc>
          <w:tcPr>
            <w:tcW w:w="634" w:type="pct"/>
            <w:vAlign w:val="center"/>
          </w:tcPr>
          <w:p w14:paraId="13AA92B0">
            <w:pPr>
              <w:jc w:val="center"/>
              <w:rPr>
                <w:rFonts w:hint="eastAsia" w:ascii="宋体" w:hAnsi="宋体"/>
                <w:color w:val="auto"/>
              </w:rPr>
            </w:pPr>
            <w:r>
              <w:rPr>
                <w:rFonts w:hint="eastAsia" w:ascii="宋体" w:hAnsi="宋体"/>
                <w:color w:val="auto"/>
              </w:rPr>
              <w:t>镍</w:t>
            </w:r>
          </w:p>
        </w:tc>
        <w:tc>
          <w:tcPr>
            <w:tcW w:w="473" w:type="pct"/>
            <w:tcBorders>
              <w:right w:val="single" w:color="auto" w:sz="4" w:space="0"/>
            </w:tcBorders>
            <w:vAlign w:val="center"/>
          </w:tcPr>
          <w:p w14:paraId="11CA38C4">
            <w:pPr>
              <w:jc w:val="center"/>
              <w:rPr>
                <w:rFonts w:hint="eastAsia" w:ascii="宋体" w:hAnsi="宋体"/>
                <w:color w:val="auto"/>
              </w:rPr>
            </w:pPr>
            <w:r>
              <w:rPr>
                <w:rFonts w:hint="eastAsia" w:ascii="宋体" w:hAnsi="宋体"/>
                <w:color w:val="auto"/>
              </w:rPr>
              <w:t>1</w:t>
            </w:r>
            <w:r>
              <w:rPr>
                <w:rFonts w:ascii="宋体" w:hAnsi="宋体"/>
                <w:color w:val="auto"/>
              </w:rPr>
              <w:t>4</w:t>
            </w:r>
          </w:p>
        </w:tc>
        <w:tc>
          <w:tcPr>
            <w:tcW w:w="637" w:type="pct"/>
            <w:tcBorders>
              <w:left w:val="single" w:color="auto" w:sz="4" w:space="0"/>
            </w:tcBorders>
            <w:vAlign w:val="center"/>
          </w:tcPr>
          <w:p w14:paraId="15F06DFB">
            <w:pPr>
              <w:jc w:val="center"/>
              <w:rPr>
                <w:rFonts w:hint="eastAsia" w:ascii="宋体" w:hAnsi="宋体"/>
                <w:color w:val="auto"/>
              </w:rPr>
            </w:pPr>
            <w:r>
              <w:rPr>
                <w:rFonts w:ascii="宋体" w:hAnsi="宋体"/>
                <w:color w:val="auto"/>
              </w:rPr>
              <w:t>0.0156</w:t>
            </w:r>
          </w:p>
        </w:tc>
        <w:tc>
          <w:tcPr>
            <w:tcW w:w="634" w:type="pct"/>
            <w:tcBorders>
              <w:right w:val="single" w:color="auto" w:sz="4" w:space="0"/>
            </w:tcBorders>
            <w:vAlign w:val="center"/>
          </w:tcPr>
          <w:p w14:paraId="43B7E131">
            <w:pPr>
              <w:jc w:val="center"/>
              <w:rPr>
                <w:rFonts w:hint="eastAsia" w:ascii="宋体" w:hAnsi="宋体"/>
                <w:color w:val="auto"/>
              </w:rPr>
            </w:pPr>
            <w:r>
              <w:rPr>
                <w:rFonts w:hint="eastAsia" w:ascii="宋体" w:hAnsi="宋体"/>
                <w:color w:val="auto"/>
              </w:rPr>
              <w:t>1</w:t>
            </w:r>
            <w:r>
              <w:rPr>
                <w:rFonts w:ascii="宋体" w:hAnsi="宋体"/>
                <w:color w:val="auto"/>
              </w:rPr>
              <w:t>2</w:t>
            </w:r>
          </w:p>
        </w:tc>
        <w:tc>
          <w:tcPr>
            <w:tcW w:w="635" w:type="pct"/>
            <w:tcBorders>
              <w:left w:val="single" w:color="auto" w:sz="4" w:space="0"/>
            </w:tcBorders>
            <w:vAlign w:val="center"/>
          </w:tcPr>
          <w:p w14:paraId="0046F8AF">
            <w:pPr>
              <w:jc w:val="center"/>
              <w:rPr>
                <w:rFonts w:hint="eastAsia" w:ascii="宋体" w:hAnsi="宋体"/>
                <w:color w:val="auto"/>
              </w:rPr>
            </w:pPr>
            <w:r>
              <w:rPr>
                <w:rFonts w:ascii="宋体" w:hAnsi="宋体"/>
                <w:color w:val="auto"/>
              </w:rPr>
              <w:t>0.0133</w:t>
            </w:r>
          </w:p>
        </w:tc>
        <w:tc>
          <w:tcPr>
            <w:tcW w:w="554" w:type="pct"/>
            <w:tcBorders>
              <w:right w:val="single" w:color="auto" w:sz="4" w:space="0"/>
            </w:tcBorders>
            <w:vAlign w:val="center"/>
          </w:tcPr>
          <w:p w14:paraId="3DBF09EC">
            <w:pPr>
              <w:jc w:val="center"/>
              <w:rPr>
                <w:rFonts w:hint="eastAsia" w:ascii="宋体" w:hAnsi="宋体"/>
                <w:color w:val="auto"/>
              </w:rPr>
            </w:pPr>
            <w:r>
              <w:rPr>
                <w:rFonts w:hint="eastAsia" w:ascii="宋体" w:hAnsi="宋体"/>
                <w:color w:val="auto"/>
              </w:rPr>
              <w:t>1</w:t>
            </w:r>
            <w:r>
              <w:rPr>
                <w:rFonts w:ascii="宋体" w:hAnsi="宋体"/>
                <w:color w:val="auto"/>
              </w:rPr>
              <w:t>3</w:t>
            </w:r>
          </w:p>
        </w:tc>
        <w:tc>
          <w:tcPr>
            <w:tcW w:w="635" w:type="pct"/>
            <w:tcBorders>
              <w:left w:val="single" w:color="auto" w:sz="4" w:space="0"/>
            </w:tcBorders>
            <w:vAlign w:val="center"/>
          </w:tcPr>
          <w:p w14:paraId="64EC6CFD">
            <w:pPr>
              <w:jc w:val="center"/>
              <w:rPr>
                <w:rFonts w:hint="eastAsia" w:ascii="宋体" w:hAnsi="宋体"/>
                <w:color w:val="auto"/>
              </w:rPr>
            </w:pPr>
            <w:r>
              <w:rPr>
                <w:rFonts w:hint="eastAsia" w:ascii="宋体" w:hAnsi="宋体"/>
                <w:color w:val="auto"/>
              </w:rPr>
              <w:t>0.0144</w:t>
            </w:r>
          </w:p>
        </w:tc>
        <w:tc>
          <w:tcPr>
            <w:tcW w:w="420" w:type="pct"/>
            <w:vAlign w:val="center"/>
          </w:tcPr>
          <w:p w14:paraId="5D1E0E5C">
            <w:pPr>
              <w:jc w:val="center"/>
              <w:rPr>
                <w:rFonts w:hint="eastAsia" w:ascii="宋体" w:hAnsi="宋体"/>
                <w:color w:val="auto"/>
              </w:rPr>
            </w:pPr>
            <w:r>
              <w:rPr>
                <w:rFonts w:hint="eastAsia" w:ascii="宋体" w:hAnsi="宋体"/>
                <w:color w:val="auto"/>
              </w:rPr>
              <w:t>达标</w:t>
            </w:r>
          </w:p>
        </w:tc>
      </w:tr>
      <w:tr w14:paraId="5F15BA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2815C34E">
            <w:pPr>
              <w:jc w:val="center"/>
              <w:rPr>
                <w:rFonts w:hint="eastAsia" w:ascii="宋体" w:hAnsi="宋体"/>
                <w:color w:val="auto"/>
              </w:rPr>
            </w:pPr>
          </w:p>
        </w:tc>
        <w:tc>
          <w:tcPr>
            <w:tcW w:w="634" w:type="pct"/>
            <w:vAlign w:val="center"/>
          </w:tcPr>
          <w:p w14:paraId="65F251E3">
            <w:pPr>
              <w:jc w:val="center"/>
              <w:rPr>
                <w:rFonts w:hint="eastAsia" w:ascii="宋体" w:hAnsi="宋体"/>
                <w:color w:val="auto"/>
              </w:rPr>
            </w:pPr>
            <w:r>
              <w:rPr>
                <w:rFonts w:hint="eastAsia" w:ascii="宋体" w:hAnsi="宋体"/>
                <w:color w:val="auto"/>
              </w:rPr>
              <w:t>铬</w:t>
            </w:r>
          </w:p>
        </w:tc>
        <w:tc>
          <w:tcPr>
            <w:tcW w:w="473" w:type="pct"/>
            <w:tcBorders>
              <w:right w:val="single" w:color="auto" w:sz="4" w:space="0"/>
            </w:tcBorders>
            <w:vAlign w:val="center"/>
          </w:tcPr>
          <w:p w14:paraId="1C3C6768">
            <w:pPr>
              <w:jc w:val="center"/>
              <w:rPr>
                <w:rFonts w:hint="eastAsia" w:ascii="宋体" w:hAnsi="宋体"/>
                <w:color w:val="auto"/>
              </w:rPr>
            </w:pPr>
            <w:r>
              <w:rPr>
                <w:rFonts w:hint="eastAsia" w:ascii="宋体" w:hAnsi="宋体"/>
                <w:color w:val="auto"/>
              </w:rPr>
              <w:t>0</w:t>
            </w:r>
            <w:r>
              <w:rPr>
                <w:rFonts w:ascii="宋体" w:hAnsi="宋体"/>
                <w:color w:val="auto"/>
              </w:rPr>
              <w:t>.5L</w:t>
            </w:r>
          </w:p>
        </w:tc>
        <w:tc>
          <w:tcPr>
            <w:tcW w:w="637" w:type="pct"/>
            <w:tcBorders>
              <w:left w:val="single" w:color="auto" w:sz="4" w:space="0"/>
            </w:tcBorders>
            <w:vAlign w:val="center"/>
          </w:tcPr>
          <w:p w14:paraId="5457B082">
            <w:pPr>
              <w:jc w:val="center"/>
              <w:rPr>
                <w:rFonts w:hint="eastAsia" w:ascii="宋体" w:hAnsi="宋体"/>
                <w:color w:val="auto"/>
              </w:rPr>
            </w:pPr>
            <w:r>
              <w:rPr>
                <w:rFonts w:hint="eastAsia" w:ascii="宋体" w:hAnsi="宋体"/>
                <w:color w:val="auto"/>
              </w:rPr>
              <w:t>/</w:t>
            </w:r>
          </w:p>
        </w:tc>
        <w:tc>
          <w:tcPr>
            <w:tcW w:w="634" w:type="pct"/>
            <w:tcBorders>
              <w:right w:val="single" w:color="auto" w:sz="4" w:space="0"/>
            </w:tcBorders>
            <w:vAlign w:val="center"/>
          </w:tcPr>
          <w:p w14:paraId="431B601D">
            <w:pPr>
              <w:jc w:val="center"/>
              <w:rPr>
                <w:rFonts w:hint="eastAsia" w:ascii="宋体" w:hAnsi="宋体"/>
                <w:color w:val="auto"/>
              </w:rPr>
            </w:pPr>
            <w:r>
              <w:rPr>
                <w:rFonts w:hint="eastAsia" w:ascii="宋体" w:hAnsi="宋体"/>
                <w:color w:val="auto"/>
              </w:rPr>
              <w:t>0</w:t>
            </w:r>
            <w:r>
              <w:rPr>
                <w:rFonts w:ascii="宋体" w:hAnsi="宋体"/>
                <w:color w:val="auto"/>
              </w:rPr>
              <w:t>.5L</w:t>
            </w:r>
          </w:p>
        </w:tc>
        <w:tc>
          <w:tcPr>
            <w:tcW w:w="635" w:type="pct"/>
            <w:tcBorders>
              <w:left w:val="single" w:color="auto" w:sz="4" w:space="0"/>
            </w:tcBorders>
            <w:vAlign w:val="center"/>
          </w:tcPr>
          <w:p w14:paraId="0C43202A">
            <w:pPr>
              <w:jc w:val="center"/>
              <w:rPr>
                <w:rFonts w:hint="eastAsia" w:ascii="宋体" w:hAnsi="宋体"/>
                <w:color w:val="auto"/>
              </w:rPr>
            </w:pPr>
            <w:r>
              <w:rPr>
                <w:rFonts w:hint="eastAsia" w:ascii="宋体" w:hAnsi="宋体"/>
                <w:color w:val="auto"/>
              </w:rPr>
              <w:t>/</w:t>
            </w:r>
          </w:p>
        </w:tc>
        <w:tc>
          <w:tcPr>
            <w:tcW w:w="554" w:type="pct"/>
            <w:tcBorders>
              <w:right w:val="single" w:color="auto" w:sz="4" w:space="0"/>
            </w:tcBorders>
            <w:vAlign w:val="center"/>
          </w:tcPr>
          <w:p w14:paraId="0635A6C1">
            <w:pPr>
              <w:jc w:val="center"/>
              <w:rPr>
                <w:rFonts w:hint="eastAsia" w:ascii="宋体" w:hAnsi="宋体"/>
                <w:color w:val="auto"/>
              </w:rPr>
            </w:pPr>
            <w:r>
              <w:rPr>
                <w:rFonts w:hint="eastAsia" w:ascii="宋体" w:hAnsi="宋体"/>
                <w:color w:val="auto"/>
              </w:rPr>
              <w:t>0</w:t>
            </w:r>
            <w:r>
              <w:rPr>
                <w:rFonts w:ascii="宋体" w:hAnsi="宋体"/>
                <w:color w:val="auto"/>
              </w:rPr>
              <w:t>.5L</w:t>
            </w:r>
          </w:p>
        </w:tc>
        <w:tc>
          <w:tcPr>
            <w:tcW w:w="635" w:type="pct"/>
            <w:tcBorders>
              <w:left w:val="single" w:color="auto" w:sz="4" w:space="0"/>
            </w:tcBorders>
            <w:vAlign w:val="center"/>
          </w:tcPr>
          <w:p w14:paraId="534AF621">
            <w:pPr>
              <w:jc w:val="center"/>
              <w:rPr>
                <w:rFonts w:hint="eastAsia" w:ascii="宋体" w:hAnsi="宋体"/>
                <w:color w:val="auto"/>
              </w:rPr>
            </w:pPr>
            <w:r>
              <w:rPr>
                <w:rFonts w:hint="eastAsia" w:ascii="宋体" w:hAnsi="宋体"/>
                <w:color w:val="auto"/>
              </w:rPr>
              <w:t>/</w:t>
            </w:r>
          </w:p>
        </w:tc>
        <w:tc>
          <w:tcPr>
            <w:tcW w:w="420" w:type="pct"/>
            <w:vAlign w:val="center"/>
          </w:tcPr>
          <w:p w14:paraId="7DD13CC8">
            <w:pPr>
              <w:jc w:val="center"/>
              <w:rPr>
                <w:rFonts w:hint="eastAsia" w:ascii="宋体" w:hAnsi="宋体"/>
                <w:color w:val="auto"/>
              </w:rPr>
            </w:pPr>
            <w:r>
              <w:rPr>
                <w:rFonts w:hint="eastAsia" w:ascii="宋体" w:hAnsi="宋体"/>
                <w:color w:val="auto"/>
              </w:rPr>
              <w:t>达标</w:t>
            </w:r>
          </w:p>
        </w:tc>
      </w:tr>
      <w:tr w14:paraId="1A6FC4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5FB28EBD">
            <w:pPr>
              <w:jc w:val="center"/>
              <w:rPr>
                <w:rFonts w:hint="eastAsia" w:ascii="宋体" w:hAnsi="宋体"/>
                <w:color w:val="auto"/>
              </w:rPr>
            </w:pPr>
          </w:p>
        </w:tc>
        <w:tc>
          <w:tcPr>
            <w:tcW w:w="634" w:type="pct"/>
            <w:vAlign w:val="center"/>
          </w:tcPr>
          <w:p w14:paraId="601ACFE9">
            <w:pPr>
              <w:jc w:val="center"/>
              <w:rPr>
                <w:rFonts w:hint="eastAsia" w:ascii="宋体" w:hAnsi="宋体"/>
                <w:color w:val="auto"/>
              </w:rPr>
            </w:pPr>
            <w:r>
              <w:rPr>
                <w:rFonts w:hint="eastAsia" w:ascii="宋体" w:hAnsi="宋体"/>
                <w:color w:val="auto"/>
              </w:rPr>
              <w:t>铜</w:t>
            </w:r>
          </w:p>
        </w:tc>
        <w:tc>
          <w:tcPr>
            <w:tcW w:w="473" w:type="pct"/>
            <w:tcBorders>
              <w:right w:val="single" w:color="auto" w:sz="4" w:space="0"/>
            </w:tcBorders>
            <w:vAlign w:val="center"/>
          </w:tcPr>
          <w:p w14:paraId="7FA70305">
            <w:pPr>
              <w:jc w:val="center"/>
              <w:rPr>
                <w:rFonts w:hint="eastAsia" w:ascii="宋体" w:hAnsi="宋体"/>
                <w:color w:val="auto"/>
              </w:rPr>
            </w:pPr>
            <w:r>
              <w:rPr>
                <w:rFonts w:hint="eastAsia" w:ascii="宋体" w:hAnsi="宋体"/>
                <w:color w:val="auto"/>
              </w:rPr>
              <w:t>2</w:t>
            </w:r>
            <w:r>
              <w:rPr>
                <w:rFonts w:ascii="宋体" w:hAnsi="宋体"/>
                <w:color w:val="auto"/>
              </w:rPr>
              <w:t>5</w:t>
            </w:r>
          </w:p>
        </w:tc>
        <w:tc>
          <w:tcPr>
            <w:tcW w:w="637" w:type="pct"/>
            <w:tcBorders>
              <w:left w:val="single" w:color="auto" w:sz="4" w:space="0"/>
            </w:tcBorders>
            <w:vAlign w:val="center"/>
          </w:tcPr>
          <w:p w14:paraId="452BCDCD">
            <w:pPr>
              <w:jc w:val="center"/>
              <w:rPr>
                <w:rFonts w:hint="eastAsia" w:ascii="宋体" w:hAnsi="宋体"/>
                <w:color w:val="auto"/>
              </w:rPr>
            </w:pPr>
            <w:r>
              <w:rPr>
                <w:rFonts w:ascii="宋体" w:hAnsi="宋体"/>
                <w:color w:val="auto"/>
              </w:rPr>
              <w:t>0.0014</w:t>
            </w:r>
          </w:p>
        </w:tc>
        <w:tc>
          <w:tcPr>
            <w:tcW w:w="634" w:type="pct"/>
            <w:tcBorders>
              <w:right w:val="single" w:color="auto" w:sz="4" w:space="0"/>
            </w:tcBorders>
            <w:vAlign w:val="center"/>
          </w:tcPr>
          <w:p w14:paraId="3C831C65">
            <w:pPr>
              <w:jc w:val="center"/>
              <w:rPr>
                <w:rFonts w:hint="eastAsia" w:ascii="宋体" w:hAnsi="宋体"/>
                <w:color w:val="auto"/>
              </w:rPr>
            </w:pPr>
            <w:r>
              <w:rPr>
                <w:rFonts w:hint="eastAsia" w:ascii="宋体" w:hAnsi="宋体"/>
                <w:color w:val="auto"/>
              </w:rPr>
              <w:t>2</w:t>
            </w:r>
            <w:r>
              <w:rPr>
                <w:rFonts w:ascii="宋体" w:hAnsi="宋体"/>
                <w:color w:val="auto"/>
              </w:rPr>
              <w:t>3</w:t>
            </w:r>
          </w:p>
        </w:tc>
        <w:tc>
          <w:tcPr>
            <w:tcW w:w="635" w:type="pct"/>
            <w:tcBorders>
              <w:left w:val="single" w:color="auto" w:sz="4" w:space="0"/>
            </w:tcBorders>
            <w:vAlign w:val="center"/>
          </w:tcPr>
          <w:p w14:paraId="0CE53040">
            <w:pPr>
              <w:jc w:val="center"/>
              <w:rPr>
                <w:rFonts w:hint="eastAsia" w:ascii="宋体" w:hAnsi="宋体"/>
                <w:color w:val="auto"/>
              </w:rPr>
            </w:pPr>
            <w:r>
              <w:rPr>
                <w:rFonts w:ascii="宋体" w:hAnsi="宋体"/>
                <w:color w:val="auto"/>
              </w:rPr>
              <w:t>0.0013</w:t>
            </w:r>
          </w:p>
        </w:tc>
        <w:tc>
          <w:tcPr>
            <w:tcW w:w="554" w:type="pct"/>
            <w:tcBorders>
              <w:right w:val="single" w:color="auto" w:sz="4" w:space="0"/>
            </w:tcBorders>
            <w:vAlign w:val="center"/>
          </w:tcPr>
          <w:p w14:paraId="4F78CDC2">
            <w:pPr>
              <w:jc w:val="center"/>
              <w:rPr>
                <w:rFonts w:hint="eastAsia" w:ascii="宋体" w:hAnsi="宋体"/>
                <w:color w:val="auto"/>
              </w:rPr>
            </w:pPr>
            <w:r>
              <w:rPr>
                <w:rFonts w:hint="eastAsia" w:ascii="宋体" w:hAnsi="宋体"/>
                <w:color w:val="auto"/>
              </w:rPr>
              <w:t>2</w:t>
            </w:r>
            <w:r>
              <w:rPr>
                <w:rFonts w:ascii="宋体" w:hAnsi="宋体"/>
                <w:color w:val="auto"/>
              </w:rPr>
              <w:t>5</w:t>
            </w:r>
          </w:p>
        </w:tc>
        <w:tc>
          <w:tcPr>
            <w:tcW w:w="635" w:type="pct"/>
            <w:tcBorders>
              <w:left w:val="single" w:color="auto" w:sz="4" w:space="0"/>
            </w:tcBorders>
            <w:vAlign w:val="center"/>
          </w:tcPr>
          <w:p w14:paraId="687A6264">
            <w:pPr>
              <w:jc w:val="center"/>
              <w:rPr>
                <w:rFonts w:hint="eastAsia" w:ascii="宋体" w:hAnsi="宋体"/>
                <w:color w:val="auto"/>
              </w:rPr>
            </w:pPr>
            <w:r>
              <w:rPr>
                <w:rFonts w:hint="eastAsia" w:ascii="宋体" w:hAnsi="宋体"/>
                <w:color w:val="auto"/>
              </w:rPr>
              <w:t>0.0014</w:t>
            </w:r>
          </w:p>
        </w:tc>
        <w:tc>
          <w:tcPr>
            <w:tcW w:w="420" w:type="pct"/>
            <w:vAlign w:val="center"/>
          </w:tcPr>
          <w:p w14:paraId="3A1D8B24">
            <w:pPr>
              <w:jc w:val="center"/>
              <w:rPr>
                <w:rFonts w:hint="eastAsia" w:ascii="宋体" w:hAnsi="宋体"/>
                <w:color w:val="auto"/>
              </w:rPr>
            </w:pPr>
            <w:r>
              <w:rPr>
                <w:rFonts w:hint="eastAsia" w:ascii="宋体" w:hAnsi="宋体"/>
                <w:color w:val="auto"/>
              </w:rPr>
              <w:t>达标</w:t>
            </w:r>
          </w:p>
        </w:tc>
      </w:tr>
      <w:tr w14:paraId="7586E4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4CDB4646">
            <w:pPr>
              <w:jc w:val="center"/>
              <w:rPr>
                <w:rFonts w:hint="eastAsia" w:ascii="宋体" w:hAnsi="宋体"/>
                <w:color w:val="auto"/>
              </w:rPr>
            </w:pPr>
          </w:p>
        </w:tc>
        <w:tc>
          <w:tcPr>
            <w:tcW w:w="634" w:type="pct"/>
            <w:vAlign w:val="center"/>
          </w:tcPr>
          <w:p w14:paraId="1323CD70">
            <w:pPr>
              <w:jc w:val="center"/>
              <w:rPr>
                <w:rFonts w:hint="eastAsia" w:ascii="宋体" w:hAnsi="宋体"/>
                <w:color w:val="auto"/>
              </w:rPr>
            </w:pPr>
            <w:r>
              <w:rPr>
                <w:rFonts w:hint="eastAsia" w:ascii="宋体" w:hAnsi="宋体"/>
                <w:color w:val="auto"/>
              </w:rPr>
              <w:t>铅</w:t>
            </w:r>
          </w:p>
        </w:tc>
        <w:tc>
          <w:tcPr>
            <w:tcW w:w="473" w:type="pct"/>
            <w:tcBorders>
              <w:right w:val="single" w:color="auto" w:sz="4" w:space="0"/>
            </w:tcBorders>
            <w:vAlign w:val="center"/>
          </w:tcPr>
          <w:p w14:paraId="5F8D0BA4">
            <w:pPr>
              <w:jc w:val="center"/>
              <w:rPr>
                <w:rFonts w:hint="eastAsia" w:ascii="宋体" w:hAnsi="宋体"/>
                <w:color w:val="auto"/>
              </w:rPr>
            </w:pPr>
            <w:r>
              <w:rPr>
                <w:rFonts w:hint="eastAsia" w:ascii="宋体" w:hAnsi="宋体"/>
                <w:color w:val="auto"/>
              </w:rPr>
              <w:t>3</w:t>
            </w:r>
            <w:r>
              <w:rPr>
                <w:rFonts w:ascii="宋体" w:hAnsi="宋体"/>
                <w:color w:val="auto"/>
              </w:rPr>
              <w:t>6</w:t>
            </w:r>
          </w:p>
        </w:tc>
        <w:tc>
          <w:tcPr>
            <w:tcW w:w="637" w:type="pct"/>
            <w:tcBorders>
              <w:left w:val="single" w:color="auto" w:sz="4" w:space="0"/>
            </w:tcBorders>
            <w:vAlign w:val="center"/>
          </w:tcPr>
          <w:p w14:paraId="41047722">
            <w:pPr>
              <w:jc w:val="center"/>
              <w:rPr>
                <w:rFonts w:hint="eastAsia" w:ascii="宋体" w:hAnsi="宋体"/>
                <w:color w:val="auto"/>
              </w:rPr>
            </w:pPr>
            <w:r>
              <w:rPr>
                <w:rFonts w:ascii="宋体" w:hAnsi="宋体"/>
                <w:color w:val="auto"/>
              </w:rPr>
              <w:t>0.0450</w:t>
            </w:r>
          </w:p>
        </w:tc>
        <w:tc>
          <w:tcPr>
            <w:tcW w:w="634" w:type="pct"/>
            <w:tcBorders>
              <w:right w:val="single" w:color="auto" w:sz="4" w:space="0"/>
            </w:tcBorders>
            <w:vAlign w:val="center"/>
          </w:tcPr>
          <w:p w14:paraId="635B240C">
            <w:pPr>
              <w:jc w:val="center"/>
              <w:rPr>
                <w:rFonts w:hint="eastAsia" w:ascii="宋体" w:hAnsi="宋体"/>
                <w:color w:val="auto"/>
              </w:rPr>
            </w:pPr>
            <w:r>
              <w:rPr>
                <w:rFonts w:hint="eastAsia" w:ascii="宋体" w:hAnsi="宋体"/>
                <w:color w:val="auto"/>
              </w:rPr>
              <w:t>3</w:t>
            </w:r>
            <w:r>
              <w:rPr>
                <w:rFonts w:ascii="宋体" w:hAnsi="宋体"/>
                <w:color w:val="auto"/>
              </w:rPr>
              <w:t>4</w:t>
            </w:r>
          </w:p>
        </w:tc>
        <w:tc>
          <w:tcPr>
            <w:tcW w:w="635" w:type="pct"/>
            <w:tcBorders>
              <w:left w:val="single" w:color="auto" w:sz="4" w:space="0"/>
            </w:tcBorders>
            <w:vAlign w:val="center"/>
          </w:tcPr>
          <w:p w14:paraId="3A82D240">
            <w:pPr>
              <w:jc w:val="center"/>
              <w:rPr>
                <w:rFonts w:hint="eastAsia" w:ascii="宋体" w:hAnsi="宋体"/>
                <w:color w:val="auto"/>
              </w:rPr>
            </w:pPr>
            <w:r>
              <w:rPr>
                <w:rFonts w:ascii="宋体" w:hAnsi="宋体"/>
                <w:color w:val="auto"/>
              </w:rPr>
              <w:t>0.0425</w:t>
            </w:r>
          </w:p>
        </w:tc>
        <w:tc>
          <w:tcPr>
            <w:tcW w:w="554" w:type="pct"/>
            <w:tcBorders>
              <w:right w:val="single" w:color="auto" w:sz="4" w:space="0"/>
            </w:tcBorders>
            <w:vAlign w:val="center"/>
          </w:tcPr>
          <w:p w14:paraId="47C8BEAF">
            <w:pPr>
              <w:jc w:val="center"/>
              <w:rPr>
                <w:rFonts w:hint="eastAsia" w:ascii="宋体" w:hAnsi="宋体"/>
                <w:color w:val="auto"/>
              </w:rPr>
            </w:pPr>
            <w:r>
              <w:rPr>
                <w:rFonts w:hint="eastAsia" w:ascii="宋体" w:hAnsi="宋体"/>
                <w:color w:val="auto"/>
              </w:rPr>
              <w:t>4</w:t>
            </w:r>
            <w:r>
              <w:rPr>
                <w:rFonts w:ascii="宋体" w:hAnsi="宋体"/>
                <w:color w:val="auto"/>
              </w:rPr>
              <w:t>1</w:t>
            </w:r>
          </w:p>
        </w:tc>
        <w:tc>
          <w:tcPr>
            <w:tcW w:w="635" w:type="pct"/>
            <w:tcBorders>
              <w:left w:val="single" w:color="auto" w:sz="4" w:space="0"/>
            </w:tcBorders>
            <w:vAlign w:val="center"/>
          </w:tcPr>
          <w:p w14:paraId="7B482CD1">
            <w:pPr>
              <w:jc w:val="center"/>
              <w:rPr>
                <w:rFonts w:hint="eastAsia" w:ascii="宋体" w:hAnsi="宋体"/>
                <w:color w:val="auto"/>
              </w:rPr>
            </w:pPr>
            <w:r>
              <w:rPr>
                <w:rFonts w:hint="eastAsia" w:ascii="宋体" w:hAnsi="宋体"/>
                <w:color w:val="auto"/>
              </w:rPr>
              <w:t>0.0513</w:t>
            </w:r>
          </w:p>
        </w:tc>
        <w:tc>
          <w:tcPr>
            <w:tcW w:w="420" w:type="pct"/>
            <w:vAlign w:val="center"/>
          </w:tcPr>
          <w:p w14:paraId="1AEC47B0">
            <w:pPr>
              <w:jc w:val="center"/>
              <w:rPr>
                <w:rFonts w:hint="eastAsia" w:ascii="宋体" w:hAnsi="宋体"/>
                <w:color w:val="auto"/>
              </w:rPr>
            </w:pPr>
            <w:r>
              <w:rPr>
                <w:rFonts w:hint="eastAsia" w:ascii="宋体" w:hAnsi="宋体"/>
                <w:color w:val="auto"/>
              </w:rPr>
              <w:t>达标</w:t>
            </w:r>
          </w:p>
        </w:tc>
      </w:tr>
      <w:tr w14:paraId="0AC74E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53068F0F">
            <w:pPr>
              <w:jc w:val="center"/>
              <w:rPr>
                <w:rFonts w:hint="eastAsia" w:ascii="宋体" w:hAnsi="宋体"/>
                <w:color w:val="auto"/>
              </w:rPr>
            </w:pPr>
          </w:p>
        </w:tc>
        <w:tc>
          <w:tcPr>
            <w:tcW w:w="634" w:type="pct"/>
            <w:vAlign w:val="center"/>
          </w:tcPr>
          <w:p w14:paraId="3DAB02B3">
            <w:pPr>
              <w:jc w:val="center"/>
              <w:rPr>
                <w:rFonts w:hint="eastAsia" w:ascii="宋体" w:hAnsi="宋体"/>
                <w:color w:val="auto"/>
              </w:rPr>
            </w:pPr>
            <w:r>
              <w:rPr>
                <w:rFonts w:hint="eastAsia" w:ascii="宋体" w:hAnsi="宋体"/>
                <w:color w:val="auto"/>
              </w:rPr>
              <w:t>汞</w:t>
            </w:r>
          </w:p>
        </w:tc>
        <w:tc>
          <w:tcPr>
            <w:tcW w:w="473" w:type="pct"/>
            <w:tcBorders>
              <w:right w:val="single" w:color="auto" w:sz="4" w:space="0"/>
            </w:tcBorders>
            <w:vAlign w:val="center"/>
          </w:tcPr>
          <w:p w14:paraId="6493551B">
            <w:pPr>
              <w:jc w:val="center"/>
              <w:rPr>
                <w:rFonts w:hint="eastAsia" w:ascii="宋体" w:hAnsi="宋体"/>
                <w:color w:val="auto"/>
              </w:rPr>
            </w:pPr>
            <w:r>
              <w:rPr>
                <w:rFonts w:hint="eastAsia" w:ascii="宋体" w:hAnsi="宋体"/>
                <w:color w:val="auto"/>
              </w:rPr>
              <w:t>0</w:t>
            </w:r>
            <w:r>
              <w:rPr>
                <w:rFonts w:ascii="宋体" w:hAnsi="宋体"/>
                <w:color w:val="auto"/>
              </w:rPr>
              <w:t>.055</w:t>
            </w:r>
          </w:p>
        </w:tc>
        <w:tc>
          <w:tcPr>
            <w:tcW w:w="637" w:type="pct"/>
            <w:tcBorders>
              <w:left w:val="single" w:color="auto" w:sz="4" w:space="0"/>
            </w:tcBorders>
            <w:vAlign w:val="center"/>
          </w:tcPr>
          <w:p w14:paraId="0334E2F9">
            <w:pPr>
              <w:jc w:val="center"/>
              <w:rPr>
                <w:rFonts w:hint="eastAsia" w:ascii="宋体" w:hAnsi="宋体"/>
                <w:color w:val="auto"/>
              </w:rPr>
            </w:pPr>
            <w:r>
              <w:rPr>
                <w:rFonts w:ascii="宋体" w:hAnsi="宋体"/>
                <w:color w:val="auto"/>
              </w:rPr>
              <w:t>0.0014</w:t>
            </w:r>
          </w:p>
        </w:tc>
        <w:tc>
          <w:tcPr>
            <w:tcW w:w="634" w:type="pct"/>
            <w:tcBorders>
              <w:right w:val="single" w:color="auto" w:sz="4" w:space="0"/>
            </w:tcBorders>
            <w:vAlign w:val="center"/>
          </w:tcPr>
          <w:p w14:paraId="1EF42F18">
            <w:pPr>
              <w:jc w:val="center"/>
              <w:rPr>
                <w:rFonts w:hint="eastAsia" w:ascii="宋体" w:hAnsi="宋体"/>
                <w:color w:val="auto"/>
              </w:rPr>
            </w:pPr>
            <w:r>
              <w:rPr>
                <w:rFonts w:hint="eastAsia" w:ascii="宋体" w:hAnsi="宋体"/>
                <w:color w:val="auto"/>
              </w:rPr>
              <w:t>0</w:t>
            </w:r>
            <w:r>
              <w:rPr>
                <w:rFonts w:ascii="宋体" w:hAnsi="宋体"/>
                <w:color w:val="auto"/>
              </w:rPr>
              <w:t>.06</w:t>
            </w:r>
          </w:p>
        </w:tc>
        <w:tc>
          <w:tcPr>
            <w:tcW w:w="635" w:type="pct"/>
            <w:tcBorders>
              <w:left w:val="single" w:color="auto" w:sz="4" w:space="0"/>
            </w:tcBorders>
            <w:vAlign w:val="center"/>
          </w:tcPr>
          <w:p w14:paraId="18BF6DE3">
            <w:pPr>
              <w:jc w:val="center"/>
              <w:rPr>
                <w:rFonts w:hint="eastAsia" w:ascii="宋体" w:hAnsi="宋体"/>
                <w:color w:val="auto"/>
              </w:rPr>
            </w:pPr>
            <w:r>
              <w:rPr>
                <w:rFonts w:ascii="宋体" w:hAnsi="宋体"/>
                <w:color w:val="auto"/>
              </w:rPr>
              <w:t>0.0016</w:t>
            </w:r>
          </w:p>
        </w:tc>
        <w:tc>
          <w:tcPr>
            <w:tcW w:w="554" w:type="pct"/>
            <w:tcBorders>
              <w:right w:val="single" w:color="auto" w:sz="4" w:space="0"/>
            </w:tcBorders>
            <w:vAlign w:val="center"/>
          </w:tcPr>
          <w:p w14:paraId="02E7507F">
            <w:pPr>
              <w:jc w:val="center"/>
              <w:rPr>
                <w:rFonts w:hint="eastAsia" w:ascii="宋体" w:hAnsi="宋体"/>
                <w:color w:val="auto"/>
              </w:rPr>
            </w:pPr>
            <w:r>
              <w:rPr>
                <w:rFonts w:hint="eastAsia" w:ascii="宋体" w:hAnsi="宋体"/>
                <w:color w:val="auto"/>
              </w:rPr>
              <w:t>0</w:t>
            </w:r>
            <w:r>
              <w:rPr>
                <w:rFonts w:ascii="宋体" w:hAnsi="宋体"/>
                <w:color w:val="auto"/>
              </w:rPr>
              <w:t>.083</w:t>
            </w:r>
          </w:p>
        </w:tc>
        <w:tc>
          <w:tcPr>
            <w:tcW w:w="635" w:type="pct"/>
            <w:tcBorders>
              <w:left w:val="single" w:color="auto" w:sz="4" w:space="0"/>
            </w:tcBorders>
            <w:vAlign w:val="center"/>
          </w:tcPr>
          <w:p w14:paraId="7F07BFFF">
            <w:pPr>
              <w:jc w:val="center"/>
              <w:rPr>
                <w:rFonts w:hint="eastAsia" w:ascii="宋体" w:hAnsi="宋体"/>
                <w:color w:val="auto"/>
              </w:rPr>
            </w:pPr>
            <w:r>
              <w:rPr>
                <w:rFonts w:hint="eastAsia" w:ascii="宋体" w:hAnsi="宋体"/>
                <w:color w:val="auto"/>
              </w:rPr>
              <w:t>0.0022</w:t>
            </w:r>
          </w:p>
        </w:tc>
        <w:tc>
          <w:tcPr>
            <w:tcW w:w="420" w:type="pct"/>
            <w:vAlign w:val="center"/>
          </w:tcPr>
          <w:p w14:paraId="675D8BC1">
            <w:pPr>
              <w:jc w:val="center"/>
              <w:rPr>
                <w:rFonts w:hint="eastAsia" w:ascii="宋体" w:hAnsi="宋体"/>
                <w:color w:val="auto"/>
              </w:rPr>
            </w:pPr>
            <w:r>
              <w:rPr>
                <w:rFonts w:hint="eastAsia" w:ascii="宋体" w:hAnsi="宋体"/>
                <w:color w:val="auto"/>
              </w:rPr>
              <w:t>达标</w:t>
            </w:r>
          </w:p>
        </w:tc>
      </w:tr>
      <w:tr w14:paraId="196317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1B0BC68A">
            <w:pPr>
              <w:jc w:val="center"/>
              <w:rPr>
                <w:rFonts w:hint="eastAsia" w:ascii="宋体" w:hAnsi="宋体"/>
                <w:color w:val="auto"/>
              </w:rPr>
            </w:pPr>
          </w:p>
        </w:tc>
        <w:tc>
          <w:tcPr>
            <w:tcW w:w="634" w:type="pct"/>
            <w:vAlign w:val="center"/>
          </w:tcPr>
          <w:p w14:paraId="2DCC4B1D">
            <w:pPr>
              <w:jc w:val="center"/>
              <w:rPr>
                <w:rFonts w:hint="eastAsia" w:ascii="宋体" w:hAnsi="宋体"/>
                <w:color w:val="auto"/>
              </w:rPr>
            </w:pPr>
            <w:r>
              <w:rPr>
                <w:rFonts w:hint="eastAsia" w:ascii="宋体" w:hAnsi="宋体"/>
                <w:color w:val="auto"/>
              </w:rPr>
              <w:t>砷</w:t>
            </w:r>
          </w:p>
        </w:tc>
        <w:tc>
          <w:tcPr>
            <w:tcW w:w="473" w:type="pct"/>
            <w:tcBorders>
              <w:right w:val="single" w:color="auto" w:sz="4" w:space="0"/>
            </w:tcBorders>
            <w:vAlign w:val="center"/>
          </w:tcPr>
          <w:p w14:paraId="116A6D1B">
            <w:pPr>
              <w:jc w:val="center"/>
              <w:rPr>
                <w:rFonts w:hint="eastAsia" w:ascii="宋体" w:hAnsi="宋体"/>
                <w:color w:val="auto"/>
              </w:rPr>
            </w:pPr>
            <w:r>
              <w:rPr>
                <w:rFonts w:hint="eastAsia" w:ascii="宋体" w:hAnsi="宋体"/>
                <w:color w:val="auto"/>
              </w:rPr>
              <w:t>6</w:t>
            </w:r>
            <w:r>
              <w:rPr>
                <w:rFonts w:ascii="宋体" w:hAnsi="宋体"/>
                <w:color w:val="auto"/>
              </w:rPr>
              <w:t>.45</w:t>
            </w:r>
          </w:p>
        </w:tc>
        <w:tc>
          <w:tcPr>
            <w:tcW w:w="637" w:type="pct"/>
            <w:tcBorders>
              <w:left w:val="single" w:color="auto" w:sz="4" w:space="0"/>
            </w:tcBorders>
            <w:vAlign w:val="center"/>
          </w:tcPr>
          <w:p w14:paraId="3AE868EB">
            <w:pPr>
              <w:jc w:val="center"/>
              <w:rPr>
                <w:rFonts w:hint="eastAsia" w:ascii="宋体" w:hAnsi="宋体"/>
                <w:color w:val="auto"/>
              </w:rPr>
            </w:pPr>
            <w:r>
              <w:rPr>
                <w:rFonts w:ascii="宋体" w:hAnsi="宋体"/>
                <w:color w:val="auto"/>
              </w:rPr>
              <w:t>0.1075</w:t>
            </w:r>
          </w:p>
        </w:tc>
        <w:tc>
          <w:tcPr>
            <w:tcW w:w="634" w:type="pct"/>
            <w:tcBorders>
              <w:right w:val="single" w:color="auto" w:sz="4" w:space="0"/>
            </w:tcBorders>
            <w:vAlign w:val="center"/>
          </w:tcPr>
          <w:p w14:paraId="010DDD7C">
            <w:pPr>
              <w:jc w:val="center"/>
              <w:rPr>
                <w:rFonts w:hint="eastAsia" w:ascii="宋体" w:hAnsi="宋体"/>
                <w:color w:val="auto"/>
              </w:rPr>
            </w:pPr>
            <w:r>
              <w:rPr>
                <w:rFonts w:hint="eastAsia" w:ascii="宋体" w:hAnsi="宋体"/>
                <w:color w:val="auto"/>
              </w:rPr>
              <w:t>6</w:t>
            </w:r>
            <w:r>
              <w:rPr>
                <w:rFonts w:ascii="宋体" w:hAnsi="宋体"/>
                <w:color w:val="auto"/>
              </w:rPr>
              <w:t>.42</w:t>
            </w:r>
          </w:p>
        </w:tc>
        <w:tc>
          <w:tcPr>
            <w:tcW w:w="635" w:type="pct"/>
            <w:tcBorders>
              <w:left w:val="single" w:color="auto" w:sz="4" w:space="0"/>
            </w:tcBorders>
            <w:vAlign w:val="center"/>
          </w:tcPr>
          <w:p w14:paraId="0BF696EC">
            <w:pPr>
              <w:jc w:val="center"/>
              <w:rPr>
                <w:rFonts w:hint="eastAsia" w:ascii="宋体" w:hAnsi="宋体"/>
                <w:color w:val="auto"/>
              </w:rPr>
            </w:pPr>
            <w:r>
              <w:rPr>
                <w:rFonts w:ascii="宋体" w:hAnsi="宋体"/>
                <w:color w:val="auto"/>
              </w:rPr>
              <w:t>0.1070</w:t>
            </w:r>
          </w:p>
        </w:tc>
        <w:tc>
          <w:tcPr>
            <w:tcW w:w="554" w:type="pct"/>
            <w:tcBorders>
              <w:right w:val="single" w:color="auto" w:sz="4" w:space="0"/>
            </w:tcBorders>
            <w:vAlign w:val="center"/>
          </w:tcPr>
          <w:p w14:paraId="0E088A0B">
            <w:pPr>
              <w:jc w:val="center"/>
              <w:rPr>
                <w:rFonts w:hint="eastAsia" w:ascii="宋体" w:hAnsi="宋体"/>
                <w:color w:val="auto"/>
              </w:rPr>
            </w:pPr>
            <w:r>
              <w:rPr>
                <w:rFonts w:hint="eastAsia" w:ascii="宋体" w:hAnsi="宋体"/>
                <w:color w:val="auto"/>
              </w:rPr>
              <w:t>6</w:t>
            </w:r>
            <w:r>
              <w:rPr>
                <w:rFonts w:ascii="宋体" w:hAnsi="宋体"/>
                <w:color w:val="auto"/>
              </w:rPr>
              <w:t>.43</w:t>
            </w:r>
          </w:p>
        </w:tc>
        <w:tc>
          <w:tcPr>
            <w:tcW w:w="635" w:type="pct"/>
            <w:tcBorders>
              <w:left w:val="single" w:color="auto" w:sz="4" w:space="0"/>
            </w:tcBorders>
            <w:vAlign w:val="center"/>
          </w:tcPr>
          <w:p w14:paraId="78A490B6">
            <w:pPr>
              <w:jc w:val="center"/>
              <w:rPr>
                <w:rFonts w:hint="eastAsia" w:ascii="宋体" w:hAnsi="宋体"/>
                <w:color w:val="auto"/>
              </w:rPr>
            </w:pPr>
            <w:r>
              <w:rPr>
                <w:rFonts w:hint="eastAsia" w:ascii="宋体" w:hAnsi="宋体"/>
                <w:color w:val="auto"/>
              </w:rPr>
              <w:t>0.1072</w:t>
            </w:r>
          </w:p>
        </w:tc>
        <w:tc>
          <w:tcPr>
            <w:tcW w:w="420" w:type="pct"/>
            <w:vAlign w:val="center"/>
          </w:tcPr>
          <w:p w14:paraId="5C508DF7">
            <w:pPr>
              <w:jc w:val="center"/>
              <w:rPr>
                <w:rFonts w:hint="eastAsia" w:ascii="宋体" w:hAnsi="宋体"/>
                <w:color w:val="auto"/>
              </w:rPr>
            </w:pPr>
            <w:r>
              <w:rPr>
                <w:rFonts w:hint="eastAsia" w:ascii="宋体" w:hAnsi="宋体"/>
                <w:color w:val="auto"/>
              </w:rPr>
              <w:t>达标</w:t>
            </w:r>
          </w:p>
        </w:tc>
      </w:tr>
      <w:bookmarkEnd w:id="712"/>
      <w:tr w14:paraId="2A077F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restart"/>
            <w:vAlign w:val="center"/>
          </w:tcPr>
          <w:p w14:paraId="09996E63">
            <w:pPr>
              <w:jc w:val="center"/>
              <w:rPr>
                <w:rFonts w:hint="eastAsia" w:ascii="宋体" w:hAnsi="宋体"/>
                <w:color w:val="auto"/>
              </w:rPr>
            </w:pPr>
            <w:r>
              <w:rPr>
                <w:rFonts w:ascii="宋体" w:hAnsi="宋体"/>
                <w:color w:val="auto"/>
              </w:rPr>
              <w:t>S3</w:t>
            </w:r>
          </w:p>
        </w:tc>
        <w:tc>
          <w:tcPr>
            <w:tcW w:w="634" w:type="pct"/>
            <w:vAlign w:val="center"/>
          </w:tcPr>
          <w:p w14:paraId="5E2C8189">
            <w:pPr>
              <w:jc w:val="center"/>
              <w:rPr>
                <w:rFonts w:hint="eastAsia" w:ascii="宋体" w:hAnsi="宋体"/>
                <w:color w:val="auto"/>
              </w:rPr>
            </w:pPr>
            <w:r>
              <w:rPr>
                <w:rFonts w:ascii="宋体" w:hAnsi="宋体"/>
                <w:color w:val="auto"/>
              </w:rPr>
              <w:t>pH</w:t>
            </w:r>
          </w:p>
        </w:tc>
        <w:tc>
          <w:tcPr>
            <w:tcW w:w="473" w:type="pct"/>
            <w:tcBorders>
              <w:right w:val="single" w:color="auto" w:sz="4" w:space="0"/>
            </w:tcBorders>
            <w:vAlign w:val="center"/>
          </w:tcPr>
          <w:p w14:paraId="6C726019">
            <w:pPr>
              <w:jc w:val="center"/>
              <w:rPr>
                <w:rFonts w:hint="eastAsia" w:ascii="宋体" w:hAnsi="宋体"/>
                <w:color w:val="auto"/>
              </w:rPr>
            </w:pPr>
            <w:r>
              <w:rPr>
                <w:rFonts w:ascii="宋体" w:hAnsi="宋体"/>
                <w:color w:val="auto"/>
              </w:rPr>
              <w:t>8.65</w:t>
            </w:r>
          </w:p>
        </w:tc>
        <w:tc>
          <w:tcPr>
            <w:tcW w:w="637" w:type="pct"/>
            <w:tcBorders>
              <w:left w:val="single" w:color="auto" w:sz="4" w:space="0"/>
            </w:tcBorders>
            <w:vAlign w:val="center"/>
          </w:tcPr>
          <w:p w14:paraId="7ADD9E88">
            <w:pPr>
              <w:jc w:val="center"/>
              <w:rPr>
                <w:rFonts w:hint="eastAsia" w:ascii="宋体" w:hAnsi="宋体"/>
                <w:color w:val="auto"/>
              </w:rPr>
            </w:pPr>
            <w:r>
              <w:rPr>
                <w:rFonts w:hint="eastAsia" w:ascii="宋体" w:hAnsi="宋体"/>
                <w:color w:val="auto"/>
              </w:rPr>
              <w:t>/</w:t>
            </w:r>
          </w:p>
        </w:tc>
        <w:tc>
          <w:tcPr>
            <w:tcW w:w="634" w:type="pct"/>
            <w:tcBorders>
              <w:right w:val="single" w:color="auto" w:sz="4" w:space="0"/>
            </w:tcBorders>
            <w:vAlign w:val="center"/>
          </w:tcPr>
          <w:p w14:paraId="2317C690">
            <w:pPr>
              <w:jc w:val="center"/>
              <w:rPr>
                <w:rFonts w:hint="eastAsia" w:ascii="宋体" w:hAnsi="宋体"/>
                <w:color w:val="auto"/>
              </w:rPr>
            </w:pPr>
            <w:r>
              <w:rPr>
                <w:rFonts w:ascii="宋体" w:hAnsi="宋体"/>
                <w:color w:val="auto"/>
              </w:rPr>
              <w:t>8.92</w:t>
            </w:r>
          </w:p>
        </w:tc>
        <w:tc>
          <w:tcPr>
            <w:tcW w:w="635" w:type="pct"/>
            <w:tcBorders>
              <w:left w:val="single" w:color="auto" w:sz="4" w:space="0"/>
            </w:tcBorders>
            <w:vAlign w:val="center"/>
          </w:tcPr>
          <w:p w14:paraId="62293F3A">
            <w:pPr>
              <w:jc w:val="center"/>
              <w:rPr>
                <w:rFonts w:hint="eastAsia" w:ascii="宋体" w:hAnsi="宋体"/>
                <w:color w:val="auto"/>
              </w:rPr>
            </w:pPr>
            <w:r>
              <w:rPr>
                <w:rFonts w:hint="eastAsia" w:ascii="宋体" w:hAnsi="宋体"/>
                <w:color w:val="auto"/>
              </w:rPr>
              <w:t>/</w:t>
            </w:r>
          </w:p>
        </w:tc>
        <w:tc>
          <w:tcPr>
            <w:tcW w:w="554" w:type="pct"/>
            <w:tcBorders>
              <w:right w:val="single" w:color="auto" w:sz="4" w:space="0"/>
            </w:tcBorders>
            <w:vAlign w:val="center"/>
          </w:tcPr>
          <w:p w14:paraId="636B87C2">
            <w:pPr>
              <w:jc w:val="center"/>
              <w:rPr>
                <w:rFonts w:hint="eastAsia" w:ascii="宋体" w:hAnsi="宋体"/>
                <w:color w:val="auto"/>
              </w:rPr>
            </w:pPr>
            <w:r>
              <w:rPr>
                <w:rFonts w:ascii="宋体" w:hAnsi="宋体"/>
                <w:color w:val="auto"/>
              </w:rPr>
              <w:t>8.95</w:t>
            </w:r>
          </w:p>
        </w:tc>
        <w:tc>
          <w:tcPr>
            <w:tcW w:w="635" w:type="pct"/>
            <w:tcBorders>
              <w:left w:val="single" w:color="auto" w:sz="4" w:space="0"/>
            </w:tcBorders>
            <w:vAlign w:val="center"/>
          </w:tcPr>
          <w:p w14:paraId="2F4408B3">
            <w:pPr>
              <w:jc w:val="center"/>
              <w:rPr>
                <w:rFonts w:hint="eastAsia" w:ascii="宋体" w:hAnsi="宋体"/>
                <w:color w:val="auto"/>
              </w:rPr>
            </w:pPr>
            <w:r>
              <w:rPr>
                <w:rFonts w:hint="eastAsia" w:ascii="宋体" w:hAnsi="宋体"/>
                <w:color w:val="auto"/>
              </w:rPr>
              <w:t>/</w:t>
            </w:r>
          </w:p>
        </w:tc>
        <w:tc>
          <w:tcPr>
            <w:tcW w:w="420" w:type="pct"/>
            <w:vAlign w:val="center"/>
          </w:tcPr>
          <w:p w14:paraId="600E9218">
            <w:pPr>
              <w:jc w:val="center"/>
              <w:rPr>
                <w:rFonts w:hint="eastAsia" w:ascii="宋体" w:hAnsi="宋体"/>
                <w:color w:val="auto"/>
              </w:rPr>
            </w:pPr>
            <w:r>
              <w:rPr>
                <w:rFonts w:hint="eastAsia" w:ascii="宋体" w:hAnsi="宋体"/>
                <w:color w:val="auto"/>
              </w:rPr>
              <w:t>达标</w:t>
            </w:r>
          </w:p>
        </w:tc>
      </w:tr>
      <w:tr w14:paraId="62BA9D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7CA40738">
            <w:pPr>
              <w:jc w:val="center"/>
              <w:rPr>
                <w:rFonts w:hint="eastAsia" w:ascii="宋体" w:hAnsi="宋体"/>
                <w:color w:val="auto"/>
              </w:rPr>
            </w:pPr>
          </w:p>
        </w:tc>
        <w:tc>
          <w:tcPr>
            <w:tcW w:w="634" w:type="pct"/>
            <w:vAlign w:val="center"/>
          </w:tcPr>
          <w:p w14:paraId="3BB5FC6F">
            <w:pPr>
              <w:jc w:val="center"/>
              <w:rPr>
                <w:rFonts w:hint="eastAsia" w:ascii="宋体" w:hAnsi="宋体"/>
                <w:color w:val="auto"/>
              </w:rPr>
            </w:pPr>
            <w:r>
              <w:rPr>
                <w:rFonts w:hint="eastAsia" w:ascii="宋体" w:hAnsi="宋体"/>
                <w:color w:val="auto"/>
              </w:rPr>
              <w:t>石油烃（</w:t>
            </w:r>
            <w:r>
              <w:rPr>
                <w:rFonts w:ascii="宋体" w:hAnsi="宋体"/>
                <w:color w:val="auto"/>
              </w:rPr>
              <w:t>C</w:t>
            </w:r>
            <w:r>
              <w:rPr>
                <w:rFonts w:ascii="宋体" w:hAnsi="宋体"/>
                <w:color w:val="auto"/>
                <w:vertAlign w:val="subscript"/>
              </w:rPr>
              <w:t>10</w:t>
            </w:r>
            <w:r>
              <w:rPr>
                <w:rFonts w:ascii="宋体" w:hAnsi="宋体"/>
                <w:color w:val="auto"/>
              </w:rPr>
              <w:t>～C</w:t>
            </w:r>
            <w:r>
              <w:rPr>
                <w:rFonts w:ascii="宋体" w:hAnsi="宋体"/>
                <w:color w:val="auto"/>
                <w:vertAlign w:val="subscript"/>
              </w:rPr>
              <w:t>40</w:t>
            </w:r>
            <w:r>
              <w:rPr>
                <w:rFonts w:hint="eastAsia" w:ascii="宋体" w:hAnsi="宋体"/>
                <w:color w:val="auto"/>
                <w:vertAlign w:val="subscript"/>
              </w:rPr>
              <w:t>）</w:t>
            </w:r>
          </w:p>
        </w:tc>
        <w:tc>
          <w:tcPr>
            <w:tcW w:w="473" w:type="pct"/>
            <w:tcBorders>
              <w:right w:val="single" w:color="auto" w:sz="4" w:space="0"/>
            </w:tcBorders>
            <w:vAlign w:val="center"/>
          </w:tcPr>
          <w:p w14:paraId="4FA2095D">
            <w:pPr>
              <w:jc w:val="center"/>
              <w:rPr>
                <w:rFonts w:hint="eastAsia" w:ascii="宋体" w:hAnsi="宋体"/>
                <w:color w:val="auto"/>
              </w:rPr>
            </w:pPr>
            <w:r>
              <w:rPr>
                <w:rFonts w:hint="eastAsia" w:ascii="宋体" w:hAnsi="宋体"/>
                <w:color w:val="auto"/>
              </w:rPr>
              <w:t>3</w:t>
            </w:r>
            <w:r>
              <w:rPr>
                <w:rFonts w:ascii="宋体" w:hAnsi="宋体"/>
                <w:color w:val="auto"/>
              </w:rPr>
              <w:t>1</w:t>
            </w:r>
          </w:p>
        </w:tc>
        <w:tc>
          <w:tcPr>
            <w:tcW w:w="637" w:type="pct"/>
            <w:tcBorders>
              <w:left w:val="single" w:color="auto" w:sz="4" w:space="0"/>
            </w:tcBorders>
            <w:vAlign w:val="center"/>
          </w:tcPr>
          <w:p w14:paraId="164E02DD">
            <w:pPr>
              <w:jc w:val="center"/>
              <w:rPr>
                <w:rFonts w:hint="eastAsia" w:ascii="宋体" w:hAnsi="宋体"/>
                <w:color w:val="auto"/>
              </w:rPr>
            </w:pPr>
            <w:r>
              <w:rPr>
                <w:rFonts w:ascii="宋体" w:hAnsi="宋体"/>
                <w:color w:val="auto"/>
              </w:rPr>
              <w:t>0.0069</w:t>
            </w:r>
          </w:p>
        </w:tc>
        <w:tc>
          <w:tcPr>
            <w:tcW w:w="634" w:type="pct"/>
            <w:tcBorders>
              <w:right w:val="single" w:color="auto" w:sz="4" w:space="0"/>
            </w:tcBorders>
            <w:vAlign w:val="center"/>
          </w:tcPr>
          <w:p w14:paraId="49D0961A">
            <w:pPr>
              <w:jc w:val="center"/>
              <w:rPr>
                <w:rFonts w:hint="eastAsia" w:ascii="宋体" w:hAnsi="宋体"/>
                <w:color w:val="auto"/>
              </w:rPr>
            </w:pPr>
            <w:r>
              <w:rPr>
                <w:rFonts w:hint="eastAsia" w:ascii="宋体" w:hAnsi="宋体"/>
                <w:color w:val="auto"/>
              </w:rPr>
              <w:t>1</w:t>
            </w:r>
            <w:r>
              <w:rPr>
                <w:rFonts w:ascii="宋体" w:hAnsi="宋体"/>
                <w:color w:val="auto"/>
              </w:rPr>
              <w:t>8</w:t>
            </w:r>
          </w:p>
        </w:tc>
        <w:tc>
          <w:tcPr>
            <w:tcW w:w="635" w:type="pct"/>
            <w:tcBorders>
              <w:left w:val="single" w:color="auto" w:sz="4" w:space="0"/>
            </w:tcBorders>
            <w:vAlign w:val="center"/>
          </w:tcPr>
          <w:p w14:paraId="621B37AA">
            <w:pPr>
              <w:jc w:val="center"/>
              <w:rPr>
                <w:rFonts w:hint="eastAsia" w:ascii="宋体" w:hAnsi="宋体"/>
                <w:color w:val="auto"/>
              </w:rPr>
            </w:pPr>
            <w:r>
              <w:rPr>
                <w:rFonts w:ascii="宋体" w:hAnsi="宋体"/>
                <w:color w:val="auto"/>
              </w:rPr>
              <w:t>0.0040</w:t>
            </w:r>
          </w:p>
        </w:tc>
        <w:tc>
          <w:tcPr>
            <w:tcW w:w="554" w:type="pct"/>
            <w:tcBorders>
              <w:right w:val="single" w:color="auto" w:sz="4" w:space="0"/>
            </w:tcBorders>
            <w:vAlign w:val="center"/>
          </w:tcPr>
          <w:p w14:paraId="493354E4">
            <w:pPr>
              <w:jc w:val="center"/>
              <w:rPr>
                <w:rFonts w:hint="eastAsia" w:ascii="宋体" w:hAnsi="宋体"/>
                <w:color w:val="auto"/>
              </w:rPr>
            </w:pPr>
            <w:r>
              <w:rPr>
                <w:rFonts w:hint="eastAsia" w:ascii="宋体" w:hAnsi="宋体"/>
                <w:color w:val="auto"/>
              </w:rPr>
              <w:t>9</w:t>
            </w:r>
          </w:p>
        </w:tc>
        <w:tc>
          <w:tcPr>
            <w:tcW w:w="635" w:type="pct"/>
            <w:tcBorders>
              <w:left w:val="single" w:color="auto" w:sz="4" w:space="0"/>
            </w:tcBorders>
            <w:vAlign w:val="center"/>
          </w:tcPr>
          <w:p w14:paraId="514C8A64">
            <w:pPr>
              <w:jc w:val="center"/>
              <w:rPr>
                <w:rFonts w:hint="eastAsia" w:ascii="宋体" w:hAnsi="宋体"/>
                <w:color w:val="auto"/>
              </w:rPr>
            </w:pPr>
            <w:r>
              <w:rPr>
                <w:rFonts w:hint="eastAsia" w:ascii="宋体" w:hAnsi="宋体"/>
                <w:color w:val="auto"/>
              </w:rPr>
              <w:t>0.0020</w:t>
            </w:r>
          </w:p>
        </w:tc>
        <w:tc>
          <w:tcPr>
            <w:tcW w:w="420" w:type="pct"/>
            <w:vAlign w:val="center"/>
          </w:tcPr>
          <w:p w14:paraId="0065F6D3">
            <w:pPr>
              <w:jc w:val="center"/>
              <w:rPr>
                <w:rFonts w:hint="eastAsia" w:ascii="宋体" w:hAnsi="宋体"/>
                <w:color w:val="auto"/>
              </w:rPr>
            </w:pPr>
            <w:r>
              <w:rPr>
                <w:rFonts w:hint="eastAsia" w:ascii="宋体" w:hAnsi="宋体"/>
                <w:color w:val="auto"/>
              </w:rPr>
              <w:t>达标</w:t>
            </w:r>
          </w:p>
        </w:tc>
      </w:tr>
      <w:tr w14:paraId="2E1E54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2C3DB39B">
            <w:pPr>
              <w:jc w:val="center"/>
              <w:rPr>
                <w:rFonts w:hint="eastAsia" w:ascii="宋体" w:hAnsi="宋体"/>
                <w:color w:val="auto"/>
              </w:rPr>
            </w:pPr>
          </w:p>
        </w:tc>
        <w:tc>
          <w:tcPr>
            <w:tcW w:w="634" w:type="pct"/>
            <w:vAlign w:val="center"/>
          </w:tcPr>
          <w:p w14:paraId="5620172D">
            <w:pPr>
              <w:jc w:val="center"/>
              <w:rPr>
                <w:rFonts w:hint="eastAsia" w:ascii="宋体" w:hAnsi="宋体"/>
                <w:color w:val="auto"/>
              </w:rPr>
            </w:pPr>
            <w:r>
              <w:rPr>
                <w:rFonts w:hint="eastAsia" w:ascii="宋体" w:hAnsi="宋体"/>
                <w:color w:val="auto"/>
              </w:rPr>
              <w:t>镉</w:t>
            </w:r>
          </w:p>
        </w:tc>
        <w:tc>
          <w:tcPr>
            <w:tcW w:w="473" w:type="pct"/>
            <w:tcBorders>
              <w:right w:val="single" w:color="auto" w:sz="4" w:space="0"/>
            </w:tcBorders>
            <w:vAlign w:val="center"/>
          </w:tcPr>
          <w:p w14:paraId="2825F955">
            <w:pPr>
              <w:jc w:val="center"/>
              <w:rPr>
                <w:rFonts w:hint="eastAsia" w:ascii="宋体" w:hAnsi="宋体"/>
                <w:color w:val="auto"/>
              </w:rPr>
            </w:pPr>
            <w:r>
              <w:rPr>
                <w:rFonts w:hint="eastAsia" w:ascii="宋体" w:hAnsi="宋体"/>
                <w:color w:val="auto"/>
              </w:rPr>
              <w:t>0</w:t>
            </w:r>
            <w:r>
              <w:rPr>
                <w:rFonts w:ascii="宋体" w:hAnsi="宋体"/>
                <w:color w:val="auto"/>
              </w:rPr>
              <w:t>.04</w:t>
            </w:r>
          </w:p>
        </w:tc>
        <w:tc>
          <w:tcPr>
            <w:tcW w:w="637" w:type="pct"/>
            <w:tcBorders>
              <w:left w:val="single" w:color="auto" w:sz="4" w:space="0"/>
            </w:tcBorders>
            <w:vAlign w:val="center"/>
          </w:tcPr>
          <w:p w14:paraId="53DAFF81">
            <w:pPr>
              <w:jc w:val="center"/>
              <w:rPr>
                <w:rFonts w:hint="eastAsia" w:ascii="宋体" w:hAnsi="宋体"/>
                <w:color w:val="auto"/>
              </w:rPr>
            </w:pPr>
            <w:r>
              <w:rPr>
                <w:rFonts w:ascii="宋体" w:hAnsi="宋体"/>
                <w:color w:val="auto"/>
              </w:rPr>
              <w:t>0.0006</w:t>
            </w:r>
          </w:p>
        </w:tc>
        <w:tc>
          <w:tcPr>
            <w:tcW w:w="634" w:type="pct"/>
            <w:tcBorders>
              <w:right w:val="single" w:color="auto" w:sz="4" w:space="0"/>
            </w:tcBorders>
            <w:vAlign w:val="center"/>
          </w:tcPr>
          <w:p w14:paraId="1388D899">
            <w:pPr>
              <w:jc w:val="center"/>
              <w:rPr>
                <w:rFonts w:hint="eastAsia" w:ascii="宋体" w:hAnsi="宋体"/>
                <w:color w:val="auto"/>
              </w:rPr>
            </w:pPr>
            <w:r>
              <w:rPr>
                <w:rFonts w:hint="eastAsia" w:ascii="宋体" w:hAnsi="宋体"/>
                <w:color w:val="auto"/>
              </w:rPr>
              <w:t>0</w:t>
            </w:r>
            <w:r>
              <w:rPr>
                <w:rFonts w:ascii="宋体" w:hAnsi="宋体"/>
                <w:color w:val="auto"/>
              </w:rPr>
              <w:t>.04</w:t>
            </w:r>
          </w:p>
        </w:tc>
        <w:tc>
          <w:tcPr>
            <w:tcW w:w="635" w:type="pct"/>
            <w:tcBorders>
              <w:left w:val="single" w:color="auto" w:sz="4" w:space="0"/>
            </w:tcBorders>
            <w:vAlign w:val="center"/>
          </w:tcPr>
          <w:p w14:paraId="03EA2C2B">
            <w:pPr>
              <w:jc w:val="center"/>
              <w:rPr>
                <w:rFonts w:hint="eastAsia" w:ascii="宋体" w:hAnsi="宋体"/>
                <w:color w:val="auto"/>
              </w:rPr>
            </w:pPr>
            <w:r>
              <w:rPr>
                <w:rFonts w:ascii="宋体" w:hAnsi="宋体"/>
                <w:color w:val="auto"/>
              </w:rPr>
              <w:t>0.0006</w:t>
            </w:r>
          </w:p>
        </w:tc>
        <w:tc>
          <w:tcPr>
            <w:tcW w:w="554" w:type="pct"/>
            <w:tcBorders>
              <w:right w:val="single" w:color="auto" w:sz="4" w:space="0"/>
            </w:tcBorders>
            <w:vAlign w:val="center"/>
          </w:tcPr>
          <w:p w14:paraId="49AD2525">
            <w:pPr>
              <w:jc w:val="center"/>
              <w:rPr>
                <w:rFonts w:hint="eastAsia" w:ascii="宋体" w:hAnsi="宋体"/>
                <w:color w:val="auto"/>
              </w:rPr>
            </w:pPr>
            <w:r>
              <w:rPr>
                <w:rFonts w:hint="eastAsia" w:ascii="宋体" w:hAnsi="宋体"/>
                <w:color w:val="auto"/>
              </w:rPr>
              <w:t>0</w:t>
            </w:r>
            <w:r>
              <w:rPr>
                <w:rFonts w:ascii="宋体" w:hAnsi="宋体"/>
                <w:color w:val="auto"/>
              </w:rPr>
              <w:t>.05</w:t>
            </w:r>
          </w:p>
        </w:tc>
        <w:tc>
          <w:tcPr>
            <w:tcW w:w="635" w:type="pct"/>
            <w:tcBorders>
              <w:left w:val="single" w:color="auto" w:sz="4" w:space="0"/>
            </w:tcBorders>
            <w:vAlign w:val="center"/>
          </w:tcPr>
          <w:p w14:paraId="1276C6C6">
            <w:pPr>
              <w:jc w:val="center"/>
              <w:rPr>
                <w:rFonts w:hint="eastAsia" w:ascii="宋体" w:hAnsi="宋体"/>
                <w:color w:val="auto"/>
              </w:rPr>
            </w:pPr>
            <w:r>
              <w:rPr>
                <w:rFonts w:hint="eastAsia" w:ascii="宋体" w:hAnsi="宋体"/>
                <w:color w:val="auto"/>
              </w:rPr>
              <w:t>0.0008</w:t>
            </w:r>
          </w:p>
        </w:tc>
        <w:tc>
          <w:tcPr>
            <w:tcW w:w="420" w:type="pct"/>
            <w:vAlign w:val="center"/>
          </w:tcPr>
          <w:p w14:paraId="71B45499">
            <w:pPr>
              <w:jc w:val="center"/>
              <w:rPr>
                <w:rFonts w:hint="eastAsia" w:ascii="宋体" w:hAnsi="宋体"/>
                <w:color w:val="auto"/>
              </w:rPr>
            </w:pPr>
            <w:r>
              <w:rPr>
                <w:rFonts w:hint="eastAsia" w:ascii="宋体" w:hAnsi="宋体"/>
                <w:color w:val="auto"/>
              </w:rPr>
              <w:t>达标</w:t>
            </w:r>
          </w:p>
        </w:tc>
      </w:tr>
      <w:tr w14:paraId="689052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5C8AD12F">
            <w:pPr>
              <w:jc w:val="center"/>
              <w:rPr>
                <w:rFonts w:hint="eastAsia" w:ascii="宋体" w:hAnsi="宋体"/>
                <w:color w:val="auto"/>
              </w:rPr>
            </w:pPr>
          </w:p>
        </w:tc>
        <w:tc>
          <w:tcPr>
            <w:tcW w:w="634" w:type="pct"/>
            <w:vAlign w:val="center"/>
          </w:tcPr>
          <w:p w14:paraId="5487D1D6">
            <w:pPr>
              <w:jc w:val="center"/>
              <w:rPr>
                <w:rFonts w:hint="eastAsia" w:ascii="宋体" w:hAnsi="宋体"/>
                <w:color w:val="auto"/>
              </w:rPr>
            </w:pPr>
            <w:r>
              <w:rPr>
                <w:rFonts w:hint="eastAsia" w:ascii="宋体" w:hAnsi="宋体"/>
                <w:color w:val="auto"/>
              </w:rPr>
              <w:t>镍</w:t>
            </w:r>
          </w:p>
        </w:tc>
        <w:tc>
          <w:tcPr>
            <w:tcW w:w="473" w:type="pct"/>
            <w:tcBorders>
              <w:right w:val="single" w:color="auto" w:sz="4" w:space="0"/>
            </w:tcBorders>
            <w:vAlign w:val="center"/>
          </w:tcPr>
          <w:p w14:paraId="7989EFCE">
            <w:pPr>
              <w:jc w:val="center"/>
              <w:rPr>
                <w:rFonts w:hint="eastAsia" w:ascii="宋体" w:hAnsi="宋体"/>
                <w:color w:val="auto"/>
              </w:rPr>
            </w:pPr>
            <w:r>
              <w:rPr>
                <w:rFonts w:hint="eastAsia" w:ascii="宋体" w:hAnsi="宋体"/>
                <w:color w:val="auto"/>
              </w:rPr>
              <w:t>1</w:t>
            </w:r>
            <w:r>
              <w:rPr>
                <w:rFonts w:ascii="宋体" w:hAnsi="宋体"/>
                <w:color w:val="auto"/>
              </w:rPr>
              <w:t>4</w:t>
            </w:r>
          </w:p>
        </w:tc>
        <w:tc>
          <w:tcPr>
            <w:tcW w:w="637" w:type="pct"/>
            <w:tcBorders>
              <w:left w:val="single" w:color="auto" w:sz="4" w:space="0"/>
            </w:tcBorders>
            <w:vAlign w:val="center"/>
          </w:tcPr>
          <w:p w14:paraId="3BC1B5B6">
            <w:pPr>
              <w:jc w:val="center"/>
              <w:rPr>
                <w:rFonts w:hint="eastAsia" w:ascii="宋体" w:hAnsi="宋体"/>
                <w:color w:val="auto"/>
              </w:rPr>
            </w:pPr>
            <w:r>
              <w:rPr>
                <w:rFonts w:ascii="宋体" w:hAnsi="宋体"/>
                <w:color w:val="auto"/>
              </w:rPr>
              <w:t>0.0156</w:t>
            </w:r>
          </w:p>
        </w:tc>
        <w:tc>
          <w:tcPr>
            <w:tcW w:w="634" w:type="pct"/>
            <w:tcBorders>
              <w:right w:val="single" w:color="auto" w:sz="4" w:space="0"/>
            </w:tcBorders>
            <w:vAlign w:val="center"/>
          </w:tcPr>
          <w:p w14:paraId="1164D4F9">
            <w:pPr>
              <w:jc w:val="center"/>
              <w:rPr>
                <w:rFonts w:hint="eastAsia" w:ascii="宋体" w:hAnsi="宋体"/>
                <w:color w:val="auto"/>
              </w:rPr>
            </w:pPr>
            <w:r>
              <w:rPr>
                <w:rFonts w:hint="eastAsia" w:ascii="宋体" w:hAnsi="宋体"/>
                <w:color w:val="auto"/>
              </w:rPr>
              <w:t>1</w:t>
            </w:r>
            <w:r>
              <w:rPr>
                <w:rFonts w:ascii="宋体" w:hAnsi="宋体"/>
                <w:color w:val="auto"/>
              </w:rPr>
              <w:t>5</w:t>
            </w:r>
          </w:p>
        </w:tc>
        <w:tc>
          <w:tcPr>
            <w:tcW w:w="635" w:type="pct"/>
            <w:tcBorders>
              <w:left w:val="single" w:color="auto" w:sz="4" w:space="0"/>
            </w:tcBorders>
            <w:vAlign w:val="center"/>
          </w:tcPr>
          <w:p w14:paraId="644AFD5E">
            <w:pPr>
              <w:jc w:val="center"/>
              <w:rPr>
                <w:rFonts w:hint="eastAsia" w:ascii="宋体" w:hAnsi="宋体"/>
                <w:color w:val="auto"/>
              </w:rPr>
            </w:pPr>
            <w:r>
              <w:rPr>
                <w:rFonts w:ascii="宋体" w:hAnsi="宋体"/>
                <w:color w:val="auto"/>
              </w:rPr>
              <w:t>0.0167</w:t>
            </w:r>
          </w:p>
        </w:tc>
        <w:tc>
          <w:tcPr>
            <w:tcW w:w="554" w:type="pct"/>
            <w:tcBorders>
              <w:right w:val="single" w:color="auto" w:sz="4" w:space="0"/>
            </w:tcBorders>
            <w:vAlign w:val="center"/>
          </w:tcPr>
          <w:p w14:paraId="2BE6DFBC">
            <w:pPr>
              <w:jc w:val="center"/>
              <w:rPr>
                <w:rFonts w:hint="eastAsia" w:ascii="宋体" w:hAnsi="宋体"/>
                <w:color w:val="auto"/>
              </w:rPr>
            </w:pPr>
            <w:r>
              <w:rPr>
                <w:rFonts w:hint="eastAsia" w:ascii="宋体" w:hAnsi="宋体"/>
                <w:color w:val="auto"/>
              </w:rPr>
              <w:t>1</w:t>
            </w:r>
            <w:r>
              <w:rPr>
                <w:rFonts w:ascii="宋体" w:hAnsi="宋体"/>
                <w:color w:val="auto"/>
              </w:rPr>
              <w:t>4</w:t>
            </w:r>
          </w:p>
        </w:tc>
        <w:tc>
          <w:tcPr>
            <w:tcW w:w="635" w:type="pct"/>
            <w:tcBorders>
              <w:left w:val="single" w:color="auto" w:sz="4" w:space="0"/>
            </w:tcBorders>
            <w:vAlign w:val="center"/>
          </w:tcPr>
          <w:p w14:paraId="5321E7F1">
            <w:pPr>
              <w:jc w:val="center"/>
              <w:rPr>
                <w:rFonts w:hint="eastAsia" w:ascii="宋体" w:hAnsi="宋体"/>
                <w:color w:val="auto"/>
              </w:rPr>
            </w:pPr>
            <w:r>
              <w:rPr>
                <w:rFonts w:hint="eastAsia" w:ascii="宋体" w:hAnsi="宋体"/>
                <w:color w:val="auto"/>
              </w:rPr>
              <w:t>0.0156</w:t>
            </w:r>
          </w:p>
        </w:tc>
        <w:tc>
          <w:tcPr>
            <w:tcW w:w="420" w:type="pct"/>
            <w:vAlign w:val="center"/>
          </w:tcPr>
          <w:p w14:paraId="56CBEEAD">
            <w:pPr>
              <w:jc w:val="center"/>
              <w:rPr>
                <w:rFonts w:hint="eastAsia" w:ascii="宋体" w:hAnsi="宋体"/>
                <w:color w:val="auto"/>
              </w:rPr>
            </w:pPr>
            <w:r>
              <w:rPr>
                <w:rFonts w:hint="eastAsia" w:ascii="宋体" w:hAnsi="宋体"/>
                <w:color w:val="auto"/>
              </w:rPr>
              <w:t>达标</w:t>
            </w:r>
          </w:p>
        </w:tc>
      </w:tr>
      <w:tr w14:paraId="2E188F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03C4F776">
            <w:pPr>
              <w:jc w:val="center"/>
              <w:rPr>
                <w:rFonts w:hint="eastAsia" w:ascii="宋体" w:hAnsi="宋体"/>
                <w:color w:val="auto"/>
              </w:rPr>
            </w:pPr>
          </w:p>
        </w:tc>
        <w:tc>
          <w:tcPr>
            <w:tcW w:w="634" w:type="pct"/>
            <w:vAlign w:val="center"/>
          </w:tcPr>
          <w:p w14:paraId="365628CF">
            <w:pPr>
              <w:jc w:val="center"/>
              <w:rPr>
                <w:rFonts w:hint="eastAsia" w:ascii="宋体" w:hAnsi="宋体"/>
                <w:color w:val="auto"/>
              </w:rPr>
            </w:pPr>
            <w:r>
              <w:rPr>
                <w:rFonts w:hint="eastAsia" w:ascii="宋体" w:hAnsi="宋体"/>
                <w:color w:val="auto"/>
              </w:rPr>
              <w:t>铬</w:t>
            </w:r>
          </w:p>
        </w:tc>
        <w:tc>
          <w:tcPr>
            <w:tcW w:w="473" w:type="pct"/>
            <w:tcBorders>
              <w:right w:val="single" w:color="auto" w:sz="4" w:space="0"/>
            </w:tcBorders>
            <w:vAlign w:val="center"/>
          </w:tcPr>
          <w:p w14:paraId="226856DB">
            <w:pPr>
              <w:jc w:val="center"/>
              <w:rPr>
                <w:rFonts w:hint="eastAsia" w:ascii="宋体" w:hAnsi="宋体"/>
                <w:color w:val="auto"/>
              </w:rPr>
            </w:pPr>
            <w:r>
              <w:rPr>
                <w:rFonts w:hint="eastAsia" w:ascii="宋体" w:hAnsi="宋体"/>
                <w:color w:val="auto"/>
              </w:rPr>
              <w:t>0</w:t>
            </w:r>
            <w:r>
              <w:rPr>
                <w:rFonts w:ascii="宋体" w:hAnsi="宋体"/>
                <w:color w:val="auto"/>
              </w:rPr>
              <w:t>.5L</w:t>
            </w:r>
          </w:p>
        </w:tc>
        <w:tc>
          <w:tcPr>
            <w:tcW w:w="637" w:type="pct"/>
            <w:tcBorders>
              <w:left w:val="single" w:color="auto" w:sz="4" w:space="0"/>
            </w:tcBorders>
            <w:vAlign w:val="center"/>
          </w:tcPr>
          <w:p w14:paraId="17D8D83E">
            <w:pPr>
              <w:jc w:val="center"/>
              <w:rPr>
                <w:rFonts w:hint="eastAsia" w:ascii="宋体" w:hAnsi="宋体"/>
                <w:color w:val="auto"/>
              </w:rPr>
            </w:pPr>
            <w:r>
              <w:rPr>
                <w:rFonts w:hint="eastAsia" w:ascii="宋体" w:hAnsi="宋体"/>
                <w:color w:val="auto"/>
              </w:rPr>
              <w:t>/</w:t>
            </w:r>
          </w:p>
        </w:tc>
        <w:tc>
          <w:tcPr>
            <w:tcW w:w="634" w:type="pct"/>
            <w:tcBorders>
              <w:right w:val="single" w:color="auto" w:sz="4" w:space="0"/>
            </w:tcBorders>
            <w:vAlign w:val="center"/>
          </w:tcPr>
          <w:p w14:paraId="74EC7D57">
            <w:pPr>
              <w:jc w:val="center"/>
              <w:rPr>
                <w:rFonts w:hint="eastAsia" w:ascii="宋体" w:hAnsi="宋体"/>
                <w:color w:val="auto"/>
              </w:rPr>
            </w:pPr>
            <w:r>
              <w:rPr>
                <w:rFonts w:hint="eastAsia" w:ascii="宋体" w:hAnsi="宋体"/>
                <w:color w:val="auto"/>
              </w:rPr>
              <w:t>0</w:t>
            </w:r>
            <w:r>
              <w:rPr>
                <w:rFonts w:ascii="宋体" w:hAnsi="宋体"/>
                <w:color w:val="auto"/>
              </w:rPr>
              <w:t>.5L</w:t>
            </w:r>
          </w:p>
        </w:tc>
        <w:tc>
          <w:tcPr>
            <w:tcW w:w="635" w:type="pct"/>
            <w:tcBorders>
              <w:left w:val="single" w:color="auto" w:sz="4" w:space="0"/>
            </w:tcBorders>
            <w:vAlign w:val="center"/>
          </w:tcPr>
          <w:p w14:paraId="2F916300">
            <w:pPr>
              <w:jc w:val="center"/>
              <w:rPr>
                <w:rFonts w:hint="eastAsia" w:ascii="宋体" w:hAnsi="宋体"/>
                <w:color w:val="auto"/>
              </w:rPr>
            </w:pPr>
            <w:r>
              <w:rPr>
                <w:rFonts w:hint="eastAsia" w:ascii="宋体" w:hAnsi="宋体"/>
                <w:color w:val="auto"/>
              </w:rPr>
              <w:t>/</w:t>
            </w:r>
          </w:p>
        </w:tc>
        <w:tc>
          <w:tcPr>
            <w:tcW w:w="554" w:type="pct"/>
            <w:tcBorders>
              <w:right w:val="single" w:color="auto" w:sz="4" w:space="0"/>
            </w:tcBorders>
            <w:vAlign w:val="center"/>
          </w:tcPr>
          <w:p w14:paraId="778FBC28">
            <w:pPr>
              <w:jc w:val="center"/>
              <w:rPr>
                <w:rFonts w:hint="eastAsia" w:ascii="宋体" w:hAnsi="宋体"/>
                <w:color w:val="auto"/>
              </w:rPr>
            </w:pPr>
            <w:r>
              <w:rPr>
                <w:rFonts w:hint="eastAsia" w:ascii="宋体" w:hAnsi="宋体"/>
                <w:color w:val="auto"/>
              </w:rPr>
              <w:t>0</w:t>
            </w:r>
            <w:r>
              <w:rPr>
                <w:rFonts w:ascii="宋体" w:hAnsi="宋体"/>
                <w:color w:val="auto"/>
              </w:rPr>
              <w:t>.5L</w:t>
            </w:r>
          </w:p>
        </w:tc>
        <w:tc>
          <w:tcPr>
            <w:tcW w:w="635" w:type="pct"/>
            <w:tcBorders>
              <w:left w:val="single" w:color="auto" w:sz="4" w:space="0"/>
            </w:tcBorders>
            <w:vAlign w:val="center"/>
          </w:tcPr>
          <w:p w14:paraId="60323D78">
            <w:pPr>
              <w:jc w:val="center"/>
              <w:rPr>
                <w:rFonts w:hint="eastAsia" w:ascii="宋体" w:hAnsi="宋体"/>
                <w:color w:val="auto"/>
              </w:rPr>
            </w:pPr>
            <w:r>
              <w:rPr>
                <w:rFonts w:hint="eastAsia" w:ascii="宋体" w:hAnsi="宋体"/>
                <w:color w:val="auto"/>
              </w:rPr>
              <w:t>/</w:t>
            </w:r>
          </w:p>
        </w:tc>
        <w:tc>
          <w:tcPr>
            <w:tcW w:w="420" w:type="pct"/>
            <w:vAlign w:val="center"/>
          </w:tcPr>
          <w:p w14:paraId="026D1703">
            <w:pPr>
              <w:jc w:val="center"/>
              <w:rPr>
                <w:rFonts w:hint="eastAsia" w:ascii="宋体" w:hAnsi="宋体"/>
                <w:color w:val="auto"/>
              </w:rPr>
            </w:pPr>
            <w:r>
              <w:rPr>
                <w:rFonts w:hint="eastAsia" w:ascii="宋体" w:hAnsi="宋体"/>
                <w:color w:val="auto"/>
              </w:rPr>
              <w:t>达标</w:t>
            </w:r>
          </w:p>
        </w:tc>
      </w:tr>
      <w:tr w14:paraId="41BE57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7F48F12A">
            <w:pPr>
              <w:jc w:val="center"/>
              <w:rPr>
                <w:rFonts w:hint="eastAsia" w:ascii="宋体" w:hAnsi="宋体"/>
                <w:color w:val="auto"/>
              </w:rPr>
            </w:pPr>
          </w:p>
        </w:tc>
        <w:tc>
          <w:tcPr>
            <w:tcW w:w="634" w:type="pct"/>
            <w:vAlign w:val="center"/>
          </w:tcPr>
          <w:p w14:paraId="2C58C548">
            <w:pPr>
              <w:jc w:val="center"/>
              <w:rPr>
                <w:rFonts w:hint="eastAsia" w:ascii="宋体" w:hAnsi="宋体"/>
                <w:color w:val="auto"/>
              </w:rPr>
            </w:pPr>
            <w:r>
              <w:rPr>
                <w:rFonts w:hint="eastAsia" w:ascii="宋体" w:hAnsi="宋体"/>
                <w:color w:val="auto"/>
              </w:rPr>
              <w:t>铜</w:t>
            </w:r>
          </w:p>
        </w:tc>
        <w:tc>
          <w:tcPr>
            <w:tcW w:w="473" w:type="pct"/>
            <w:tcBorders>
              <w:right w:val="single" w:color="auto" w:sz="4" w:space="0"/>
            </w:tcBorders>
            <w:vAlign w:val="center"/>
          </w:tcPr>
          <w:p w14:paraId="649519B8">
            <w:pPr>
              <w:jc w:val="center"/>
              <w:rPr>
                <w:rFonts w:hint="eastAsia" w:ascii="宋体" w:hAnsi="宋体"/>
                <w:color w:val="auto"/>
              </w:rPr>
            </w:pPr>
            <w:r>
              <w:rPr>
                <w:rFonts w:hint="eastAsia" w:ascii="宋体" w:hAnsi="宋体"/>
                <w:color w:val="auto"/>
              </w:rPr>
              <w:t>2</w:t>
            </w:r>
            <w:r>
              <w:rPr>
                <w:rFonts w:ascii="宋体" w:hAnsi="宋体"/>
                <w:color w:val="auto"/>
              </w:rPr>
              <w:t>5</w:t>
            </w:r>
          </w:p>
        </w:tc>
        <w:tc>
          <w:tcPr>
            <w:tcW w:w="637" w:type="pct"/>
            <w:tcBorders>
              <w:left w:val="single" w:color="auto" w:sz="4" w:space="0"/>
            </w:tcBorders>
            <w:vAlign w:val="center"/>
          </w:tcPr>
          <w:p w14:paraId="47089B62">
            <w:pPr>
              <w:jc w:val="center"/>
              <w:rPr>
                <w:rFonts w:hint="eastAsia" w:ascii="宋体" w:hAnsi="宋体"/>
                <w:color w:val="auto"/>
              </w:rPr>
            </w:pPr>
            <w:r>
              <w:rPr>
                <w:rFonts w:ascii="宋体" w:hAnsi="宋体"/>
                <w:color w:val="auto"/>
              </w:rPr>
              <w:t>0.0014</w:t>
            </w:r>
          </w:p>
        </w:tc>
        <w:tc>
          <w:tcPr>
            <w:tcW w:w="634" w:type="pct"/>
            <w:tcBorders>
              <w:right w:val="single" w:color="auto" w:sz="4" w:space="0"/>
            </w:tcBorders>
            <w:vAlign w:val="center"/>
          </w:tcPr>
          <w:p w14:paraId="303DDBE3">
            <w:pPr>
              <w:jc w:val="center"/>
              <w:rPr>
                <w:rFonts w:hint="eastAsia" w:ascii="宋体" w:hAnsi="宋体"/>
                <w:color w:val="auto"/>
              </w:rPr>
            </w:pPr>
            <w:r>
              <w:rPr>
                <w:rFonts w:hint="eastAsia" w:ascii="宋体" w:hAnsi="宋体"/>
                <w:color w:val="auto"/>
              </w:rPr>
              <w:t>2</w:t>
            </w:r>
            <w:r>
              <w:rPr>
                <w:rFonts w:ascii="宋体" w:hAnsi="宋体"/>
                <w:color w:val="auto"/>
              </w:rPr>
              <w:t>5</w:t>
            </w:r>
          </w:p>
        </w:tc>
        <w:tc>
          <w:tcPr>
            <w:tcW w:w="635" w:type="pct"/>
            <w:tcBorders>
              <w:left w:val="single" w:color="auto" w:sz="4" w:space="0"/>
            </w:tcBorders>
            <w:vAlign w:val="center"/>
          </w:tcPr>
          <w:p w14:paraId="502972C6">
            <w:pPr>
              <w:jc w:val="center"/>
              <w:rPr>
                <w:rFonts w:hint="eastAsia" w:ascii="宋体" w:hAnsi="宋体"/>
                <w:color w:val="auto"/>
              </w:rPr>
            </w:pPr>
            <w:r>
              <w:rPr>
                <w:rFonts w:ascii="宋体" w:hAnsi="宋体"/>
                <w:color w:val="auto"/>
              </w:rPr>
              <w:t>0.0014</w:t>
            </w:r>
          </w:p>
        </w:tc>
        <w:tc>
          <w:tcPr>
            <w:tcW w:w="554" w:type="pct"/>
            <w:tcBorders>
              <w:right w:val="single" w:color="auto" w:sz="4" w:space="0"/>
            </w:tcBorders>
            <w:vAlign w:val="center"/>
          </w:tcPr>
          <w:p w14:paraId="6124F191">
            <w:pPr>
              <w:jc w:val="center"/>
              <w:rPr>
                <w:rFonts w:hint="eastAsia" w:ascii="宋体" w:hAnsi="宋体"/>
                <w:color w:val="auto"/>
              </w:rPr>
            </w:pPr>
            <w:r>
              <w:rPr>
                <w:rFonts w:hint="eastAsia" w:ascii="宋体" w:hAnsi="宋体"/>
                <w:color w:val="auto"/>
              </w:rPr>
              <w:t>2</w:t>
            </w:r>
            <w:r>
              <w:rPr>
                <w:rFonts w:ascii="宋体" w:hAnsi="宋体"/>
                <w:color w:val="auto"/>
              </w:rPr>
              <w:t>5</w:t>
            </w:r>
          </w:p>
        </w:tc>
        <w:tc>
          <w:tcPr>
            <w:tcW w:w="635" w:type="pct"/>
            <w:tcBorders>
              <w:left w:val="single" w:color="auto" w:sz="4" w:space="0"/>
            </w:tcBorders>
            <w:vAlign w:val="center"/>
          </w:tcPr>
          <w:p w14:paraId="61542722">
            <w:pPr>
              <w:jc w:val="center"/>
              <w:rPr>
                <w:rFonts w:hint="eastAsia" w:ascii="宋体" w:hAnsi="宋体"/>
                <w:color w:val="auto"/>
              </w:rPr>
            </w:pPr>
            <w:r>
              <w:rPr>
                <w:rFonts w:hint="eastAsia" w:ascii="宋体" w:hAnsi="宋体"/>
                <w:color w:val="auto"/>
              </w:rPr>
              <w:t>0.0014</w:t>
            </w:r>
          </w:p>
        </w:tc>
        <w:tc>
          <w:tcPr>
            <w:tcW w:w="420" w:type="pct"/>
            <w:vAlign w:val="center"/>
          </w:tcPr>
          <w:p w14:paraId="746E2CEC">
            <w:pPr>
              <w:jc w:val="center"/>
              <w:rPr>
                <w:rFonts w:hint="eastAsia" w:ascii="宋体" w:hAnsi="宋体"/>
                <w:color w:val="auto"/>
              </w:rPr>
            </w:pPr>
            <w:r>
              <w:rPr>
                <w:rFonts w:hint="eastAsia" w:ascii="宋体" w:hAnsi="宋体"/>
                <w:color w:val="auto"/>
              </w:rPr>
              <w:t>达标</w:t>
            </w:r>
          </w:p>
        </w:tc>
      </w:tr>
      <w:tr w14:paraId="1D8FD3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3E288263">
            <w:pPr>
              <w:jc w:val="center"/>
              <w:rPr>
                <w:rFonts w:hint="eastAsia" w:ascii="宋体" w:hAnsi="宋体"/>
                <w:color w:val="auto"/>
              </w:rPr>
            </w:pPr>
          </w:p>
        </w:tc>
        <w:tc>
          <w:tcPr>
            <w:tcW w:w="634" w:type="pct"/>
            <w:vAlign w:val="center"/>
          </w:tcPr>
          <w:p w14:paraId="331EE024">
            <w:pPr>
              <w:jc w:val="center"/>
              <w:rPr>
                <w:rFonts w:hint="eastAsia" w:ascii="宋体" w:hAnsi="宋体"/>
                <w:color w:val="auto"/>
              </w:rPr>
            </w:pPr>
            <w:r>
              <w:rPr>
                <w:rFonts w:hint="eastAsia" w:ascii="宋体" w:hAnsi="宋体"/>
                <w:color w:val="auto"/>
              </w:rPr>
              <w:t>铅</w:t>
            </w:r>
          </w:p>
        </w:tc>
        <w:tc>
          <w:tcPr>
            <w:tcW w:w="473" w:type="pct"/>
            <w:tcBorders>
              <w:right w:val="single" w:color="auto" w:sz="4" w:space="0"/>
            </w:tcBorders>
            <w:vAlign w:val="center"/>
          </w:tcPr>
          <w:p w14:paraId="42898631">
            <w:pPr>
              <w:jc w:val="center"/>
              <w:rPr>
                <w:rFonts w:hint="eastAsia" w:ascii="宋体" w:hAnsi="宋体"/>
                <w:color w:val="auto"/>
              </w:rPr>
            </w:pPr>
            <w:r>
              <w:rPr>
                <w:rFonts w:hint="eastAsia" w:ascii="宋体" w:hAnsi="宋体"/>
                <w:color w:val="auto"/>
              </w:rPr>
              <w:t>3</w:t>
            </w:r>
            <w:r>
              <w:rPr>
                <w:rFonts w:ascii="宋体" w:hAnsi="宋体"/>
                <w:color w:val="auto"/>
              </w:rPr>
              <w:t>7</w:t>
            </w:r>
          </w:p>
        </w:tc>
        <w:tc>
          <w:tcPr>
            <w:tcW w:w="637" w:type="pct"/>
            <w:tcBorders>
              <w:left w:val="single" w:color="auto" w:sz="4" w:space="0"/>
            </w:tcBorders>
            <w:vAlign w:val="center"/>
          </w:tcPr>
          <w:p w14:paraId="30EDD9B9">
            <w:pPr>
              <w:jc w:val="center"/>
              <w:rPr>
                <w:rFonts w:hint="eastAsia" w:ascii="宋体" w:hAnsi="宋体"/>
                <w:color w:val="auto"/>
              </w:rPr>
            </w:pPr>
            <w:r>
              <w:rPr>
                <w:rFonts w:ascii="宋体" w:hAnsi="宋体"/>
                <w:color w:val="auto"/>
              </w:rPr>
              <w:t>0.0463</w:t>
            </w:r>
          </w:p>
        </w:tc>
        <w:tc>
          <w:tcPr>
            <w:tcW w:w="634" w:type="pct"/>
            <w:tcBorders>
              <w:right w:val="single" w:color="auto" w:sz="4" w:space="0"/>
            </w:tcBorders>
            <w:vAlign w:val="center"/>
          </w:tcPr>
          <w:p w14:paraId="2FC65278">
            <w:pPr>
              <w:jc w:val="center"/>
              <w:rPr>
                <w:rFonts w:hint="eastAsia" w:ascii="宋体" w:hAnsi="宋体"/>
                <w:color w:val="auto"/>
              </w:rPr>
            </w:pPr>
            <w:r>
              <w:rPr>
                <w:rFonts w:hint="eastAsia" w:ascii="宋体" w:hAnsi="宋体"/>
                <w:color w:val="auto"/>
              </w:rPr>
              <w:t>3</w:t>
            </w:r>
            <w:r>
              <w:rPr>
                <w:rFonts w:ascii="宋体" w:hAnsi="宋体"/>
                <w:color w:val="auto"/>
              </w:rPr>
              <w:t>4</w:t>
            </w:r>
          </w:p>
        </w:tc>
        <w:tc>
          <w:tcPr>
            <w:tcW w:w="635" w:type="pct"/>
            <w:tcBorders>
              <w:left w:val="single" w:color="auto" w:sz="4" w:space="0"/>
            </w:tcBorders>
            <w:vAlign w:val="center"/>
          </w:tcPr>
          <w:p w14:paraId="66568B46">
            <w:pPr>
              <w:jc w:val="center"/>
              <w:rPr>
                <w:rFonts w:hint="eastAsia" w:ascii="宋体" w:hAnsi="宋体"/>
                <w:color w:val="auto"/>
              </w:rPr>
            </w:pPr>
            <w:r>
              <w:rPr>
                <w:rFonts w:ascii="宋体" w:hAnsi="宋体"/>
                <w:color w:val="auto"/>
              </w:rPr>
              <w:t>0.0425</w:t>
            </w:r>
          </w:p>
        </w:tc>
        <w:tc>
          <w:tcPr>
            <w:tcW w:w="554" w:type="pct"/>
            <w:tcBorders>
              <w:right w:val="single" w:color="auto" w:sz="4" w:space="0"/>
            </w:tcBorders>
            <w:vAlign w:val="center"/>
          </w:tcPr>
          <w:p w14:paraId="2129F9C9">
            <w:pPr>
              <w:jc w:val="center"/>
              <w:rPr>
                <w:rFonts w:hint="eastAsia" w:ascii="宋体" w:hAnsi="宋体"/>
                <w:color w:val="auto"/>
              </w:rPr>
            </w:pPr>
            <w:r>
              <w:rPr>
                <w:rFonts w:hint="eastAsia" w:ascii="宋体" w:hAnsi="宋体"/>
                <w:color w:val="auto"/>
              </w:rPr>
              <w:t>3</w:t>
            </w:r>
            <w:r>
              <w:rPr>
                <w:rFonts w:ascii="宋体" w:hAnsi="宋体"/>
                <w:color w:val="auto"/>
              </w:rPr>
              <w:t>7</w:t>
            </w:r>
          </w:p>
        </w:tc>
        <w:tc>
          <w:tcPr>
            <w:tcW w:w="635" w:type="pct"/>
            <w:tcBorders>
              <w:left w:val="single" w:color="auto" w:sz="4" w:space="0"/>
            </w:tcBorders>
            <w:vAlign w:val="center"/>
          </w:tcPr>
          <w:p w14:paraId="62606970">
            <w:pPr>
              <w:jc w:val="center"/>
              <w:rPr>
                <w:rFonts w:hint="eastAsia" w:ascii="宋体" w:hAnsi="宋体"/>
                <w:color w:val="auto"/>
              </w:rPr>
            </w:pPr>
            <w:r>
              <w:rPr>
                <w:rFonts w:hint="eastAsia" w:ascii="宋体" w:hAnsi="宋体"/>
                <w:color w:val="auto"/>
              </w:rPr>
              <w:t>0.0463</w:t>
            </w:r>
          </w:p>
        </w:tc>
        <w:tc>
          <w:tcPr>
            <w:tcW w:w="420" w:type="pct"/>
            <w:vAlign w:val="center"/>
          </w:tcPr>
          <w:p w14:paraId="27B9CA3A">
            <w:pPr>
              <w:jc w:val="center"/>
              <w:rPr>
                <w:rFonts w:hint="eastAsia" w:ascii="宋体" w:hAnsi="宋体"/>
                <w:color w:val="auto"/>
              </w:rPr>
            </w:pPr>
            <w:r>
              <w:rPr>
                <w:rFonts w:hint="eastAsia" w:ascii="宋体" w:hAnsi="宋体"/>
                <w:color w:val="auto"/>
              </w:rPr>
              <w:t>达标</w:t>
            </w:r>
          </w:p>
        </w:tc>
      </w:tr>
      <w:tr w14:paraId="7AC66E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31A0C4EF">
            <w:pPr>
              <w:jc w:val="center"/>
              <w:rPr>
                <w:rFonts w:hint="eastAsia" w:ascii="宋体" w:hAnsi="宋体"/>
                <w:color w:val="auto"/>
              </w:rPr>
            </w:pPr>
          </w:p>
        </w:tc>
        <w:tc>
          <w:tcPr>
            <w:tcW w:w="634" w:type="pct"/>
            <w:vAlign w:val="center"/>
          </w:tcPr>
          <w:p w14:paraId="7FAFE088">
            <w:pPr>
              <w:jc w:val="center"/>
              <w:rPr>
                <w:rFonts w:hint="eastAsia" w:ascii="宋体" w:hAnsi="宋体"/>
                <w:color w:val="auto"/>
              </w:rPr>
            </w:pPr>
            <w:r>
              <w:rPr>
                <w:rFonts w:hint="eastAsia" w:ascii="宋体" w:hAnsi="宋体"/>
                <w:color w:val="auto"/>
              </w:rPr>
              <w:t>汞</w:t>
            </w:r>
          </w:p>
        </w:tc>
        <w:tc>
          <w:tcPr>
            <w:tcW w:w="473" w:type="pct"/>
            <w:tcBorders>
              <w:right w:val="single" w:color="auto" w:sz="4" w:space="0"/>
            </w:tcBorders>
            <w:vAlign w:val="center"/>
          </w:tcPr>
          <w:p w14:paraId="1945CE33">
            <w:pPr>
              <w:jc w:val="center"/>
              <w:rPr>
                <w:rFonts w:hint="eastAsia" w:ascii="宋体" w:hAnsi="宋体"/>
                <w:color w:val="auto"/>
              </w:rPr>
            </w:pPr>
            <w:r>
              <w:rPr>
                <w:rFonts w:hint="eastAsia" w:ascii="宋体" w:hAnsi="宋体"/>
                <w:color w:val="auto"/>
              </w:rPr>
              <w:t>0</w:t>
            </w:r>
            <w:r>
              <w:rPr>
                <w:rFonts w:ascii="宋体" w:hAnsi="宋体"/>
                <w:color w:val="auto"/>
              </w:rPr>
              <w:t>.121</w:t>
            </w:r>
          </w:p>
        </w:tc>
        <w:tc>
          <w:tcPr>
            <w:tcW w:w="637" w:type="pct"/>
            <w:tcBorders>
              <w:left w:val="single" w:color="auto" w:sz="4" w:space="0"/>
            </w:tcBorders>
            <w:vAlign w:val="center"/>
          </w:tcPr>
          <w:p w14:paraId="260439B2">
            <w:pPr>
              <w:jc w:val="center"/>
              <w:rPr>
                <w:rFonts w:hint="eastAsia" w:ascii="宋体" w:hAnsi="宋体"/>
                <w:color w:val="auto"/>
              </w:rPr>
            </w:pPr>
            <w:r>
              <w:rPr>
                <w:rFonts w:ascii="宋体" w:hAnsi="宋体"/>
                <w:color w:val="auto"/>
              </w:rPr>
              <w:t>0.0032</w:t>
            </w:r>
          </w:p>
        </w:tc>
        <w:tc>
          <w:tcPr>
            <w:tcW w:w="634" w:type="pct"/>
            <w:tcBorders>
              <w:right w:val="single" w:color="auto" w:sz="4" w:space="0"/>
            </w:tcBorders>
            <w:vAlign w:val="center"/>
          </w:tcPr>
          <w:p w14:paraId="0B2619DD">
            <w:pPr>
              <w:jc w:val="center"/>
              <w:rPr>
                <w:rFonts w:hint="eastAsia" w:ascii="宋体" w:hAnsi="宋体"/>
                <w:color w:val="auto"/>
              </w:rPr>
            </w:pPr>
            <w:r>
              <w:rPr>
                <w:rFonts w:hint="eastAsia" w:ascii="宋体" w:hAnsi="宋体"/>
                <w:color w:val="auto"/>
              </w:rPr>
              <w:t>0</w:t>
            </w:r>
            <w:r>
              <w:rPr>
                <w:rFonts w:ascii="宋体" w:hAnsi="宋体"/>
                <w:color w:val="auto"/>
              </w:rPr>
              <w:t>.121</w:t>
            </w:r>
          </w:p>
        </w:tc>
        <w:tc>
          <w:tcPr>
            <w:tcW w:w="635" w:type="pct"/>
            <w:tcBorders>
              <w:left w:val="single" w:color="auto" w:sz="4" w:space="0"/>
            </w:tcBorders>
            <w:vAlign w:val="center"/>
          </w:tcPr>
          <w:p w14:paraId="4FBAEF9A">
            <w:pPr>
              <w:jc w:val="center"/>
              <w:rPr>
                <w:rFonts w:hint="eastAsia" w:ascii="宋体" w:hAnsi="宋体"/>
                <w:color w:val="auto"/>
              </w:rPr>
            </w:pPr>
            <w:r>
              <w:rPr>
                <w:rFonts w:ascii="宋体" w:hAnsi="宋体"/>
                <w:color w:val="auto"/>
              </w:rPr>
              <w:t>0.0032</w:t>
            </w:r>
          </w:p>
        </w:tc>
        <w:tc>
          <w:tcPr>
            <w:tcW w:w="554" w:type="pct"/>
            <w:tcBorders>
              <w:right w:val="single" w:color="auto" w:sz="4" w:space="0"/>
            </w:tcBorders>
            <w:vAlign w:val="center"/>
          </w:tcPr>
          <w:p w14:paraId="5186C940">
            <w:pPr>
              <w:jc w:val="center"/>
              <w:rPr>
                <w:rFonts w:hint="eastAsia" w:ascii="宋体" w:hAnsi="宋体"/>
                <w:color w:val="auto"/>
              </w:rPr>
            </w:pPr>
            <w:r>
              <w:rPr>
                <w:rFonts w:hint="eastAsia" w:ascii="宋体" w:hAnsi="宋体"/>
                <w:color w:val="auto"/>
              </w:rPr>
              <w:t>0</w:t>
            </w:r>
            <w:r>
              <w:rPr>
                <w:rFonts w:ascii="宋体" w:hAnsi="宋体"/>
                <w:color w:val="auto"/>
              </w:rPr>
              <w:t>.129</w:t>
            </w:r>
          </w:p>
        </w:tc>
        <w:tc>
          <w:tcPr>
            <w:tcW w:w="635" w:type="pct"/>
            <w:tcBorders>
              <w:left w:val="single" w:color="auto" w:sz="4" w:space="0"/>
            </w:tcBorders>
            <w:vAlign w:val="center"/>
          </w:tcPr>
          <w:p w14:paraId="3AE38214">
            <w:pPr>
              <w:jc w:val="center"/>
              <w:rPr>
                <w:rFonts w:hint="eastAsia" w:ascii="宋体" w:hAnsi="宋体"/>
                <w:color w:val="auto"/>
              </w:rPr>
            </w:pPr>
            <w:r>
              <w:rPr>
                <w:rFonts w:hint="eastAsia" w:ascii="宋体" w:hAnsi="宋体"/>
                <w:color w:val="auto"/>
              </w:rPr>
              <w:t>0.0034</w:t>
            </w:r>
          </w:p>
        </w:tc>
        <w:tc>
          <w:tcPr>
            <w:tcW w:w="420" w:type="pct"/>
            <w:vAlign w:val="center"/>
          </w:tcPr>
          <w:p w14:paraId="45020D56">
            <w:pPr>
              <w:jc w:val="center"/>
              <w:rPr>
                <w:rFonts w:hint="eastAsia" w:ascii="宋体" w:hAnsi="宋体"/>
                <w:color w:val="auto"/>
              </w:rPr>
            </w:pPr>
            <w:r>
              <w:rPr>
                <w:rFonts w:hint="eastAsia" w:ascii="宋体" w:hAnsi="宋体"/>
                <w:color w:val="auto"/>
              </w:rPr>
              <w:t>达标</w:t>
            </w:r>
          </w:p>
        </w:tc>
      </w:tr>
      <w:tr w14:paraId="77AF05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378" w:type="pct"/>
            <w:vMerge w:val="continue"/>
            <w:vAlign w:val="center"/>
          </w:tcPr>
          <w:p w14:paraId="2987A27E">
            <w:pPr>
              <w:jc w:val="center"/>
              <w:rPr>
                <w:rFonts w:hint="eastAsia" w:ascii="宋体" w:hAnsi="宋体"/>
                <w:color w:val="auto"/>
              </w:rPr>
            </w:pPr>
          </w:p>
        </w:tc>
        <w:tc>
          <w:tcPr>
            <w:tcW w:w="634" w:type="pct"/>
            <w:vAlign w:val="center"/>
          </w:tcPr>
          <w:p w14:paraId="53719383">
            <w:pPr>
              <w:jc w:val="center"/>
              <w:rPr>
                <w:rFonts w:hint="eastAsia" w:ascii="宋体" w:hAnsi="宋体"/>
                <w:color w:val="auto"/>
              </w:rPr>
            </w:pPr>
            <w:r>
              <w:rPr>
                <w:rFonts w:hint="eastAsia" w:ascii="宋体" w:hAnsi="宋体"/>
                <w:color w:val="auto"/>
              </w:rPr>
              <w:t>砷</w:t>
            </w:r>
          </w:p>
        </w:tc>
        <w:tc>
          <w:tcPr>
            <w:tcW w:w="473" w:type="pct"/>
            <w:tcBorders>
              <w:right w:val="single" w:color="auto" w:sz="4" w:space="0"/>
            </w:tcBorders>
            <w:vAlign w:val="center"/>
          </w:tcPr>
          <w:p w14:paraId="4734FD54">
            <w:pPr>
              <w:jc w:val="center"/>
              <w:rPr>
                <w:rFonts w:hint="eastAsia" w:ascii="宋体" w:hAnsi="宋体"/>
                <w:color w:val="auto"/>
              </w:rPr>
            </w:pPr>
            <w:r>
              <w:rPr>
                <w:rFonts w:hint="eastAsia" w:ascii="宋体" w:hAnsi="宋体"/>
                <w:color w:val="auto"/>
              </w:rPr>
              <w:t>5</w:t>
            </w:r>
            <w:r>
              <w:rPr>
                <w:rFonts w:ascii="宋体" w:hAnsi="宋体"/>
                <w:color w:val="auto"/>
              </w:rPr>
              <w:t>.97</w:t>
            </w:r>
          </w:p>
        </w:tc>
        <w:tc>
          <w:tcPr>
            <w:tcW w:w="637" w:type="pct"/>
            <w:tcBorders>
              <w:left w:val="single" w:color="auto" w:sz="4" w:space="0"/>
            </w:tcBorders>
            <w:vAlign w:val="center"/>
          </w:tcPr>
          <w:p w14:paraId="56E75934">
            <w:pPr>
              <w:jc w:val="center"/>
              <w:rPr>
                <w:rFonts w:hint="eastAsia" w:ascii="宋体" w:hAnsi="宋体"/>
                <w:color w:val="auto"/>
              </w:rPr>
            </w:pPr>
            <w:r>
              <w:rPr>
                <w:rFonts w:ascii="宋体" w:hAnsi="宋体"/>
                <w:color w:val="auto"/>
              </w:rPr>
              <w:t>0.0995</w:t>
            </w:r>
          </w:p>
        </w:tc>
        <w:tc>
          <w:tcPr>
            <w:tcW w:w="634" w:type="pct"/>
            <w:tcBorders>
              <w:right w:val="single" w:color="auto" w:sz="4" w:space="0"/>
            </w:tcBorders>
            <w:vAlign w:val="center"/>
          </w:tcPr>
          <w:p w14:paraId="045609FE">
            <w:pPr>
              <w:jc w:val="center"/>
              <w:rPr>
                <w:rFonts w:hint="eastAsia" w:ascii="宋体" w:hAnsi="宋体"/>
                <w:color w:val="auto"/>
              </w:rPr>
            </w:pPr>
            <w:r>
              <w:rPr>
                <w:rFonts w:hint="eastAsia" w:ascii="宋体" w:hAnsi="宋体"/>
                <w:color w:val="auto"/>
              </w:rPr>
              <w:t>5</w:t>
            </w:r>
            <w:r>
              <w:rPr>
                <w:rFonts w:ascii="宋体" w:hAnsi="宋体"/>
                <w:color w:val="auto"/>
              </w:rPr>
              <w:t>.86</w:t>
            </w:r>
          </w:p>
        </w:tc>
        <w:tc>
          <w:tcPr>
            <w:tcW w:w="635" w:type="pct"/>
            <w:tcBorders>
              <w:left w:val="single" w:color="auto" w:sz="4" w:space="0"/>
            </w:tcBorders>
            <w:vAlign w:val="center"/>
          </w:tcPr>
          <w:p w14:paraId="73CA108A">
            <w:pPr>
              <w:jc w:val="center"/>
              <w:rPr>
                <w:rFonts w:hint="eastAsia" w:ascii="宋体" w:hAnsi="宋体"/>
                <w:color w:val="auto"/>
              </w:rPr>
            </w:pPr>
            <w:r>
              <w:rPr>
                <w:rFonts w:ascii="宋体" w:hAnsi="宋体"/>
                <w:color w:val="auto"/>
              </w:rPr>
              <w:t>0.0977</w:t>
            </w:r>
          </w:p>
        </w:tc>
        <w:tc>
          <w:tcPr>
            <w:tcW w:w="554" w:type="pct"/>
            <w:tcBorders>
              <w:right w:val="single" w:color="auto" w:sz="4" w:space="0"/>
            </w:tcBorders>
            <w:vAlign w:val="center"/>
          </w:tcPr>
          <w:p w14:paraId="29E971F9">
            <w:pPr>
              <w:jc w:val="center"/>
              <w:rPr>
                <w:rFonts w:hint="eastAsia" w:ascii="宋体" w:hAnsi="宋体"/>
                <w:color w:val="auto"/>
              </w:rPr>
            </w:pPr>
            <w:r>
              <w:rPr>
                <w:rFonts w:hint="eastAsia" w:ascii="宋体" w:hAnsi="宋体"/>
                <w:color w:val="auto"/>
              </w:rPr>
              <w:t>5</w:t>
            </w:r>
            <w:r>
              <w:rPr>
                <w:rFonts w:ascii="宋体" w:hAnsi="宋体"/>
                <w:color w:val="auto"/>
              </w:rPr>
              <w:t>.97</w:t>
            </w:r>
          </w:p>
        </w:tc>
        <w:tc>
          <w:tcPr>
            <w:tcW w:w="635" w:type="pct"/>
            <w:tcBorders>
              <w:left w:val="single" w:color="auto" w:sz="4" w:space="0"/>
            </w:tcBorders>
            <w:vAlign w:val="center"/>
          </w:tcPr>
          <w:p w14:paraId="7BC63066">
            <w:pPr>
              <w:jc w:val="center"/>
              <w:rPr>
                <w:rFonts w:hint="eastAsia" w:ascii="宋体" w:hAnsi="宋体"/>
                <w:color w:val="auto"/>
              </w:rPr>
            </w:pPr>
            <w:r>
              <w:rPr>
                <w:rFonts w:hint="eastAsia" w:ascii="宋体" w:hAnsi="宋体"/>
                <w:color w:val="auto"/>
              </w:rPr>
              <w:t>0.0995</w:t>
            </w:r>
          </w:p>
        </w:tc>
        <w:tc>
          <w:tcPr>
            <w:tcW w:w="420" w:type="pct"/>
            <w:vAlign w:val="center"/>
          </w:tcPr>
          <w:p w14:paraId="7D3BBC2D">
            <w:pPr>
              <w:jc w:val="center"/>
              <w:rPr>
                <w:rFonts w:hint="eastAsia" w:ascii="宋体" w:hAnsi="宋体"/>
                <w:color w:val="auto"/>
              </w:rPr>
            </w:pPr>
            <w:r>
              <w:rPr>
                <w:rFonts w:hint="eastAsia" w:ascii="宋体" w:hAnsi="宋体"/>
                <w:color w:val="auto"/>
              </w:rPr>
              <w:t>达标</w:t>
            </w:r>
          </w:p>
        </w:tc>
      </w:tr>
      <w:bookmarkEnd w:id="710"/>
    </w:tbl>
    <w:p w14:paraId="107C9D40">
      <w:pPr>
        <w:pStyle w:val="86"/>
        <w:adjustRightInd w:val="0"/>
        <w:snapToGrid w:val="0"/>
        <w:ind w:firstLine="480"/>
        <w:rPr>
          <w:rFonts w:hint="eastAsia"/>
          <w:color w:val="auto"/>
        </w:rPr>
      </w:pPr>
      <w:r>
        <w:rPr>
          <w:rFonts w:hint="eastAsia"/>
          <w:color w:val="auto"/>
        </w:rPr>
        <w:t>本次类比的石西油田作业区石南</w:t>
      </w:r>
      <w:r>
        <w:rPr>
          <w:color w:val="auto"/>
        </w:rPr>
        <w:t>4原油转输管线</w:t>
      </w:r>
      <w:r>
        <w:rPr>
          <w:rFonts w:hint="eastAsia"/>
          <w:color w:val="auto"/>
        </w:rPr>
        <w:t>已发生过数</w:t>
      </w:r>
      <w:r>
        <w:rPr>
          <w:color w:val="auto"/>
        </w:rPr>
        <w:t>次泄漏事故，</w:t>
      </w:r>
      <w:r>
        <w:rPr>
          <w:rFonts w:hint="eastAsia"/>
          <w:color w:val="auto"/>
        </w:rPr>
        <w:t>表</w:t>
      </w:r>
      <w:r>
        <w:rPr>
          <w:color w:val="auto"/>
        </w:rPr>
        <w:t>5.2</w:t>
      </w:r>
      <w:r>
        <w:rPr>
          <w:rFonts w:hint="eastAsia"/>
          <w:color w:val="auto"/>
        </w:rPr>
        <w:t>-11中3个监测点均为位于发生过原油泄漏并进行过应急处置的管段沿线的柱状样监测点，表5.2-11</w:t>
      </w:r>
      <w:r>
        <w:rPr>
          <w:color w:val="auto"/>
        </w:rPr>
        <w:t>监测数据表明，发生过泄漏事件的管段土壤环境质量</w:t>
      </w:r>
      <w:r>
        <w:rPr>
          <w:rFonts w:hint="eastAsia"/>
          <w:color w:val="auto"/>
        </w:rPr>
        <w:t>监测的柱状样点石油烃（</w:t>
      </w:r>
      <w:r>
        <w:rPr>
          <w:color w:val="auto"/>
        </w:rPr>
        <w:t>C10～C40</w:t>
      </w:r>
      <w:r>
        <w:rPr>
          <w:rFonts w:hint="eastAsia"/>
          <w:color w:val="auto"/>
        </w:rPr>
        <w:t>）</w:t>
      </w:r>
      <w:r>
        <w:rPr>
          <w:color w:val="auto"/>
        </w:rPr>
        <w:t>均满足《土壤环境质量  建设用地土壤污染风险管控标准（试行）》（GB36600-2018）中第二类用地筛选值要求，说明</w:t>
      </w:r>
      <w:r>
        <w:rPr>
          <w:rFonts w:hint="eastAsia"/>
          <w:color w:val="auto"/>
        </w:rPr>
        <w:t>输油管线泄漏应急处置措施有效，应急处置措施具体如下：当发生管线泄漏后，快速做出响应，</w:t>
      </w:r>
      <w:r>
        <w:rPr>
          <w:color w:val="auto"/>
        </w:rPr>
        <w:t>关闭采油管线物料来源</w:t>
      </w:r>
      <w:r>
        <w:rPr>
          <w:rFonts w:hint="eastAsia"/>
          <w:color w:val="auto"/>
        </w:rPr>
        <w:t>，挖出管线破点，可回收原油</w:t>
      </w:r>
      <w:r>
        <w:rPr>
          <w:color w:val="auto"/>
        </w:rPr>
        <w:t>回收至</w:t>
      </w:r>
      <w:r>
        <w:rPr>
          <w:rFonts w:hint="eastAsia"/>
          <w:color w:val="auto"/>
        </w:rPr>
        <w:t>处理站</w:t>
      </w:r>
      <w:r>
        <w:rPr>
          <w:color w:val="auto"/>
        </w:rPr>
        <w:t>原油处理系统；采用管卡对</w:t>
      </w:r>
      <w:r>
        <w:rPr>
          <w:rFonts w:hint="eastAsia"/>
          <w:color w:val="auto"/>
        </w:rPr>
        <w:t>管线</w:t>
      </w:r>
      <w:r>
        <w:rPr>
          <w:color w:val="auto"/>
        </w:rPr>
        <w:t>破点进行修复，挖出的含油污泥</w:t>
      </w:r>
      <w:r>
        <w:rPr>
          <w:rFonts w:hint="eastAsia"/>
          <w:color w:val="auto"/>
        </w:rPr>
        <w:t>全部清理，交由具有相应危废处置资质的单位负责接收、转运和处置。应急处理完成后，用外购砂土回填管沟。</w:t>
      </w:r>
    </w:p>
    <w:p w14:paraId="17A95587">
      <w:pPr>
        <w:pStyle w:val="86"/>
        <w:adjustRightInd w:val="0"/>
        <w:snapToGrid w:val="0"/>
        <w:ind w:firstLine="480"/>
        <w:rPr>
          <w:rFonts w:hint="eastAsia"/>
          <w:color w:val="auto"/>
        </w:rPr>
      </w:pPr>
      <w:r>
        <w:rPr>
          <w:rFonts w:hint="eastAsia"/>
          <w:color w:val="auto"/>
        </w:rPr>
        <w:t>本项目管线输送的介质与石南</w:t>
      </w:r>
      <w:r>
        <w:rPr>
          <w:color w:val="auto"/>
        </w:rPr>
        <w:t>4井区已经完成原油泄漏事故治理的管段类似，均为</w:t>
      </w:r>
      <w:r>
        <w:rPr>
          <w:rFonts w:hint="eastAsia"/>
          <w:color w:val="auto"/>
        </w:rPr>
        <w:t>含水原油</w:t>
      </w:r>
      <w:r>
        <w:rPr>
          <w:color w:val="auto"/>
        </w:rPr>
        <w:t>，对土壤的污染途径均为垂直入渗，</w:t>
      </w:r>
      <w:r>
        <w:rPr>
          <w:rFonts w:hint="eastAsia"/>
          <w:color w:val="auto"/>
        </w:rPr>
        <w:t>通过类比分析可知，</w:t>
      </w:r>
      <w:bookmarkStart w:id="713" w:name="_Hlk115195018"/>
      <w:r>
        <w:rPr>
          <w:color w:val="auto"/>
        </w:rPr>
        <w:t>即使</w:t>
      </w:r>
      <w:r>
        <w:rPr>
          <w:rFonts w:hint="eastAsia"/>
          <w:color w:val="auto"/>
        </w:rPr>
        <w:t>本项目</w:t>
      </w:r>
      <w:r>
        <w:rPr>
          <w:color w:val="auto"/>
        </w:rPr>
        <w:t>运营期发生了管线</w:t>
      </w:r>
      <w:r>
        <w:rPr>
          <w:rFonts w:hint="eastAsia"/>
          <w:color w:val="auto"/>
        </w:rPr>
        <w:t>等</w:t>
      </w:r>
      <w:r>
        <w:rPr>
          <w:color w:val="auto"/>
        </w:rPr>
        <w:t>泄漏事故，在继续落实</w:t>
      </w:r>
      <w:r>
        <w:rPr>
          <w:rFonts w:hint="eastAsia"/>
          <w:color w:val="auto"/>
        </w:rPr>
        <w:t>石西油田作业区</w:t>
      </w:r>
      <w:r>
        <w:rPr>
          <w:color w:val="auto"/>
        </w:rPr>
        <w:t>现有应急管理要求，建设单位及时响应，采取应急处置措施</w:t>
      </w:r>
      <w:r>
        <w:rPr>
          <w:rFonts w:hint="eastAsia"/>
          <w:color w:val="auto"/>
        </w:rPr>
        <w:t>封堵泄漏点，并将泄漏污油和含油污泥全部清理</w:t>
      </w:r>
      <w:r>
        <w:rPr>
          <w:color w:val="auto"/>
        </w:rPr>
        <w:t>的情况下，不会对项目区土壤环境产生不良影响</w:t>
      </w:r>
      <w:r>
        <w:rPr>
          <w:rFonts w:hint="eastAsia"/>
          <w:color w:val="auto"/>
        </w:rPr>
        <w:t>。</w:t>
      </w:r>
      <w:bookmarkEnd w:id="713"/>
    </w:p>
    <w:p w14:paraId="5642D523">
      <w:pPr>
        <w:pStyle w:val="86"/>
        <w:adjustRightInd w:val="0"/>
        <w:snapToGrid w:val="0"/>
        <w:ind w:firstLine="480"/>
        <w:rPr>
          <w:rFonts w:hint="eastAsia"/>
          <w:color w:val="auto"/>
        </w:rPr>
      </w:pPr>
      <w:r>
        <w:rPr>
          <w:rFonts w:hint="eastAsia"/>
          <w:color w:val="auto"/>
        </w:rPr>
        <w:t>（2）套管破损泄漏对土壤环境的影响分析</w:t>
      </w:r>
    </w:p>
    <w:p w14:paraId="5CF7894A">
      <w:pPr>
        <w:pStyle w:val="86"/>
        <w:adjustRightInd w:val="0"/>
        <w:snapToGrid w:val="0"/>
        <w:ind w:firstLine="480"/>
        <w:rPr>
          <w:rFonts w:hint="eastAsia"/>
          <w:color w:val="auto"/>
        </w:rPr>
      </w:pPr>
      <w:r>
        <w:rPr>
          <w:rFonts w:hint="eastAsia"/>
          <w:color w:val="auto"/>
        </w:rPr>
        <w:t>若采油井固井质量不合格，油井套管破裂，发生井漏，石油类污染物有可能通过破裂的套管附近的孔隙、裂隙径流渗漏对周围土壤环境产生一定的影响。为防止套管破损污染周围土壤，对采油井的套管进行定期维护，定期检查固井质量，保证其合格，若发现固井质量不合格以及套管破损的情况后，及时进行修复，尽量避免套管破损对周围土壤环境产生影响。</w:t>
      </w:r>
    </w:p>
    <w:bookmarkEnd w:id="708"/>
    <w:p w14:paraId="1F5AB31A">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运营期生态环境影响分析</w:t>
      </w:r>
    </w:p>
    <w:p w14:paraId="7595B067">
      <w:pPr>
        <w:pStyle w:val="86"/>
        <w:adjustRightInd w:val="0"/>
        <w:snapToGrid w:val="0"/>
        <w:ind w:firstLine="480"/>
        <w:rPr>
          <w:rFonts w:hint="eastAsia"/>
          <w:color w:val="auto"/>
        </w:rPr>
      </w:pPr>
      <w:bookmarkStart w:id="714" w:name="_Hlk80202844"/>
      <w:r>
        <w:rPr>
          <w:rFonts w:hint="eastAsia"/>
          <w:color w:val="auto"/>
        </w:rPr>
        <w:t>运营期不新增占地，临时占地正在进行自然恢复。随着施工人员撤离作业区域，人类活动和占地都将减少，野生动物对新环境适应后的活动和分布范围将恢复。运营期间正常的巡检等活动也会对野生动物的生存及栖息造成影响，石西油田作业区应加强对环境保护的宣传工作，员工的环保意识，特别是对野生动物的保护意识不断加强，对野生动物不会产生太大影响。</w:t>
      </w:r>
    </w:p>
    <w:bookmarkEnd w:id="714"/>
    <w:p w14:paraId="0A9D55F5">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715" w:name="_Toc224406019"/>
      <w:r>
        <w:rPr>
          <w:rFonts w:hint="eastAsia" w:ascii="黑体" w:hAnsi="黑体" w:eastAsia="黑体" w:cs="Times New Roman"/>
          <w:bCs/>
          <w:color w:val="auto"/>
          <w:sz w:val="28"/>
          <w:szCs w:val="32"/>
          <w14:ligatures w14:val="none"/>
        </w:rPr>
        <w:t>退役期</w:t>
      </w:r>
      <w:r>
        <w:rPr>
          <w:rFonts w:ascii="黑体" w:hAnsi="黑体" w:eastAsia="黑体" w:cs="Times New Roman"/>
          <w:bCs/>
          <w:color w:val="auto"/>
          <w:sz w:val="28"/>
          <w:szCs w:val="32"/>
          <w14:ligatures w14:val="none"/>
        </w:rPr>
        <w:t>影响分析</w:t>
      </w:r>
      <w:bookmarkEnd w:id="705"/>
      <w:bookmarkEnd w:id="706"/>
      <w:bookmarkEnd w:id="707"/>
      <w:bookmarkEnd w:id="715"/>
    </w:p>
    <w:p w14:paraId="50F75944">
      <w:pPr>
        <w:pStyle w:val="86"/>
        <w:ind w:firstLine="480"/>
        <w:rPr>
          <w:rFonts w:hint="eastAsia"/>
          <w:color w:val="auto"/>
        </w:rPr>
      </w:pPr>
      <w:r>
        <w:rPr>
          <w:rFonts w:hint="eastAsia"/>
          <w:color w:val="auto"/>
        </w:rPr>
        <w:t>退役期内，各种机械设备停用，工作人员陆续撤离，大气污染物、废水、噪声及固体废物等对环境的影响将会逐步消失。</w:t>
      </w:r>
    </w:p>
    <w:p w14:paraId="3C28678F">
      <w:pPr>
        <w:pStyle w:val="86"/>
        <w:ind w:firstLine="480"/>
        <w:rPr>
          <w:rFonts w:hint="eastAsia"/>
          <w:color w:val="auto"/>
        </w:rPr>
      </w:pPr>
      <w:r>
        <w:rPr>
          <w:rFonts w:hint="eastAsia"/>
          <w:color w:val="auto"/>
        </w:rPr>
        <w:t>退役期的清理工作包括地面设施拆除、地下截去至少</w:t>
      </w:r>
      <w:r>
        <w:rPr>
          <w:color w:val="auto"/>
        </w:rPr>
        <w:t>1m的井筒并用水泥灌注封井、井场清理等。在</w:t>
      </w:r>
      <w:r>
        <w:rPr>
          <w:rFonts w:hint="eastAsia"/>
          <w:color w:val="auto"/>
        </w:rPr>
        <w:t>此过程中</w:t>
      </w:r>
      <w:r>
        <w:rPr>
          <w:color w:val="auto"/>
        </w:rPr>
        <w:t>，将会产生少量扬尘</w:t>
      </w:r>
      <w:r>
        <w:rPr>
          <w:rFonts w:hint="eastAsia"/>
          <w:color w:val="auto"/>
        </w:rPr>
        <w:t>、</w:t>
      </w:r>
      <w:r>
        <w:rPr>
          <w:color w:val="auto"/>
        </w:rPr>
        <w:t>部分废弃管线</w:t>
      </w:r>
      <w:r>
        <w:rPr>
          <w:rFonts w:hint="eastAsia"/>
          <w:color w:val="auto"/>
        </w:rPr>
        <w:t>和</w:t>
      </w:r>
      <w:r>
        <w:rPr>
          <w:color w:val="auto"/>
        </w:rPr>
        <w:t>废弃建筑残渣等固体废物，对这些废弃管线、残渣等进行集中清理收集，管线外运经清洗后可回收再利用，废弃建筑残渣运至</w:t>
      </w:r>
      <w:r>
        <w:rPr>
          <w:rFonts w:hint="eastAsia"/>
          <w:color w:val="auto"/>
        </w:rPr>
        <w:t>当地建筑垃圾填埋场处理</w:t>
      </w:r>
      <w:r>
        <w:rPr>
          <w:color w:val="auto"/>
        </w:rPr>
        <w:t>。固体废物的妥善处理，可以有效控制对区域环境的影响。</w:t>
      </w:r>
    </w:p>
    <w:p w14:paraId="7519BB54">
      <w:pPr>
        <w:pStyle w:val="86"/>
        <w:ind w:firstLine="480"/>
        <w:rPr>
          <w:rFonts w:hint="eastAsia"/>
          <w:color w:val="auto"/>
        </w:rPr>
      </w:pPr>
      <w:bookmarkStart w:id="716" w:name="_Hlk15397807"/>
      <w:r>
        <w:rPr>
          <w:rFonts w:hint="eastAsia"/>
          <w:color w:val="auto"/>
        </w:rPr>
        <w:t>退役期各采油井均使用水泥灌注进行封井，将井筒与地下水含水层彻底隔离，有效避免了污染物进入地下水含水层造成水质污染，退役期对地下水环境没有不良影响。</w:t>
      </w:r>
      <w:bookmarkEnd w:id="716"/>
    </w:p>
    <w:p w14:paraId="7734724F">
      <w:pPr>
        <w:pStyle w:val="86"/>
        <w:ind w:firstLine="480"/>
        <w:rPr>
          <w:rFonts w:hint="eastAsia"/>
          <w:color w:val="auto"/>
        </w:rPr>
      </w:pPr>
      <w:r>
        <w:rPr>
          <w:rFonts w:hint="eastAsia"/>
          <w:color w:val="auto"/>
        </w:rPr>
        <w:t>井场经过清理后，永久性占地范围内的水泥平台被清理，人员撤离，区域内没有了人为的扰动，站场及其他占地范围内的自然植被会逐渐得以恢复，有助于区域生态环境的改善。</w:t>
      </w:r>
    </w:p>
    <w:p w14:paraId="32123703">
      <w:pPr>
        <w:pStyle w:val="86"/>
        <w:ind w:firstLine="480"/>
        <w:rPr>
          <w:rFonts w:hint="eastAsia"/>
          <w:color w:val="auto"/>
        </w:rPr>
      </w:pPr>
      <w:bookmarkStart w:id="717" w:name="_Hlk165561232"/>
      <w:r>
        <w:rPr>
          <w:rFonts w:hint="eastAsia"/>
          <w:color w:val="auto"/>
        </w:rPr>
        <w:t>为减少管线开挖造成的二次生态破坏，退役期内单井采油管线将管线清扫确保管线内无残留采出物，管线两端使用盲板封堵，清扫过程中会产生少量的废水，集中收集后送至莫北转油站采出水处理系统进行处理，处理达标后回注地层，不外排</w:t>
      </w:r>
      <w:bookmarkEnd w:id="717"/>
      <w:r>
        <w:rPr>
          <w:rFonts w:hint="eastAsia"/>
          <w:color w:val="auto"/>
        </w:rPr>
        <w:t>，不会对周围环境产生不利影响。</w:t>
      </w:r>
    </w:p>
    <w:p w14:paraId="7FD540BB">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718" w:name="_Toc224406020"/>
      <w:bookmarkStart w:id="719" w:name="_Toc475624485"/>
      <w:bookmarkStart w:id="720" w:name="_Toc474793590"/>
      <w:r>
        <w:rPr>
          <w:rFonts w:hint="eastAsia" w:ascii="黑体" w:hAnsi="黑体" w:eastAsia="黑体" w:cs="Times New Roman"/>
          <w:bCs/>
          <w:color w:val="auto"/>
          <w:sz w:val="28"/>
          <w:szCs w:val="32"/>
          <w14:ligatures w14:val="none"/>
        </w:rPr>
        <w:t>环境</w:t>
      </w:r>
      <w:r>
        <w:rPr>
          <w:rFonts w:ascii="黑体" w:hAnsi="黑体" w:eastAsia="黑体" w:cs="Times New Roman"/>
          <w:bCs/>
          <w:color w:val="auto"/>
          <w:sz w:val="28"/>
          <w:szCs w:val="32"/>
          <w14:ligatures w14:val="none"/>
        </w:rPr>
        <w:t>风险分析</w:t>
      </w:r>
      <w:bookmarkEnd w:id="718"/>
      <w:bookmarkEnd w:id="719"/>
      <w:bookmarkEnd w:id="720"/>
    </w:p>
    <w:p w14:paraId="3321538D">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评价依据</w:t>
      </w:r>
    </w:p>
    <w:p w14:paraId="208F0764">
      <w:pPr>
        <w:pStyle w:val="86"/>
        <w:ind w:firstLine="480"/>
        <w:rPr>
          <w:rFonts w:hint="eastAsia"/>
          <w:color w:val="auto"/>
        </w:rPr>
      </w:pPr>
      <w:r>
        <w:rPr>
          <w:rFonts w:hint="eastAsia"/>
          <w:color w:val="auto"/>
        </w:rPr>
        <w:t>运营期涉及的风险物质为天然气（包括CNG）和原油，风险单元为单井采油管线、充装区和天然气橇装处理装置，各环境风险单元的危险物质最大在线量与临界量的比值（Q值）计算结果详见表</w:t>
      </w:r>
      <w:r>
        <w:rPr>
          <w:color w:val="auto"/>
        </w:rPr>
        <w:t>5.4</w:t>
      </w:r>
      <w:r>
        <w:rPr>
          <w:rFonts w:hint="eastAsia"/>
          <w:color w:val="auto"/>
        </w:rPr>
        <w:t>-</w:t>
      </w:r>
      <w:r>
        <w:rPr>
          <w:color w:val="auto"/>
        </w:rPr>
        <w:t>1</w:t>
      </w:r>
      <w:r>
        <w:rPr>
          <w:rFonts w:hint="eastAsia"/>
          <w:color w:val="auto"/>
        </w:rPr>
        <w:t>。</w:t>
      </w:r>
      <w:bookmarkStart w:id="721" w:name="_Hlk157857735"/>
    </w:p>
    <w:p w14:paraId="2A1B3F87">
      <w:pPr>
        <w:pStyle w:val="15"/>
        <w:rPr>
          <w:rFonts w:hint="eastAsia"/>
          <w:color w:val="auto"/>
        </w:rPr>
      </w:pPr>
      <w:r>
        <w:rPr>
          <w:rFonts w:hint="eastAsia"/>
          <w:color w:val="auto"/>
        </w:rPr>
        <w:t>表</w:t>
      </w:r>
      <w:r>
        <w:rPr>
          <w:color w:val="auto"/>
        </w:rPr>
        <w:t>5.4</w:t>
      </w:r>
      <w:r>
        <w:rPr>
          <w:rFonts w:hint="eastAsia"/>
          <w:color w:val="auto"/>
        </w:rPr>
        <w:t>-</w:t>
      </w:r>
      <w:r>
        <w:rPr>
          <w:color w:val="auto"/>
        </w:rPr>
        <w:t xml:space="preserve">1  </w:t>
      </w:r>
      <w:r>
        <w:rPr>
          <w:rFonts w:hint="eastAsia"/>
          <w:color w:val="auto"/>
        </w:rPr>
        <w:t>各风险单元Q值一览表</w:t>
      </w:r>
      <w:bookmarkEnd w:id="721"/>
      <w:bookmarkStart w:id="722" w:name="_Toc459026585"/>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87"/>
        <w:gridCol w:w="2296"/>
        <w:gridCol w:w="1233"/>
        <w:gridCol w:w="868"/>
        <w:gridCol w:w="1492"/>
        <w:gridCol w:w="1170"/>
      </w:tblGrid>
      <w:tr w14:paraId="676470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Align w:val="center"/>
          </w:tcPr>
          <w:p w14:paraId="7260DA5C">
            <w:pPr>
              <w:pStyle w:val="296"/>
              <w:spacing w:line="300" w:lineRule="exact"/>
              <w:rPr>
                <w:rFonts w:hint="eastAsia"/>
                <w:color w:val="auto"/>
              </w:rPr>
            </w:pPr>
            <w:bookmarkStart w:id="723" w:name="OLE_LINK52"/>
            <w:r>
              <w:rPr>
                <w:rFonts w:hint="eastAsia"/>
                <w:color w:val="auto"/>
              </w:rPr>
              <w:t>风险单元</w:t>
            </w:r>
          </w:p>
        </w:tc>
        <w:tc>
          <w:tcPr>
            <w:tcW w:w="1283" w:type="pct"/>
            <w:vAlign w:val="center"/>
          </w:tcPr>
          <w:p w14:paraId="08A5DDBB">
            <w:pPr>
              <w:pStyle w:val="296"/>
              <w:spacing w:line="300" w:lineRule="exact"/>
              <w:rPr>
                <w:rFonts w:hint="eastAsia"/>
                <w:color w:val="auto"/>
              </w:rPr>
            </w:pPr>
            <w:r>
              <w:rPr>
                <w:rFonts w:hint="eastAsia"/>
                <w:color w:val="auto"/>
              </w:rPr>
              <w:t>规格</w:t>
            </w:r>
          </w:p>
        </w:tc>
        <w:tc>
          <w:tcPr>
            <w:tcW w:w="1174" w:type="pct"/>
            <w:gridSpan w:val="2"/>
            <w:vAlign w:val="center"/>
          </w:tcPr>
          <w:p w14:paraId="5E380E65">
            <w:pPr>
              <w:pStyle w:val="296"/>
              <w:spacing w:line="300" w:lineRule="exact"/>
              <w:rPr>
                <w:rFonts w:hint="eastAsia"/>
                <w:color w:val="auto"/>
              </w:rPr>
            </w:pPr>
            <w:r>
              <w:rPr>
                <w:rFonts w:hint="eastAsia"/>
                <w:color w:val="auto"/>
              </w:rPr>
              <w:t>风险物质在线量（t）</w:t>
            </w:r>
          </w:p>
        </w:tc>
        <w:tc>
          <w:tcPr>
            <w:tcW w:w="834" w:type="pct"/>
            <w:vAlign w:val="center"/>
          </w:tcPr>
          <w:p w14:paraId="278D3320">
            <w:pPr>
              <w:pStyle w:val="296"/>
              <w:spacing w:line="300" w:lineRule="exact"/>
              <w:rPr>
                <w:rFonts w:hint="eastAsia"/>
                <w:color w:val="auto"/>
              </w:rPr>
            </w:pPr>
            <w:r>
              <w:rPr>
                <w:rFonts w:hint="eastAsia"/>
                <w:color w:val="auto"/>
              </w:rPr>
              <w:t>风险物质临界量（t）</w:t>
            </w:r>
          </w:p>
        </w:tc>
        <w:tc>
          <w:tcPr>
            <w:tcW w:w="654" w:type="pct"/>
            <w:vAlign w:val="center"/>
          </w:tcPr>
          <w:p w14:paraId="6EEF24D2">
            <w:pPr>
              <w:pStyle w:val="296"/>
              <w:spacing w:line="300" w:lineRule="exact"/>
              <w:rPr>
                <w:rFonts w:hint="eastAsia"/>
                <w:color w:val="auto"/>
              </w:rPr>
            </w:pPr>
            <w:r>
              <w:rPr>
                <w:rFonts w:hint="eastAsia"/>
                <w:color w:val="auto"/>
              </w:rPr>
              <w:t>Q值</w:t>
            </w:r>
          </w:p>
        </w:tc>
      </w:tr>
      <w:tr w14:paraId="53173A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restart"/>
            <w:vAlign w:val="center"/>
          </w:tcPr>
          <w:p w14:paraId="132D2076">
            <w:pPr>
              <w:pStyle w:val="296"/>
              <w:spacing w:line="300" w:lineRule="exact"/>
              <w:rPr>
                <w:rFonts w:hint="eastAsia"/>
                <w:color w:val="auto"/>
              </w:rPr>
            </w:pPr>
            <w:r>
              <w:rPr>
                <w:rFonts w:hint="eastAsia"/>
                <w:color w:val="auto"/>
              </w:rPr>
              <w:t>单井采油管线</w:t>
            </w:r>
          </w:p>
        </w:tc>
        <w:tc>
          <w:tcPr>
            <w:tcW w:w="1283" w:type="pct"/>
            <w:vMerge w:val="restart"/>
            <w:vAlign w:val="center"/>
          </w:tcPr>
          <w:p w14:paraId="45431D3E">
            <w:pPr>
              <w:pStyle w:val="296"/>
              <w:spacing w:line="300" w:lineRule="exact"/>
              <w:rPr>
                <w:rFonts w:hint="eastAsia"/>
                <w:color w:val="auto"/>
              </w:rPr>
            </w:pPr>
            <w:r>
              <w:rPr>
                <w:rFonts w:hint="eastAsia"/>
                <w:color w:val="auto"/>
              </w:rPr>
              <w:t>长度1.9km</w:t>
            </w:r>
          </w:p>
          <w:p w14:paraId="3AC5AD37">
            <w:pPr>
              <w:pStyle w:val="296"/>
              <w:spacing w:line="300" w:lineRule="exact"/>
              <w:rPr>
                <w:rFonts w:hint="eastAsia"/>
                <w:color w:val="auto"/>
              </w:rPr>
            </w:pPr>
            <w:r>
              <w:rPr>
                <w:rFonts w:hint="eastAsia"/>
                <w:color w:val="auto"/>
              </w:rPr>
              <w:t>DN50、12MPa</w:t>
            </w:r>
          </w:p>
        </w:tc>
        <w:tc>
          <w:tcPr>
            <w:tcW w:w="689" w:type="pct"/>
            <w:vAlign w:val="center"/>
          </w:tcPr>
          <w:p w14:paraId="4C92DAB7">
            <w:pPr>
              <w:pStyle w:val="296"/>
              <w:spacing w:line="300" w:lineRule="exact"/>
              <w:rPr>
                <w:rFonts w:hint="eastAsia"/>
                <w:color w:val="auto"/>
              </w:rPr>
            </w:pPr>
            <w:r>
              <w:rPr>
                <w:rFonts w:hint="eastAsia"/>
                <w:color w:val="auto"/>
              </w:rPr>
              <w:t>伴生气</w:t>
            </w:r>
          </w:p>
        </w:tc>
        <w:tc>
          <w:tcPr>
            <w:tcW w:w="485" w:type="pct"/>
            <w:vAlign w:val="center"/>
          </w:tcPr>
          <w:p w14:paraId="38DD801D">
            <w:pPr>
              <w:pStyle w:val="296"/>
              <w:spacing w:line="300" w:lineRule="exact"/>
              <w:rPr>
                <w:rFonts w:hint="eastAsia"/>
                <w:color w:val="auto"/>
              </w:rPr>
            </w:pPr>
            <w:r>
              <w:rPr>
                <w:rFonts w:hint="eastAsia"/>
                <w:color w:val="auto"/>
              </w:rPr>
              <w:t>0.267</w:t>
            </w:r>
          </w:p>
        </w:tc>
        <w:tc>
          <w:tcPr>
            <w:tcW w:w="834" w:type="pct"/>
            <w:vAlign w:val="center"/>
          </w:tcPr>
          <w:p w14:paraId="2488A603">
            <w:pPr>
              <w:pStyle w:val="296"/>
              <w:spacing w:line="300" w:lineRule="exact"/>
              <w:rPr>
                <w:rFonts w:hint="eastAsia"/>
                <w:color w:val="auto"/>
              </w:rPr>
            </w:pPr>
            <w:r>
              <w:rPr>
                <w:rFonts w:hint="eastAsia"/>
                <w:color w:val="auto"/>
              </w:rPr>
              <w:t>10</w:t>
            </w:r>
          </w:p>
        </w:tc>
        <w:tc>
          <w:tcPr>
            <w:tcW w:w="654" w:type="pct"/>
            <w:vAlign w:val="center"/>
          </w:tcPr>
          <w:p w14:paraId="295593E3">
            <w:pPr>
              <w:pStyle w:val="296"/>
              <w:spacing w:line="300" w:lineRule="exact"/>
              <w:rPr>
                <w:rFonts w:hint="eastAsia"/>
                <w:color w:val="auto"/>
              </w:rPr>
            </w:pPr>
            <w:r>
              <w:rPr>
                <w:rFonts w:hint="eastAsia"/>
                <w:color w:val="auto"/>
              </w:rPr>
              <w:t>0.0267</w:t>
            </w:r>
          </w:p>
        </w:tc>
      </w:tr>
      <w:tr w14:paraId="643BA3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3D240605">
            <w:pPr>
              <w:pStyle w:val="296"/>
              <w:spacing w:line="300" w:lineRule="exact"/>
              <w:rPr>
                <w:rFonts w:hint="eastAsia"/>
                <w:color w:val="auto"/>
              </w:rPr>
            </w:pPr>
          </w:p>
        </w:tc>
        <w:tc>
          <w:tcPr>
            <w:tcW w:w="1283" w:type="pct"/>
            <w:vMerge w:val="continue"/>
            <w:vAlign w:val="center"/>
          </w:tcPr>
          <w:p w14:paraId="2A07BF31">
            <w:pPr>
              <w:pStyle w:val="296"/>
              <w:spacing w:line="300" w:lineRule="exact"/>
              <w:rPr>
                <w:rFonts w:hint="eastAsia"/>
                <w:color w:val="auto"/>
              </w:rPr>
            </w:pPr>
          </w:p>
        </w:tc>
        <w:tc>
          <w:tcPr>
            <w:tcW w:w="689" w:type="pct"/>
            <w:vAlign w:val="center"/>
          </w:tcPr>
          <w:p w14:paraId="063E7852">
            <w:pPr>
              <w:pStyle w:val="296"/>
              <w:spacing w:line="300" w:lineRule="exact"/>
              <w:rPr>
                <w:rFonts w:hint="eastAsia"/>
                <w:color w:val="auto"/>
              </w:rPr>
            </w:pPr>
            <w:r>
              <w:rPr>
                <w:rFonts w:hint="eastAsia"/>
                <w:color w:val="auto"/>
              </w:rPr>
              <w:t>原油</w:t>
            </w:r>
          </w:p>
        </w:tc>
        <w:tc>
          <w:tcPr>
            <w:tcW w:w="485" w:type="pct"/>
            <w:vAlign w:val="center"/>
          </w:tcPr>
          <w:p w14:paraId="259A9A23">
            <w:pPr>
              <w:pStyle w:val="296"/>
              <w:spacing w:line="300" w:lineRule="exact"/>
              <w:rPr>
                <w:rFonts w:hint="eastAsia"/>
                <w:color w:val="auto"/>
              </w:rPr>
            </w:pPr>
            <w:r>
              <w:rPr>
                <w:rFonts w:hint="eastAsia"/>
                <w:color w:val="auto"/>
              </w:rPr>
              <w:t>80.58</w:t>
            </w:r>
          </w:p>
        </w:tc>
        <w:tc>
          <w:tcPr>
            <w:tcW w:w="834" w:type="pct"/>
            <w:vAlign w:val="center"/>
          </w:tcPr>
          <w:p w14:paraId="3717FAF8">
            <w:pPr>
              <w:pStyle w:val="296"/>
              <w:spacing w:line="300" w:lineRule="exact"/>
              <w:rPr>
                <w:rFonts w:hint="eastAsia"/>
                <w:color w:val="auto"/>
              </w:rPr>
            </w:pPr>
            <w:r>
              <w:rPr>
                <w:rFonts w:hint="eastAsia"/>
                <w:color w:val="auto"/>
              </w:rPr>
              <w:t>2500</w:t>
            </w:r>
          </w:p>
        </w:tc>
        <w:tc>
          <w:tcPr>
            <w:tcW w:w="654" w:type="pct"/>
            <w:vAlign w:val="center"/>
          </w:tcPr>
          <w:p w14:paraId="2E03D629">
            <w:pPr>
              <w:pStyle w:val="296"/>
              <w:spacing w:line="300" w:lineRule="exact"/>
              <w:rPr>
                <w:rFonts w:hint="eastAsia"/>
                <w:color w:val="auto"/>
              </w:rPr>
            </w:pPr>
            <w:r>
              <w:rPr>
                <w:rFonts w:hint="eastAsia"/>
                <w:color w:val="auto"/>
              </w:rPr>
              <w:t>0.0322</w:t>
            </w:r>
          </w:p>
        </w:tc>
      </w:tr>
      <w:tr w14:paraId="38A94F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5EED3632">
            <w:pPr>
              <w:pStyle w:val="296"/>
              <w:spacing w:line="300" w:lineRule="exact"/>
              <w:rPr>
                <w:rFonts w:hint="eastAsia"/>
                <w:color w:val="auto"/>
              </w:rPr>
            </w:pPr>
          </w:p>
        </w:tc>
        <w:tc>
          <w:tcPr>
            <w:tcW w:w="3291" w:type="pct"/>
            <w:gridSpan w:val="4"/>
            <w:vAlign w:val="center"/>
          </w:tcPr>
          <w:p w14:paraId="4D4511E0">
            <w:pPr>
              <w:pStyle w:val="296"/>
              <w:spacing w:line="300" w:lineRule="exact"/>
              <w:rPr>
                <w:rFonts w:hint="eastAsia"/>
                <w:color w:val="auto"/>
              </w:rPr>
            </w:pPr>
            <w:r>
              <w:rPr>
                <w:rFonts w:hint="eastAsia"/>
                <w:color w:val="auto"/>
              </w:rPr>
              <w:t>合计</w:t>
            </w:r>
          </w:p>
        </w:tc>
        <w:tc>
          <w:tcPr>
            <w:tcW w:w="654" w:type="pct"/>
            <w:vAlign w:val="center"/>
          </w:tcPr>
          <w:p w14:paraId="6DCBA5EC">
            <w:pPr>
              <w:pStyle w:val="296"/>
              <w:spacing w:line="300" w:lineRule="exact"/>
              <w:rPr>
                <w:rFonts w:hint="eastAsia"/>
                <w:color w:val="auto"/>
              </w:rPr>
            </w:pPr>
            <w:r>
              <w:rPr>
                <w:rFonts w:hint="eastAsia"/>
                <w:color w:val="auto"/>
              </w:rPr>
              <w:t>0.0589</w:t>
            </w:r>
          </w:p>
        </w:tc>
      </w:tr>
      <w:tr w14:paraId="406C3C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restart"/>
            <w:vAlign w:val="center"/>
          </w:tcPr>
          <w:p w14:paraId="526E5D1F">
            <w:pPr>
              <w:pStyle w:val="296"/>
              <w:spacing w:line="300" w:lineRule="exact"/>
              <w:rPr>
                <w:rFonts w:hint="eastAsia"/>
                <w:color w:val="auto"/>
              </w:rPr>
            </w:pPr>
            <w:r>
              <w:rPr>
                <w:rFonts w:hint="eastAsia"/>
                <w:color w:val="auto"/>
              </w:rPr>
              <w:t>莫172H井（天然气橇装处理装置）</w:t>
            </w:r>
          </w:p>
        </w:tc>
        <w:tc>
          <w:tcPr>
            <w:tcW w:w="1283" w:type="pct"/>
            <w:vMerge w:val="restart"/>
            <w:vAlign w:val="center"/>
          </w:tcPr>
          <w:p w14:paraId="6EF761A6">
            <w:pPr>
              <w:pStyle w:val="296"/>
              <w:spacing w:line="300" w:lineRule="exact"/>
              <w:rPr>
                <w:rFonts w:hint="eastAsia"/>
                <w:color w:val="auto"/>
              </w:rPr>
            </w:pPr>
            <w:r>
              <w:rPr>
                <w:rFonts w:hint="eastAsia"/>
                <w:color w:val="auto"/>
              </w:rPr>
              <w:t>/</w:t>
            </w:r>
          </w:p>
        </w:tc>
        <w:tc>
          <w:tcPr>
            <w:tcW w:w="689" w:type="pct"/>
            <w:vAlign w:val="center"/>
          </w:tcPr>
          <w:p w14:paraId="236A1305">
            <w:pPr>
              <w:pStyle w:val="296"/>
              <w:spacing w:line="300" w:lineRule="exact"/>
              <w:rPr>
                <w:rFonts w:hint="eastAsia"/>
                <w:color w:val="auto"/>
              </w:rPr>
            </w:pPr>
            <w:r>
              <w:rPr>
                <w:rFonts w:hint="eastAsia"/>
                <w:color w:val="auto"/>
              </w:rPr>
              <w:t>伴生气</w:t>
            </w:r>
          </w:p>
        </w:tc>
        <w:tc>
          <w:tcPr>
            <w:tcW w:w="485" w:type="pct"/>
            <w:vAlign w:val="center"/>
          </w:tcPr>
          <w:p w14:paraId="37686814">
            <w:pPr>
              <w:pStyle w:val="296"/>
              <w:spacing w:line="300" w:lineRule="exact"/>
              <w:rPr>
                <w:rFonts w:hint="eastAsia"/>
                <w:color w:val="auto"/>
              </w:rPr>
            </w:pPr>
            <w:r>
              <w:rPr>
                <w:rFonts w:hint="eastAsia"/>
                <w:color w:val="auto"/>
              </w:rPr>
              <w:t>0.051</w:t>
            </w:r>
          </w:p>
        </w:tc>
        <w:tc>
          <w:tcPr>
            <w:tcW w:w="834" w:type="pct"/>
            <w:vAlign w:val="center"/>
          </w:tcPr>
          <w:p w14:paraId="3B6DA91F">
            <w:pPr>
              <w:pStyle w:val="296"/>
              <w:spacing w:line="300" w:lineRule="exact"/>
              <w:rPr>
                <w:rFonts w:hint="eastAsia"/>
                <w:color w:val="auto"/>
              </w:rPr>
            </w:pPr>
            <w:r>
              <w:rPr>
                <w:rFonts w:hint="eastAsia"/>
                <w:color w:val="auto"/>
              </w:rPr>
              <w:t>10</w:t>
            </w:r>
          </w:p>
        </w:tc>
        <w:tc>
          <w:tcPr>
            <w:tcW w:w="654" w:type="pct"/>
            <w:vAlign w:val="center"/>
          </w:tcPr>
          <w:p w14:paraId="78FDECA4">
            <w:pPr>
              <w:pStyle w:val="296"/>
              <w:spacing w:line="300" w:lineRule="exact"/>
              <w:rPr>
                <w:rFonts w:hint="eastAsia"/>
                <w:color w:val="auto"/>
              </w:rPr>
            </w:pPr>
            <w:r>
              <w:rPr>
                <w:rFonts w:hint="eastAsia"/>
                <w:color w:val="auto"/>
              </w:rPr>
              <w:t>0.0051</w:t>
            </w:r>
          </w:p>
        </w:tc>
      </w:tr>
      <w:tr w14:paraId="0E07F6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1354FED4">
            <w:pPr>
              <w:pStyle w:val="296"/>
              <w:spacing w:line="300" w:lineRule="exact"/>
              <w:rPr>
                <w:rFonts w:hint="eastAsia"/>
                <w:color w:val="auto"/>
              </w:rPr>
            </w:pPr>
          </w:p>
        </w:tc>
        <w:tc>
          <w:tcPr>
            <w:tcW w:w="1283" w:type="pct"/>
            <w:vMerge w:val="continue"/>
            <w:vAlign w:val="center"/>
          </w:tcPr>
          <w:p w14:paraId="3EC0B739">
            <w:pPr>
              <w:pStyle w:val="296"/>
              <w:spacing w:line="300" w:lineRule="exact"/>
              <w:rPr>
                <w:rFonts w:hint="eastAsia"/>
                <w:color w:val="auto"/>
              </w:rPr>
            </w:pPr>
          </w:p>
        </w:tc>
        <w:tc>
          <w:tcPr>
            <w:tcW w:w="689" w:type="pct"/>
            <w:vAlign w:val="center"/>
          </w:tcPr>
          <w:p w14:paraId="0241E5FE">
            <w:pPr>
              <w:pStyle w:val="296"/>
              <w:spacing w:line="300" w:lineRule="exact"/>
              <w:rPr>
                <w:rFonts w:hint="eastAsia"/>
                <w:color w:val="auto"/>
              </w:rPr>
            </w:pPr>
            <w:r>
              <w:rPr>
                <w:rFonts w:hint="eastAsia"/>
                <w:color w:val="auto"/>
              </w:rPr>
              <w:t>原油</w:t>
            </w:r>
          </w:p>
        </w:tc>
        <w:tc>
          <w:tcPr>
            <w:tcW w:w="485" w:type="pct"/>
            <w:vAlign w:val="center"/>
          </w:tcPr>
          <w:p w14:paraId="35210469">
            <w:pPr>
              <w:pStyle w:val="296"/>
              <w:spacing w:line="300" w:lineRule="exact"/>
              <w:rPr>
                <w:rFonts w:hint="eastAsia"/>
                <w:color w:val="auto"/>
              </w:rPr>
            </w:pPr>
            <w:r>
              <w:rPr>
                <w:rFonts w:hint="eastAsia"/>
                <w:color w:val="auto"/>
              </w:rPr>
              <w:t>61.51</w:t>
            </w:r>
          </w:p>
        </w:tc>
        <w:tc>
          <w:tcPr>
            <w:tcW w:w="834" w:type="pct"/>
            <w:vAlign w:val="center"/>
          </w:tcPr>
          <w:p w14:paraId="4EB30065">
            <w:pPr>
              <w:pStyle w:val="296"/>
              <w:spacing w:line="300" w:lineRule="exact"/>
              <w:rPr>
                <w:rFonts w:hint="eastAsia"/>
                <w:color w:val="auto"/>
              </w:rPr>
            </w:pPr>
            <w:r>
              <w:rPr>
                <w:rFonts w:hint="eastAsia"/>
                <w:color w:val="auto"/>
              </w:rPr>
              <w:t>2500</w:t>
            </w:r>
          </w:p>
        </w:tc>
        <w:tc>
          <w:tcPr>
            <w:tcW w:w="654" w:type="pct"/>
            <w:vAlign w:val="center"/>
          </w:tcPr>
          <w:p w14:paraId="442301C7">
            <w:pPr>
              <w:pStyle w:val="296"/>
              <w:spacing w:line="300" w:lineRule="exact"/>
              <w:rPr>
                <w:rFonts w:hint="eastAsia"/>
                <w:color w:val="auto"/>
              </w:rPr>
            </w:pPr>
            <w:r>
              <w:rPr>
                <w:rFonts w:hint="eastAsia"/>
                <w:color w:val="auto"/>
              </w:rPr>
              <w:t>0.0246</w:t>
            </w:r>
          </w:p>
        </w:tc>
      </w:tr>
      <w:tr w14:paraId="1B99EA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62763000">
            <w:pPr>
              <w:pStyle w:val="296"/>
              <w:spacing w:line="300" w:lineRule="exact"/>
              <w:rPr>
                <w:rFonts w:hint="eastAsia"/>
                <w:color w:val="auto"/>
              </w:rPr>
            </w:pPr>
          </w:p>
        </w:tc>
        <w:tc>
          <w:tcPr>
            <w:tcW w:w="3291" w:type="pct"/>
            <w:gridSpan w:val="4"/>
            <w:vAlign w:val="center"/>
          </w:tcPr>
          <w:p w14:paraId="6B1C5873">
            <w:pPr>
              <w:pStyle w:val="296"/>
              <w:spacing w:line="300" w:lineRule="exact"/>
              <w:rPr>
                <w:rFonts w:hint="eastAsia"/>
                <w:color w:val="auto"/>
              </w:rPr>
            </w:pPr>
            <w:r>
              <w:rPr>
                <w:rFonts w:hint="eastAsia"/>
                <w:color w:val="auto"/>
              </w:rPr>
              <w:t>合计</w:t>
            </w:r>
          </w:p>
        </w:tc>
        <w:tc>
          <w:tcPr>
            <w:tcW w:w="654" w:type="pct"/>
            <w:vAlign w:val="center"/>
          </w:tcPr>
          <w:p w14:paraId="397A158F">
            <w:pPr>
              <w:pStyle w:val="296"/>
              <w:spacing w:line="300" w:lineRule="exact"/>
              <w:rPr>
                <w:rFonts w:hint="eastAsia"/>
                <w:color w:val="auto"/>
              </w:rPr>
            </w:pPr>
            <w:r>
              <w:rPr>
                <w:rFonts w:hint="eastAsia"/>
                <w:color w:val="auto"/>
              </w:rPr>
              <w:t>0.0297</w:t>
            </w:r>
          </w:p>
        </w:tc>
      </w:tr>
      <w:tr w14:paraId="55604F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restart"/>
            <w:vAlign w:val="center"/>
          </w:tcPr>
          <w:p w14:paraId="7AC39C35">
            <w:pPr>
              <w:pStyle w:val="296"/>
              <w:spacing w:line="300" w:lineRule="exact"/>
              <w:rPr>
                <w:rFonts w:hint="eastAsia"/>
                <w:color w:val="auto"/>
              </w:rPr>
            </w:pPr>
            <w:r>
              <w:rPr>
                <w:rFonts w:hint="eastAsia"/>
                <w:color w:val="auto"/>
              </w:rPr>
              <w:t>莫174H井（天然气橇装处理装置）</w:t>
            </w:r>
          </w:p>
        </w:tc>
        <w:tc>
          <w:tcPr>
            <w:tcW w:w="1283" w:type="pct"/>
            <w:vMerge w:val="restart"/>
            <w:vAlign w:val="center"/>
          </w:tcPr>
          <w:p w14:paraId="3D4C8F12">
            <w:pPr>
              <w:pStyle w:val="296"/>
              <w:spacing w:line="300" w:lineRule="exact"/>
              <w:rPr>
                <w:rFonts w:hint="eastAsia"/>
                <w:color w:val="auto"/>
              </w:rPr>
            </w:pPr>
            <w:r>
              <w:rPr>
                <w:rFonts w:hint="eastAsia"/>
                <w:color w:val="auto"/>
              </w:rPr>
              <w:t>/</w:t>
            </w:r>
          </w:p>
        </w:tc>
        <w:tc>
          <w:tcPr>
            <w:tcW w:w="689" w:type="pct"/>
            <w:vAlign w:val="center"/>
          </w:tcPr>
          <w:p w14:paraId="3D197C15">
            <w:pPr>
              <w:pStyle w:val="296"/>
              <w:spacing w:line="300" w:lineRule="exact"/>
              <w:rPr>
                <w:rFonts w:hint="eastAsia"/>
                <w:color w:val="auto"/>
              </w:rPr>
            </w:pPr>
            <w:r>
              <w:rPr>
                <w:rFonts w:hint="eastAsia"/>
                <w:color w:val="auto"/>
              </w:rPr>
              <w:t>伴生气</w:t>
            </w:r>
          </w:p>
        </w:tc>
        <w:tc>
          <w:tcPr>
            <w:tcW w:w="485" w:type="pct"/>
            <w:vAlign w:val="center"/>
          </w:tcPr>
          <w:p w14:paraId="15BA039A">
            <w:pPr>
              <w:pStyle w:val="296"/>
              <w:spacing w:line="300" w:lineRule="exact"/>
              <w:rPr>
                <w:rFonts w:hint="eastAsia"/>
                <w:color w:val="auto"/>
              </w:rPr>
            </w:pPr>
            <w:r>
              <w:rPr>
                <w:rFonts w:hint="eastAsia"/>
                <w:color w:val="auto"/>
              </w:rPr>
              <w:t>0.026</w:t>
            </w:r>
          </w:p>
        </w:tc>
        <w:tc>
          <w:tcPr>
            <w:tcW w:w="834" w:type="pct"/>
            <w:vAlign w:val="center"/>
          </w:tcPr>
          <w:p w14:paraId="1C28F9D9">
            <w:pPr>
              <w:pStyle w:val="296"/>
              <w:spacing w:line="300" w:lineRule="exact"/>
              <w:rPr>
                <w:rFonts w:hint="eastAsia"/>
                <w:color w:val="auto"/>
              </w:rPr>
            </w:pPr>
            <w:r>
              <w:rPr>
                <w:rFonts w:hint="eastAsia"/>
                <w:color w:val="auto"/>
              </w:rPr>
              <w:t>10</w:t>
            </w:r>
          </w:p>
        </w:tc>
        <w:tc>
          <w:tcPr>
            <w:tcW w:w="654" w:type="pct"/>
            <w:vAlign w:val="center"/>
          </w:tcPr>
          <w:p w14:paraId="6B05B792">
            <w:pPr>
              <w:pStyle w:val="296"/>
              <w:spacing w:line="300" w:lineRule="exact"/>
              <w:rPr>
                <w:rFonts w:hint="eastAsia"/>
                <w:color w:val="auto"/>
              </w:rPr>
            </w:pPr>
            <w:r>
              <w:rPr>
                <w:rFonts w:hint="eastAsia"/>
                <w:color w:val="auto"/>
              </w:rPr>
              <w:t>0.0026</w:t>
            </w:r>
          </w:p>
        </w:tc>
      </w:tr>
      <w:tr w14:paraId="46E8A8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6ADC9DFF">
            <w:pPr>
              <w:pStyle w:val="296"/>
              <w:spacing w:line="300" w:lineRule="exact"/>
              <w:rPr>
                <w:rFonts w:hint="eastAsia"/>
                <w:color w:val="auto"/>
              </w:rPr>
            </w:pPr>
          </w:p>
        </w:tc>
        <w:tc>
          <w:tcPr>
            <w:tcW w:w="1283" w:type="pct"/>
            <w:vMerge w:val="continue"/>
            <w:vAlign w:val="center"/>
          </w:tcPr>
          <w:p w14:paraId="2CA621CB">
            <w:pPr>
              <w:pStyle w:val="296"/>
              <w:spacing w:line="300" w:lineRule="exact"/>
              <w:rPr>
                <w:rFonts w:hint="eastAsia"/>
                <w:color w:val="auto"/>
              </w:rPr>
            </w:pPr>
          </w:p>
        </w:tc>
        <w:tc>
          <w:tcPr>
            <w:tcW w:w="689" w:type="pct"/>
            <w:vAlign w:val="center"/>
          </w:tcPr>
          <w:p w14:paraId="7C6B40C9">
            <w:pPr>
              <w:pStyle w:val="296"/>
              <w:spacing w:line="300" w:lineRule="exact"/>
              <w:rPr>
                <w:rFonts w:hint="eastAsia"/>
                <w:color w:val="auto"/>
              </w:rPr>
            </w:pPr>
            <w:r>
              <w:rPr>
                <w:rFonts w:hint="eastAsia"/>
                <w:color w:val="auto"/>
              </w:rPr>
              <w:t>原油</w:t>
            </w:r>
          </w:p>
        </w:tc>
        <w:tc>
          <w:tcPr>
            <w:tcW w:w="485" w:type="pct"/>
            <w:vAlign w:val="center"/>
          </w:tcPr>
          <w:p w14:paraId="39A14945">
            <w:pPr>
              <w:pStyle w:val="296"/>
              <w:spacing w:line="300" w:lineRule="exact"/>
              <w:rPr>
                <w:rFonts w:hint="eastAsia"/>
                <w:color w:val="auto"/>
              </w:rPr>
            </w:pPr>
            <w:r>
              <w:rPr>
                <w:rFonts w:hint="eastAsia"/>
                <w:color w:val="auto"/>
              </w:rPr>
              <w:t>122.18</w:t>
            </w:r>
          </w:p>
        </w:tc>
        <w:tc>
          <w:tcPr>
            <w:tcW w:w="834" w:type="pct"/>
            <w:vAlign w:val="center"/>
          </w:tcPr>
          <w:p w14:paraId="7B84A56B">
            <w:pPr>
              <w:pStyle w:val="296"/>
              <w:spacing w:line="300" w:lineRule="exact"/>
              <w:rPr>
                <w:rFonts w:hint="eastAsia"/>
                <w:color w:val="auto"/>
              </w:rPr>
            </w:pPr>
            <w:r>
              <w:rPr>
                <w:rFonts w:hint="eastAsia"/>
                <w:color w:val="auto"/>
              </w:rPr>
              <w:t>2500</w:t>
            </w:r>
          </w:p>
        </w:tc>
        <w:tc>
          <w:tcPr>
            <w:tcW w:w="654" w:type="pct"/>
            <w:vAlign w:val="center"/>
          </w:tcPr>
          <w:p w14:paraId="2ACAF368">
            <w:pPr>
              <w:pStyle w:val="296"/>
              <w:spacing w:line="300" w:lineRule="exact"/>
              <w:rPr>
                <w:rFonts w:hint="eastAsia"/>
                <w:color w:val="auto"/>
              </w:rPr>
            </w:pPr>
            <w:r>
              <w:rPr>
                <w:rFonts w:hint="eastAsia"/>
                <w:color w:val="auto"/>
              </w:rPr>
              <w:t>0.0489</w:t>
            </w:r>
          </w:p>
        </w:tc>
      </w:tr>
      <w:tr w14:paraId="762088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668ADC43">
            <w:pPr>
              <w:pStyle w:val="296"/>
              <w:spacing w:line="300" w:lineRule="exact"/>
              <w:rPr>
                <w:rFonts w:hint="eastAsia"/>
                <w:color w:val="auto"/>
              </w:rPr>
            </w:pPr>
          </w:p>
        </w:tc>
        <w:tc>
          <w:tcPr>
            <w:tcW w:w="1283" w:type="pct"/>
            <w:vMerge w:val="continue"/>
            <w:vAlign w:val="center"/>
          </w:tcPr>
          <w:p w14:paraId="7830E7B4">
            <w:pPr>
              <w:pStyle w:val="296"/>
              <w:spacing w:line="300" w:lineRule="exact"/>
              <w:rPr>
                <w:rFonts w:hint="eastAsia"/>
                <w:color w:val="auto"/>
              </w:rPr>
            </w:pPr>
          </w:p>
        </w:tc>
        <w:tc>
          <w:tcPr>
            <w:tcW w:w="689" w:type="pct"/>
            <w:vAlign w:val="center"/>
          </w:tcPr>
          <w:p w14:paraId="0735DDC7">
            <w:pPr>
              <w:pStyle w:val="296"/>
              <w:spacing w:line="300" w:lineRule="exact"/>
              <w:rPr>
                <w:rFonts w:hint="eastAsia"/>
                <w:color w:val="auto"/>
              </w:rPr>
            </w:pPr>
            <w:r>
              <w:rPr>
                <w:rFonts w:hint="eastAsia"/>
                <w:color w:val="auto"/>
              </w:rPr>
              <w:t>混烃</w:t>
            </w:r>
          </w:p>
        </w:tc>
        <w:tc>
          <w:tcPr>
            <w:tcW w:w="485" w:type="pct"/>
            <w:vAlign w:val="center"/>
          </w:tcPr>
          <w:p w14:paraId="3889D8A9">
            <w:pPr>
              <w:pStyle w:val="296"/>
              <w:spacing w:line="300" w:lineRule="exact"/>
              <w:rPr>
                <w:rFonts w:hint="eastAsia"/>
                <w:color w:val="auto"/>
              </w:rPr>
            </w:pPr>
            <w:r>
              <w:rPr>
                <w:rFonts w:hint="eastAsia"/>
                <w:color w:val="auto"/>
              </w:rPr>
              <w:t>16.35</w:t>
            </w:r>
          </w:p>
        </w:tc>
        <w:tc>
          <w:tcPr>
            <w:tcW w:w="834" w:type="pct"/>
            <w:vAlign w:val="center"/>
          </w:tcPr>
          <w:p w14:paraId="1B499C2B">
            <w:pPr>
              <w:pStyle w:val="296"/>
              <w:spacing w:line="300" w:lineRule="exact"/>
              <w:rPr>
                <w:rFonts w:hint="eastAsia"/>
                <w:color w:val="auto"/>
              </w:rPr>
            </w:pPr>
            <w:r>
              <w:rPr>
                <w:rFonts w:hint="eastAsia"/>
                <w:color w:val="auto"/>
              </w:rPr>
              <w:t>2500</w:t>
            </w:r>
          </w:p>
        </w:tc>
        <w:tc>
          <w:tcPr>
            <w:tcW w:w="654" w:type="pct"/>
            <w:vAlign w:val="center"/>
          </w:tcPr>
          <w:p w14:paraId="71F8F01D">
            <w:pPr>
              <w:pStyle w:val="296"/>
              <w:spacing w:line="300" w:lineRule="exact"/>
              <w:rPr>
                <w:rFonts w:hint="eastAsia"/>
                <w:color w:val="auto"/>
              </w:rPr>
            </w:pPr>
            <w:r>
              <w:rPr>
                <w:rFonts w:hint="eastAsia"/>
                <w:color w:val="auto"/>
              </w:rPr>
              <w:t>0.0065</w:t>
            </w:r>
          </w:p>
        </w:tc>
      </w:tr>
      <w:tr w14:paraId="734640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59166D3C">
            <w:pPr>
              <w:pStyle w:val="296"/>
              <w:spacing w:line="300" w:lineRule="exact"/>
              <w:rPr>
                <w:rFonts w:hint="eastAsia"/>
                <w:color w:val="auto"/>
              </w:rPr>
            </w:pPr>
          </w:p>
        </w:tc>
        <w:tc>
          <w:tcPr>
            <w:tcW w:w="1283" w:type="pct"/>
            <w:vAlign w:val="center"/>
          </w:tcPr>
          <w:p w14:paraId="4C698D1C">
            <w:pPr>
              <w:pStyle w:val="296"/>
              <w:spacing w:line="300" w:lineRule="exact"/>
              <w:rPr>
                <w:rFonts w:hint="eastAsia"/>
                <w:color w:val="auto"/>
              </w:rPr>
            </w:pPr>
            <w:r>
              <w:rPr>
                <w:rFonts w:hint="eastAsia"/>
                <w:color w:val="auto"/>
              </w:rPr>
              <w:t>槽车</w:t>
            </w:r>
          </w:p>
        </w:tc>
        <w:tc>
          <w:tcPr>
            <w:tcW w:w="689" w:type="pct"/>
            <w:vAlign w:val="center"/>
          </w:tcPr>
          <w:p w14:paraId="08573DBF">
            <w:pPr>
              <w:pStyle w:val="296"/>
              <w:spacing w:line="300" w:lineRule="exact"/>
              <w:rPr>
                <w:rFonts w:hint="eastAsia"/>
                <w:color w:val="auto"/>
              </w:rPr>
            </w:pPr>
            <w:r>
              <w:rPr>
                <w:rFonts w:hint="eastAsia"/>
                <w:color w:val="auto"/>
              </w:rPr>
              <w:t>天然气</w:t>
            </w:r>
          </w:p>
        </w:tc>
        <w:tc>
          <w:tcPr>
            <w:tcW w:w="485" w:type="pct"/>
            <w:vAlign w:val="center"/>
          </w:tcPr>
          <w:p w14:paraId="15E8824F">
            <w:pPr>
              <w:pStyle w:val="296"/>
              <w:spacing w:line="300" w:lineRule="exact"/>
              <w:rPr>
                <w:rFonts w:hint="eastAsia"/>
                <w:color w:val="auto"/>
              </w:rPr>
            </w:pPr>
            <w:r>
              <w:rPr>
                <w:rFonts w:hint="eastAsia"/>
                <w:color w:val="auto"/>
              </w:rPr>
              <w:t>4.3</w:t>
            </w:r>
          </w:p>
        </w:tc>
        <w:tc>
          <w:tcPr>
            <w:tcW w:w="834" w:type="pct"/>
            <w:vAlign w:val="center"/>
          </w:tcPr>
          <w:p w14:paraId="13DBD3D7">
            <w:pPr>
              <w:pStyle w:val="296"/>
              <w:spacing w:line="300" w:lineRule="exact"/>
              <w:rPr>
                <w:rFonts w:hint="eastAsia"/>
                <w:color w:val="auto"/>
              </w:rPr>
            </w:pPr>
            <w:r>
              <w:rPr>
                <w:rFonts w:hint="eastAsia"/>
                <w:color w:val="auto"/>
              </w:rPr>
              <w:t>10</w:t>
            </w:r>
          </w:p>
        </w:tc>
        <w:tc>
          <w:tcPr>
            <w:tcW w:w="654" w:type="pct"/>
            <w:vAlign w:val="center"/>
          </w:tcPr>
          <w:p w14:paraId="735A88FD">
            <w:pPr>
              <w:pStyle w:val="296"/>
              <w:spacing w:line="300" w:lineRule="exact"/>
              <w:rPr>
                <w:rFonts w:hint="eastAsia"/>
                <w:color w:val="auto"/>
              </w:rPr>
            </w:pPr>
            <w:r>
              <w:rPr>
                <w:rFonts w:hint="eastAsia"/>
                <w:color w:val="auto"/>
              </w:rPr>
              <w:t>0.43</w:t>
            </w:r>
          </w:p>
        </w:tc>
      </w:tr>
      <w:tr w14:paraId="63DEAB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691FB301">
            <w:pPr>
              <w:pStyle w:val="296"/>
              <w:spacing w:line="300" w:lineRule="exact"/>
              <w:rPr>
                <w:rFonts w:hint="eastAsia"/>
                <w:color w:val="auto"/>
              </w:rPr>
            </w:pPr>
          </w:p>
        </w:tc>
        <w:tc>
          <w:tcPr>
            <w:tcW w:w="3291" w:type="pct"/>
            <w:gridSpan w:val="4"/>
            <w:vAlign w:val="center"/>
          </w:tcPr>
          <w:p w14:paraId="00232660">
            <w:pPr>
              <w:pStyle w:val="296"/>
              <w:spacing w:line="300" w:lineRule="exact"/>
              <w:rPr>
                <w:rFonts w:hint="eastAsia"/>
                <w:color w:val="auto"/>
              </w:rPr>
            </w:pPr>
            <w:r>
              <w:rPr>
                <w:rFonts w:hint="eastAsia"/>
                <w:color w:val="auto"/>
              </w:rPr>
              <w:t>合计</w:t>
            </w:r>
          </w:p>
        </w:tc>
        <w:tc>
          <w:tcPr>
            <w:tcW w:w="654" w:type="pct"/>
            <w:vAlign w:val="center"/>
          </w:tcPr>
          <w:p w14:paraId="5F83F1C3">
            <w:pPr>
              <w:pStyle w:val="296"/>
              <w:spacing w:line="300" w:lineRule="exact"/>
              <w:rPr>
                <w:rFonts w:hint="eastAsia"/>
                <w:color w:val="auto"/>
              </w:rPr>
            </w:pPr>
            <w:r>
              <w:rPr>
                <w:rFonts w:hint="eastAsia"/>
                <w:color w:val="auto"/>
              </w:rPr>
              <w:t>0.488</w:t>
            </w:r>
          </w:p>
        </w:tc>
      </w:tr>
      <w:tr w14:paraId="746544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restart"/>
            <w:vAlign w:val="center"/>
          </w:tcPr>
          <w:p w14:paraId="705B625A">
            <w:pPr>
              <w:pStyle w:val="296"/>
              <w:spacing w:line="300" w:lineRule="exact"/>
              <w:rPr>
                <w:rFonts w:hint="eastAsia"/>
                <w:color w:val="auto"/>
              </w:rPr>
            </w:pPr>
            <w:r>
              <w:rPr>
                <w:rFonts w:hint="eastAsia"/>
                <w:color w:val="auto"/>
              </w:rPr>
              <w:t>充装区</w:t>
            </w:r>
          </w:p>
        </w:tc>
        <w:tc>
          <w:tcPr>
            <w:tcW w:w="1283" w:type="pct"/>
            <w:vAlign w:val="center"/>
          </w:tcPr>
          <w:p w14:paraId="7CD8FCD2">
            <w:pPr>
              <w:pStyle w:val="296"/>
              <w:spacing w:line="300" w:lineRule="exact"/>
              <w:rPr>
                <w:rFonts w:hint="eastAsia"/>
                <w:color w:val="auto"/>
              </w:rPr>
            </w:pPr>
            <w:r>
              <w:rPr>
                <w:rFonts w:hint="eastAsia"/>
                <w:color w:val="auto"/>
              </w:rPr>
              <w:t>槽车</w:t>
            </w:r>
          </w:p>
        </w:tc>
        <w:tc>
          <w:tcPr>
            <w:tcW w:w="689" w:type="pct"/>
            <w:vAlign w:val="center"/>
          </w:tcPr>
          <w:p w14:paraId="2B67F44F">
            <w:pPr>
              <w:pStyle w:val="296"/>
              <w:spacing w:line="300" w:lineRule="exact"/>
              <w:rPr>
                <w:rFonts w:hint="eastAsia"/>
                <w:color w:val="auto"/>
              </w:rPr>
            </w:pPr>
            <w:r>
              <w:rPr>
                <w:rFonts w:hint="eastAsia"/>
                <w:color w:val="auto"/>
              </w:rPr>
              <w:t>天然气</w:t>
            </w:r>
          </w:p>
        </w:tc>
        <w:tc>
          <w:tcPr>
            <w:tcW w:w="485" w:type="pct"/>
            <w:vAlign w:val="center"/>
          </w:tcPr>
          <w:p w14:paraId="4E144374">
            <w:pPr>
              <w:pStyle w:val="296"/>
              <w:spacing w:line="300" w:lineRule="exact"/>
              <w:rPr>
                <w:rFonts w:hint="eastAsia"/>
                <w:color w:val="auto"/>
              </w:rPr>
            </w:pPr>
            <w:r>
              <w:rPr>
                <w:rFonts w:hint="eastAsia"/>
                <w:color w:val="auto"/>
              </w:rPr>
              <w:t>4.42</w:t>
            </w:r>
          </w:p>
        </w:tc>
        <w:tc>
          <w:tcPr>
            <w:tcW w:w="834" w:type="pct"/>
            <w:vAlign w:val="center"/>
          </w:tcPr>
          <w:p w14:paraId="7A6CA14A">
            <w:pPr>
              <w:pStyle w:val="296"/>
              <w:spacing w:line="300" w:lineRule="exact"/>
              <w:rPr>
                <w:rFonts w:hint="eastAsia"/>
                <w:color w:val="auto"/>
              </w:rPr>
            </w:pPr>
            <w:r>
              <w:rPr>
                <w:rFonts w:hint="eastAsia"/>
                <w:color w:val="auto"/>
              </w:rPr>
              <w:t>10</w:t>
            </w:r>
          </w:p>
        </w:tc>
        <w:tc>
          <w:tcPr>
            <w:tcW w:w="654" w:type="pct"/>
            <w:vAlign w:val="center"/>
          </w:tcPr>
          <w:p w14:paraId="34748028">
            <w:pPr>
              <w:pStyle w:val="296"/>
              <w:spacing w:line="300" w:lineRule="exact"/>
              <w:rPr>
                <w:rFonts w:hint="eastAsia"/>
                <w:color w:val="auto"/>
              </w:rPr>
            </w:pPr>
            <w:r>
              <w:rPr>
                <w:rFonts w:hint="eastAsia"/>
                <w:color w:val="auto"/>
              </w:rPr>
              <w:t>0.442</w:t>
            </w:r>
          </w:p>
        </w:tc>
      </w:tr>
      <w:tr w14:paraId="6F1E34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6BF3E919">
            <w:pPr>
              <w:pStyle w:val="296"/>
              <w:spacing w:line="300" w:lineRule="exact"/>
              <w:rPr>
                <w:rFonts w:hint="eastAsia"/>
                <w:color w:val="auto"/>
              </w:rPr>
            </w:pPr>
          </w:p>
        </w:tc>
        <w:tc>
          <w:tcPr>
            <w:tcW w:w="1283" w:type="pct"/>
            <w:vMerge w:val="restart"/>
            <w:vAlign w:val="center"/>
          </w:tcPr>
          <w:p w14:paraId="074263FD">
            <w:pPr>
              <w:pStyle w:val="296"/>
              <w:spacing w:line="300" w:lineRule="exact"/>
              <w:rPr>
                <w:rFonts w:hint="eastAsia"/>
                <w:color w:val="auto"/>
              </w:rPr>
            </w:pPr>
            <w:r>
              <w:rPr>
                <w:rFonts w:hint="eastAsia"/>
                <w:color w:val="auto"/>
              </w:rPr>
              <w:t>/</w:t>
            </w:r>
          </w:p>
        </w:tc>
        <w:tc>
          <w:tcPr>
            <w:tcW w:w="689" w:type="pct"/>
            <w:vAlign w:val="center"/>
          </w:tcPr>
          <w:p w14:paraId="190296C9">
            <w:pPr>
              <w:pStyle w:val="296"/>
              <w:spacing w:line="300" w:lineRule="exact"/>
              <w:rPr>
                <w:rFonts w:hint="eastAsia"/>
                <w:color w:val="auto"/>
              </w:rPr>
            </w:pPr>
            <w:r>
              <w:rPr>
                <w:rFonts w:hint="eastAsia"/>
                <w:color w:val="auto"/>
              </w:rPr>
              <w:t>原油</w:t>
            </w:r>
          </w:p>
        </w:tc>
        <w:tc>
          <w:tcPr>
            <w:tcW w:w="485" w:type="pct"/>
            <w:vAlign w:val="center"/>
          </w:tcPr>
          <w:p w14:paraId="135F6780">
            <w:pPr>
              <w:pStyle w:val="296"/>
              <w:spacing w:line="300" w:lineRule="exact"/>
              <w:rPr>
                <w:rFonts w:hint="eastAsia"/>
                <w:color w:val="auto"/>
              </w:rPr>
            </w:pPr>
            <w:r>
              <w:rPr>
                <w:rFonts w:hint="eastAsia"/>
                <w:color w:val="auto"/>
              </w:rPr>
              <w:t>32.70</w:t>
            </w:r>
          </w:p>
        </w:tc>
        <w:tc>
          <w:tcPr>
            <w:tcW w:w="834" w:type="pct"/>
            <w:vAlign w:val="center"/>
          </w:tcPr>
          <w:p w14:paraId="4E12621B">
            <w:pPr>
              <w:pStyle w:val="296"/>
              <w:spacing w:line="300" w:lineRule="exact"/>
              <w:rPr>
                <w:rFonts w:hint="eastAsia"/>
                <w:color w:val="auto"/>
              </w:rPr>
            </w:pPr>
            <w:r>
              <w:rPr>
                <w:rFonts w:hint="eastAsia"/>
                <w:color w:val="auto"/>
              </w:rPr>
              <w:t>2500</w:t>
            </w:r>
          </w:p>
        </w:tc>
        <w:tc>
          <w:tcPr>
            <w:tcW w:w="654" w:type="pct"/>
            <w:vAlign w:val="center"/>
          </w:tcPr>
          <w:p w14:paraId="324A8006">
            <w:pPr>
              <w:pStyle w:val="296"/>
              <w:spacing w:line="300" w:lineRule="exact"/>
              <w:rPr>
                <w:rFonts w:hint="eastAsia"/>
                <w:color w:val="auto"/>
              </w:rPr>
            </w:pPr>
            <w:r>
              <w:rPr>
                <w:rFonts w:hint="eastAsia"/>
                <w:color w:val="auto"/>
              </w:rPr>
              <w:t>0.0131</w:t>
            </w:r>
          </w:p>
        </w:tc>
      </w:tr>
      <w:tr w14:paraId="768CF5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74CA65A9">
            <w:pPr>
              <w:pStyle w:val="296"/>
              <w:spacing w:line="300" w:lineRule="exact"/>
              <w:rPr>
                <w:rFonts w:hint="eastAsia"/>
                <w:color w:val="auto"/>
              </w:rPr>
            </w:pPr>
          </w:p>
        </w:tc>
        <w:tc>
          <w:tcPr>
            <w:tcW w:w="1283" w:type="pct"/>
            <w:vMerge w:val="continue"/>
            <w:vAlign w:val="center"/>
          </w:tcPr>
          <w:p w14:paraId="13AAFB02">
            <w:pPr>
              <w:pStyle w:val="296"/>
              <w:spacing w:line="300" w:lineRule="exact"/>
              <w:rPr>
                <w:rFonts w:hint="eastAsia"/>
                <w:color w:val="auto"/>
              </w:rPr>
            </w:pPr>
          </w:p>
        </w:tc>
        <w:tc>
          <w:tcPr>
            <w:tcW w:w="689" w:type="pct"/>
            <w:vAlign w:val="center"/>
          </w:tcPr>
          <w:p w14:paraId="216C43E2">
            <w:pPr>
              <w:pStyle w:val="296"/>
              <w:spacing w:line="300" w:lineRule="exact"/>
              <w:rPr>
                <w:rFonts w:hint="eastAsia"/>
                <w:color w:val="auto"/>
              </w:rPr>
            </w:pPr>
            <w:r>
              <w:rPr>
                <w:rFonts w:hint="eastAsia"/>
                <w:color w:val="auto"/>
              </w:rPr>
              <w:t>混烃</w:t>
            </w:r>
          </w:p>
        </w:tc>
        <w:tc>
          <w:tcPr>
            <w:tcW w:w="485" w:type="pct"/>
            <w:vAlign w:val="center"/>
          </w:tcPr>
          <w:p w14:paraId="51750BDE">
            <w:pPr>
              <w:pStyle w:val="296"/>
              <w:spacing w:line="300" w:lineRule="exact"/>
              <w:rPr>
                <w:rFonts w:hint="eastAsia"/>
                <w:color w:val="auto"/>
              </w:rPr>
            </w:pPr>
            <w:r>
              <w:rPr>
                <w:rFonts w:hint="eastAsia"/>
                <w:color w:val="auto"/>
              </w:rPr>
              <w:t>31.92</w:t>
            </w:r>
          </w:p>
        </w:tc>
        <w:tc>
          <w:tcPr>
            <w:tcW w:w="834" w:type="pct"/>
            <w:vAlign w:val="center"/>
          </w:tcPr>
          <w:p w14:paraId="12552A87">
            <w:pPr>
              <w:pStyle w:val="296"/>
              <w:spacing w:line="300" w:lineRule="exact"/>
              <w:rPr>
                <w:rFonts w:hint="eastAsia"/>
                <w:color w:val="auto"/>
              </w:rPr>
            </w:pPr>
            <w:r>
              <w:rPr>
                <w:rFonts w:hint="eastAsia"/>
                <w:color w:val="auto"/>
              </w:rPr>
              <w:t>2500</w:t>
            </w:r>
          </w:p>
        </w:tc>
        <w:tc>
          <w:tcPr>
            <w:tcW w:w="654" w:type="pct"/>
            <w:vAlign w:val="center"/>
          </w:tcPr>
          <w:p w14:paraId="684D3F94">
            <w:pPr>
              <w:pStyle w:val="296"/>
              <w:spacing w:line="300" w:lineRule="exact"/>
              <w:rPr>
                <w:rFonts w:hint="eastAsia"/>
                <w:color w:val="auto"/>
              </w:rPr>
            </w:pPr>
            <w:r>
              <w:rPr>
                <w:rFonts w:hint="eastAsia"/>
                <w:color w:val="auto"/>
              </w:rPr>
              <w:t>0.0128</w:t>
            </w:r>
          </w:p>
        </w:tc>
      </w:tr>
      <w:tr w14:paraId="10B0E8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5" w:type="pct"/>
            <w:vMerge w:val="continue"/>
            <w:vAlign w:val="center"/>
          </w:tcPr>
          <w:p w14:paraId="18C5FA53">
            <w:pPr>
              <w:pStyle w:val="296"/>
              <w:spacing w:line="300" w:lineRule="exact"/>
              <w:rPr>
                <w:rFonts w:hint="eastAsia"/>
                <w:color w:val="auto"/>
              </w:rPr>
            </w:pPr>
          </w:p>
        </w:tc>
        <w:tc>
          <w:tcPr>
            <w:tcW w:w="3291" w:type="pct"/>
            <w:gridSpan w:val="4"/>
            <w:vAlign w:val="center"/>
          </w:tcPr>
          <w:p w14:paraId="7E210F1A">
            <w:pPr>
              <w:pStyle w:val="296"/>
              <w:spacing w:line="300" w:lineRule="exact"/>
              <w:rPr>
                <w:rFonts w:hint="eastAsia"/>
                <w:color w:val="auto"/>
              </w:rPr>
            </w:pPr>
            <w:r>
              <w:rPr>
                <w:rFonts w:hint="eastAsia"/>
                <w:color w:val="auto"/>
              </w:rPr>
              <w:t>合计</w:t>
            </w:r>
          </w:p>
        </w:tc>
        <w:tc>
          <w:tcPr>
            <w:tcW w:w="654" w:type="pct"/>
            <w:vAlign w:val="center"/>
          </w:tcPr>
          <w:p w14:paraId="554D4730">
            <w:pPr>
              <w:pStyle w:val="296"/>
              <w:spacing w:line="300" w:lineRule="exact"/>
              <w:rPr>
                <w:rFonts w:hint="eastAsia"/>
                <w:color w:val="auto"/>
              </w:rPr>
            </w:pPr>
            <w:r>
              <w:rPr>
                <w:rFonts w:hint="eastAsia"/>
                <w:color w:val="auto"/>
              </w:rPr>
              <w:t>0.4679</w:t>
            </w:r>
          </w:p>
        </w:tc>
      </w:tr>
    </w:tbl>
    <w:p w14:paraId="6DCB146D">
      <w:pPr>
        <w:pStyle w:val="86"/>
        <w:ind w:firstLine="480"/>
        <w:rPr>
          <w:rFonts w:hint="eastAsia"/>
          <w:color w:val="auto"/>
        </w:rPr>
      </w:pPr>
      <w:r>
        <w:rPr>
          <w:rFonts w:hint="eastAsia"/>
          <w:color w:val="auto"/>
        </w:rPr>
        <w:t>根据上表计算结果可知，Q值最大为0.</w:t>
      </w:r>
      <w:bookmarkEnd w:id="723"/>
      <w:r>
        <w:rPr>
          <w:rFonts w:hint="eastAsia"/>
          <w:color w:val="auto"/>
        </w:rPr>
        <w:t>488，小于1，判断风险潜势为Ⅰ。根据《建设项目环境风险评价技术导则》（H</w:t>
      </w:r>
      <w:r>
        <w:rPr>
          <w:color w:val="auto"/>
        </w:rPr>
        <w:t>J169-2018</w:t>
      </w:r>
      <w:r>
        <w:rPr>
          <w:rFonts w:hint="eastAsia"/>
          <w:color w:val="auto"/>
        </w:rPr>
        <w:t>）相关要求，根据表2</w:t>
      </w:r>
      <w:r>
        <w:rPr>
          <w:color w:val="auto"/>
        </w:rPr>
        <w:t>.6</w:t>
      </w:r>
      <w:r>
        <w:rPr>
          <w:rFonts w:hint="eastAsia"/>
          <w:color w:val="auto"/>
        </w:rPr>
        <w:t>-</w:t>
      </w:r>
      <w:r>
        <w:rPr>
          <w:color w:val="auto"/>
        </w:rPr>
        <w:t>10</w:t>
      </w:r>
      <w:r>
        <w:rPr>
          <w:rFonts w:hint="eastAsia"/>
          <w:color w:val="auto"/>
        </w:rPr>
        <w:t>判定本次风险评价仅进行简单分析。</w:t>
      </w:r>
    </w:p>
    <w:p w14:paraId="22DB7B62">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环境敏感目标</w:t>
      </w:r>
    </w:p>
    <w:p w14:paraId="591913B9">
      <w:pPr>
        <w:pStyle w:val="86"/>
        <w:ind w:firstLine="480"/>
        <w:rPr>
          <w:rFonts w:hint="eastAsia"/>
          <w:color w:val="auto"/>
        </w:rPr>
      </w:pPr>
      <w:r>
        <w:rPr>
          <w:rFonts w:hint="eastAsia"/>
          <w:color w:val="auto"/>
        </w:rPr>
        <w:t>简单分析不设评价范围，项目区周围无环境风险敏感目标。</w:t>
      </w:r>
    </w:p>
    <w:p w14:paraId="32169818">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环境风险识别</w:t>
      </w:r>
    </w:p>
    <w:p w14:paraId="27D59C2C">
      <w:pPr>
        <w:pStyle w:val="86"/>
        <w:ind w:firstLine="480"/>
        <w:rPr>
          <w:rFonts w:hint="eastAsia"/>
          <w:color w:val="auto"/>
        </w:rPr>
      </w:pPr>
      <w:r>
        <w:rPr>
          <w:rFonts w:hint="eastAsia"/>
          <w:color w:val="auto"/>
        </w:rPr>
        <w:t>（1）</w:t>
      </w:r>
      <w:r>
        <w:rPr>
          <w:color w:val="auto"/>
        </w:rPr>
        <w:t>物质危险性识别</w:t>
      </w:r>
    </w:p>
    <w:p w14:paraId="48D51A74">
      <w:pPr>
        <w:pStyle w:val="86"/>
        <w:ind w:firstLine="480"/>
        <w:rPr>
          <w:rFonts w:hint="eastAsia"/>
          <w:color w:val="auto"/>
        </w:rPr>
      </w:pPr>
      <w:r>
        <w:rPr>
          <w:rFonts w:hint="eastAsia"/>
          <w:color w:val="auto"/>
        </w:rPr>
        <w:t>施工期不涉及危险物质，运营期危险物质主要为原油、混烃和伴生气，各危险物质主要物化、毒理性质、危险等级划分见表</w:t>
      </w:r>
      <w:r>
        <w:rPr>
          <w:color w:val="auto"/>
        </w:rPr>
        <w:t>5.4</w:t>
      </w:r>
      <w:r>
        <w:rPr>
          <w:rFonts w:hint="eastAsia"/>
          <w:color w:val="auto"/>
        </w:rPr>
        <w:t>-</w:t>
      </w:r>
      <w:r>
        <w:rPr>
          <w:color w:val="auto"/>
        </w:rPr>
        <w:t>2</w:t>
      </w:r>
      <w:r>
        <w:rPr>
          <w:rFonts w:hint="eastAsia"/>
          <w:color w:val="auto"/>
        </w:rPr>
        <w:t>。</w:t>
      </w:r>
    </w:p>
    <w:p w14:paraId="32649F25">
      <w:pPr>
        <w:pStyle w:val="134"/>
        <w:ind w:firstLine="480"/>
        <w:rPr>
          <w:rFonts w:hint="eastAsia"/>
          <w:color w:val="auto"/>
        </w:rPr>
      </w:pPr>
      <w:r>
        <w:rPr>
          <w:rFonts w:hint="eastAsia"/>
          <w:color w:val="auto"/>
        </w:rPr>
        <w:t>表</w:t>
      </w:r>
      <w:r>
        <w:rPr>
          <w:color w:val="auto"/>
        </w:rPr>
        <w:t>5.4</w:t>
      </w:r>
      <w:r>
        <w:rPr>
          <w:rFonts w:hint="eastAsia"/>
          <w:color w:val="auto"/>
        </w:rPr>
        <w:t>-</w:t>
      </w:r>
      <w:r>
        <w:rPr>
          <w:color w:val="auto"/>
        </w:rPr>
        <w:t>2</w:t>
      </w:r>
      <w:r>
        <w:rPr>
          <w:rFonts w:hint="eastAsia"/>
          <w:color w:val="auto"/>
        </w:rPr>
        <w:t xml:space="preserve"> </w:t>
      </w:r>
      <w:r>
        <w:rPr>
          <w:color w:val="auto"/>
        </w:rPr>
        <w:t xml:space="preserve"> </w:t>
      </w:r>
      <w:r>
        <w:rPr>
          <w:rFonts w:hint="eastAsia"/>
          <w:color w:val="auto"/>
        </w:rPr>
        <w:t>各危险物质理化性质及危险级别分类情况</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451"/>
        <w:gridCol w:w="726"/>
        <w:gridCol w:w="1400"/>
        <w:gridCol w:w="3235"/>
        <w:gridCol w:w="1985"/>
        <w:gridCol w:w="933"/>
      </w:tblGrid>
      <w:tr w14:paraId="304329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451" w:type="dxa"/>
            <w:tcMar>
              <w:left w:w="0" w:type="dxa"/>
              <w:right w:w="0" w:type="dxa"/>
            </w:tcMar>
            <w:vAlign w:val="center"/>
          </w:tcPr>
          <w:p w14:paraId="593A2176">
            <w:pPr>
              <w:adjustRightInd w:val="0"/>
              <w:snapToGrid w:val="0"/>
              <w:spacing w:line="300" w:lineRule="exact"/>
              <w:jc w:val="center"/>
              <w:rPr>
                <w:rFonts w:hint="eastAsia" w:ascii="宋体" w:hAnsi="宋体"/>
                <w:color w:val="auto"/>
                <w:szCs w:val="21"/>
              </w:rPr>
            </w:pPr>
            <w:r>
              <w:rPr>
                <w:rFonts w:ascii="宋体" w:hAnsi="宋体"/>
                <w:color w:val="auto"/>
                <w:szCs w:val="21"/>
              </w:rPr>
              <w:t>序号</w:t>
            </w:r>
          </w:p>
        </w:tc>
        <w:tc>
          <w:tcPr>
            <w:tcW w:w="726" w:type="dxa"/>
            <w:tcMar>
              <w:left w:w="0" w:type="dxa"/>
              <w:right w:w="0" w:type="dxa"/>
            </w:tcMar>
            <w:vAlign w:val="center"/>
          </w:tcPr>
          <w:p w14:paraId="26228F99">
            <w:pPr>
              <w:adjustRightInd w:val="0"/>
              <w:snapToGrid w:val="0"/>
              <w:spacing w:line="300" w:lineRule="exact"/>
              <w:jc w:val="center"/>
              <w:rPr>
                <w:rFonts w:hint="eastAsia" w:ascii="宋体" w:hAnsi="宋体"/>
                <w:color w:val="auto"/>
                <w:szCs w:val="21"/>
              </w:rPr>
            </w:pPr>
            <w:r>
              <w:rPr>
                <w:rFonts w:ascii="宋体" w:hAnsi="宋体"/>
                <w:color w:val="auto"/>
                <w:szCs w:val="21"/>
              </w:rPr>
              <w:t>名称</w:t>
            </w:r>
          </w:p>
        </w:tc>
        <w:tc>
          <w:tcPr>
            <w:tcW w:w="1400" w:type="dxa"/>
            <w:tcMar>
              <w:left w:w="0" w:type="dxa"/>
              <w:right w:w="0" w:type="dxa"/>
            </w:tcMar>
            <w:vAlign w:val="center"/>
          </w:tcPr>
          <w:p w14:paraId="16EBB15C">
            <w:pPr>
              <w:adjustRightInd w:val="0"/>
              <w:snapToGrid w:val="0"/>
              <w:spacing w:line="300" w:lineRule="exact"/>
              <w:jc w:val="center"/>
              <w:rPr>
                <w:rFonts w:hint="eastAsia" w:ascii="宋体" w:hAnsi="宋体"/>
                <w:color w:val="auto"/>
                <w:szCs w:val="21"/>
              </w:rPr>
            </w:pPr>
            <w:r>
              <w:rPr>
                <w:rFonts w:ascii="宋体" w:hAnsi="宋体"/>
                <w:color w:val="auto"/>
                <w:szCs w:val="21"/>
              </w:rPr>
              <w:t>组分</w:t>
            </w:r>
          </w:p>
        </w:tc>
        <w:tc>
          <w:tcPr>
            <w:tcW w:w="3235" w:type="dxa"/>
            <w:tcMar>
              <w:left w:w="0" w:type="dxa"/>
              <w:right w:w="0" w:type="dxa"/>
            </w:tcMar>
            <w:vAlign w:val="center"/>
          </w:tcPr>
          <w:p w14:paraId="6AFFC28D">
            <w:pPr>
              <w:adjustRightInd w:val="0"/>
              <w:snapToGrid w:val="0"/>
              <w:spacing w:line="300" w:lineRule="exact"/>
              <w:jc w:val="center"/>
              <w:rPr>
                <w:rFonts w:hint="eastAsia" w:ascii="宋体" w:hAnsi="宋体"/>
                <w:color w:val="auto"/>
                <w:szCs w:val="21"/>
              </w:rPr>
            </w:pPr>
            <w:r>
              <w:rPr>
                <w:rFonts w:ascii="宋体" w:hAnsi="宋体"/>
                <w:color w:val="auto"/>
                <w:szCs w:val="21"/>
              </w:rPr>
              <w:t>毒性</w:t>
            </w:r>
          </w:p>
        </w:tc>
        <w:tc>
          <w:tcPr>
            <w:tcW w:w="1985" w:type="dxa"/>
            <w:tcMar>
              <w:left w:w="0" w:type="dxa"/>
              <w:right w:w="0" w:type="dxa"/>
            </w:tcMar>
            <w:vAlign w:val="center"/>
          </w:tcPr>
          <w:p w14:paraId="70D79AE6">
            <w:pPr>
              <w:adjustRightInd w:val="0"/>
              <w:snapToGrid w:val="0"/>
              <w:spacing w:line="300" w:lineRule="exact"/>
              <w:jc w:val="center"/>
              <w:rPr>
                <w:rFonts w:hint="eastAsia" w:ascii="宋体" w:hAnsi="宋体"/>
                <w:color w:val="auto"/>
                <w:szCs w:val="21"/>
              </w:rPr>
            </w:pPr>
            <w:r>
              <w:rPr>
                <w:rFonts w:ascii="宋体" w:hAnsi="宋体"/>
                <w:color w:val="auto"/>
                <w:szCs w:val="21"/>
              </w:rPr>
              <w:t>燃烧爆炸特性参数</w:t>
            </w:r>
          </w:p>
        </w:tc>
        <w:tc>
          <w:tcPr>
            <w:tcW w:w="933" w:type="dxa"/>
            <w:tcMar>
              <w:left w:w="0" w:type="dxa"/>
              <w:right w:w="0" w:type="dxa"/>
            </w:tcMar>
            <w:vAlign w:val="center"/>
          </w:tcPr>
          <w:p w14:paraId="1A5E572D">
            <w:pPr>
              <w:adjustRightInd w:val="0"/>
              <w:snapToGrid w:val="0"/>
              <w:spacing w:line="300" w:lineRule="exact"/>
              <w:jc w:val="center"/>
              <w:rPr>
                <w:rFonts w:hint="eastAsia" w:ascii="宋体" w:hAnsi="宋体"/>
                <w:color w:val="auto"/>
                <w:szCs w:val="21"/>
              </w:rPr>
            </w:pPr>
            <w:r>
              <w:rPr>
                <w:rFonts w:ascii="宋体" w:hAnsi="宋体"/>
                <w:color w:val="auto"/>
                <w:szCs w:val="21"/>
              </w:rPr>
              <w:t>危险级别</w:t>
            </w:r>
          </w:p>
        </w:tc>
      </w:tr>
      <w:tr w14:paraId="17EBDB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451" w:type="dxa"/>
            <w:tcMar>
              <w:left w:w="0" w:type="dxa"/>
              <w:right w:w="0" w:type="dxa"/>
            </w:tcMar>
            <w:vAlign w:val="center"/>
          </w:tcPr>
          <w:p w14:paraId="1B941B2F">
            <w:pPr>
              <w:adjustRightInd w:val="0"/>
              <w:snapToGrid w:val="0"/>
              <w:spacing w:line="300" w:lineRule="exact"/>
              <w:jc w:val="center"/>
              <w:rPr>
                <w:rFonts w:hint="eastAsia" w:ascii="宋体" w:hAnsi="宋体"/>
                <w:color w:val="auto"/>
                <w:szCs w:val="21"/>
              </w:rPr>
            </w:pPr>
            <w:r>
              <w:rPr>
                <w:rFonts w:hint="eastAsia" w:ascii="宋体" w:hAnsi="宋体"/>
                <w:color w:val="auto"/>
                <w:szCs w:val="21"/>
              </w:rPr>
              <w:t>1</w:t>
            </w:r>
          </w:p>
        </w:tc>
        <w:tc>
          <w:tcPr>
            <w:tcW w:w="726" w:type="dxa"/>
            <w:tcMar>
              <w:left w:w="0" w:type="dxa"/>
              <w:right w:w="0" w:type="dxa"/>
            </w:tcMar>
            <w:vAlign w:val="center"/>
          </w:tcPr>
          <w:p w14:paraId="1BE393FF">
            <w:pPr>
              <w:adjustRightInd w:val="0"/>
              <w:snapToGrid w:val="0"/>
              <w:spacing w:line="300" w:lineRule="exact"/>
              <w:jc w:val="center"/>
              <w:rPr>
                <w:rFonts w:hint="eastAsia" w:ascii="宋体" w:hAnsi="宋体"/>
                <w:color w:val="auto"/>
                <w:szCs w:val="21"/>
              </w:rPr>
            </w:pPr>
            <w:r>
              <w:rPr>
                <w:rFonts w:hint="eastAsia" w:ascii="宋体" w:hAnsi="宋体"/>
                <w:color w:val="auto"/>
                <w:szCs w:val="21"/>
              </w:rPr>
              <w:t>原油</w:t>
            </w:r>
          </w:p>
        </w:tc>
        <w:tc>
          <w:tcPr>
            <w:tcW w:w="1400" w:type="dxa"/>
            <w:tcMar>
              <w:left w:w="0" w:type="dxa"/>
              <w:right w:w="0" w:type="dxa"/>
            </w:tcMar>
            <w:vAlign w:val="center"/>
          </w:tcPr>
          <w:p w14:paraId="04B160C7">
            <w:pPr>
              <w:adjustRightInd w:val="0"/>
              <w:snapToGrid w:val="0"/>
              <w:spacing w:line="300" w:lineRule="exact"/>
              <w:jc w:val="center"/>
              <w:rPr>
                <w:rFonts w:hint="eastAsia" w:ascii="宋体" w:hAnsi="宋体"/>
                <w:color w:val="auto"/>
                <w:szCs w:val="21"/>
              </w:rPr>
            </w:pPr>
            <w:r>
              <w:rPr>
                <w:rFonts w:hint="eastAsia" w:ascii="宋体" w:hAnsi="宋体"/>
                <w:color w:val="auto"/>
                <w:szCs w:val="21"/>
              </w:rPr>
              <w:t>由</w:t>
            </w:r>
            <w:r>
              <w:rPr>
                <w:rFonts w:ascii="宋体" w:hAnsi="宋体"/>
                <w:color w:val="auto"/>
                <w:szCs w:val="21"/>
              </w:rPr>
              <w:t>各种烃类和非烃类化合物所组成的复杂混合物</w:t>
            </w:r>
          </w:p>
        </w:tc>
        <w:tc>
          <w:tcPr>
            <w:tcW w:w="3235" w:type="dxa"/>
            <w:tcMar>
              <w:left w:w="0" w:type="dxa"/>
              <w:right w:w="0" w:type="dxa"/>
            </w:tcMar>
            <w:vAlign w:val="center"/>
          </w:tcPr>
          <w:p w14:paraId="23DA5C2E">
            <w:pPr>
              <w:adjustRightInd w:val="0"/>
              <w:snapToGrid w:val="0"/>
              <w:spacing w:line="300" w:lineRule="exact"/>
              <w:jc w:val="center"/>
              <w:rPr>
                <w:rFonts w:hint="eastAsia" w:ascii="宋体" w:hAnsi="宋体"/>
                <w:color w:val="auto"/>
                <w:szCs w:val="21"/>
              </w:rPr>
            </w:pPr>
            <w:r>
              <w:rPr>
                <w:rFonts w:ascii="宋体" w:hAnsi="宋体"/>
                <w:color w:val="auto"/>
                <w:szCs w:val="21"/>
              </w:rPr>
              <w:t>本身无明显毒性。遇热分解出有毒的烟雾，吸入大量可引起危害：有刺激和麻痹作用，吸入急性中毒者有上呼吸道刺激症状。流泪，随之出现头晕、头痛、恶心、运动失调及酒醉样症状</w:t>
            </w:r>
          </w:p>
        </w:tc>
        <w:tc>
          <w:tcPr>
            <w:tcW w:w="1985" w:type="dxa"/>
            <w:tcMar>
              <w:left w:w="0" w:type="dxa"/>
              <w:right w:w="0" w:type="dxa"/>
            </w:tcMar>
            <w:vAlign w:val="center"/>
          </w:tcPr>
          <w:p w14:paraId="0B0F18CC">
            <w:pPr>
              <w:rPr>
                <w:rFonts w:hint="eastAsia" w:ascii="宋体" w:hAnsi="宋体"/>
                <w:color w:val="auto"/>
                <w:szCs w:val="21"/>
              </w:rPr>
            </w:pPr>
            <w:r>
              <w:rPr>
                <w:rFonts w:ascii="宋体" w:hAnsi="宋体"/>
                <w:color w:val="auto"/>
                <w:szCs w:val="21"/>
              </w:rPr>
              <w:t>热值：41870KJ/kg</w:t>
            </w:r>
          </w:p>
          <w:p w14:paraId="5D36F38B">
            <w:pPr>
              <w:rPr>
                <w:rFonts w:hint="eastAsia" w:ascii="宋体" w:hAnsi="宋体"/>
                <w:color w:val="auto"/>
                <w:szCs w:val="21"/>
              </w:rPr>
            </w:pPr>
            <w:r>
              <w:rPr>
                <w:rFonts w:ascii="宋体" w:hAnsi="宋体"/>
                <w:color w:val="auto"/>
                <w:szCs w:val="21"/>
              </w:rPr>
              <w:t>火焰温度：1100℃</w:t>
            </w:r>
          </w:p>
          <w:p w14:paraId="202A067F">
            <w:pPr>
              <w:rPr>
                <w:rFonts w:hint="eastAsia" w:ascii="宋体" w:hAnsi="宋体"/>
                <w:color w:val="auto"/>
                <w:szCs w:val="21"/>
              </w:rPr>
            </w:pPr>
            <w:r>
              <w:rPr>
                <w:rFonts w:ascii="宋体" w:hAnsi="宋体"/>
                <w:color w:val="auto"/>
                <w:szCs w:val="21"/>
              </w:rPr>
              <w:t>沸点：300℃</w:t>
            </w:r>
            <w:r>
              <w:rPr>
                <w:rFonts w:hint="eastAsia" w:ascii="宋体" w:hAnsi="宋体"/>
                <w:color w:val="auto"/>
                <w:szCs w:val="21"/>
              </w:rPr>
              <w:t>～</w:t>
            </w:r>
            <w:r>
              <w:rPr>
                <w:rFonts w:ascii="宋体" w:hAnsi="宋体"/>
                <w:color w:val="auto"/>
                <w:szCs w:val="21"/>
              </w:rPr>
              <w:t>325℃</w:t>
            </w:r>
          </w:p>
          <w:p w14:paraId="0747F84D">
            <w:pPr>
              <w:rPr>
                <w:rFonts w:hint="eastAsia" w:ascii="宋体" w:hAnsi="宋体"/>
                <w:color w:val="auto"/>
                <w:szCs w:val="21"/>
              </w:rPr>
            </w:pPr>
            <w:r>
              <w:rPr>
                <w:rFonts w:ascii="宋体" w:hAnsi="宋体"/>
                <w:color w:val="auto"/>
                <w:szCs w:val="21"/>
              </w:rPr>
              <w:t>闪点：23.5℃</w:t>
            </w:r>
          </w:p>
          <w:p w14:paraId="6F0D645B">
            <w:pPr>
              <w:rPr>
                <w:rFonts w:hint="eastAsia" w:ascii="宋体" w:hAnsi="宋体"/>
                <w:color w:val="auto"/>
                <w:szCs w:val="21"/>
              </w:rPr>
            </w:pPr>
            <w:r>
              <w:rPr>
                <w:rFonts w:ascii="宋体" w:hAnsi="宋体"/>
                <w:color w:val="auto"/>
                <w:szCs w:val="21"/>
              </w:rPr>
              <w:t>爆炸极限1.1%</w:t>
            </w:r>
            <w:r>
              <w:rPr>
                <w:rFonts w:hint="eastAsia" w:ascii="宋体" w:hAnsi="宋体"/>
                <w:color w:val="auto"/>
                <w:szCs w:val="21"/>
              </w:rPr>
              <w:t>～</w:t>
            </w:r>
            <w:r>
              <w:rPr>
                <w:rFonts w:ascii="宋体" w:hAnsi="宋体"/>
                <w:color w:val="auto"/>
                <w:szCs w:val="21"/>
              </w:rPr>
              <w:t>6.4%（v）自然燃点380℃</w:t>
            </w:r>
            <w:r>
              <w:rPr>
                <w:rFonts w:hint="eastAsia" w:ascii="宋体" w:hAnsi="宋体"/>
                <w:color w:val="auto"/>
                <w:szCs w:val="21"/>
              </w:rPr>
              <w:t>～</w:t>
            </w:r>
            <w:r>
              <w:rPr>
                <w:rFonts w:ascii="宋体" w:hAnsi="宋体"/>
                <w:color w:val="auto"/>
                <w:szCs w:val="21"/>
              </w:rPr>
              <w:t>530℃</w:t>
            </w:r>
          </w:p>
        </w:tc>
        <w:tc>
          <w:tcPr>
            <w:tcW w:w="933" w:type="dxa"/>
            <w:tcMar>
              <w:left w:w="0" w:type="dxa"/>
              <w:right w:w="0" w:type="dxa"/>
            </w:tcMar>
            <w:vAlign w:val="center"/>
          </w:tcPr>
          <w:p w14:paraId="6FCFF4B6">
            <w:pPr>
              <w:adjustRightInd w:val="0"/>
              <w:snapToGrid w:val="0"/>
              <w:spacing w:line="300" w:lineRule="exact"/>
              <w:jc w:val="center"/>
              <w:rPr>
                <w:rFonts w:hint="eastAsia" w:ascii="宋体" w:hAnsi="宋体"/>
                <w:color w:val="auto"/>
                <w:szCs w:val="21"/>
              </w:rPr>
            </w:pPr>
            <w:r>
              <w:rPr>
                <w:rFonts w:ascii="宋体" w:hAnsi="宋体"/>
                <w:color w:val="auto"/>
                <w:szCs w:val="21"/>
              </w:rPr>
              <w:t>属于高闪点液体</w:t>
            </w:r>
          </w:p>
        </w:tc>
      </w:tr>
      <w:tr w14:paraId="2BDA48A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451" w:type="dxa"/>
            <w:tcMar>
              <w:left w:w="0" w:type="dxa"/>
              <w:right w:w="0" w:type="dxa"/>
            </w:tcMar>
            <w:vAlign w:val="center"/>
          </w:tcPr>
          <w:p w14:paraId="4E4FF724">
            <w:pPr>
              <w:adjustRightInd w:val="0"/>
              <w:snapToGrid w:val="0"/>
              <w:spacing w:line="300" w:lineRule="exact"/>
              <w:jc w:val="center"/>
              <w:rPr>
                <w:rFonts w:hint="eastAsia" w:ascii="宋体" w:hAnsi="宋体"/>
                <w:color w:val="auto"/>
                <w:szCs w:val="21"/>
              </w:rPr>
            </w:pPr>
            <w:r>
              <w:rPr>
                <w:rFonts w:hint="eastAsia" w:ascii="宋体" w:hAnsi="宋体"/>
                <w:color w:val="auto"/>
                <w:szCs w:val="21"/>
              </w:rPr>
              <w:t>2</w:t>
            </w:r>
          </w:p>
        </w:tc>
        <w:tc>
          <w:tcPr>
            <w:tcW w:w="726" w:type="dxa"/>
            <w:tcMar>
              <w:left w:w="0" w:type="dxa"/>
              <w:right w:w="0" w:type="dxa"/>
            </w:tcMar>
            <w:vAlign w:val="center"/>
          </w:tcPr>
          <w:p w14:paraId="6CC90AC6">
            <w:pPr>
              <w:adjustRightInd w:val="0"/>
              <w:snapToGrid w:val="0"/>
              <w:spacing w:line="300" w:lineRule="exact"/>
              <w:jc w:val="center"/>
              <w:rPr>
                <w:rFonts w:hint="eastAsia" w:ascii="宋体" w:hAnsi="宋体"/>
                <w:color w:val="auto"/>
                <w:szCs w:val="21"/>
              </w:rPr>
            </w:pPr>
            <w:r>
              <w:rPr>
                <w:rFonts w:hint="eastAsia" w:ascii="宋体" w:hAnsi="宋体"/>
                <w:color w:val="auto"/>
                <w:szCs w:val="21"/>
              </w:rPr>
              <w:t>伴生气</w:t>
            </w:r>
          </w:p>
        </w:tc>
        <w:tc>
          <w:tcPr>
            <w:tcW w:w="1400" w:type="dxa"/>
            <w:tcMar>
              <w:left w:w="0" w:type="dxa"/>
              <w:right w:w="0" w:type="dxa"/>
            </w:tcMar>
            <w:vAlign w:val="center"/>
          </w:tcPr>
          <w:p w14:paraId="77AF40F1">
            <w:pPr>
              <w:adjustRightInd w:val="0"/>
              <w:snapToGrid w:val="0"/>
              <w:spacing w:line="300" w:lineRule="exact"/>
              <w:jc w:val="center"/>
              <w:rPr>
                <w:rFonts w:hint="eastAsia" w:ascii="宋体" w:hAnsi="宋体"/>
                <w:color w:val="auto"/>
                <w:szCs w:val="21"/>
              </w:rPr>
            </w:pPr>
            <w:r>
              <w:rPr>
                <w:rFonts w:ascii="宋体" w:hAnsi="宋体"/>
                <w:color w:val="auto"/>
                <w:szCs w:val="21"/>
              </w:rPr>
              <w:t>多种可燃性气体的总称，主要成分包括甲烷、乙烷等</w:t>
            </w:r>
          </w:p>
        </w:tc>
        <w:tc>
          <w:tcPr>
            <w:tcW w:w="3235" w:type="dxa"/>
            <w:tcMar>
              <w:left w:w="0" w:type="dxa"/>
              <w:right w:w="0" w:type="dxa"/>
            </w:tcMar>
            <w:vAlign w:val="center"/>
          </w:tcPr>
          <w:p w14:paraId="195B56DD">
            <w:pPr>
              <w:adjustRightInd w:val="0"/>
              <w:snapToGrid w:val="0"/>
              <w:spacing w:line="300" w:lineRule="exact"/>
              <w:jc w:val="center"/>
              <w:rPr>
                <w:rFonts w:hint="eastAsia" w:ascii="宋体" w:hAnsi="宋体"/>
                <w:color w:val="auto"/>
                <w:szCs w:val="21"/>
              </w:rPr>
            </w:pPr>
            <w:bookmarkStart w:id="724" w:name="_Hlk173421952"/>
            <w:r>
              <w:rPr>
                <w:rFonts w:hint="eastAsia" w:ascii="宋体" w:hAnsi="宋体"/>
                <w:color w:val="auto"/>
                <w:szCs w:val="21"/>
              </w:rPr>
              <w:t>伴生气中甲烷含量在66.3%～71.07%，</w:t>
            </w:r>
            <w:bookmarkEnd w:id="724"/>
            <w:r>
              <w:rPr>
                <w:rFonts w:hint="eastAsia" w:ascii="宋体" w:hAnsi="宋体"/>
                <w:color w:val="auto"/>
                <w:szCs w:val="21"/>
              </w:rPr>
              <w:t>伴生气</w:t>
            </w:r>
            <w:r>
              <w:rPr>
                <w:rFonts w:ascii="宋体" w:hAnsi="宋体"/>
                <w:color w:val="auto"/>
                <w:szCs w:val="21"/>
              </w:rPr>
              <w:t>中含有的甲烷，是一种无毒气体，当空气中大量弥漫这种气体时它会造成人因氧气不足而呼吸困难，进而失去知觉、昏迷甚至残废</w:t>
            </w:r>
            <w:r>
              <w:rPr>
                <w:rFonts w:hint="eastAsia" w:ascii="宋体" w:hAnsi="宋体"/>
                <w:color w:val="auto"/>
                <w:szCs w:val="21"/>
              </w:rPr>
              <w:t>，</w:t>
            </w:r>
            <w:bookmarkStart w:id="725" w:name="_Hlk173421957"/>
            <w:r>
              <w:rPr>
                <w:rFonts w:hint="eastAsia" w:ascii="宋体" w:hAnsi="宋体"/>
                <w:color w:val="auto"/>
                <w:szCs w:val="21"/>
              </w:rPr>
              <w:t>伴生气中硫化氢的浓度在0～254ppm。</w:t>
            </w:r>
            <w:bookmarkEnd w:id="725"/>
          </w:p>
        </w:tc>
        <w:tc>
          <w:tcPr>
            <w:tcW w:w="1985" w:type="dxa"/>
            <w:tcMar>
              <w:left w:w="0" w:type="dxa"/>
              <w:right w:w="0" w:type="dxa"/>
            </w:tcMar>
            <w:vAlign w:val="center"/>
          </w:tcPr>
          <w:p w14:paraId="602012C2">
            <w:pPr>
              <w:rPr>
                <w:rFonts w:hint="eastAsia" w:ascii="宋体" w:hAnsi="宋体"/>
                <w:color w:val="auto"/>
                <w:szCs w:val="21"/>
              </w:rPr>
            </w:pPr>
            <w:r>
              <w:rPr>
                <w:rFonts w:ascii="宋体" w:hAnsi="宋体"/>
                <w:color w:val="auto"/>
                <w:szCs w:val="21"/>
              </w:rPr>
              <w:t>热值：50009KJ/kg</w:t>
            </w:r>
          </w:p>
          <w:p w14:paraId="497C7857">
            <w:pPr>
              <w:rPr>
                <w:rFonts w:hint="eastAsia" w:ascii="宋体" w:hAnsi="宋体"/>
                <w:color w:val="auto"/>
                <w:szCs w:val="21"/>
              </w:rPr>
            </w:pPr>
            <w:r>
              <w:rPr>
                <w:rFonts w:ascii="宋体" w:hAnsi="宋体"/>
                <w:color w:val="auto"/>
                <w:szCs w:val="21"/>
              </w:rPr>
              <w:t>爆炸极限5%</w:t>
            </w:r>
            <w:r>
              <w:rPr>
                <w:rFonts w:hint="eastAsia" w:ascii="宋体" w:hAnsi="宋体"/>
                <w:color w:val="auto"/>
                <w:szCs w:val="21"/>
              </w:rPr>
              <w:t>～</w:t>
            </w:r>
            <w:r>
              <w:rPr>
                <w:rFonts w:ascii="宋体" w:hAnsi="宋体"/>
                <w:color w:val="auto"/>
                <w:szCs w:val="21"/>
              </w:rPr>
              <w:t>14%（v）自然燃点</w:t>
            </w:r>
          </w:p>
          <w:p w14:paraId="47216F9B">
            <w:pPr>
              <w:adjustRightInd w:val="0"/>
              <w:snapToGrid w:val="0"/>
              <w:spacing w:line="300" w:lineRule="exact"/>
              <w:jc w:val="center"/>
              <w:rPr>
                <w:rFonts w:hint="eastAsia" w:ascii="宋体" w:hAnsi="宋体"/>
                <w:color w:val="auto"/>
                <w:szCs w:val="21"/>
              </w:rPr>
            </w:pPr>
            <w:r>
              <w:rPr>
                <w:rFonts w:ascii="宋体" w:hAnsi="宋体"/>
                <w:color w:val="auto"/>
                <w:szCs w:val="21"/>
              </w:rPr>
              <w:t>482℃</w:t>
            </w:r>
            <w:r>
              <w:rPr>
                <w:rFonts w:hint="eastAsia" w:ascii="宋体" w:hAnsi="宋体"/>
                <w:color w:val="auto"/>
                <w:szCs w:val="21"/>
              </w:rPr>
              <w:t>～</w:t>
            </w:r>
            <w:r>
              <w:rPr>
                <w:rFonts w:ascii="宋体" w:hAnsi="宋体"/>
                <w:color w:val="auto"/>
                <w:szCs w:val="21"/>
              </w:rPr>
              <w:t>632℃</w:t>
            </w:r>
          </w:p>
        </w:tc>
        <w:tc>
          <w:tcPr>
            <w:tcW w:w="933" w:type="dxa"/>
            <w:tcMar>
              <w:left w:w="0" w:type="dxa"/>
              <w:right w:w="0" w:type="dxa"/>
            </w:tcMar>
            <w:vAlign w:val="center"/>
          </w:tcPr>
          <w:p w14:paraId="68C36A84">
            <w:pPr>
              <w:adjustRightInd w:val="0"/>
              <w:snapToGrid w:val="0"/>
              <w:spacing w:line="300" w:lineRule="exact"/>
              <w:jc w:val="center"/>
              <w:rPr>
                <w:rFonts w:hint="eastAsia" w:ascii="宋体" w:hAnsi="宋体"/>
                <w:color w:val="auto"/>
                <w:szCs w:val="21"/>
              </w:rPr>
            </w:pPr>
            <w:r>
              <w:rPr>
                <w:rFonts w:ascii="宋体" w:hAnsi="宋体"/>
                <w:color w:val="auto"/>
                <w:szCs w:val="21"/>
              </w:rPr>
              <w:t>属于5.1类中易燃气体</w:t>
            </w:r>
          </w:p>
        </w:tc>
      </w:tr>
      <w:tr w14:paraId="01E7FB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451" w:type="dxa"/>
            <w:tcMar>
              <w:left w:w="0" w:type="dxa"/>
              <w:right w:w="0" w:type="dxa"/>
            </w:tcMar>
            <w:vAlign w:val="center"/>
          </w:tcPr>
          <w:p w14:paraId="702234C9">
            <w:pPr>
              <w:adjustRightInd w:val="0"/>
              <w:snapToGrid w:val="0"/>
              <w:spacing w:line="300" w:lineRule="exact"/>
              <w:jc w:val="center"/>
              <w:rPr>
                <w:rFonts w:hint="eastAsia" w:ascii="宋体" w:hAnsi="宋体"/>
                <w:color w:val="auto"/>
                <w:szCs w:val="21"/>
              </w:rPr>
            </w:pPr>
            <w:r>
              <w:rPr>
                <w:rFonts w:hint="eastAsia" w:ascii="宋体" w:hAnsi="宋体"/>
                <w:color w:val="auto"/>
                <w:szCs w:val="21"/>
              </w:rPr>
              <w:t>3</w:t>
            </w:r>
          </w:p>
        </w:tc>
        <w:tc>
          <w:tcPr>
            <w:tcW w:w="726" w:type="dxa"/>
            <w:tcMar>
              <w:left w:w="0" w:type="dxa"/>
              <w:right w:w="0" w:type="dxa"/>
            </w:tcMar>
            <w:vAlign w:val="center"/>
          </w:tcPr>
          <w:p w14:paraId="6B500877">
            <w:pPr>
              <w:adjustRightInd w:val="0"/>
              <w:snapToGrid w:val="0"/>
              <w:spacing w:line="300" w:lineRule="exact"/>
              <w:jc w:val="center"/>
              <w:rPr>
                <w:rFonts w:hint="eastAsia" w:ascii="宋体" w:hAnsi="宋体"/>
                <w:color w:val="auto"/>
                <w:szCs w:val="21"/>
              </w:rPr>
            </w:pPr>
            <w:r>
              <w:rPr>
                <w:rFonts w:hint="eastAsia" w:ascii="宋体" w:hAnsi="宋体"/>
                <w:color w:val="auto"/>
                <w:szCs w:val="21"/>
              </w:rPr>
              <w:t>混烃</w:t>
            </w:r>
          </w:p>
        </w:tc>
        <w:tc>
          <w:tcPr>
            <w:tcW w:w="1400" w:type="dxa"/>
            <w:tcMar>
              <w:left w:w="0" w:type="dxa"/>
              <w:right w:w="0" w:type="dxa"/>
            </w:tcMar>
            <w:vAlign w:val="center"/>
          </w:tcPr>
          <w:p w14:paraId="7861AA66">
            <w:pPr>
              <w:adjustRightInd w:val="0"/>
              <w:snapToGrid w:val="0"/>
              <w:spacing w:line="300" w:lineRule="exact"/>
              <w:jc w:val="center"/>
              <w:rPr>
                <w:rFonts w:hint="eastAsia" w:ascii="宋体" w:hAnsi="宋体"/>
                <w:color w:val="auto"/>
                <w:szCs w:val="21"/>
              </w:rPr>
            </w:pPr>
            <w:r>
              <w:rPr>
                <w:rFonts w:hint="eastAsia" w:ascii="宋体" w:hAnsi="宋体"/>
                <w:color w:val="auto"/>
                <w:szCs w:val="21"/>
              </w:rPr>
              <w:t>由</w:t>
            </w:r>
            <w:r>
              <w:rPr>
                <w:rFonts w:ascii="宋体" w:hAnsi="宋体"/>
                <w:color w:val="auto"/>
                <w:szCs w:val="21"/>
              </w:rPr>
              <w:t>各种烃类和非烃类化合物所组成的复杂混合物</w:t>
            </w:r>
          </w:p>
        </w:tc>
        <w:tc>
          <w:tcPr>
            <w:tcW w:w="3235" w:type="dxa"/>
            <w:tcMar>
              <w:left w:w="0" w:type="dxa"/>
              <w:right w:w="0" w:type="dxa"/>
            </w:tcMar>
            <w:vAlign w:val="center"/>
          </w:tcPr>
          <w:p w14:paraId="55D2FDEB">
            <w:pPr>
              <w:adjustRightInd w:val="0"/>
              <w:snapToGrid w:val="0"/>
              <w:spacing w:line="300" w:lineRule="exact"/>
              <w:jc w:val="center"/>
              <w:rPr>
                <w:rFonts w:hint="eastAsia" w:ascii="宋体" w:hAnsi="宋体"/>
                <w:color w:val="auto"/>
                <w:szCs w:val="21"/>
              </w:rPr>
            </w:pPr>
            <w:r>
              <w:rPr>
                <w:rFonts w:ascii="宋体" w:hAnsi="宋体"/>
                <w:color w:val="auto"/>
                <w:szCs w:val="21"/>
              </w:rPr>
              <w:t>本身无明显毒性。遇热分解出有毒的烟雾，吸入大量可引起危害：有刺激和麻痹作用，吸入急性中毒者有上呼吸道刺激症状。流泪，随之出现头晕、头痛、恶心、运动失调及酒醉样症状</w:t>
            </w:r>
          </w:p>
        </w:tc>
        <w:tc>
          <w:tcPr>
            <w:tcW w:w="1985" w:type="dxa"/>
            <w:tcMar>
              <w:left w:w="0" w:type="dxa"/>
              <w:right w:w="0" w:type="dxa"/>
            </w:tcMar>
            <w:vAlign w:val="center"/>
          </w:tcPr>
          <w:p w14:paraId="1A640BBF">
            <w:pPr>
              <w:rPr>
                <w:rFonts w:hint="eastAsia" w:ascii="宋体" w:hAnsi="宋体"/>
                <w:color w:val="auto"/>
                <w:szCs w:val="21"/>
              </w:rPr>
            </w:pPr>
            <w:r>
              <w:rPr>
                <w:rFonts w:ascii="宋体" w:hAnsi="宋体"/>
                <w:color w:val="auto"/>
                <w:szCs w:val="21"/>
              </w:rPr>
              <w:t>热值：41870KJ/kg</w:t>
            </w:r>
          </w:p>
          <w:p w14:paraId="0B235D08">
            <w:pPr>
              <w:rPr>
                <w:rFonts w:hint="eastAsia" w:ascii="宋体" w:hAnsi="宋体"/>
                <w:color w:val="auto"/>
                <w:szCs w:val="21"/>
              </w:rPr>
            </w:pPr>
            <w:r>
              <w:rPr>
                <w:rFonts w:ascii="宋体" w:hAnsi="宋体"/>
                <w:color w:val="auto"/>
                <w:szCs w:val="21"/>
              </w:rPr>
              <w:t>火焰温度：1100℃</w:t>
            </w:r>
          </w:p>
          <w:p w14:paraId="66B4A9AF">
            <w:pPr>
              <w:rPr>
                <w:rFonts w:hint="eastAsia" w:ascii="宋体" w:hAnsi="宋体"/>
                <w:color w:val="auto"/>
                <w:szCs w:val="21"/>
              </w:rPr>
            </w:pPr>
            <w:r>
              <w:rPr>
                <w:rFonts w:ascii="宋体" w:hAnsi="宋体"/>
                <w:color w:val="auto"/>
                <w:szCs w:val="21"/>
              </w:rPr>
              <w:t>沸点：300℃</w:t>
            </w:r>
            <w:r>
              <w:rPr>
                <w:rFonts w:hint="eastAsia" w:ascii="宋体" w:hAnsi="宋体"/>
                <w:color w:val="auto"/>
                <w:szCs w:val="21"/>
              </w:rPr>
              <w:t>～</w:t>
            </w:r>
            <w:r>
              <w:rPr>
                <w:rFonts w:ascii="宋体" w:hAnsi="宋体"/>
                <w:color w:val="auto"/>
                <w:szCs w:val="21"/>
              </w:rPr>
              <w:t>325℃</w:t>
            </w:r>
          </w:p>
          <w:p w14:paraId="3BDE9E1A">
            <w:pPr>
              <w:rPr>
                <w:rFonts w:hint="eastAsia" w:ascii="宋体" w:hAnsi="宋体"/>
                <w:color w:val="auto"/>
                <w:szCs w:val="21"/>
              </w:rPr>
            </w:pPr>
            <w:r>
              <w:rPr>
                <w:rFonts w:ascii="宋体" w:hAnsi="宋体"/>
                <w:color w:val="auto"/>
                <w:szCs w:val="21"/>
              </w:rPr>
              <w:t>闪点：23.5℃</w:t>
            </w:r>
          </w:p>
          <w:p w14:paraId="66642B20">
            <w:pPr>
              <w:rPr>
                <w:rFonts w:hint="eastAsia" w:ascii="宋体" w:hAnsi="宋体"/>
                <w:color w:val="auto"/>
                <w:szCs w:val="21"/>
              </w:rPr>
            </w:pPr>
            <w:r>
              <w:rPr>
                <w:rFonts w:ascii="宋体" w:hAnsi="宋体"/>
                <w:color w:val="auto"/>
                <w:szCs w:val="21"/>
              </w:rPr>
              <w:t>爆炸极限1.1%</w:t>
            </w:r>
            <w:r>
              <w:rPr>
                <w:rFonts w:hint="eastAsia" w:ascii="宋体" w:hAnsi="宋体"/>
                <w:color w:val="auto"/>
                <w:szCs w:val="21"/>
              </w:rPr>
              <w:t>～</w:t>
            </w:r>
            <w:r>
              <w:rPr>
                <w:rFonts w:ascii="宋体" w:hAnsi="宋体"/>
                <w:color w:val="auto"/>
                <w:szCs w:val="21"/>
              </w:rPr>
              <w:t>6.4%（v）自然燃点380℃</w:t>
            </w:r>
            <w:r>
              <w:rPr>
                <w:rFonts w:hint="eastAsia" w:ascii="宋体" w:hAnsi="宋体"/>
                <w:color w:val="auto"/>
                <w:szCs w:val="21"/>
              </w:rPr>
              <w:t>～</w:t>
            </w:r>
            <w:r>
              <w:rPr>
                <w:rFonts w:ascii="宋体" w:hAnsi="宋体"/>
                <w:color w:val="auto"/>
                <w:szCs w:val="21"/>
              </w:rPr>
              <w:t>530℃</w:t>
            </w:r>
          </w:p>
        </w:tc>
        <w:tc>
          <w:tcPr>
            <w:tcW w:w="933" w:type="dxa"/>
            <w:tcMar>
              <w:left w:w="0" w:type="dxa"/>
              <w:right w:w="0" w:type="dxa"/>
            </w:tcMar>
            <w:vAlign w:val="center"/>
          </w:tcPr>
          <w:p w14:paraId="2BD7691B">
            <w:pPr>
              <w:adjustRightInd w:val="0"/>
              <w:snapToGrid w:val="0"/>
              <w:spacing w:line="300" w:lineRule="exact"/>
              <w:jc w:val="center"/>
              <w:rPr>
                <w:rFonts w:hint="eastAsia" w:ascii="宋体" w:hAnsi="宋体"/>
                <w:color w:val="auto"/>
                <w:szCs w:val="21"/>
              </w:rPr>
            </w:pPr>
            <w:r>
              <w:rPr>
                <w:rFonts w:ascii="宋体" w:hAnsi="宋体"/>
                <w:color w:val="auto"/>
                <w:szCs w:val="21"/>
              </w:rPr>
              <w:t>属于高闪点液体</w:t>
            </w:r>
          </w:p>
        </w:tc>
      </w:tr>
    </w:tbl>
    <w:p w14:paraId="3BAE6DD8">
      <w:pPr>
        <w:pStyle w:val="86"/>
        <w:adjustRightInd w:val="0"/>
        <w:snapToGrid w:val="0"/>
        <w:ind w:firstLine="480"/>
        <w:rPr>
          <w:rFonts w:hint="eastAsia"/>
          <w:color w:val="auto"/>
        </w:rPr>
      </w:pPr>
      <w:r>
        <w:rPr>
          <w:rFonts w:hint="eastAsia"/>
          <w:color w:val="auto"/>
        </w:rPr>
        <w:t>（</w:t>
      </w:r>
      <w:r>
        <w:rPr>
          <w:color w:val="auto"/>
        </w:rPr>
        <w:t>2</w:t>
      </w:r>
      <w:r>
        <w:rPr>
          <w:rFonts w:hint="eastAsia"/>
          <w:color w:val="auto"/>
        </w:rPr>
        <w:t>）</w:t>
      </w:r>
      <w:r>
        <w:rPr>
          <w:color w:val="auto"/>
        </w:rPr>
        <w:t>生产设施危险性识别</w:t>
      </w:r>
    </w:p>
    <w:p w14:paraId="2DB8BD15">
      <w:pPr>
        <w:overflowPunct w:val="0"/>
        <w:adjustRightInd w:val="0"/>
        <w:snapToGrid w:val="0"/>
        <w:spacing w:line="500" w:lineRule="exact"/>
        <w:ind w:firstLine="480" w:firstLineChars="200"/>
        <w:rPr>
          <w:rFonts w:hint="eastAsia" w:ascii="宋体" w:hAnsi="宋体"/>
          <w:color w:val="auto"/>
          <w:sz w:val="24"/>
          <w:szCs w:val="24"/>
        </w:rPr>
      </w:pPr>
      <w:r>
        <w:rPr>
          <w:rFonts w:hint="eastAsia" w:ascii="宋体" w:hAnsi="宋体"/>
          <w:color w:val="auto"/>
          <w:sz w:val="24"/>
          <w:szCs w:val="24"/>
        </w:rPr>
        <w:t>①井场危险性识别</w:t>
      </w:r>
    </w:p>
    <w:p w14:paraId="233A8F4B">
      <w:pPr>
        <w:pStyle w:val="86"/>
        <w:ind w:firstLine="480"/>
        <w:rPr>
          <w:rFonts w:hint="eastAsia"/>
          <w:color w:val="auto"/>
        </w:rPr>
      </w:pPr>
      <w:r>
        <w:rPr>
          <w:rFonts w:hint="eastAsia"/>
          <w:color w:val="auto"/>
        </w:rPr>
        <w:t>单井井场主要发生的风险事故为井漏和井喷。井漏主要由于生产井固井质量不好，井下作业时可能引发油水窜层，污染地下水。井喷主要是在井下作业中发生的事故。本项目在井下作业过程中由于地层压力不稳、封井不严或者井控设备失灵，均可能发生井喷事故。发生井喷事故时，天然气、原油和地层水一同冲出井口，很容易发生爆炸和火灾事故。</w:t>
      </w:r>
    </w:p>
    <w:p w14:paraId="189800B9">
      <w:pPr>
        <w:pStyle w:val="86"/>
        <w:adjustRightInd w:val="0"/>
        <w:snapToGrid w:val="0"/>
        <w:ind w:firstLine="480"/>
        <w:rPr>
          <w:rFonts w:hint="eastAsia"/>
          <w:color w:val="auto"/>
        </w:rPr>
      </w:pPr>
      <w:r>
        <w:rPr>
          <w:rFonts w:hint="eastAsia"/>
          <w:color w:val="auto"/>
        </w:rPr>
        <w:t>天然气橇装处理装置因设备本身设计、管材制造、施工、操作运行和管理等各环节都可能存在着缺陷和失误，所有这些因素都可能导致事故的发生。发生的事故主要为设备破裂造成的天然气、凝析油泄漏，对周围环境造成直接污染，而且泄漏的油气遇到明火还可能发生火灾、爆炸事故。</w:t>
      </w:r>
    </w:p>
    <w:p w14:paraId="1A606FD5">
      <w:pPr>
        <w:overflowPunct w:val="0"/>
        <w:adjustRightInd w:val="0"/>
        <w:snapToGrid w:val="0"/>
        <w:spacing w:line="500" w:lineRule="exact"/>
        <w:ind w:firstLine="480"/>
        <w:rPr>
          <w:rFonts w:hint="eastAsia" w:ascii="宋体" w:hAnsi="宋体"/>
          <w:color w:val="auto"/>
          <w:sz w:val="24"/>
          <w:szCs w:val="24"/>
        </w:rPr>
      </w:pPr>
      <w:bookmarkStart w:id="726" w:name="_Hlk37930210"/>
      <w:r>
        <w:rPr>
          <w:rFonts w:hint="eastAsia" w:ascii="宋体" w:hAnsi="宋体"/>
          <w:color w:val="auto"/>
          <w:sz w:val="24"/>
          <w:szCs w:val="24"/>
        </w:rPr>
        <w:t>②管线危险性识别</w:t>
      </w:r>
    </w:p>
    <w:p w14:paraId="00AF01D2">
      <w:pPr>
        <w:pStyle w:val="86"/>
        <w:ind w:firstLine="480"/>
        <w:rPr>
          <w:rFonts w:hint="eastAsia"/>
          <w:color w:val="auto"/>
        </w:rPr>
      </w:pPr>
      <w:r>
        <w:rPr>
          <w:rFonts w:hint="eastAsia"/>
          <w:color w:val="auto"/>
        </w:rPr>
        <w:t>单井采油管线和集油干支线因管线本身的设计、管材制造、施工、操作运行和管理等各环节都可能存在缺陷和失误，所有这些因素都可能导致事故的发生。发生的事故主要为管线破裂造成的原油、伴生气泄漏，对周围土壤环境、地下水环境和大气环境造成直接污染。</w:t>
      </w:r>
    </w:p>
    <w:p w14:paraId="54E574AF">
      <w:pPr>
        <w:overflowPunct w:val="0"/>
        <w:adjustRightInd w:val="0"/>
        <w:snapToGrid w:val="0"/>
        <w:spacing w:line="500" w:lineRule="exact"/>
        <w:ind w:firstLine="480" w:firstLineChars="200"/>
        <w:rPr>
          <w:rFonts w:hint="eastAsia" w:ascii="宋体" w:hAnsi="宋体"/>
          <w:color w:val="auto"/>
          <w:sz w:val="24"/>
          <w:szCs w:val="24"/>
        </w:rPr>
      </w:pPr>
      <w:r>
        <w:rPr>
          <w:rFonts w:hint="eastAsia" w:ascii="宋体" w:hAnsi="宋体"/>
          <w:color w:val="auto"/>
          <w:sz w:val="24"/>
          <w:szCs w:val="24"/>
        </w:rPr>
        <w:t>③储油罐、CNG槽车危险性识别</w:t>
      </w:r>
    </w:p>
    <w:p w14:paraId="01BA3B8A">
      <w:pPr>
        <w:overflowPunct w:val="0"/>
        <w:adjustRightInd w:val="0"/>
        <w:snapToGrid w:val="0"/>
        <w:spacing w:line="500" w:lineRule="exact"/>
        <w:ind w:firstLine="480" w:firstLineChars="200"/>
        <w:rPr>
          <w:rFonts w:hint="eastAsia" w:ascii="宋体" w:hAnsi="宋体"/>
          <w:color w:val="auto"/>
          <w:sz w:val="24"/>
          <w:szCs w:val="24"/>
        </w:rPr>
      </w:pPr>
      <w:r>
        <w:rPr>
          <w:rFonts w:hint="eastAsia" w:ascii="宋体" w:hAnsi="宋体"/>
          <w:color w:val="auto"/>
          <w:sz w:val="24"/>
          <w:szCs w:val="24"/>
        </w:rPr>
        <w:t>储油罐、</w:t>
      </w:r>
      <w:bookmarkStart w:id="727" w:name="OLE_LINK56"/>
      <w:r>
        <w:rPr>
          <w:rFonts w:hint="eastAsia" w:ascii="宋体" w:hAnsi="宋体"/>
          <w:color w:val="auto"/>
          <w:sz w:val="24"/>
          <w:szCs w:val="24"/>
        </w:rPr>
        <w:t>CNG槽车</w:t>
      </w:r>
      <w:bookmarkEnd w:id="727"/>
      <w:r>
        <w:rPr>
          <w:rFonts w:hint="eastAsia" w:ascii="宋体" w:hAnsi="宋体"/>
          <w:color w:val="auto"/>
          <w:sz w:val="24"/>
          <w:szCs w:val="24"/>
        </w:rPr>
        <w:t>在设计、管材制造、施工、操作运行和管理等各环节都可能存在着缺陷和失误，所有这些因素都可能导致事故的发生。发生的事故主要为储油罐发生破裂造成的凝析油泄漏，事故发生时会有大量的凝析油溢出，对周围环境造成直接污染，而且泄漏的凝析油遇到明火还可能产生火灾、爆炸事故。</w:t>
      </w:r>
    </w:p>
    <w:p w14:paraId="608AD387">
      <w:pPr>
        <w:overflowPunct w:val="0"/>
        <w:adjustRightInd w:val="0"/>
        <w:snapToGrid w:val="0"/>
        <w:spacing w:line="500" w:lineRule="exact"/>
        <w:ind w:firstLine="480" w:firstLineChars="200"/>
        <w:rPr>
          <w:rFonts w:hint="eastAsia" w:ascii="宋体" w:hAnsi="宋体"/>
          <w:color w:val="auto"/>
          <w:sz w:val="24"/>
          <w:szCs w:val="24"/>
        </w:rPr>
      </w:pPr>
      <w:r>
        <w:rPr>
          <w:rFonts w:hint="eastAsia" w:ascii="宋体" w:hAnsi="宋体"/>
          <w:color w:val="auto"/>
          <w:sz w:val="24"/>
          <w:szCs w:val="24"/>
        </w:rPr>
        <w:t>CNG槽车发生破裂造成天然气泄漏，对周围大气环境产生一定的影响，</w:t>
      </w:r>
      <w:bookmarkStart w:id="728" w:name="OLE_LINK60"/>
      <w:r>
        <w:rPr>
          <w:rFonts w:hint="eastAsia" w:ascii="宋体" w:hAnsi="宋体"/>
          <w:color w:val="auto"/>
          <w:sz w:val="24"/>
          <w:szCs w:val="24"/>
        </w:rPr>
        <w:t>遇到明火还可能产生火灾、爆炸事故。</w:t>
      </w:r>
    </w:p>
    <w:bookmarkEnd w:id="728"/>
    <w:p w14:paraId="48E1DD4D">
      <w:pPr>
        <w:overflowPunct w:val="0"/>
        <w:adjustRightInd w:val="0"/>
        <w:snapToGrid w:val="0"/>
        <w:spacing w:line="500" w:lineRule="exact"/>
        <w:ind w:firstLine="480" w:firstLineChars="200"/>
        <w:rPr>
          <w:rFonts w:hint="eastAsia" w:ascii="宋体" w:hAnsi="宋体"/>
          <w:color w:val="auto"/>
          <w:sz w:val="24"/>
          <w:szCs w:val="24"/>
          <w:lang w:val="zh-CN"/>
        </w:rPr>
      </w:pPr>
      <w:r>
        <w:rPr>
          <w:rFonts w:hint="eastAsia" w:ascii="宋体" w:hAnsi="宋体"/>
          <w:color w:val="auto"/>
          <w:sz w:val="24"/>
          <w:szCs w:val="24"/>
        </w:rPr>
        <w:t>④运输风险识别</w:t>
      </w:r>
    </w:p>
    <w:p w14:paraId="1BF3BC19">
      <w:pPr>
        <w:overflowPunct w:val="0"/>
        <w:spacing w:line="500" w:lineRule="exact"/>
        <w:ind w:firstLine="480" w:firstLineChars="200"/>
        <w:rPr>
          <w:rFonts w:hint="eastAsia" w:ascii="宋体" w:hAnsi="宋体"/>
          <w:color w:val="auto"/>
          <w:sz w:val="24"/>
          <w:szCs w:val="24"/>
        </w:rPr>
      </w:pPr>
      <w:r>
        <w:rPr>
          <w:rFonts w:hint="eastAsia" w:ascii="宋体" w:hAnsi="宋体"/>
          <w:color w:val="auto"/>
          <w:sz w:val="24"/>
          <w:szCs w:val="24"/>
        </w:rPr>
        <w:t>储油罐中的原油和采出水由罐车拉运至莫北转油站处理，沿线无环境敏感目标，</w:t>
      </w:r>
      <w:bookmarkStart w:id="729" w:name="OLE_LINK57"/>
      <w:r>
        <w:rPr>
          <w:rFonts w:hint="eastAsia" w:ascii="宋体" w:hAnsi="宋体"/>
          <w:color w:val="auto"/>
          <w:sz w:val="24"/>
          <w:szCs w:val="24"/>
        </w:rPr>
        <w:t>处理后的天然气</w:t>
      </w:r>
      <w:bookmarkEnd w:id="729"/>
      <w:r>
        <w:rPr>
          <w:rFonts w:hint="eastAsia" w:ascii="宋体" w:hAnsi="宋体"/>
          <w:color w:val="auto"/>
          <w:sz w:val="24"/>
          <w:szCs w:val="24"/>
        </w:rPr>
        <w:t>采用CNG槽车拉运至加气站。因车辆本身的设计、制造、操作、管理等各环节存在缺陷的可能性，储油罐和</w:t>
      </w:r>
      <w:bookmarkStart w:id="730" w:name="OLE_LINK58"/>
      <w:r>
        <w:rPr>
          <w:rFonts w:hint="eastAsia" w:ascii="宋体" w:hAnsi="宋体"/>
          <w:color w:val="auto"/>
          <w:sz w:val="24"/>
          <w:szCs w:val="24"/>
        </w:rPr>
        <w:t>CNG槽车</w:t>
      </w:r>
      <w:bookmarkEnd w:id="730"/>
      <w:r>
        <w:rPr>
          <w:rFonts w:hint="eastAsia" w:ascii="宋体" w:hAnsi="宋体"/>
          <w:color w:val="auto"/>
          <w:sz w:val="24"/>
          <w:szCs w:val="24"/>
        </w:rPr>
        <w:t>拉运过程有泄漏事故发生的风险。事故发生时罐车内采出液溢出，对周围大气、土壤、地下水环境造成直接污染，泄漏的油气如遇到明火还可能发生火灾、爆炸事故。</w:t>
      </w:r>
    </w:p>
    <w:p w14:paraId="7083DED9">
      <w:pPr>
        <w:overflowPunct w:val="0"/>
        <w:adjustRightInd w:val="0"/>
        <w:snapToGrid w:val="0"/>
        <w:spacing w:line="500" w:lineRule="exact"/>
        <w:ind w:firstLine="480" w:firstLineChars="200"/>
        <w:rPr>
          <w:rFonts w:hint="eastAsia" w:ascii="宋体" w:hAnsi="宋体"/>
          <w:color w:val="auto"/>
          <w:sz w:val="24"/>
          <w:szCs w:val="24"/>
        </w:rPr>
      </w:pPr>
      <w:bookmarkStart w:id="731" w:name="OLE_LINK59"/>
      <w:r>
        <w:rPr>
          <w:rFonts w:hint="eastAsia" w:ascii="宋体" w:hAnsi="宋体"/>
          <w:color w:val="auto"/>
          <w:sz w:val="24"/>
          <w:szCs w:val="24"/>
        </w:rPr>
        <w:t>CNG槽车破损造成天然气泄漏，泄漏的天然气对周围大气环境产生一定的影响，遇到明火还可能产生火灾、爆炸事故。</w:t>
      </w:r>
    </w:p>
    <w:p w14:paraId="0E092DE3">
      <w:pPr>
        <w:overflowPunct w:val="0"/>
        <w:adjustRightInd w:val="0"/>
        <w:snapToGrid w:val="0"/>
        <w:spacing w:line="500" w:lineRule="exact"/>
        <w:ind w:firstLine="480" w:firstLineChars="200"/>
        <w:rPr>
          <w:rFonts w:hint="eastAsia" w:ascii="宋体" w:hAnsi="宋体"/>
          <w:color w:val="auto"/>
          <w:sz w:val="24"/>
          <w:szCs w:val="24"/>
        </w:rPr>
      </w:pPr>
      <w:r>
        <w:rPr>
          <w:rFonts w:hint="eastAsia" w:ascii="宋体" w:hAnsi="宋体"/>
          <w:color w:val="auto"/>
          <w:sz w:val="24"/>
          <w:szCs w:val="24"/>
        </w:rPr>
        <w:t>⑤压裂液泄漏事故识别</w:t>
      </w:r>
    </w:p>
    <w:p w14:paraId="1132051B">
      <w:pPr>
        <w:kinsoku w:val="0"/>
        <w:overflowPunct w:val="0"/>
        <w:spacing w:line="500" w:lineRule="exact"/>
        <w:ind w:firstLine="480" w:firstLineChars="200"/>
        <w:rPr>
          <w:rFonts w:hint="eastAsia" w:ascii="宋体" w:hAnsi="宋体"/>
          <w:color w:val="auto"/>
          <w:sz w:val="24"/>
          <w:szCs w:val="24"/>
        </w:rPr>
      </w:pPr>
      <w:r>
        <w:rPr>
          <w:rFonts w:hint="eastAsia" w:ascii="宋体" w:hAnsi="宋体"/>
          <w:color w:val="auto"/>
          <w:sz w:val="24"/>
          <w:szCs w:val="24"/>
        </w:rPr>
        <w:t>井下作业时，压裂液配置完成后由罐车拉运至井场，罐体可能因腐蚀过薄甚至穿孔、焊缝开裂、密封损坏、附件失灵等原因造成压裂液泄漏。</w:t>
      </w:r>
    </w:p>
    <w:bookmarkEnd w:id="726"/>
    <w:bookmarkEnd w:id="731"/>
    <w:p w14:paraId="46FA93A8">
      <w:pPr>
        <w:pStyle w:val="86"/>
        <w:spacing w:line="480" w:lineRule="exact"/>
        <w:ind w:firstLine="480"/>
        <w:rPr>
          <w:rFonts w:hint="eastAsia"/>
          <w:color w:val="auto"/>
        </w:rPr>
      </w:pPr>
      <w:r>
        <w:rPr>
          <w:rFonts w:hint="eastAsia"/>
          <w:color w:val="auto"/>
        </w:rPr>
        <w:t>（3）风险</w:t>
      </w:r>
      <w:r>
        <w:rPr>
          <w:color w:val="auto"/>
        </w:rPr>
        <w:t>类型</w:t>
      </w:r>
      <w:r>
        <w:rPr>
          <w:rFonts w:hint="eastAsia"/>
          <w:color w:val="auto"/>
        </w:rPr>
        <w:t>识别</w:t>
      </w:r>
    </w:p>
    <w:p w14:paraId="15FF6C60">
      <w:pPr>
        <w:pStyle w:val="86"/>
        <w:ind w:firstLine="480"/>
        <w:rPr>
          <w:rFonts w:hint="eastAsia"/>
          <w:color w:val="auto"/>
        </w:rPr>
      </w:pPr>
      <w:r>
        <w:rPr>
          <w:rFonts w:hint="eastAsia"/>
          <w:color w:val="auto"/>
        </w:rPr>
        <w:t>环境风险类型</w:t>
      </w:r>
      <w:r>
        <w:rPr>
          <w:color w:val="auto"/>
        </w:rPr>
        <w:t>主要</w:t>
      </w:r>
      <w:r>
        <w:rPr>
          <w:rFonts w:hint="eastAsia"/>
          <w:color w:val="auto"/>
        </w:rPr>
        <w:t>为</w:t>
      </w:r>
      <w:bookmarkStart w:id="732" w:name="_Hlk148008357"/>
      <w:r>
        <w:rPr>
          <w:rFonts w:hint="eastAsia"/>
          <w:color w:val="auto"/>
        </w:rPr>
        <w:t>原油、伴生气泄漏，</w:t>
      </w:r>
      <w:r>
        <w:rPr>
          <w:color w:val="auto"/>
        </w:rPr>
        <w:t>火灾</w:t>
      </w:r>
      <w:r>
        <w:rPr>
          <w:rFonts w:hint="eastAsia"/>
          <w:color w:val="auto"/>
        </w:rPr>
        <w:t>、</w:t>
      </w:r>
      <w:r>
        <w:rPr>
          <w:color w:val="auto"/>
        </w:rPr>
        <w:t>爆炸</w:t>
      </w:r>
      <w:r>
        <w:rPr>
          <w:rFonts w:hint="eastAsia"/>
          <w:color w:val="auto"/>
        </w:rPr>
        <w:t>等引发的伴生/次生污染物排放。</w:t>
      </w:r>
    </w:p>
    <w:bookmarkEnd w:id="732"/>
    <w:p w14:paraId="02ED5846">
      <w:pPr>
        <w:overflowPunct w:val="0"/>
        <w:spacing w:line="500" w:lineRule="exact"/>
        <w:ind w:firstLine="480"/>
        <w:rPr>
          <w:rFonts w:hint="eastAsia" w:ascii="宋体" w:hAnsi="宋体"/>
          <w:color w:val="auto"/>
          <w:sz w:val="24"/>
          <w:szCs w:val="24"/>
        </w:rPr>
      </w:pPr>
      <w:r>
        <w:rPr>
          <w:rFonts w:hint="eastAsia" w:ascii="宋体" w:hAnsi="宋体"/>
          <w:color w:val="auto"/>
          <w:sz w:val="24"/>
          <w:szCs w:val="24"/>
        </w:rPr>
        <w:t>（4）危险物质向环境转移的可能途径和影响方式</w:t>
      </w:r>
    </w:p>
    <w:p w14:paraId="66602E26">
      <w:pPr>
        <w:overflowPunct w:val="0"/>
        <w:spacing w:line="500" w:lineRule="exact"/>
        <w:ind w:firstLine="480" w:firstLineChars="200"/>
        <w:rPr>
          <w:rFonts w:hint="eastAsia" w:ascii="宋体" w:hAnsi="宋体"/>
          <w:color w:val="auto"/>
          <w:sz w:val="24"/>
          <w:szCs w:val="24"/>
        </w:rPr>
      </w:pPr>
      <w:r>
        <w:rPr>
          <w:rFonts w:hint="eastAsia" w:ascii="宋体" w:hAnsi="宋体"/>
          <w:color w:val="auto"/>
          <w:sz w:val="24"/>
          <w:szCs w:val="24"/>
        </w:rPr>
        <w:t>运营期管线、橇装天然气处理装置中的设备、储油罐、槽车等发生破损造成</w:t>
      </w:r>
      <w:bookmarkStart w:id="733" w:name="_Hlk148008400"/>
      <w:r>
        <w:rPr>
          <w:rFonts w:hint="eastAsia" w:ascii="宋体" w:hAnsi="宋体"/>
          <w:color w:val="auto"/>
          <w:sz w:val="24"/>
          <w:szCs w:val="24"/>
        </w:rPr>
        <w:t>伴生气和原油泄漏，污染土壤和大气，泄漏原油可能通过包气带渗漏进入地下含水层，污染地下水；泄漏的油气若遇明火，发生火灾、爆炸，污染大气环境。</w:t>
      </w:r>
    </w:p>
    <w:bookmarkEnd w:id="733"/>
    <w:p w14:paraId="12D754E8">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734" w:name="_Hlk521702572"/>
      <w:r>
        <w:rPr>
          <w:rFonts w:hint="eastAsia" w:ascii="黑体" w:hAnsi="黑体" w:eastAsia="黑体" w:cs="Times New Roman"/>
          <w:color w:val="auto"/>
          <w:sz w:val="24"/>
          <w:szCs w:val="21"/>
          <w:lang w:val="zh-CN"/>
          <w14:ligatures w14:val="none"/>
        </w:rPr>
        <w:t>环境风险分析</w:t>
      </w:r>
    </w:p>
    <w:p w14:paraId="69E0FE61">
      <w:pPr>
        <w:overflowPunct w:val="0"/>
        <w:spacing w:line="500" w:lineRule="exact"/>
        <w:ind w:firstLine="480" w:firstLineChars="200"/>
        <w:rPr>
          <w:rFonts w:hint="eastAsia" w:ascii="宋体" w:hAnsi="宋体"/>
          <w:color w:val="auto"/>
          <w:sz w:val="24"/>
          <w:szCs w:val="24"/>
        </w:rPr>
      </w:pPr>
      <w:bookmarkStart w:id="735" w:name="_Hlk147587756"/>
      <w:r>
        <w:rPr>
          <w:rFonts w:hint="eastAsia" w:ascii="宋体" w:hAnsi="宋体"/>
          <w:color w:val="auto"/>
          <w:sz w:val="24"/>
          <w:szCs w:val="24"/>
        </w:rPr>
        <w:t>（1）井喷事故环境影响分析</w:t>
      </w:r>
    </w:p>
    <w:p w14:paraId="778BAE9E">
      <w:pPr>
        <w:overflowPunct w:val="0"/>
        <w:spacing w:line="500" w:lineRule="exact"/>
        <w:ind w:firstLine="480" w:firstLineChars="200"/>
        <w:rPr>
          <w:rFonts w:hint="eastAsia" w:ascii="宋体" w:hAnsi="宋体"/>
          <w:color w:val="auto"/>
          <w:sz w:val="24"/>
          <w:szCs w:val="24"/>
        </w:rPr>
      </w:pPr>
      <w:r>
        <w:rPr>
          <w:rFonts w:hint="eastAsia" w:ascii="宋体" w:hAnsi="宋体"/>
          <w:color w:val="auto"/>
          <w:sz w:val="24"/>
          <w:szCs w:val="24"/>
        </w:rPr>
        <w:t>①对土壤环境影响分析</w:t>
      </w:r>
    </w:p>
    <w:bookmarkEnd w:id="722"/>
    <w:bookmarkEnd w:id="734"/>
    <w:bookmarkEnd w:id="735"/>
    <w:p w14:paraId="44B6EC5E">
      <w:pPr>
        <w:pStyle w:val="86"/>
        <w:ind w:firstLine="480"/>
        <w:rPr>
          <w:rFonts w:hint="eastAsia"/>
          <w:color w:val="auto"/>
        </w:rPr>
      </w:pPr>
      <w:bookmarkStart w:id="736" w:name="_Hlk40733172"/>
      <w:bookmarkStart w:id="737" w:name="_Toc475624491"/>
      <w:r>
        <w:rPr>
          <w:rFonts w:hint="eastAsia"/>
          <w:color w:val="auto"/>
        </w:rPr>
        <w:t>井喷是油田开发过程中的意外事故，一次井喷可抛洒大量的天然气和原油，其中的轻组分挥发，而重组分油对土壤有一定的影响。井喷会造成大量原油覆盖在土壤表层，使土壤表层的土壤透气性下降，理化性状发生变化，对影响范围内的土壤表层造成严重的污染。井喷持续时间越长，对土壤造成的污染越严重。但根据已有的相关资料，井喷事故主要影响事故区域内的表层土壤，对地表</w:t>
      </w:r>
      <w:r>
        <w:rPr>
          <w:color w:val="auto"/>
        </w:rPr>
        <w:t>20cm</w:t>
      </w:r>
      <w:r>
        <w:rPr>
          <w:rFonts w:hint="eastAsia"/>
          <w:color w:val="auto"/>
        </w:rPr>
        <w:t>以下深度的土壤影响不大。</w:t>
      </w:r>
    </w:p>
    <w:p w14:paraId="3896AD7D">
      <w:pPr>
        <w:pStyle w:val="86"/>
        <w:ind w:firstLine="480"/>
        <w:rPr>
          <w:rFonts w:hint="eastAsia"/>
          <w:color w:val="auto"/>
        </w:rPr>
      </w:pPr>
      <w:r>
        <w:rPr>
          <w:rFonts w:hint="eastAsia"/>
          <w:color w:val="auto"/>
        </w:rPr>
        <w:t>井喷事故一旦发生，大量的油气喷出井口，散落于井场周围，据类比资料显示，井喷范围内土壤表层可见有蜡状的原油喷散物，井喷的影响范围主要集中在</w:t>
      </w:r>
      <w:r>
        <w:rPr>
          <w:color w:val="auto"/>
        </w:rPr>
        <w:t>200m×200m</w:t>
      </w:r>
      <w:r>
        <w:rPr>
          <w:rFonts w:hint="eastAsia"/>
          <w:color w:val="auto"/>
        </w:rPr>
        <w:t>范围内，所以井喷对人员的伤害有限，对项目区及周边土壤环境、水环境产生一定影响。井场进行了分区防渗，一旦发生事故，可减缓对地表土壤环境的影响。</w:t>
      </w:r>
    </w:p>
    <w:p w14:paraId="078A5800">
      <w:pPr>
        <w:pStyle w:val="86"/>
        <w:ind w:firstLine="480"/>
        <w:rPr>
          <w:rFonts w:hint="eastAsia"/>
          <w:color w:val="auto"/>
        </w:rPr>
      </w:pPr>
      <w:r>
        <w:rPr>
          <w:rFonts w:hint="eastAsia"/>
          <w:color w:val="auto"/>
        </w:rPr>
        <w:t>②对水环境影响分析</w:t>
      </w:r>
    </w:p>
    <w:p w14:paraId="615EA554">
      <w:pPr>
        <w:pStyle w:val="86"/>
        <w:ind w:firstLine="480"/>
        <w:rPr>
          <w:rFonts w:hint="eastAsia"/>
          <w:color w:val="auto"/>
        </w:rPr>
      </w:pPr>
      <w:r>
        <w:rPr>
          <w:rFonts w:hint="eastAsia"/>
          <w:color w:val="auto"/>
        </w:rPr>
        <w:t>井喷事故一旦发生，大量的油气喷出井口，散落于井场周围，除造成重大经济损失外，还会造成严重的环境污染。根据测算，井喷发生后，喷出的液量较大，一般需要</w:t>
      </w:r>
      <w:r>
        <w:rPr>
          <w:color w:val="auto"/>
        </w:rPr>
        <w:t>1</w:t>
      </w:r>
      <w:r>
        <w:rPr>
          <w:rFonts w:hint="eastAsia"/>
          <w:color w:val="auto"/>
        </w:rPr>
        <w:t>～</w:t>
      </w:r>
      <w:r>
        <w:rPr>
          <w:color w:val="auto"/>
        </w:rPr>
        <w:t>2d</w:t>
      </w:r>
      <w:r>
        <w:rPr>
          <w:rFonts w:hint="eastAsia"/>
          <w:color w:val="auto"/>
        </w:rPr>
        <w:t>才能得以控制。据类比资料显示，井喷污染范围在半径</w:t>
      </w:r>
      <w:r>
        <w:rPr>
          <w:color w:val="auto"/>
        </w:rPr>
        <w:t>200m</w:t>
      </w:r>
      <w:r>
        <w:rPr>
          <w:rFonts w:hint="eastAsia"/>
          <w:color w:val="auto"/>
        </w:rPr>
        <w:t>左右时，井喷持续时间</w:t>
      </w:r>
      <w:r>
        <w:rPr>
          <w:color w:val="auto"/>
        </w:rPr>
        <w:t>2d</w:t>
      </w:r>
      <w:r>
        <w:rPr>
          <w:rFonts w:hint="eastAsia"/>
          <w:color w:val="auto"/>
        </w:rPr>
        <w:t>，井喷范围内土壤表层可见有蜡状的喷散物，井喷的影响范围及影响程度较大。但从事故井区土壤剖面分析，井喷事故后石油类污染物主要聚集在土壤剖面</w:t>
      </w:r>
      <w:r>
        <w:rPr>
          <w:color w:val="auto"/>
        </w:rPr>
        <w:t>1m</w:t>
      </w:r>
      <w:r>
        <w:rPr>
          <w:rFonts w:hint="eastAsia"/>
          <w:color w:val="auto"/>
        </w:rPr>
        <w:t>以内，石油类污染物很难下渗到</w:t>
      </w:r>
      <w:r>
        <w:rPr>
          <w:color w:val="auto"/>
        </w:rPr>
        <w:t>2m</w:t>
      </w:r>
      <w:r>
        <w:rPr>
          <w:rFonts w:hint="eastAsia"/>
          <w:color w:val="auto"/>
        </w:rPr>
        <w:t>以下，对地下水体的影响概率不大，及时采取有效措施治理污染，井喷不会造成地下水污染。</w:t>
      </w:r>
    </w:p>
    <w:p w14:paraId="06F9839A">
      <w:pPr>
        <w:pStyle w:val="86"/>
        <w:ind w:firstLine="480"/>
        <w:rPr>
          <w:rFonts w:hint="eastAsia"/>
          <w:color w:val="auto"/>
        </w:rPr>
      </w:pPr>
      <w:bookmarkStart w:id="738" w:name="_Hlk175252858"/>
      <w:r>
        <w:rPr>
          <w:rFonts w:hint="eastAsia"/>
          <w:color w:val="auto"/>
        </w:rPr>
        <w:t>③对</w:t>
      </w:r>
      <w:bookmarkStart w:id="739" w:name="OLE_LINK42"/>
      <w:r>
        <w:rPr>
          <w:rFonts w:hint="eastAsia"/>
          <w:color w:val="auto"/>
        </w:rPr>
        <w:t>植被</w:t>
      </w:r>
      <w:bookmarkEnd w:id="739"/>
      <w:r>
        <w:rPr>
          <w:rFonts w:hint="eastAsia"/>
          <w:color w:val="auto"/>
        </w:rPr>
        <w:t>的影响分析</w:t>
      </w:r>
    </w:p>
    <w:p w14:paraId="2D3A56A1">
      <w:pPr>
        <w:pStyle w:val="86"/>
        <w:ind w:firstLine="480"/>
        <w:rPr>
          <w:rFonts w:hint="eastAsia"/>
          <w:color w:val="auto"/>
        </w:rPr>
      </w:pPr>
      <w:r>
        <w:rPr>
          <w:rFonts w:hint="eastAsia"/>
          <w:color w:val="auto"/>
        </w:rPr>
        <w:t>井喷发生时，原油中的轻组分挥发，在对空气环境产生影响的同时，也对周围植被产生影响，井场周围半径200</w:t>
      </w:r>
      <w:r>
        <w:rPr>
          <w:color w:val="auto"/>
        </w:rPr>
        <w:t>m</w:t>
      </w:r>
      <w:r>
        <w:rPr>
          <w:rFonts w:hint="eastAsia"/>
          <w:color w:val="auto"/>
        </w:rPr>
        <w:t>范围内的植被将全部由于石油类污染而使其呼吸受阻，不能进行正常光合作用而死亡；原油进入土壤后与土壤结合，渗入土壤孔隙，使土壤透气性和呼吸作用减弱，改变了土壤质地和结构，影响到土壤的生物功能，进而造成生长其上的植物和土壤动物的死亡，这种影响会导致污染地段多年无法生长植物或长势减弱，甚至使这一区域变为裸地。由于这一影响使土壤结构受石油类污染而发生变化，因此，被污染区域的植被不易恢复。若井喷时发生火灾，结果将使燃烧范围内的植被全部死亡。必须采取严格有效的风险防范措施，防止、降低井喷事故风险发生。事故发生后应及时清理现场，对原油进行回收，受污染的土壤集中收集后由有相应危废处置资质的单位进行回收处置，将井喷事故对周边植被的影响降至最低。</w:t>
      </w:r>
    </w:p>
    <w:p w14:paraId="321A345B">
      <w:pPr>
        <w:pStyle w:val="86"/>
        <w:ind w:firstLine="480"/>
        <w:rPr>
          <w:rFonts w:hint="eastAsia"/>
          <w:color w:val="auto"/>
        </w:rPr>
      </w:pPr>
      <w:r>
        <w:rPr>
          <w:rFonts w:hint="eastAsia"/>
          <w:color w:val="auto"/>
        </w:rPr>
        <w:t>（2）井漏事故影响分析</w:t>
      </w:r>
    </w:p>
    <w:p w14:paraId="3257670B">
      <w:pPr>
        <w:pStyle w:val="86"/>
        <w:ind w:firstLine="480"/>
        <w:rPr>
          <w:rFonts w:hint="eastAsia"/>
          <w:color w:val="auto"/>
        </w:rPr>
      </w:pPr>
      <w:r>
        <w:rPr>
          <w:rFonts w:hint="eastAsia"/>
          <w:color w:val="auto"/>
        </w:rPr>
        <w:t>本项目井漏事故一般发生在井下作业修井过程中，通常是由于套管破损或者固井质量不好，导致修井液漏入地层。漏层的类型、井漏的严重程度，因漏失层位各不相同，变化很大，一旦发生井漏，使大量修井液漏失，除造成经济损失外，还可能对地下含水层和油层造成一定的污染和危害。本次拟部署采油井钻井表层套管下入深度为</w:t>
      </w:r>
      <w:r>
        <w:rPr>
          <w:color w:val="auto"/>
        </w:rPr>
        <w:t>1</w:t>
      </w:r>
      <w:r>
        <w:rPr>
          <w:rFonts w:hint="eastAsia"/>
          <w:color w:val="auto"/>
        </w:rPr>
        <w:t>800m，超出本区域地下水含水层深度，在钻井过程中采用下套管注水泥固井、完井方式进行水泥固井，对含水层进行了固封处理，发生井漏的可能性较小，不会对地下水环境产生明显影响。</w:t>
      </w:r>
    </w:p>
    <w:bookmarkEnd w:id="738"/>
    <w:p w14:paraId="5E18DE9F">
      <w:pPr>
        <w:pStyle w:val="86"/>
        <w:ind w:firstLine="480"/>
        <w:rPr>
          <w:rFonts w:hint="eastAsia"/>
          <w:color w:val="auto"/>
        </w:rPr>
      </w:pPr>
      <w:r>
        <w:rPr>
          <w:rFonts w:hint="eastAsia"/>
          <w:color w:val="auto"/>
        </w:rPr>
        <w:t>（3）泄漏事故影响分析</w:t>
      </w:r>
    </w:p>
    <w:p w14:paraId="7B215A7E">
      <w:pPr>
        <w:pStyle w:val="86"/>
        <w:ind w:firstLine="480"/>
        <w:rPr>
          <w:rFonts w:hint="eastAsia"/>
          <w:color w:val="auto"/>
        </w:rPr>
      </w:pPr>
      <w:r>
        <w:rPr>
          <w:rFonts w:hint="eastAsia"/>
          <w:color w:val="auto"/>
        </w:rPr>
        <w:t>①</w:t>
      </w:r>
      <w:r>
        <w:rPr>
          <w:color w:val="auto"/>
        </w:rPr>
        <w:t>对土壤的影响</w:t>
      </w:r>
      <w:r>
        <w:rPr>
          <w:rFonts w:hint="eastAsia"/>
          <w:color w:val="auto"/>
        </w:rPr>
        <w:t>分析</w:t>
      </w:r>
    </w:p>
    <w:p w14:paraId="499980B8">
      <w:pPr>
        <w:pStyle w:val="86"/>
        <w:ind w:firstLine="480"/>
        <w:rPr>
          <w:rFonts w:hint="eastAsia"/>
          <w:color w:val="auto"/>
        </w:rPr>
      </w:pPr>
      <w:r>
        <w:rPr>
          <w:rFonts w:hint="eastAsia"/>
          <w:color w:val="auto"/>
        </w:rPr>
        <w:t>井场、站场内设备、管线和储油罐发生泄漏后相当于向土壤中直接注入油品，油品渗入土壤孔隙，则使土壤透气性和呼吸作用减弱，影响土壤中的微生物生存，造成土壤盐碱化，破坏土壤结构，增加土壤中石油类污染物，造成土地肥力下降，改变土壤的理化性质，影响土壤正常的结构和功能，进而影响荒漠植被的生长，并可影响局部的生态环境。根据《建设项目环境风险评价技术导则》（HJ169-2018）附录E可知，储罐泄漏发生的频率最大为1.0×10</w:t>
      </w:r>
      <w:r>
        <w:rPr>
          <w:rFonts w:hint="eastAsia"/>
          <w:color w:val="auto"/>
          <w:vertAlign w:val="superscript"/>
        </w:rPr>
        <w:t>-4</w:t>
      </w:r>
      <w:r>
        <w:rPr>
          <w:rFonts w:hint="eastAsia"/>
          <w:color w:val="auto"/>
        </w:rPr>
        <w:t>/a，管线</w:t>
      </w:r>
      <w:bookmarkStart w:id="740" w:name="OLE_LINK166"/>
      <w:r>
        <w:rPr>
          <w:rFonts w:hint="eastAsia"/>
          <w:color w:val="auto"/>
        </w:rPr>
        <w:t>泄漏</w:t>
      </w:r>
      <w:bookmarkEnd w:id="740"/>
      <w:r>
        <w:rPr>
          <w:rFonts w:hint="eastAsia"/>
          <w:color w:val="auto"/>
        </w:rPr>
        <w:t>发生的频率最大为5.0×10</w:t>
      </w:r>
      <w:r>
        <w:rPr>
          <w:rFonts w:hint="eastAsia"/>
          <w:color w:val="auto"/>
          <w:vertAlign w:val="superscript"/>
        </w:rPr>
        <w:t>-6</w:t>
      </w:r>
      <w:r>
        <w:rPr>
          <w:rFonts w:hint="eastAsia"/>
          <w:color w:val="auto"/>
        </w:rPr>
        <w:t>/（m·a）。根据类比调查结果可知，油品泄漏事故发生后，在非渗透性的基岩及粘重土壤上污染（扩展）面积较大，而疏松土质上影响的扩展范围较小，在泄漏事故发生的最初，原油在土壤中下渗至一定深度，随泄漏历时的延长，下渗深度增加不大（落地油一般在土壤表层20cm以上深度内积聚）。根据非正常工况下土壤环境影响分析结果可知，站内设备和管线等事故发生后及时采取措施并将受污染的土壤清理，不会对土壤环境产生明显不利影响。</w:t>
      </w:r>
    </w:p>
    <w:p w14:paraId="20EBF0E2">
      <w:pPr>
        <w:pStyle w:val="86"/>
        <w:ind w:firstLine="480"/>
        <w:rPr>
          <w:rFonts w:hint="eastAsia"/>
          <w:color w:val="auto"/>
        </w:rPr>
      </w:pPr>
      <w:r>
        <w:rPr>
          <w:rFonts w:hint="eastAsia"/>
          <w:color w:val="auto"/>
        </w:rPr>
        <w:t>②</w:t>
      </w:r>
      <w:r>
        <w:rPr>
          <w:color w:val="auto"/>
        </w:rPr>
        <w:t>对植被的影响</w:t>
      </w:r>
    </w:p>
    <w:p w14:paraId="1684C002">
      <w:pPr>
        <w:pStyle w:val="86"/>
        <w:ind w:firstLine="480"/>
        <w:rPr>
          <w:rFonts w:hint="eastAsia"/>
          <w:color w:val="auto"/>
        </w:rPr>
      </w:pPr>
      <w:r>
        <w:rPr>
          <w:rFonts w:hint="eastAsia"/>
          <w:color w:val="auto"/>
        </w:rPr>
        <w:t>采油管线、储油罐、橇装天然气处理装置破裂造成原油</w:t>
      </w:r>
      <w:bookmarkStart w:id="741" w:name="_Hlk147587769"/>
      <w:r>
        <w:rPr>
          <w:rFonts w:hint="eastAsia"/>
          <w:color w:val="auto"/>
        </w:rPr>
        <w:t>可能对植被产生一定的影响。采油管线为埋地敷设，发生泄漏事故后对植被影响较小，橇装天然气处理装置和储油罐位于井场内，即使发生原油泄漏仅对占地范围内的植被产生影响，发生事故后，及时采取相应的措施，不会对周围植被产生明显影响。</w:t>
      </w:r>
    </w:p>
    <w:p w14:paraId="7DC6BF26">
      <w:pPr>
        <w:pStyle w:val="86"/>
        <w:ind w:firstLine="480"/>
        <w:rPr>
          <w:rFonts w:hint="eastAsia"/>
          <w:color w:val="auto"/>
        </w:rPr>
      </w:pPr>
      <w:r>
        <w:rPr>
          <w:rFonts w:hint="eastAsia"/>
          <w:color w:val="auto"/>
        </w:rPr>
        <w:t>③对地下水环境的影响</w:t>
      </w:r>
    </w:p>
    <w:bookmarkEnd w:id="741"/>
    <w:p w14:paraId="4CA01E5F">
      <w:pPr>
        <w:pStyle w:val="86"/>
        <w:ind w:firstLine="480"/>
        <w:rPr>
          <w:rFonts w:hint="eastAsia"/>
          <w:color w:val="auto"/>
        </w:rPr>
      </w:pPr>
      <w:r>
        <w:rPr>
          <w:rFonts w:hint="eastAsia"/>
          <w:color w:val="auto"/>
        </w:rPr>
        <w:t>井场、站场内设备、储油罐和管线发生泄漏后，泄漏的油品下渗，进而导致地下水污染风险的发生。发生泄漏事故后，及时发现、及时维修处理，即使有少量的污染物泄漏，也很难通过防渗层渗入包气带。故在正常工况下，加大检修力度，发生泄漏事故及时找到泄漏点，及时维修，并将受污染的土壤全部回收，交由有相应危险废物处置资质的单位进行回收处置，污染物从源头和末端均得到控制，没有污染地下水的通道，污染物不会渗入地下污染地下水体。当泄漏事故不可控时，泄漏的油品经土层渗漏，通过包气带进入含水层。根据《采油废水中石油类污染物在土壤中的迁移规律研究》（岳占林文）中结论：土壤尽管颗粒较粗、结构较松散、孔隙比较大，但对石油类物质的截留作用是非常显著的，石油类很难在土壤剖面中随水下渗迁移，基本上被截留在0～10cm或0～20cm表层土壤中，其中表层0～5cm土壤截留了90%以上的泄漏原油。</w:t>
      </w:r>
    </w:p>
    <w:p w14:paraId="35BA0F3C">
      <w:pPr>
        <w:pStyle w:val="86"/>
        <w:ind w:firstLine="480"/>
        <w:rPr>
          <w:rFonts w:hint="eastAsia"/>
          <w:color w:val="auto"/>
        </w:rPr>
      </w:pPr>
      <w:bookmarkStart w:id="742" w:name="_Hlk147587764"/>
      <w:r>
        <w:rPr>
          <w:rFonts w:hint="eastAsia"/>
          <w:color w:val="auto"/>
        </w:rPr>
        <w:t>根据事故状态下对地下的预测可知，集油干线发生泄漏后100d和1000d下游石油类达标时对应的距离分别为50m和154m。项目区土壤在消除土体裂隙和根孔影响的试验条件下，石油类下渗下移的深度不会超过30cm，</w:t>
      </w:r>
      <w:r>
        <w:rPr>
          <w:color w:val="auto"/>
        </w:rPr>
        <w:t>承压水顶板埋深在50～100m</w:t>
      </w:r>
      <w:r>
        <w:rPr>
          <w:rFonts w:hint="eastAsia"/>
          <w:color w:val="auto"/>
        </w:rPr>
        <w:t>以下，泄漏的原油进入地下水的可能性很小，并定期对设备进行检修，将事故发生的概率降至最低，发生泄漏后做到及时发现、及时处理，彻底清除泄漏油品及被污染的土壤。因此，发生泄漏后采取相应的措施后不会对地下水环境产生大的影响。</w:t>
      </w:r>
    </w:p>
    <w:bookmarkEnd w:id="742"/>
    <w:p w14:paraId="3DE739C7">
      <w:pPr>
        <w:pStyle w:val="86"/>
        <w:ind w:firstLine="480"/>
        <w:rPr>
          <w:rFonts w:hint="eastAsia"/>
          <w:color w:val="auto"/>
        </w:rPr>
      </w:pPr>
      <w:r>
        <w:rPr>
          <w:rFonts w:hint="eastAsia"/>
          <w:color w:val="auto"/>
        </w:rPr>
        <w:t>④对大气环境的影响分析</w:t>
      </w:r>
    </w:p>
    <w:p w14:paraId="6AA05DFC">
      <w:pPr>
        <w:pStyle w:val="86"/>
        <w:ind w:firstLine="480"/>
        <w:rPr>
          <w:rFonts w:hint="eastAsia"/>
          <w:color w:val="auto"/>
        </w:rPr>
      </w:pPr>
      <w:bookmarkStart w:id="743" w:name="_Hlk80209261"/>
      <w:r>
        <w:rPr>
          <w:rFonts w:hint="eastAsia"/>
          <w:color w:val="auto"/>
        </w:rPr>
        <w:t>管线埋地敷设，管线发生泄漏后，油气很难透过土壤扩散到大气环境中，泄漏物对大气环境影响较小；井场和站场内设备和储油罐发生泄漏事故后，油气进入环境空气，其中的</w:t>
      </w:r>
      <w:r>
        <w:rPr>
          <w:color w:val="auto"/>
        </w:rPr>
        <w:t>NMHC</w:t>
      </w:r>
      <w:r>
        <w:rPr>
          <w:rFonts w:hint="eastAsia"/>
          <w:color w:val="auto"/>
        </w:rPr>
        <w:t>可能会对周围环境空气产生影响，若遇明火，可发生火灾、爆炸，火灾、爆炸产生的伴生/次生污染物可能对环境空气产生一定的影响。由于项目区周围无环境敏感目标，且地域空旷，扩散条件较好，发生事故后，及时采取相应的措施，不会对周围环境空气产生明显影响。</w:t>
      </w:r>
      <w:bookmarkEnd w:id="743"/>
    </w:p>
    <w:p w14:paraId="25426C75">
      <w:pPr>
        <w:pStyle w:val="86"/>
        <w:ind w:firstLine="480"/>
        <w:rPr>
          <w:rFonts w:hint="eastAsia"/>
          <w:color w:val="auto"/>
        </w:rPr>
      </w:pPr>
      <w:bookmarkStart w:id="744" w:name="_Hlk173407554"/>
      <w:r>
        <w:rPr>
          <w:rFonts w:hint="eastAsia"/>
          <w:color w:val="auto"/>
        </w:rPr>
        <w:t>（4）</w:t>
      </w:r>
      <w:bookmarkEnd w:id="744"/>
      <w:r>
        <w:rPr>
          <w:rFonts w:hint="eastAsia"/>
          <w:color w:val="auto"/>
        </w:rPr>
        <w:t>压裂液泄漏事故风险分析</w:t>
      </w:r>
    </w:p>
    <w:p w14:paraId="00478B2A">
      <w:pPr>
        <w:pStyle w:val="86"/>
        <w:adjustRightInd w:val="0"/>
        <w:snapToGrid w:val="0"/>
        <w:spacing w:line="480" w:lineRule="exact"/>
        <w:ind w:firstLine="480"/>
        <w:rPr>
          <w:rFonts w:hint="eastAsia"/>
          <w:color w:val="auto"/>
        </w:rPr>
      </w:pPr>
      <w:r>
        <w:rPr>
          <w:rFonts w:hint="eastAsia"/>
          <w:color w:val="auto"/>
        </w:rPr>
        <w:t>压裂液罐车发生泄漏后，泄漏的压裂液可能对土壤和地下水产生一定的影响。采用质量合格的储罐；液体装车时检查罐体情况，确保罐体完好再装车；储罐设有液位装置，装车时及时观察液位装置，以免溢出；罐车司机驾驶技术娴熟，发生交通事故的概率较低；日常加强日常管理和维护，发生泄漏事故的概率很小。一旦发生泄漏事故，及时采取相应的措施，不会对周围环境空气产生明显影响。</w:t>
      </w:r>
    </w:p>
    <w:p w14:paraId="53B288BF">
      <w:pPr>
        <w:pStyle w:val="86"/>
        <w:spacing w:line="480" w:lineRule="exact"/>
        <w:ind w:firstLine="480"/>
        <w:rPr>
          <w:rFonts w:hint="eastAsia"/>
          <w:color w:val="auto"/>
        </w:rPr>
      </w:pPr>
      <w:r>
        <w:rPr>
          <w:rFonts w:hint="eastAsia"/>
          <w:color w:val="auto"/>
        </w:rPr>
        <w:t>（5）CNG槽车及混烃拉运过程中泄漏、火灾事故风险分析</w:t>
      </w:r>
    </w:p>
    <w:p w14:paraId="0334F3F7">
      <w:pPr>
        <w:pStyle w:val="86"/>
        <w:spacing w:line="480" w:lineRule="exact"/>
        <w:ind w:firstLine="480"/>
        <w:rPr>
          <w:rFonts w:hint="eastAsia"/>
          <w:color w:val="auto"/>
        </w:rPr>
      </w:pPr>
      <w:r>
        <w:rPr>
          <w:rFonts w:hint="eastAsia"/>
          <w:color w:val="auto"/>
        </w:rPr>
        <w:t>CNG槽车和混烃拉运罐车发生泄漏后，泄漏的天然气和混烃可能对拉运途中的村庄、学校和农田会产生一定的影响。采用质量合格的储罐；装车时检查罐体情况，确保罐体完好再装车；储罐设有压力装置，装车时及时观察压力表，以免压力过高发生爆炸；罐车司机驾驶技术娴熟，发生交通事故的概率较低；日常加强日常管理和维护，发生泄漏事故的概率很小。一旦发生泄漏事故，及时采取相应的措施，不会对周围环境空气产生明显影响。</w:t>
      </w:r>
    </w:p>
    <w:bookmarkEnd w:id="736"/>
    <w:bookmarkEnd w:id="737"/>
    <w:p w14:paraId="217FEDCD">
      <w:pPr>
        <w:pStyle w:val="2"/>
        <w:keepLines w:val="0"/>
        <w:widowControl/>
        <w:numPr>
          <w:ilvl w:val="0"/>
          <w:numId w:val="2"/>
        </w:numPr>
        <w:spacing w:before="200" w:after="200" w:line="360" w:lineRule="auto"/>
        <w:ind w:hanging="567"/>
        <w:jc w:val="left"/>
        <w:rPr>
          <w:color w:val="auto"/>
          <w:lang w:val="zh-CN"/>
        </w:rPr>
      </w:pPr>
      <w:r>
        <w:rPr>
          <w:color w:val="auto"/>
          <w:lang w:val="zh-CN"/>
        </w:rPr>
        <w:br w:type="page"/>
      </w:r>
      <w:bookmarkStart w:id="745" w:name="_Toc224406021"/>
      <w:r>
        <w:rPr>
          <w:rFonts w:hint="eastAsia" w:ascii="黑体" w:hAnsi="黑体" w:eastAsia="黑体"/>
          <w:b w:val="0"/>
          <w:bCs w:val="0"/>
          <w:color w:val="auto"/>
          <w:kern w:val="2"/>
          <w:sz w:val="32"/>
          <w:szCs w:val="20"/>
          <w14:ligatures w14:val="none"/>
        </w:rPr>
        <w:t>环境保护措施及其可行性论证</w:t>
      </w:r>
      <w:bookmarkEnd w:id="745"/>
    </w:p>
    <w:p w14:paraId="43D28540">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746" w:name="_Toc475624488"/>
      <w:bookmarkStart w:id="747" w:name="_Toc224406022"/>
      <w:bookmarkStart w:id="748" w:name="_Toc445840420"/>
      <w:bookmarkStart w:id="749" w:name="_Toc459026594"/>
      <w:bookmarkStart w:id="750" w:name="_Toc445996461"/>
      <w:bookmarkStart w:id="751" w:name="_Toc14133"/>
      <w:bookmarkStart w:id="752" w:name="_Toc21102"/>
      <w:bookmarkStart w:id="753" w:name="_Toc448413619"/>
      <w:bookmarkStart w:id="754" w:name="_Toc31327"/>
      <w:bookmarkStart w:id="755" w:name="_Toc445842140"/>
      <w:r>
        <w:rPr>
          <w:rFonts w:hint="eastAsia" w:ascii="黑体" w:hAnsi="黑体" w:eastAsia="黑体" w:cs="Times New Roman"/>
          <w:bCs/>
          <w:color w:val="auto"/>
          <w:sz w:val="28"/>
          <w:szCs w:val="32"/>
          <w14:ligatures w14:val="none"/>
        </w:rPr>
        <w:t>施工期</w:t>
      </w:r>
      <w:r>
        <w:rPr>
          <w:rFonts w:ascii="黑体" w:hAnsi="黑体" w:eastAsia="黑体" w:cs="Times New Roman"/>
          <w:bCs/>
          <w:color w:val="auto"/>
          <w:sz w:val="28"/>
          <w:szCs w:val="32"/>
          <w14:ligatures w14:val="none"/>
        </w:rPr>
        <w:t>环境保护措施</w:t>
      </w:r>
      <w:bookmarkEnd w:id="746"/>
      <w:r>
        <w:rPr>
          <w:rFonts w:hint="eastAsia" w:ascii="黑体" w:hAnsi="黑体" w:eastAsia="黑体" w:cs="Times New Roman"/>
          <w:bCs/>
          <w:color w:val="auto"/>
          <w:sz w:val="28"/>
          <w:szCs w:val="32"/>
          <w14:ligatures w14:val="none"/>
        </w:rPr>
        <w:t>及其可行性论证</w:t>
      </w:r>
      <w:bookmarkEnd w:id="747"/>
    </w:p>
    <w:bookmarkEnd w:id="748"/>
    <w:bookmarkEnd w:id="749"/>
    <w:bookmarkEnd w:id="750"/>
    <w:bookmarkEnd w:id="751"/>
    <w:bookmarkEnd w:id="752"/>
    <w:bookmarkEnd w:id="753"/>
    <w:bookmarkEnd w:id="754"/>
    <w:bookmarkEnd w:id="755"/>
    <w:p w14:paraId="7E4EC66E">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14:ligatures w14:val="none"/>
        </w:rPr>
      </w:pPr>
      <w:bookmarkStart w:id="756" w:name="_Toc445842141"/>
      <w:bookmarkStart w:id="757" w:name="_Toc445996462"/>
      <w:bookmarkStart w:id="758" w:name="_Toc10287"/>
      <w:bookmarkStart w:id="759" w:name="_Hlk40731057"/>
      <w:r>
        <w:rPr>
          <w:rFonts w:hint="eastAsia" w:ascii="黑体" w:hAnsi="黑体" w:eastAsia="黑体" w:cs="Times New Roman"/>
          <w:color w:val="auto"/>
          <w:sz w:val="24"/>
          <w:szCs w:val="21"/>
          <w:lang w:val="zh-CN"/>
          <w14:ligatures w14:val="none"/>
        </w:rPr>
        <w:t>施工期大气污染防治措施</w:t>
      </w:r>
      <w:bookmarkEnd w:id="756"/>
      <w:bookmarkEnd w:id="757"/>
      <w:bookmarkEnd w:id="758"/>
    </w:p>
    <w:bookmarkEnd w:id="759"/>
    <w:p w14:paraId="2F1F7687">
      <w:pPr>
        <w:pStyle w:val="86"/>
        <w:ind w:firstLine="480"/>
        <w:rPr>
          <w:rFonts w:hint="eastAsia"/>
          <w:color w:val="auto"/>
        </w:rPr>
      </w:pPr>
      <w:bookmarkStart w:id="760" w:name="_Hlk40731105"/>
      <w:bookmarkStart w:id="761" w:name="_Hlk167296574"/>
      <w:bookmarkStart w:id="762" w:name="_Toc445996463"/>
      <w:bookmarkStart w:id="763" w:name="_Toc445842142"/>
      <w:bookmarkStart w:id="764" w:name="_Toc1790"/>
      <w:r>
        <w:rPr>
          <w:rFonts w:hint="eastAsia"/>
          <w:color w:val="auto"/>
        </w:rPr>
        <w:t>（</w:t>
      </w:r>
      <w:r>
        <w:rPr>
          <w:color w:val="auto"/>
        </w:rPr>
        <w:t>1</w:t>
      </w:r>
      <w:r>
        <w:rPr>
          <w:rFonts w:hint="eastAsia"/>
          <w:color w:val="auto"/>
        </w:rPr>
        <w:t>）合理规划运输道路线路，尽量利用油田现有的公路网，施工车辆严格按照规定线路行驶，严禁乱碾乱压。严禁在大风天气进行土方作业。</w:t>
      </w:r>
    </w:p>
    <w:p w14:paraId="6512E997">
      <w:pPr>
        <w:pStyle w:val="86"/>
        <w:ind w:firstLine="480"/>
        <w:rPr>
          <w:rFonts w:hint="eastAsia"/>
          <w:color w:val="auto"/>
        </w:rPr>
      </w:pPr>
      <w:r>
        <w:rPr>
          <w:rFonts w:hint="eastAsia"/>
          <w:color w:val="auto"/>
        </w:rPr>
        <w:t>（</w:t>
      </w:r>
      <w:r>
        <w:rPr>
          <w:color w:val="auto"/>
        </w:rPr>
        <w:t>2</w:t>
      </w:r>
      <w:r>
        <w:rPr>
          <w:rFonts w:hint="eastAsia"/>
          <w:color w:val="auto"/>
        </w:rPr>
        <w:t>）粉状材料及临时土方等在施工区堆放应采取覆盖防尘布，逸散性材料运输采用苫布遮盖。</w:t>
      </w:r>
    </w:p>
    <w:bookmarkEnd w:id="760"/>
    <w:p w14:paraId="219829D0">
      <w:pPr>
        <w:pStyle w:val="86"/>
        <w:ind w:firstLine="480"/>
        <w:rPr>
          <w:rFonts w:hint="eastAsia"/>
          <w:color w:val="auto"/>
        </w:rPr>
      </w:pPr>
      <w:r>
        <w:rPr>
          <w:rFonts w:hint="eastAsia"/>
          <w:color w:val="auto"/>
        </w:rPr>
        <w:t>（</w:t>
      </w:r>
      <w:r>
        <w:rPr>
          <w:color w:val="auto"/>
        </w:rPr>
        <w:t>3</w:t>
      </w:r>
      <w:r>
        <w:rPr>
          <w:rFonts w:hint="eastAsia"/>
          <w:color w:val="auto"/>
        </w:rPr>
        <w:t>）优化施工组织，道路和管线分段施工，缩短施工时间。</w:t>
      </w:r>
    </w:p>
    <w:p w14:paraId="6588CFE0">
      <w:pPr>
        <w:pStyle w:val="86"/>
        <w:ind w:firstLine="480"/>
        <w:rPr>
          <w:rFonts w:hint="eastAsia"/>
          <w:color w:val="auto"/>
        </w:rPr>
      </w:pPr>
      <w:r>
        <w:rPr>
          <w:rFonts w:hint="eastAsia"/>
          <w:color w:val="auto"/>
        </w:rPr>
        <w:t>（</w:t>
      </w:r>
      <w:r>
        <w:rPr>
          <w:color w:val="auto"/>
        </w:rPr>
        <w:t>4</w:t>
      </w:r>
      <w:r>
        <w:rPr>
          <w:rFonts w:hint="eastAsia"/>
          <w:color w:val="auto"/>
        </w:rPr>
        <w:t>）施工结束后尽快对施工场地进行整理和平整，减少风蚀量。</w:t>
      </w:r>
    </w:p>
    <w:p w14:paraId="4C9BB0DF">
      <w:pPr>
        <w:pStyle w:val="86"/>
        <w:ind w:firstLine="480"/>
        <w:rPr>
          <w:rFonts w:hint="eastAsia" w:cs="宋体"/>
          <w:color w:val="auto"/>
          <w:kern w:val="0"/>
          <w:lang w:bidi="ar"/>
        </w:rPr>
      </w:pPr>
      <w:r>
        <w:rPr>
          <w:rFonts w:hint="eastAsia"/>
          <w:color w:val="auto"/>
        </w:rPr>
        <w:t>（</w:t>
      </w:r>
      <w:r>
        <w:rPr>
          <w:color w:val="auto"/>
        </w:rPr>
        <w:t>5</w:t>
      </w:r>
      <w:r>
        <w:rPr>
          <w:rFonts w:hint="eastAsia"/>
          <w:color w:val="auto"/>
        </w:rPr>
        <w:t>）</w:t>
      </w:r>
      <w:r>
        <w:rPr>
          <w:rFonts w:hint="eastAsia" w:cs="宋体"/>
          <w:color w:val="auto"/>
          <w:kern w:val="0"/>
          <w:lang w:bidi="ar"/>
        </w:rPr>
        <w:t>加强对施工人员的环保教育，增强全体施工人员的环保意识，坚持文明施工、科学施工，减少施工期的大气污染。</w:t>
      </w:r>
    </w:p>
    <w:p w14:paraId="0BDD3574">
      <w:pPr>
        <w:pStyle w:val="86"/>
        <w:ind w:firstLine="480"/>
        <w:rPr>
          <w:rFonts w:hint="eastAsia" w:cs="宋体"/>
          <w:color w:val="auto"/>
          <w:kern w:val="0"/>
          <w:lang w:bidi="ar"/>
        </w:rPr>
      </w:pPr>
      <w:r>
        <w:rPr>
          <w:rFonts w:hint="eastAsia" w:cs="宋体"/>
          <w:color w:val="auto"/>
          <w:kern w:val="0"/>
          <w:lang w:bidi="ar"/>
        </w:rPr>
        <w:t>（</w:t>
      </w:r>
      <w:r>
        <w:rPr>
          <w:rFonts w:cs="宋体"/>
          <w:color w:val="auto"/>
          <w:kern w:val="0"/>
          <w:lang w:bidi="ar"/>
        </w:rPr>
        <w:t>6</w:t>
      </w:r>
      <w:r>
        <w:rPr>
          <w:rFonts w:hint="eastAsia" w:cs="宋体"/>
          <w:color w:val="auto"/>
          <w:kern w:val="0"/>
          <w:lang w:bidi="ar"/>
        </w:rPr>
        <w:t>）运输车辆及施工机械采用符合国家标准的油品，定期对施工机械及运输车辆保养维护。</w:t>
      </w:r>
    </w:p>
    <w:p w14:paraId="40585FD5">
      <w:pPr>
        <w:pStyle w:val="86"/>
        <w:ind w:firstLine="480"/>
        <w:rPr>
          <w:rFonts w:hint="eastAsia"/>
          <w:color w:val="auto"/>
        </w:rPr>
      </w:pPr>
      <w:r>
        <w:rPr>
          <w:rFonts w:hint="eastAsia" w:cs="宋体"/>
          <w:color w:val="auto"/>
          <w:kern w:val="0"/>
          <w:lang w:bidi="ar"/>
        </w:rPr>
        <w:t>（7）</w:t>
      </w:r>
      <w:r>
        <w:rPr>
          <w:rFonts w:hint="eastAsia"/>
          <w:color w:val="auto"/>
        </w:rPr>
        <w:t>焊接作业时使用无毒低尘焊条。</w:t>
      </w:r>
    </w:p>
    <w:bookmarkEnd w:id="761"/>
    <w:p w14:paraId="19614D2A">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施工期废水污染防治措施</w:t>
      </w:r>
    </w:p>
    <w:p w14:paraId="44DA157B">
      <w:pPr>
        <w:pStyle w:val="86"/>
        <w:ind w:firstLine="480"/>
        <w:rPr>
          <w:rFonts w:hint="eastAsia" w:cs="宋体"/>
          <w:color w:val="auto"/>
          <w:kern w:val="0"/>
          <w:lang w:bidi="ar"/>
        </w:rPr>
      </w:pPr>
      <w:bookmarkStart w:id="765" w:name="_Hlk80273130"/>
      <w:r>
        <w:rPr>
          <w:rFonts w:hint="eastAsia" w:cs="宋体"/>
          <w:color w:val="auto"/>
          <w:kern w:val="0"/>
          <w:lang w:bidi="ar"/>
        </w:rPr>
        <w:t>（1）管道试压采用清水试压，管道试压废水产生量较小，主要污染物为悬浮物，试压结束后，用于项目区洒水抑尘。</w:t>
      </w:r>
    </w:p>
    <w:p w14:paraId="7D76E59F">
      <w:pPr>
        <w:pStyle w:val="86"/>
        <w:ind w:firstLine="480"/>
        <w:rPr>
          <w:rFonts w:hint="eastAsia" w:cs="宋体"/>
          <w:color w:val="auto"/>
          <w:kern w:val="0"/>
          <w:lang w:bidi="ar"/>
        </w:rPr>
      </w:pPr>
      <w:r>
        <w:rPr>
          <w:rFonts w:hint="eastAsia" w:cs="宋体"/>
          <w:color w:val="auto"/>
          <w:kern w:val="0"/>
          <w:lang w:bidi="ar"/>
        </w:rPr>
        <w:t>（2）混凝土养护废水主要靠自然蒸发处理。</w:t>
      </w:r>
    </w:p>
    <w:bookmarkEnd w:id="765"/>
    <w:p w14:paraId="55541213">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施工期噪声污染防治措施</w:t>
      </w:r>
    </w:p>
    <w:p w14:paraId="154652EC">
      <w:pPr>
        <w:pStyle w:val="86"/>
        <w:ind w:firstLine="480"/>
        <w:rPr>
          <w:rFonts w:hint="eastAsia"/>
          <w:color w:val="auto"/>
        </w:rPr>
      </w:pPr>
      <w:r>
        <w:rPr>
          <w:rFonts w:hint="eastAsia"/>
          <w:color w:val="auto"/>
        </w:rPr>
        <w:t>（1）在设备选型上要求采用低噪声的设备，施工设备要经常检查维修，对噪声</w:t>
      </w:r>
      <w:r>
        <w:rPr>
          <w:color w:val="auto"/>
        </w:rPr>
        <w:t>较大的设备采取</w:t>
      </w:r>
      <w:r>
        <w:rPr>
          <w:rFonts w:hint="eastAsia"/>
          <w:color w:val="auto"/>
        </w:rPr>
        <w:t>基础减振措施。</w:t>
      </w:r>
    </w:p>
    <w:p w14:paraId="45E7F06A">
      <w:pPr>
        <w:pStyle w:val="86"/>
        <w:ind w:firstLine="468"/>
        <w:rPr>
          <w:rFonts w:hint="eastAsia"/>
          <w:color w:val="auto"/>
          <w:spacing w:val="-6"/>
        </w:rPr>
      </w:pPr>
      <w:r>
        <w:rPr>
          <w:rFonts w:hint="eastAsia"/>
          <w:color w:val="auto"/>
          <w:spacing w:val="-6"/>
        </w:rPr>
        <w:t>（2）加强施工场地管理，合理疏导进入施工区的车辆，禁止运输车辆随意高声鸣笛。</w:t>
      </w:r>
    </w:p>
    <w:p w14:paraId="6DFEF3B0">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施工期固体废物防治措施</w:t>
      </w:r>
    </w:p>
    <w:p w14:paraId="68D79754">
      <w:pPr>
        <w:pStyle w:val="86"/>
        <w:spacing w:line="480" w:lineRule="exact"/>
        <w:ind w:firstLine="480"/>
        <w:rPr>
          <w:rFonts w:hint="eastAsia"/>
          <w:color w:val="auto"/>
        </w:rPr>
      </w:pPr>
      <w:bookmarkStart w:id="766" w:name="_Hlk511374887"/>
      <w:r>
        <w:rPr>
          <w:rFonts w:hint="eastAsia"/>
          <w:color w:val="auto"/>
        </w:rPr>
        <w:t>（1）施工过程中使用材料产生的废边角料等尽量由施工单位统一回收利用，废包装物、废砖块等无法再利用的集中堆放，定期送至当地建筑垃圾填埋场填埋处理。施工单位应严格按照《中华人民共和国固体废物污染环境防治法》的要求对建筑垃圾进行妥善处置，具体措施如下：</w:t>
      </w:r>
    </w:p>
    <w:p w14:paraId="31D55D0A">
      <w:pPr>
        <w:pStyle w:val="86"/>
        <w:ind w:firstLine="480"/>
        <w:rPr>
          <w:rFonts w:hint="eastAsia"/>
          <w:color w:val="auto"/>
        </w:rPr>
      </w:pPr>
      <w:r>
        <w:rPr>
          <w:rFonts w:hint="eastAsia"/>
          <w:color w:val="auto"/>
        </w:rPr>
        <w:t>①编制建筑垃圾处理方案，采取污染防治措施，并报相关人民政府环境卫生主管部门备案。</w:t>
      </w:r>
    </w:p>
    <w:p w14:paraId="615F1535">
      <w:pPr>
        <w:pStyle w:val="86"/>
        <w:ind w:firstLine="480"/>
        <w:rPr>
          <w:rFonts w:hint="eastAsia"/>
          <w:color w:val="auto"/>
        </w:rPr>
      </w:pPr>
      <w:r>
        <w:rPr>
          <w:rFonts w:hint="eastAsia"/>
          <w:color w:val="auto"/>
        </w:rPr>
        <w:t>②及时清运工程施工过程中产生的建筑垃圾等固体废物，并按照当地环境卫生主管部门的规定进行利用或者处置。施工建筑垃圾中的一部分如建筑废模块、建筑材料下角料、废管材、断残钢筋头等可以回收利用的优先回收利用；另一部分无法回收利用的，施工单位集中收集后送至当地建筑垃圾填埋场处理。</w:t>
      </w:r>
    </w:p>
    <w:p w14:paraId="17BD8486">
      <w:pPr>
        <w:pStyle w:val="86"/>
        <w:ind w:firstLine="480"/>
        <w:rPr>
          <w:rFonts w:hint="eastAsia"/>
          <w:color w:val="auto"/>
        </w:rPr>
      </w:pPr>
      <w:r>
        <w:rPr>
          <w:rFonts w:hint="eastAsia"/>
          <w:color w:val="auto"/>
        </w:rPr>
        <w:t>③</w:t>
      </w:r>
      <w:bookmarkStart w:id="767" w:name="_Hlk148007974"/>
      <w:r>
        <w:rPr>
          <w:rFonts w:hint="eastAsia"/>
          <w:color w:val="auto"/>
        </w:rPr>
        <w:t>不得擅自倾倒、抛撒或者堆放工程施工过程中产生的建筑垃圾，</w:t>
      </w:r>
      <w:bookmarkEnd w:id="767"/>
      <w:r>
        <w:rPr>
          <w:rFonts w:hint="eastAsia"/>
          <w:color w:val="auto"/>
        </w:rPr>
        <w:t>做到及时处置，避免占用土地对城市景观造成不良影响。</w:t>
      </w:r>
    </w:p>
    <w:p w14:paraId="5C91BC3B">
      <w:pPr>
        <w:pStyle w:val="86"/>
        <w:ind w:firstLine="480"/>
        <w:rPr>
          <w:rFonts w:hint="eastAsia"/>
          <w:color w:val="auto"/>
        </w:rPr>
      </w:pPr>
      <w:r>
        <w:rPr>
          <w:rFonts w:hint="eastAsia"/>
          <w:color w:val="auto"/>
        </w:rPr>
        <w:t>（2）运输过程中，</w:t>
      </w:r>
      <w:bookmarkStart w:id="768" w:name="_Hlk148007984"/>
      <w:r>
        <w:rPr>
          <w:rFonts w:hint="eastAsia"/>
          <w:color w:val="auto"/>
        </w:rPr>
        <w:t>运输车辆均加盖篷布，以防止行驶过程中固体废物的散落。</w:t>
      </w:r>
      <w:bookmarkEnd w:id="768"/>
    </w:p>
    <w:p w14:paraId="5DEEFC12">
      <w:pPr>
        <w:pStyle w:val="86"/>
        <w:ind w:firstLine="480"/>
        <w:rPr>
          <w:rFonts w:hint="eastAsia"/>
          <w:color w:val="auto"/>
        </w:rPr>
      </w:pPr>
      <w:r>
        <w:rPr>
          <w:rFonts w:hint="eastAsia"/>
          <w:color w:val="auto"/>
        </w:rPr>
        <w:t>（3）施工结束后，站场废物全部进行清理，对可回收物优先回收处理，做到“工完、料尽、场地清”。</w:t>
      </w:r>
    </w:p>
    <w:p w14:paraId="34493A2C">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14:ligatures w14:val="none"/>
        </w:rPr>
      </w:pPr>
      <w:r>
        <w:rPr>
          <w:rFonts w:hint="eastAsia" w:ascii="黑体" w:hAnsi="黑体" w:eastAsia="黑体" w:cs="Times New Roman"/>
          <w:color w:val="auto"/>
          <w:sz w:val="24"/>
          <w:szCs w:val="21"/>
          <w:lang w:val="zh-CN"/>
          <w14:ligatures w14:val="none"/>
        </w:rPr>
        <w:t>施工期土壤污染防治措施</w:t>
      </w:r>
    </w:p>
    <w:bookmarkEnd w:id="766"/>
    <w:p w14:paraId="78497895">
      <w:pPr>
        <w:spacing w:line="480" w:lineRule="exact"/>
        <w:ind w:firstLine="480" w:firstLineChars="200"/>
        <w:rPr>
          <w:rFonts w:hint="eastAsia" w:ascii="宋体" w:hAnsi="宋体"/>
          <w:color w:val="auto"/>
          <w:kern w:val="0"/>
          <w:sz w:val="24"/>
          <w:szCs w:val="24"/>
        </w:rPr>
      </w:pPr>
      <w:bookmarkStart w:id="769" w:name="_Hlk40721133"/>
      <w:r>
        <w:rPr>
          <w:rFonts w:hint="eastAsia" w:ascii="宋体" w:hAnsi="宋体"/>
          <w:color w:val="auto"/>
          <w:kern w:val="0"/>
          <w:sz w:val="24"/>
          <w:szCs w:val="24"/>
        </w:rPr>
        <w:t>（1）严格控制施工期占地面积，按设计及规划的施工范围进行施工作业，减少土壤扰动。</w:t>
      </w:r>
    </w:p>
    <w:p w14:paraId="35A3DAB9">
      <w:pPr>
        <w:spacing w:line="480" w:lineRule="exact"/>
        <w:ind w:firstLine="480" w:firstLineChars="200"/>
        <w:rPr>
          <w:rFonts w:hint="eastAsia" w:ascii="宋体" w:hAnsi="宋体"/>
          <w:color w:val="auto"/>
          <w:kern w:val="0"/>
          <w:sz w:val="24"/>
          <w:szCs w:val="24"/>
        </w:rPr>
      </w:pPr>
      <w:r>
        <w:rPr>
          <w:rFonts w:hint="eastAsia" w:ascii="宋体" w:hAnsi="宋体"/>
          <w:color w:val="auto"/>
          <w:kern w:val="0"/>
          <w:sz w:val="24"/>
          <w:szCs w:val="24"/>
        </w:rPr>
        <w:t>（2）施工机械及运输车辆应按规定的道路行驶，减少对土壤的碾压，减少碾压造成的土壤紧实度增加及养分流失。</w:t>
      </w:r>
    </w:p>
    <w:p w14:paraId="6A0AC8F1">
      <w:pPr>
        <w:spacing w:line="480" w:lineRule="exact"/>
        <w:ind w:firstLine="480" w:firstLineChars="200"/>
        <w:rPr>
          <w:rFonts w:hint="eastAsia" w:ascii="宋体" w:hAnsi="宋体"/>
          <w:color w:val="auto"/>
          <w:kern w:val="0"/>
          <w:sz w:val="24"/>
          <w:szCs w:val="24"/>
        </w:rPr>
      </w:pPr>
      <w:r>
        <w:rPr>
          <w:rFonts w:hint="eastAsia" w:ascii="宋体" w:hAnsi="宋体"/>
          <w:color w:val="auto"/>
          <w:kern w:val="0"/>
          <w:sz w:val="24"/>
          <w:szCs w:val="24"/>
        </w:rPr>
        <w:t>（3）施工产生的建筑垃圾不得随意抛撒，应集中收集并及时清运，防止污染物进入土壤环境造成污染。</w:t>
      </w:r>
    </w:p>
    <w:p w14:paraId="3ACBA84F">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施工期生态环境保护措施</w:t>
      </w:r>
    </w:p>
    <w:bookmarkEnd w:id="769"/>
    <w:p w14:paraId="3204A19D">
      <w:pPr>
        <w:pStyle w:val="86"/>
        <w:ind w:firstLine="480"/>
        <w:rPr>
          <w:rFonts w:hint="eastAsia" w:ascii="等线" w:hAnsi="等线"/>
          <w:color w:val="auto"/>
        </w:rPr>
      </w:pPr>
      <w:bookmarkStart w:id="770" w:name="_Hlk165553470"/>
      <w:bookmarkStart w:id="771" w:name="_Hlk147587129"/>
      <w:bookmarkStart w:id="772" w:name="_Hlk40721680"/>
      <w:bookmarkStart w:id="773" w:name="_Hlk80648419"/>
      <w:r>
        <w:rPr>
          <w:rFonts w:hint="eastAsia" w:cs="宋体"/>
          <w:color w:val="auto"/>
        </w:rPr>
        <w:t>（1）避让措施：</w:t>
      </w:r>
      <w:bookmarkStart w:id="774" w:name="_Hlk165762326"/>
      <w:bookmarkStart w:id="775" w:name="_Hlk148007318"/>
      <w:bookmarkStart w:id="776" w:name="_Hlk167296641"/>
      <w:r>
        <w:rPr>
          <w:rFonts w:hint="eastAsia"/>
          <w:color w:val="auto"/>
        </w:rPr>
        <w:t>单井采油管线</w:t>
      </w:r>
      <w:r>
        <w:rPr>
          <w:rFonts w:hint="eastAsia" w:cs="宋体"/>
          <w:color w:val="auto"/>
        </w:rPr>
        <w:t>选线过程中植被比较稀疏，评价范围内无国家和地方保护植物，</w:t>
      </w:r>
      <w:r>
        <w:rPr>
          <w:rFonts w:ascii="Times New Roman" w:hAnsi="Times New Roman" w:cs="Times New Roman"/>
          <w:color w:val="auto"/>
          <w:kern w:val="0"/>
          <w:lang w:bidi="ar"/>
        </w:rPr>
        <w:t>合理选择管线走向，应避开植被茂盛的区段，尽量避免砍伐野生植物；管线敷设尽量取直，考虑管线距离最短。</w:t>
      </w:r>
      <w:r>
        <w:rPr>
          <w:rFonts w:ascii="Times New Roman" w:hAnsi="Times New Roman" w:cs="Times New Roman"/>
          <w:color w:val="auto"/>
          <w:spacing w:val="-6"/>
          <w:kern w:val="0"/>
          <w:lang w:bidi="ar"/>
        </w:rPr>
        <w:t>管线施工应严格限定施工范围，确定作业路线，不得随意改线。管线施工若遇到保护植物应当采取避让的措施，若无法进行避让，需对保护植物进行移植保护。</w:t>
      </w:r>
      <w:r>
        <w:rPr>
          <w:rFonts w:hint="eastAsia" w:cs="宋体"/>
          <w:color w:val="auto"/>
        </w:rPr>
        <w:t>根据管径大小确定施工作业带宽度，严格控制占地</w:t>
      </w:r>
      <w:bookmarkEnd w:id="774"/>
      <w:r>
        <w:rPr>
          <w:rFonts w:hint="eastAsia" w:cs="宋体"/>
          <w:color w:val="auto"/>
        </w:rPr>
        <w:t>；施工过程中尽量</w:t>
      </w:r>
      <w:r>
        <w:rPr>
          <w:rFonts w:hint="eastAsia" w:ascii="等线" w:hAnsi="等线"/>
          <w:color w:val="auto"/>
        </w:rPr>
        <w:t>避免破坏野生植物，最大限度避免破坏野生动物的活动场所和生存环境</w:t>
      </w:r>
      <w:bookmarkEnd w:id="775"/>
      <w:r>
        <w:rPr>
          <w:rFonts w:hint="eastAsia" w:ascii="等线" w:hAnsi="等线"/>
          <w:color w:val="auto"/>
        </w:rPr>
        <w:t>。</w:t>
      </w:r>
    </w:p>
    <w:bookmarkEnd w:id="770"/>
    <w:bookmarkEnd w:id="776"/>
    <w:p w14:paraId="76B8BF60">
      <w:pPr>
        <w:pStyle w:val="86"/>
        <w:ind w:firstLine="480"/>
        <w:rPr>
          <w:rFonts w:hint="eastAsia"/>
          <w:color w:val="auto"/>
        </w:rPr>
      </w:pPr>
      <w:r>
        <w:rPr>
          <w:rFonts w:hint="eastAsia" w:cs="宋体"/>
          <w:color w:val="auto"/>
        </w:rPr>
        <w:t>（2）减缓措施：</w:t>
      </w:r>
      <w:bookmarkStart w:id="777" w:name="_Hlk212974908"/>
      <w:r>
        <w:rPr>
          <w:rFonts w:hint="eastAsia" w:cs="宋体"/>
          <w:color w:val="auto"/>
        </w:rPr>
        <w:t>施工过程中严格规定车辆和各类工作人员的活动范围，使之限于在施工区范</w:t>
      </w:r>
      <w:r>
        <w:rPr>
          <w:rFonts w:hint="eastAsia"/>
          <w:color w:val="auto"/>
        </w:rPr>
        <w:t>围内活动，不随意</w:t>
      </w:r>
      <w:r>
        <w:rPr>
          <w:color w:val="auto"/>
        </w:rPr>
        <w:t>踩踏砍伐野生植被</w:t>
      </w:r>
      <w:r>
        <w:rPr>
          <w:rFonts w:hint="eastAsia"/>
          <w:color w:val="auto"/>
        </w:rPr>
        <w:t>，尽量不侵扰野生动物的栖息</w:t>
      </w:r>
      <w:r>
        <w:rPr>
          <w:rFonts w:hint="eastAsia"/>
          <w:color w:val="auto"/>
          <w:lang w:bidi="ar"/>
        </w:rPr>
        <w:t>地</w:t>
      </w:r>
      <w:bookmarkEnd w:id="777"/>
      <w:r>
        <w:rPr>
          <w:rFonts w:hint="eastAsia"/>
          <w:color w:val="auto"/>
          <w:lang w:bidi="ar"/>
        </w:rPr>
        <w:t>。施工单位应根据确定的施工用地范围，将施工便道、材料堆场、机械堆场、施工作业带等施工用地用彩条旗方式进行圈定，施工过程中严格按照圈定范围进行作业，不得超出圈定范围。施工过程中采取绿色施工工艺，各设备均为撬装设备，可减少地表开挖。</w:t>
      </w:r>
    </w:p>
    <w:p w14:paraId="2892C0AF">
      <w:pPr>
        <w:pStyle w:val="86"/>
        <w:ind w:firstLine="480"/>
        <w:rPr>
          <w:rFonts w:hint="eastAsia"/>
          <w:color w:val="auto"/>
          <w:lang w:bidi="ar"/>
        </w:rPr>
      </w:pPr>
      <w:r>
        <w:rPr>
          <w:rFonts w:hint="eastAsia" w:cs="宋体"/>
          <w:color w:val="auto"/>
        </w:rPr>
        <w:t>（</w:t>
      </w:r>
      <w:r>
        <w:rPr>
          <w:rFonts w:cs="宋体"/>
          <w:color w:val="auto"/>
        </w:rPr>
        <w:t>3</w:t>
      </w:r>
      <w:r>
        <w:rPr>
          <w:rFonts w:hint="eastAsia" w:cs="宋体"/>
          <w:color w:val="auto"/>
        </w:rPr>
        <w:t>）</w:t>
      </w:r>
      <w:bookmarkStart w:id="778" w:name="_Hlk148007330"/>
      <w:r>
        <w:rPr>
          <w:color w:val="auto"/>
          <w:lang w:bidi="ar"/>
        </w:rPr>
        <w:t>管沟应分层开挖、分层堆放、分层回填，特别是表层土壤分层堆放，以保护植被生长层，</w:t>
      </w:r>
      <w:bookmarkEnd w:id="778"/>
      <w:r>
        <w:rPr>
          <w:color w:val="auto"/>
          <w:lang w:bidi="ar"/>
        </w:rPr>
        <w:t>降低对土壤养分的影响，尽快使土壤恢复生产力，同时减少水土流失；土石方不得随意堆放，应集中堆</w:t>
      </w:r>
      <w:r>
        <w:rPr>
          <w:rFonts w:hint="eastAsia"/>
          <w:color w:val="auto"/>
          <w:lang w:bidi="ar"/>
        </w:rPr>
        <w:t>置于</w:t>
      </w:r>
      <w:r>
        <w:rPr>
          <w:color w:val="auto"/>
          <w:lang w:bidi="ar"/>
        </w:rPr>
        <w:t>管沟一侧，且不影响施工安全的距离内，施工完毕后</w:t>
      </w:r>
      <w:r>
        <w:rPr>
          <w:rFonts w:hint="eastAsia"/>
          <w:color w:val="auto"/>
          <w:lang w:bidi="ar"/>
        </w:rPr>
        <w:t>全部用于回填并分层压实。严格控制管线施工作业带宽度，应在12m范围内。</w:t>
      </w:r>
    </w:p>
    <w:p w14:paraId="20F6C853">
      <w:pPr>
        <w:pStyle w:val="86"/>
        <w:ind w:firstLine="480"/>
        <w:rPr>
          <w:rFonts w:hint="eastAsia"/>
          <w:color w:val="auto"/>
          <w:lang w:bidi="ar"/>
        </w:rPr>
      </w:pPr>
      <w:r>
        <w:rPr>
          <w:rFonts w:hint="eastAsia"/>
          <w:color w:val="auto"/>
          <w:lang w:bidi="ar"/>
        </w:rPr>
        <w:t>（4）</w:t>
      </w:r>
      <w:bookmarkStart w:id="779" w:name="_Hlk165762443"/>
      <w:r>
        <w:rPr>
          <w:rFonts w:hint="eastAsia"/>
          <w:color w:val="auto"/>
          <w:lang w:bidi="ar"/>
        </w:rPr>
        <w:t>恢复措施：施工结束后，</w:t>
      </w:r>
      <w:bookmarkStart w:id="780" w:name="_Hlk165762580"/>
      <w:r>
        <w:rPr>
          <w:rFonts w:hint="eastAsia"/>
          <w:color w:val="auto"/>
          <w:lang w:bidi="ar"/>
        </w:rPr>
        <w:t>及时对施工场地进行平整，以便后期植被</w:t>
      </w:r>
      <w:r>
        <w:rPr>
          <w:rFonts w:hint="eastAsia"/>
          <w:color w:val="auto"/>
        </w:rPr>
        <w:t>自然恢复；对永久占地进行砾石铺垫等地面硬化处理</w:t>
      </w:r>
      <w:bookmarkEnd w:id="780"/>
      <w:r>
        <w:rPr>
          <w:rFonts w:hint="eastAsia"/>
          <w:color w:val="auto"/>
        </w:rPr>
        <w:t>，以减少风蚀量；尽量利用施工时产生的表层土对临时占地进行覆盖，覆盖厚度根据植被恢复类型和场地用途决定；采用自然恢复的方式对区域植被进行恢复，施工为分段施工，建议“边施工、边修复”。恢复后的植被覆盖率不应低于区域范围内同类型土地植被覆盖率，植被类型应与原有类型相似，并与周边自然景观协调，不得使用外来有害物种进行占地范围内的植被恢复。</w:t>
      </w:r>
    </w:p>
    <w:bookmarkEnd w:id="779"/>
    <w:p w14:paraId="366FEE52">
      <w:pPr>
        <w:pStyle w:val="86"/>
        <w:ind w:firstLine="480"/>
        <w:rPr>
          <w:rFonts w:hint="eastAsia"/>
          <w:color w:val="auto"/>
        </w:rPr>
      </w:pPr>
      <w:r>
        <w:rPr>
          <w:rFonts w:hint="eastAsia"/>
          <w:color w:val="auto"/>
          <w:lang w:bidi="ar"/>
        </w:rPr>
        <w:t>（</w:t>
      </w:r>
      <w:r>
        <w:rPr>
          <w:color w:val="auto"/>
          <w:lang w:bidi="ar"/>
        </w:rPr>
        <w:t>5</w:t>
      </w:r>
      <w:r>
        <w:rPr>
          <w:rFonts w:hint="eastAsia"/>
          <w:color w:val="auto"/>
          <w:lang w:bidi="ar"/>
        </w:rPr>
        <w:t>）</w:t>
      </w:r>
      <w:bookmarkStart w:id="781" w:name="_Hlk148007344"/>
      <w:r>
        <w:rPr>
          <w:rFonts w:hint="eastAsia" w:cs="宋体"/>
          <w:color w:val="auto"/>
        </w:rPr>
        <w:t>补偿措施：</w:t>
      </w:r>
      <w:r>
        <w:rPr>
          <w:rFonts w:hint="eastAsia"/>
          <w:color w:val="auto"/>
        </w:rPr>
        <w:t>建设单位应按照《中华人民共和国土地管理法》和《新疆维吾尔自治区实施〈中华人民共和国土地管理法〉办法》等相关规定，依法办理占地手续，足额缴纳生态补偿费。因项目占地造成的植被损失应按规定进行经济补偿，</w:t>
      </w:r>
      <w:bookmarkStart w:id="782" w:name="_Hlk148007358"/>
      <w:r>
        <w:rPr>
          <w:rFonts w:hint="eastAsia"/>
          <w:color w:val="auto"/>
        </w:rPr>
        <w:t>专款用于植被恢复</w:t>
      </w:r>
      <w:r>
        <w:rPr>
          <w:color w:val="auto"/>
        </w:rPr>
        <w:t>。</w:t>
      </w:r>
      <w:bookmarkEnd w:id="782"/>
      <w:r>
        <w:rPr>
          <w:rFonts w:hint="eastAsia"/>
          <w:color w:val="auto"/>
        </w:rPr>
        <w:t>本工程经济补偿费用由建设单位按规定向林业主管部门缴纳，具体补种及植被恢复由林业主管部门负责实施。</w:t>
      </w:r>
    </w:p>
    <w:bookmarkEnd w:id="771"/>
    <w:bookmarkEnd w:id="781"/>
    <w:p w14:paraId="7F169547">
      <w:pPr>
        <w:pStyle w:val="86"/>
        <w:ind w:firstLine="480"/>
        <w:rPr>
          <w:rFonts w:hint="eastAsia"/>
          <w:color w:val="auto"/>
        </w:rPr>
      </w:pPr>
      <w:r>
        <w:rPr>
          <w:rFonts w:hint="eastAsia" w:cs="宋体"/>
          <w:color w:val="auto"/>
        </w:rPr>
        <w:t>（</w:t>
      </w:r>
      <w:r>
        <w:rPr>
          <w:rFonts w:cs="宋体"/>
          <w:color w:val="auto"/>
        </w:rPr>
        <w:t>6</w:t>
      </w:r>
      <w:r>
        <w:rPr>
          <w:rFonts w:hint="eastAsia" w:cs="宋体"/>
          <w:color w:val="auto"/>
        </w:rPr>
        <w:t>）环境管理措施</w:t>
      </w:r>
    </w:p>
    <w:bookmarkEnd w:id="772"/>
    <w:p w14:paraId="2069CEAA">
      <w:pPr>
        <w:pStyle w:val="86"/>
        <w:ind w:firstLine="480"/>
        <w:rPr>
          <w:rFonts w:hint="eastAsia"/>
          <w:color w:val="auto"/>
        </w:rPr>
      </w:pPr>
      <w:r>
        <w:rPr>
          <w:rFonts w:hint="eastAsia" w:cs="宋体"/>
          <w:color w:val="auto"/>
        </w:rPr>
        <w:t>①</w:t>
      </w:r>
      <w:r>
        <w:rPr>
          <w:rFonts w:hint="eastAsia"/>
          <w:color w:val="auto"/>
        </w:rPr>
        <w:t>确保各环保设施正常运行，避免各种污染物对土壤环境的影响，并进一步影响其上部生长的荒漠植被；避免强噪声环境的出现，避免对野生动物的惊扰。</w:t>
      </w:r>
    </w:p>
    <w:p w14:paraId="162A0BA1">
      <w:pPr>
        <w:pStyle w:val="86"/>
        <w:ind w:firstLine="480"/>
        <w:rPr>
          <w:rFonts w:hint="eastAsia"/>
          <w:color w:val="auto"/>
        </w:rPr>
      </w:pPr>
      <w:r>
        <w:rPr>
          <w:rFonts w:hint="eastAsia"/>
          <w:color w:val="auto"/>
        </w:rPr>
        <w:t>②加强对施工人员和职工的教育，强化保护野生动植物的观念，严禁捕杀任何野生动物。</w:t>
      </w:r>
    </w:p>
    <w:p w14:paraId="660CD7FB">
      <w:pPr>
        <w:pStyle w:val="86"/>
        <w:ind w:firstLine="480" w:firstLineChars="0"/>
        <w:rPr>
          <w:rFonts w:hint="eastAsia"/>
          <w:color w:val="auto"/>
        </w:rPr>
      </w:pPr>
      <w:bookmarkStart w:id="783" w:name="_Hlk36712250"/>
      <w:r>
        <w:rPr>
          <w:rFonts w:hint="eastAsia"/>
          <w:color w:val="auto"/>
        </w:rPr>
        <w:t>③</w:t>
      </w:r>
      <w:bookmarkStart w:id="784" w:name="_Hlk148007366"/>
      <w:r>
        <w:rPr>
          <w:rFonts w:hint="eastAsia"/>
          <w:color w:val="auto"/>
        </w:rPr>
        <w:t>加强施工期环境监理，</w:t>
      </w:r>
      <w:bookmarkEnd w:id="784"/>
      <w:r>
        <w:rPr>
          <w:rFonts w:hint="eastAsia"/>
          <w:color w:val="auto"/>
        </w:rPr>
        <w:t>监理的重点内容</w:t>
      </w:r>
      <w:bookmarkEnd w:id="783"/>
      <w:r>
        <w:rPr>
          <w:rFonts w:hint="eastAsia"/>
          <w:color w:val="auto"/>
        </w:rPr>
        <w:t>：井场、橇装天然气处理装置、管线等工程施工情况、施工结束后的植被恢复，野生动物保护，以及材料堆放、施工方式等环境保护内容。</w:t>
      </w:r>
    </w:p>
    <w:p w14:paraId="15C6B6BE">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水土流失防治措施</w:t>
      </w:r>
    </w:p>
    <w:p w14:paraId="035D427C">
      <w:pPr>
        <w:pStyle w:val="86"/>
        <w:ind w:firstLine="480" w:firstLineChars="0"/>
        <w:rPr>
          <w:rFonts w:hint="eastAsia"/>
          <w:color w:val="auto"/>
        </w:rPr>
      </w:pPr>
      <w:bookmarkStart w:id="785" w:name="_Hlk147587195"/>
      <w:bookmarkStart w:id="786" w:name="_Hlk80202941"/>
      <w:r>
        <w:rPr>
          <w:rFonts w:hint="eastAsia"/>
          <w:color w:val="auto"/>
        </w:rPr>
        <w:t>（1）严格控制各项工程作业面积，严禁毁坏占地范围外的自然植被。</w:t>
      </w:r>
    </w:p>
    <w:p w14:paraId="2BCC5003">
      <w:pPr>
        <w:pStyle w:val="86"/>
        <w:ind w:firstLine="480" w:firstLineChars="0"/>
        <w:rPr>
          <w:rFonts w:hint="eastAsia"/>
          <w:color w:val="auto"/>
        </w:rPr>
      </w:pPr>
      <w:r>
        <w:rPr>
          <w:rFonts w:hint="eastAsia"/>
          <w:color w:val="auto"/>
        </w:rPr>
        <w:t>（2）新建采油井场采用砾石铺垫，单井采油管线管沟开挖时产生的临时土方</w:t>
      </w:r>
      <w:r>
        <w:rPr>
          <w:color w:val="auto"/>
        </w:rPr>
        <w:t>临时堆放</w:t>
      </w:r>
      <w:r>
        <w:rPr>
          <w:rFonts w:hint="eastAsia"/>
          <w:color w:val="auto"/>
        </w:rPr>
        <w:t>管沟旁</w:t>
      </w:r>
      <w:r>
        <w:rPr>
          <w:color w:val="auto"/>
        </w:rPr>
        <w:t>，</w:t>
      </w:r>
      <w:r>
        <w:rPr>
          <w:rFonts w:hint="eastAsia"/>
          <w:color w:val="auto"/>
        </w:rPr>
        <w:t>采用防尘布（或网）进行苫盖。</w:t>
      </w:r>
    </w:p>
    <w:bookmarkEnd w:id="785"/>
    <w:p w14:paraId="58264912">
      <w:pPr>
        <w:pStyle w:val="86"/>
        <w:ind w:firstLine="480" w:firstLineChars="0"/>
        <w:rPr>
          <w:rFonts w:hint="eastAsia"/>
          <w:color w:val="auto"/>
        </w:rPr>
      </w:pPr>
      <w:bookmarkStart w:id="787" w:name="_Hlk147587209"/>
      <w:r>
        <w:rPr>
          <w:rFonts w:hint="eastAsia"/>
          <w:color w:val="auto"/>
        </w:rPr>
        <w:t>（3）严格控制和管理运输车辆的运行范围，不得离开运输道路及随意驾驶。由专人监督负责，以防破坏土壤和植被。</w:t>
      </w:r>
    </w:p>
    <w:p w14:paraId="4FCE2A67">
      <w:pPr>
        <w:pStyle w:val="86"/>
        <w:ind w:firstLine="480" w:firstLineChars="0"/>
        <w:rPr>
          <w:rFonts w:hint="eastAsia"/>
          <w:color w:val="auto"/>
        </w:rPr>
      </w:pPr>
      <w:r>
        <w:rPr>
          <w:rFonts w:hint="eastAsia"/>
          <w:color w:val="auto"/>
        </w:rPr>
        <w:t>（</w:t>
      </w:r>
      <w:r>
        <w:rPr>
          <w:color w:val="auto"/>
        </w:rPr>
        <w:t>4</w:t>
      </w:r>
      <w:r>
        <w:rPr>
          <w:rFonts w:hint="eastAsia"/>
          <w:color w:val="auto"/>
        </w:rPr>
        <w:t>）建设单位自行或委托有资质的单位编制水土保持方案，并报相关部门审批；并根据相关技术规范进行水土保持监测，并将监测情况定期上报当地水行政主管部门。</w:t>
      </w:r>
    </w:p>
    <w:p w14:paraId="333D9CB7">
      <w:pPr>
        <w:pStyle w:val="86"/>
        <w:ind w:firstLine="480" w:firstLineChars="0"/>
        <w:rPr>
          <w:rFonts w:hint="eastAsia"/>
          <w:color w:val="auto"/>
        </w:rPr>
      </w:pPr>
      <w:r>
        <w:rPr>
          <w:rFonts w:hint="eastAsia"/>
          <w:color w:val="auto"/>
        </w:rPr>
        <w:t>（5）管沟开挖土方全部回填，管沟回填应分层回填，以利施工带土壤和植被的尽早恢复。回填后应予以平整、压实，以免发生水土流失。</w:t>
      </w:r>
    </w:p>
    <w:bookmarkEnd w:id="787"/>
    <w:p w14:paraId="5DB1F684">
      <w:pPr>
        <w:pStyle w:val="86"/>
        <w:ind w:firstLine="480" w:firstLineChars="0"/>
        <w:rPr>
          <w:rFonts w:hint="eastAsia"/>
          <w:color w:val="auto"/>
        </w:rPr>
      </w:pPr>
      <w:r>
        <w:rPr>
          <w:rFonts w:hint="eastAsia"/>
          <w:color w:val="auto"/>
        </w:rPr>
        <w:t>（</w:t>
      </w:r>
      <w:r>
        <w:rPr>
          <w:color w:val="auto"/>
        </w:rPr>
        <w:t>6</w:t>
      </w:r>
      <w:r>
        <w:rPr>
          <w:rFonts w:hint="eastAsia"/>
          <w:color w:val="auto"/>
        </w:rPr>
        <w:t>）工程主管部门积极主动，加强水土保持管理，对工作人员进行培训和教育，自觉保持水土，保护植被，不随意乱采乱挖沿线植被。</w:t>
      </w:r>
    </w:p>
    <w:p w14:paraId="0F4AFE39">
      <w:pPr>
        <w:pStyle w:val="86"/>
        <w:ind w:firstLine="480" w:firstLineChars="0"/>
        <w:rPr>
          <w:rFonts w:hint="eastAsia"/>
          <w:color w:val="auto"/>
        </w:rPr>
      </w:pPr>
      <w:r>
        <w:rPr>
          <w:rFonts w:hint="eastAsia"/>
          <w:color w:val="auto"/>
        </w:rPr>
        <w:t>（</w:t>
      </w:r>
      <w:r>
        <w:rPr>
          <w:color w:val="auto"/>
        </w:rPr>
        <w:t>7</w:t>
      </w:r>
      <w:r>
        <w:rPr>
          <w:rFonts w:hint="eastAsia"/>
          <w:color w:val="auto"/>
        </w:rPr>
        <w:t>）施工区域设置水土保持宣传警示牌，切实增强保护生态环境的意识。</w:t>
      </w:r>
    </w:p>
    <w:p w14:paraId="4B078322">
      <w:pPr>
        <w:pStyle w:val="86"/>
        <w:ind w:firstLine="480" w:firstLineChars="0"/>
        <w:rPr>
          <w:rFonts w:hint="eastAsia"/>
          <w:color w:val="auto"/>
        </w:rPr>
      </w:pPr>
      <w:r>
        <w:rPr>
          <w:rFonts w:hint="eastAsia"/>
          <w:color w:val="auto"/>
        </w:rPr>
        <w:t>（8）优化施工组织，避免大风、雨天气下施工，特别是转输管线管沟开挖和回填作业；合理安排施工进度与时序，缩小裸露面积和减少裸露时间，减少施工过程中因降水和风等水土流失影响因素可能产生的水土流失。</w:t>
      </w:r>
    </w:p>
    <w:p w14:paraId="7A3E928E">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防沙治沙措施</w:t>
      </w:r>
    </w:p>
    <w:p w14:paraId="4D893E4E">
      <w:pPr>
        <w:spacing w:line="520" w:lineRule="exact"/>
        <w:ind w:firstLine="480" w:firstLineChars="200"/>
        <w:rPr>
          <w:rFonts w:hint="eastAsia" w:ascii="宋体" w:hAnsi="宋体"/>
          <w:color w:val="auto"/>
          <w:sz w:val="24"/>
          <w:szCs w:val="24"/>
        </w:rPr>
      </w:pPr>
      <w:bookmarkStart w:id="788" w:name="_Hlk194610634"/>
      <w:bookmarkStart w:id="789" w:name="_Hlk165554924"/>
      <w:bookmarkStart w:id="790" w:name="_Hlk147587221"/>
      <w:r>
        <w:rPr>
          <w:rFonts w:hint="eastAsia" w:ascii="宋体" w:hAnsi="宋体"/>
          <w:color w:val="auto"/>
          <w:sz w:val="24"/>
          <w:szCs w:val="24"/>
        </w:rPr>
        <w:t>（1）防沙治沙采取的技术规范、标准</w:t>
      </w:r>
    </w:p>
    <w:p w14:paraId="252825C2">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①《中华人民共和国防沙治沙法》（2018年10月26日修订）；</w:t>
      </w:r>
    </w:p>
    <w:p w14:paraId="103D3AC7">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②《关于加强沙区建设项目环境影响评价工作的通知》（新环环评发〔2020〕138号）；</w:t>
      </w:r>
    </w:p>
    <w:p w14:paraId="180499B8">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③《防沙治沙技术规范》（GB/T21141-2007）；</w:t>
      </w:r>
    </w:p>
    <w:p w14:paraId="0389EEE1">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④《国家林业和草原局关于做好沙区开发建设项目环评中防沙治沙内容评价工作的意见》（林沙发〔2013〕136号）；</w:t>
      </w:r>
    </w:p>
    <w:p w14:paraId="5D9DE8B5">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⑤《沙化土地监测技术规程》（GB/T 24255-2009）。</w:t>
      </w:r>
    </w:p>
    <w:p w14:paraId="0DF53FB9">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（2）制定方案的原则与目标</w:t>
      </w:r>
    </w:p>
    <w:p w14:paraId="149A5920">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制定方案的原则：①科学性、前瞻性与可行性相结合；②定性目标与定量指标相结合；③注重生态效益与关注民生、发展产业相结合；④节约用水和合理用水相结合；⑤坚持因地制宜的原则。</w:t>
      </w:r>
    </w:p>
    <w:p w14:paraId="0059EDF5">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制定方案的目标：通过工程建设，维持现有区域植被覆盖度，土地沙化扩展趋势得到遏制。</w:t>
      </w:r>
    </w:p>
    <w:p w14:paraId="150A6E81">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（3）工程措施</w:t>
      </w:r>
    </w:p>
    <w:p w14:paraId="4C3DFB91">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本项目不涉及物理、化学固沙及其他机械固沙措施。</w:t>
      </w:r>
    </w:p>
    <w:p w14:paraId="00E8D46F">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（4）植物措施</w:t>
      </w:r>
    </w:p>
    <w:p w14:paraId="7F2A5B72">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项目区植被主要为白梭梭、多枝柽柳、琵琶柴等，项目区土地利用类型为沙地，区域干旱少雨，不具备植被恢复的条件，区域植被主要靠自然恢复。</w:t>
      </w:r>
    </w:p>
    <w:p w14:paraId="17031C4E">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（5）其他措施</w:t>
      </w:r>
    </w:p>
    <w:p w14:paraId="6D618CF6">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①</w:t>
      </w:r>
      <w:bookmarkStart w:id="791" w:name="_Hlk212975019"/>
      <w:r>
        <w:rPr>
          <w:rFonts w:hint="eastAsia" w:ascii="宋体" w:hAnsi="宋体"/>
          <w:color w:val="auto"/>
          <w:sz w:val="24"/>
          <w:szCs w:val="24"/>
        </w:rPr>
        <w:t>施工过程中不得随意碾压区域其他固沙植被，严格控制施工活动范围，严禁乱碾乱轧，避免对占地范围外的区域造成扰动；严禁施工人员在荒漠地段随意踩踏、占用。</w:t>
      </w:r>
    </w:p>
    <w:p w14:paraId="5269B526">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②施工结束后对井场采取砾石铺垫等地面硬化处理。</w:t>
      </w:r>
    </w:p>
    <w:p w14:paraId="3C574F57">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③遇到干燥、易起尘的土方工程作业时，应辅以洒水压尘，尽量缩短起尘操作时间，遇到四级及四级以上大风天气，应停止土方作业，同时作业处覆以防尘网。</w:t>
      </w:r>
    </w:p>
    <w:p w14:paraId="7C8BA2F4">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④在施工过程中，不得随意碾压区域内其他固沙植被，严格控制和管理运输车辆及重型机械的运行线路和范围，不得离开运输道路及随意行驶，由专人负责，以防破坏土壤和植被，加剧土地荒漠化。</w:t>
      </w:r>
    </w:p>
    <w:p w14:paraId="13F76F7E">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⑤粉状材料及临时土方等在堆场应采取覆盖防尘布，逸散性材料运输采用篷布遮盖，减少施工扬尘产生量和起沙量</w:t>
      </w:r>
      <w:bookmarkEnd w:id="791"/>
      <w:r>
        <w:rPr>
          <w:rFonts w:hint="eastAsia" w:ascii="宋体" w:hAnsi="宋体"/>
          <w:color w:val="auto"/>
          <w:sz w:val="24"/>
          <w:szCs w:val="24"/>
        </w:rPr>
        <w:t>。</w:t>
      </w:r>
    </w:p>
    <w:p w14:paraId="167CEA33">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（6）各种措施总量和年度实施计划、完成期限等</w:t>
      </w:r>
    </w:p>
    <w:p w14:paraId="51316D8F">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工程措施、植被措施及其他措施，要求在项目建设完成投入运行之前完成，严禁防沙治沙措施未完成即投入运行。</w:t>
      </w:r>
    </w:p>
    <w:p w14:paraId="7044E847">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（7）方案实施保障措施</w:t>
      </w:r>
    </w:p>
    <w:p w14:paraId="1E8FEA20">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①组织领导措施</w:t>
      </w:r>
    </w:p>
    <w:p w14:paraId="12158AB2">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防沙治沙是维护生态安全，促进经济发展和人与自然和谐相处的重要举措。拟建工程防沙治沙工程中建设单位作为第一责任人，各施工队作为措施落实方，属于主要责任人。建设单位应在各施工队施工过程中，提出具体的目标及要求，并落实到具体人员。</w:t>
      </w:r>
    </w:p>
    <w:p w14:paraId="5F768390">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②技术保证措施</w:t>
      </w:r>
    </w:p>
    <w:p w14:paraId="60A20E4B">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邀请各级林业部门组织开展多层次、多形式的技术培训，加强参与防沙治沙工程的人员的培训工作，使其掌握防沙治沙工程建设、管理的基本技术要求，增强人员主动参与防沙治沙能力和积极性；在项目区自然条件恶劣，水资源短缺，在项目建设的各个环节过程中，加强人员的节水意识，避免铺张浪费，提高水的重复利用性。</w:t>
      </w:r>
    </w:p>
    <w:p w14:paraId="440B2B10">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③生态、经济效益预测</w:t>
      </w:r>
    </w:p>
    <w:p w14:paraId="7B7FDA27">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拟建工程防沙治沙措施实施后，预计项目区沙化土地扩展趋势得到一定的遏制。</w:t>
      </w:r>
      <w:bookmarkEnd w:id="788"/>
    </w:p>
    <w:bookmarkEnd w:id="762"/>
    <w:bookmarkEnd w:id="763"/>
    <w:bookmarkEnd w:id="764"/>
    <w:bookmarkEnd w:id="773"/>
    <w:bookmarkEnd w:id="786"/>
    <w:bookmarkEnd w:id="789"/>
    <w:bookmarkEnd w:id="790"/>
    <w:p w14:paraId="72E10619">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792" w:name="_Toc445996464"/>
      <w:bookmarkStart w:id="793" w:name="_Toc448413620"/>
      <w:bookmarkStart w:id="794" w:name="_Toc445840421"/>
      <w:bookmarkStart w:id="795" w:name="_Toc224406023"/>
      <w:bookmarkStart w:id="796" w:name="_Toc22137"/>
      <w:bookmarkStart w:id="797" w:name="_Toc12323"/>
      <w:bookmarkStart w:id="798" w:name="_Toc459026595"/>
      <w:bookmarkStart w:id="799" w:name="_Toc445842144"/>
      <w:bookmarkStart w:id="800" w:name="_Toc475624489"/>
      <w:bookmarkStart w:id="801" w:name="_Toc4185"/>
      <w:r>
        <w:rPr>
          <w:rFonts w:hint="eastAsia" w:ascii="黑体" w:hAnsi="黑体" w:eastAsia="黑体" w:cs="Times New Roman"/>
          <w:bCs/>
          <w:color w:val="auto"/>
          <w:sz w:val="28"/>
          <w:szCs w:val="32"/>
          <w14:ligatures w14:val="none"/>
        </w:rPr>
        <w:t>运营期环境</w:t>
      </w:r>
      <w:r>
        <w:rPr>
          <w:rFonts w:ascii="黑体" w:hAnsi="黑体" w:eastAsia="黑体" w:cs="Times New Roman"/>
          <w:bCs/>
          <w:color w:val="auto"/>
          <w:sz w:val="28"/>
          <w:szCs w:val="32"/>
          <w14:ligatures w14:val="none"/>
        </w:rPr>
        <w:t>保护措施</w:t>
      </w:r>
      <w:bookmarkEnd w:id="792"/>
      <w:bookmarkEnd w:id="793"/>
      <w:bookmarkEnd w:id="794"/>
      <w:bookmarkEnd w:id="795"/>
      <w:bookmarkEnd w:id="796"/>
      <w:bookmarkEnd w:id="797"/>
      <w:bookmarkEnd w:id="798"/>
      <w:bookmarkEnd w:id="799"/>
      <w:bookmarkEnd w:id="800"/>
      <w:bookmarkEnd w:id="801"/>
      <w:bookmarkStart w:id="802" w:name="_Toc445842145"/>
      <w:bookmarkStart w:id="803" w:name="_Toc445996465"/>
      <w:bookmarkStart w:id="804" w:name="_Toc7470"/>
    </w:p>
    <w:p w14:paraId="3DB3D7B5">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运营期大气污染防治措施</w:t>
      </w:r>
    </w:p>
    <w:p w14:paraId="37670083">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根据《</w:t>
      </w:r>
      <w:r>
        <w:rPr>
          <w:color w:val="auto"/>
        </w:rPr>
        <w:fldChar w:fldCharType="begin"/>
      </w:r>
      <w:r>
        <w:rPr>
          <w:color w:val="auto"/>
        </w:rPr>
        <w:instrText xml:space="preserve"> HYPERLINK "http://www.mee.gov.cn/ywgz/fgbz/bz/bzwb/dqhjbh/dqgdwrywrwpfbz/202012/W020201225551948738018.pdf" </w:instrText>
      </w:r>
      <w:r>
        <w:rPr>
          <w:color w:val="auto"/>
        </w:rPr>
        <w:fldChar w:fldCharType="separate"/>
      </w:r>
      <w:r>
        <w:rPr>
          <w:rFonts w:hint="eastAsia" w:ascii="宋体" w:hAnsi="宋体"/>
          <w:color w:val="auto"/>
          <w:sz w:val="24"/>
          <w:szCs w:val="24"/>
        </w:rPr>
        <w:t>陆上石油天然气开采工业大气污染物排放标准》</w:t>
      </w:r>
      <w:bookmarkStart w:id="805" w:name="_Hlk160376697"/>
      <w:r>
        <w:rPr>
          <w:rFonts w:hint="eastAsia" w:ascii="宋体" w:hAnsi="宋体"/>
          <w:color w:val="auto"/>
          <w:sz w:val="24"/>
          <w:szCs w:val="24"/>
        </w:rPr>
        <w:t>（GB39728—2020）</w:t>
      </w:r>
      <w:bookmarkEnd w:id="805"/>
      <w:r>
        <w:rPr>
          <w:rFonts w:hint="eastAsia" w:ascii="宋体" w:hAnsi="宋体"/>
          <w:color w:val="auto"/>
          <w:sz w:val="24"/>
          <w:szCs w:val="24"/>
        </w:rPr>
        <w:fldChar w:fldCharType="end"/>
      </w:r>
      <w:r>
        <w:rPr>
          <w:rFonts w:hint="eastAsia" w:ascii="宋体" w:hAnsi="宋体"/>
          <w:color w:val="auto"/>
          <w:sz w:val="24"/>
          <w:szCs w:val="24"/>
        </w:rPr>
        <w:t>中的相关要求，针对废气提出如下防治措施：</w:t>
      </w:r>
    </w:p>
    <w:p w14:paraId="058B7F8E">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（1）莫27井采出物通过单井管线管输至CNG撬装天然气浅冷处理装置处理，天然气集输及处理均采用密闭集输工艺。</w:t>
      </w:r>
    </w:p>
    <w:p w14:paraId="53A91585">
      <w:pPr>
        <w:spacing w:line="520" w:lineRule="exact"/>
        <w:ind w:firstLine="480" w:firstLineChars="200"/>
        <w:rPr>
          <w:rFonts w:hint="eastAsia" w:ascii="宋体" w:hAnsi="宋体"/>
          <w:color w:val="auto"/>
          <w:sz w:val="24"/>
          <w:szCs w:val="24"/>
        </w:rPr>
      </w:pPr>
      <w:bookmarkStart w:id="806" w:name="_Hlk160376774"/>
      <w:r>
        <w:rPr>
          <w:rFonts w:hint="eastAsia" w:ascii="宋体" w:hAnsi="宋体"/>
          <w:color w:val="auto"/>
          <w:sz w:val="24"/>
          <w:szCs w:val="24"/>
        </w:rPr>
        <w:t>（</w:t>
      </w:r>
      <w:r>
        <w:rPr>
          <w:rFonts w:ascii="宋体" w:hAnsi="宋体"/>
          <w:color w:val="auto"/>
          <w:sz w:val="24"/>
          <w:szCs w:val="24"/>
        </w:rPr>
        <w:t>2</w:t>
      </w:r>
      <w:r>
        <w:rPr>
          <w:rFonts w:hint="eastAsia" w:ascii="宋体" w:hAnsi="宋体"/>
          <w:color w:val="auto"/>
          <w:sz w:val="24"/>
          <w:szCs w:val="24"/>
        </w:rPr>
        <w:t>）井场和撬装天然气浅冷处理装置选用质量可靠的设备、仪表、阀门等；</w:t>
      </w:r>
      <w:bookmarkStart w:id="807" w:name="_Hlk92466549"/>
      <w:r>
        <w:rPr>
          <w:rFonts w:hint="eastAsia" w:ascii="宋体" w:hAnsi="宋体"/>
          <w:color w:val="auto"/>
          <w:sz w:val="24"/>
          <w:szCs w:val="24"/>
        </w:rPr>
        <w:t>定期对采油井场、撬装天然气浅冷处理装置的各设备、阀门等检查、检修</w:t>
      </w:r>
      <w:bookmarkEnd w:id="807"/>
      <w:r>
        <w:rPr>
          <w:rFonts w:hint="eastAsia" w:ascii="宋体" w:hAnsi="宋体"/>
          <w:color w:val="auto"/>
          <w:sz w:val="24"/>
          <w:szCs w:val="24"/>
        </w:rPr>
        <w:t>，以防止跑、冒、漏、漏现象的发生。</w:t>
      </w:r>
    </w:p>
    <w:p w14:paraId="18AB6C3B">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（3）</w:t>
      </w:r>
      <w:bookmarkStart w:id="808" w:name="_Hlk165763752"/>
      <w:bookmarkStart w:id="809" w:name="_Hlk167297022"/>
      <w:bookmarkStart w:id="810" w:name="_Hlk177511051"/>
      <w:r>
        <w:rPr>
          <w:rFonts w:hint="eastAsia" w:ascii="宋体" w:hAnsi="宋体"/>
          <w:color w:val="auto"/>
          <w:sz w:val="24"/>
          <w:szCs w:val="24"/>
        </w:rPr>
        <w:t>事故状态下，天然气浅冷处理装置的天然气通过</w:t>
      </w:r>
      <w:bookmarkEnd w:id="808"/>
      <w:r>
        <w:rPr>
          <w:rFonts w:hint="eastAsia" w:ascii="宋体" w:hAnsi="宋体"/>
          <w:color w:val="auto"/>
          <w:sz w:val="24"/>
          <w:szCs w:val="24"/>
        </w:rPr>
        <w:t>火炬放空。</w:t>
      </w:r>
      <w:bookmarkEnd w:id="809"/>
    </w:p>
    <w:bookmarkEnd w:id="810"/>
    <w:p w14:paraId="0363CFE8">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（4）</w:t>
      </w:r>
      <w:bookmarkStart w:id="811" w:name="_Hlk177511020"/>
      <w:r>
        <w:rPr>
          <w:rFonts w:hint="eastAsia" w:ascii="宋体" w:hAnsi="宋体"/>
          <w:color w:val="auto"/>
          <w:sz w:val="24"/>
          <w:szCs w:val="24"/>
        </w:rPr>
        <w:t>原油储罐采用4座固定顶罐</w:t>
      </w:r>
      <w:bookmarkEnd w:id="811"/>
      <w:r>
        <w:rPr>
          <w:rFonts w:hint="eastAsia" w:ascii="宋体" w:hAnsi="宋体"/>
          <w:color w:val="auto"/>
          <w:sz w:val="24"/>
          <w:szCs w:val="24"/>
        </w:rPr>
        <w:t>和2座压力罐，混烃采用2座压力罐，《</w:t>
      </w:r>
      <w:r>
        <w:rPr>
          <w:color w:val="auto"/>
        </w:rPr>
        <w:fldChar w:fldCharType="begin"/>
      </w:r>
      <w:r>
        <w:rPr>
          <w:color w:val="auto"/>
        </w:rPr>
        <w:instrText xml:space="preserve"> HYPERLINK "http://www.mee.gov.cn/ywgz/fgbz/bz/bzwb/dqhjbh/dqgdwrywrwpfbz/202012/W020201225551948738018.pdf" </w:instrText>
      </w:r>
      <w:r>
        <w:rPr>
          <w:color w:val="auto"/>
        </w:rPr>
        <w:fldChar w:fldCharType="separate"/>
      </w:r>
      <w:r>
        <w:rPr>
          <w:rFonts w:hint="eastAsia" w:ascii="宋体" w:hAnsi="宋体"/>
          <w:color w:val="auto"/>
          <w:sz w:val="24"/>
          <w:szCs w:val="24"/>
        </w:rPr>
        <w:t>陆上石油天然气开采工业大气污染物排放标准》（GB39728—2020）</w:t>
      </w:r>
      <w:r>
        <w:rPr>
          <w:rFonts w:hint="eastAsia" w:ascii="宋体" w:hAnsi="宋体"/>
          <w:color w:val="auto"/>
          <w:sz w:val="24"/>
          <w:szCs w:val="24"/>
        </w:rPr>
        <w:fldChar w:fldCharType="end"/>
      </w:r>
      <w:r>
        <w:rPr>
          <w:rFonts w:hint="eastAsia" w:ascii="宋体" w:hAnsi="宋体"/>
          <w:color w:val="auto"/>
          <w:sz w:val="24"/>
          <w:szCs w:val="24"/>
        </w:rPr>
        <w:t>中表</w:t>
      </w:r>
      <w:r>
        <w:rPr>
          <w:rFonts w:ascii="宋体" w:hAnsi="宋体"/>
          <w:color w:val="auto"/>
          <w:sz w:val="24"/>
          <w:szCs w:val="24"/>
        </w:rPr>
        <w:t>3</w:t>
      </w:r>
      <w:r>
        <w:rPr>
          <w:rFonts w:hint="eastAsia" w:ascii="宋体" w:hAnsi="宋体"/>
          <w:color w:val="auto"/>
          <w:sz w:val="24"/>
          <w:szCs w:val="24"/>
        </w:rPr>
        <w:t>规定2</w:t>
      </w:r>
      <w:r>
        <w:rPr>
          <w:rFonts w:ascii="宋体" w:hAnsi="宋体"/>
          <w:color w:val="auto"/>
          <w:sz w:val="24"/>
          <w:szCs w:val="24"/>
        </w:rPr>
        <w:t>7.6kPa</w:t>
      </w:r>
      <w:r>
        <w:rPr>
          <w:rFonts w:hint="eastAsia" w:ascii="宋体" w:hAnsi="宋体"/>
          <w:color w:val="auto"/>
          <w:sz w:val="24"/>
          <w:szCs w:val="24"/>
        </w:rPr>
        <w:t>≤真实蒸气压≤6</w:t>
      </w:r>
      <w:r>
        <w:rPr>
          <w:rFonts w:ascii="宋体" w:hAnsi="宋体"/>
          <w:color w:val="auto"/>
          <w:sz w:val="24"/>
          <w:szCs w:val="24"/>
        </w:rPr>
        <w:t>6.7kPa</w:t>
      </w:r>
      <w:r>
        <w:rPr>
          <w:rFonts w:hint="eastAsia" w:ascii="宋体" w:hAnsi="宋体"/>
          <w:color w:val="auto"/>
          <w:sz w:val="24"/>
          <w:szCs w:val="24"/>
        </w:rPr>
        <w:t>，单罐容积≥7</w:t>
      </w:r>
      <w:r>
        <w:rPr>
          <w:rFonts w:ascii="宋体" w:hAnsi="宋体"/>
          <w:color w:val="auto"/>
          <w:sz w:val="24"/>
          <w:szCs w:val="24"/>
        </w:rPr>
        <w:t>5m</w:t>
      </w:r>
      <w:r>
        <w:rPr>
          <w:rFonts w:ascii="宋体" w:hAnsi="宋体"/>
          <w:color w:val="auto"/>
          <w:sz w:val="24"/>
          <w:szCs w:val="24"/>
          <w:vertAlign w:val="superscript"/>
        </w:rPr>
        <w:t>3</w:t>
      </w:r>
      <w:r>
        <w:rPr>
          <w:rFonts w:hint="eastAsia" w:ascii="宋体" w:hAnsi="宋体"/>
          <w:color w:val="auto"/>
          <w:sz w:val="24"/>
          <w:szCs w:val="24"/>
        </w:rPr>
        <w:t>的固定顶罐应采取油罐烃蒸气回收措施，原油储罐单座容积为6</w:t>
      </w:r>
      <w:r>
        <w:rPr>
          <w:rFonts w:ascii="宋体" w:hAnsi="宋体"/>
          <w:color w:val="auto"/>
          <w:sz w:val="24"/>
          <w:szCs w:val="24"/>
        </w:rPr>
        <w:t>0m</w:t>
      </w:r>
      <w:r>
        <w:rPr>
          <w:rFonts w:ascii="宋体" w:hAnsi="宋体"/>
          <w:color w:val="auto"/>
          <w:sz w:val="24"/>
          <w:szCs w:val="24"/>
          <w:vertAlign w:val="superscript"/>
        </w:rPr>
        <w:t>3</w:t>
      </w:r>
      <w:r>
        <w:rPr>
          <w:rFonts w:hint="eastAsia" w:ascii="宋体" w:hAnsi="宋体"/>
          <w:color w:val="auto"/>
          <w:sz w:val="24"/>
          <w:szCs w:val="24"/>
        </w:rPr>
        <w:t>，小于7</w:t>
      </w:r>
      <w:r>
        <w:rPr>
          <w:rFonts w:ascii="宋体" w:hAnsi="宋体"/>
          <w:color w:val="auto"/>
          <w:sz w:val="24"/>
          <w:szCs w:val="24"/>
        </w:rPr>
        <w:t>5m</w:t>
      </w:r>
      <w:r>
        <w:rPr>
          <w:rFonts w:ascii="宋体" w:hAnsi="宋体"/>
          <w:color w:val="auto"/>
          <w:sz w:val="24"/>
          <w:szCs w:val="24"/>
          <w:vertAlign w:val="superscript"/>
        </w:rPr>
        <w:t>3</w:t>
      </w:r>
      <w:r>
        <w:rPr>
          <w:rFonts w:hint="eastAsia" w:ascii="宋体" w:hAnsi="宋体"/>
          <w:color w:val="auto"/>
          <w:sz w:val="24"/>
          <w:szCs w:val="24"/>
        </w:rPr>
        <w:t>，故可不采取油罐烃蒸气回收措施。</w:t>
      </w:r>
    </w:p>
    <w:p w14:paraId="272B9ACD">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固定顶罐罐体应保持完好，不应有孔洞；储罐附件开口（孔），除采样、计量和例行检查、维护和其他正常活动外，应密闭；定期监测呼吸阀的定压是否符合设定要求。</w:t>
      </w:r>
    </w:p>
    <w:p w14:paraId="4EDE61B2">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（5）</w:t>
      </w:r>
      <w:bookmarkStart w:id="812" w:name="_Hlk177511036"/>
      <w:r>
        <w:rPr>
          <w:rFonts w:hint="eastAsia" w:ascii="宋体" w:hAnsi="宋体"/>
          <w:color w:val="auto"/>
          <w:sz w:val="24"/>
          <w:szCs w:val="24"/>
        </w:rPr>
        <w:t>原油装载采用底部装载或顶部浸没式装载方式，</w:t>
      </w:r>
      <w:bookmarkEnd w:id="812"/>
      <w:r>
        <w:rPr>
          <w:rFonts w:hint="eastAsia" w:ascii="宋体" w:hAnsi="宋体"/>
          <w:color w:val="auto"/>
          <w:sz w:val="24"/>
          <w:szCs w:val="24"/>
        </w:rPr>
        <w:t>采用顶部浸没式装载的，出料管口距离罐底部高度应小于2</w:t>
      </w:r>
      <w:r>
        <w:rPr>
          <w:rFonts w:ascii="宋体" w:hAnsi="宋体"/>
          <w:color w:val="auto"/>
          <w:sz w:val="24"/>
          <w:szCs w:val="24"/>
        </w:rPr>
        <w:t>00m</w:t>
      </w:r>
      <w:r>
        <w:rPr>
          <w:rFonts w:hint="eastAsia" w:ascii="宋体" w:hAnsi="宋体"/>
          <w:color w:val="auto"/>
          <w:sz w:val="24"/>
          <w:szCs w:val="24"/>
        </w:rPr>
        <w:t>。采用气相平衡技术。</w:t>
      </w:r>
    </w:p>
    <w:p w14:paraId="4456BE7C">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（6）</w:t>
      </w:r>
      <w:bookmarkStart w:id="813" w:name="_Hlk177511043"/>
      <w:r>
        <w:rPr>
          <w:rFonts w:hint="eastAsia" w:ascii="宋体" w:hAnsi="宋体"/>
          <w:color w:val="auto"/>
          <w:sz w:val="24"/>
          <w:szCs w:val="24"/>
        </w:rPr>
        <w:t>燃气发电机采用清洁燃料天然气，加强燃气发电机的检维修。</w:t>
      </w:r>
      <w:bookmarkEnd w:id="813"/>
    </w:p>
    <w:bookmarkEnd w:id="806"/>
    <w:p w14:paraId="4ED66633">
      <w:pPr>
        <w:spacing w:line="520" w:lineRule="exact"/>
        <w:ind w:firstLine="480" w:firstLineChars="200"/>
        <w:rPr>
          <w:rFonts w:hint="eastAsia" w:ascii="宋体" w:hAnsi="宋体"/>
          <w:color w:val="auto"/>
          <w:sz w:val="24"/>
          <w:szCs w:val="24"/>
        </w:rPr>
      </w:pPr>
      <w:bookmarkStart w:id="814" w:name="_Hlk160376789"/>
      <w:r>
        <w:rPr>
          <w:rFonts w:hint="eastAsia" w:ascii="宋体" w:hAnsi="宋体"/>
          <w:color w:val="auto"/>
          <w:sz w:val="24"/>
          <w:szCs w:val="24"/>
        </w:rPr>
        <w:t>在采取上述措施后，</w:t>
      </w:r>
      <w:bookmarkStart w:id="815" w:name="_Hlk165763831"/>
      <w:bookmarkStart w:id="816" w:name="_Hlk177511071"/>
      <w:r>
        <w:rPr>
          <w:rFonts w:hint="eastAsia" w:ascii="宋体" w:hAnsi="宋体"/>
          <w:color w:val="auto"/>
          <w:sz w:val="24"/>
          <w:szCs w:val="24"/>
        </w:rPr>
        <w:t>井场厂界NMHC的浓度满足《</w:t>
      </w:r>
      <w:r>
        <w:rPr>
          <w:color w:val="auto"/>
        </w:rPr>
        <w:fldChar w:fldCharType="begin"/>
      </w:r>
      <w:r>
        <w:rPr>
          <w:color w:val="auto"/>
        </w:rPr>
        <w:instrText xml:space="preserve"> HYPERLINK "http://www.mee.gov.cn/ywgz/fgbz/bz/bzwb/dqhjbh/dqgdwrywrwpfbz/202012/W020201225551948738018.pdf" </w:instrText>
      </w:r>
      <w:r>
        <w:rPr>
          <w:color w:val="auto"/>
        </w:rPr>
        <w:fldChar w:fldCharType="separate"/>
      </w:r>
      <w:r>
        <w:rPr>
          <w:rFonts w:hint="eastAsia" w:ascii="宋体" w:hAnsi="宋体"/>
          <w:color w:val="auto"/>
          <w:sz w:val="24"/>
          <w:szCs w:val="24"/>
        </w:rPr>
        <w:t>陆上石油天然气开采工业大气污染物排放标准》（GB39728—2020）</w:t>
      </w:r>
      <w:r>
        <w:rPr>
          <w:rFonts w:hint="eastAsia" w:ascii="宋体" w:hAnsi="宋体"/>
          <w:color w:val="auto"/>
          <w:sz w:val="24"/>
          <w:szCs w:val="24"/>
        </w:rPr>
        <w:fldChar w:fldCharType="end"/>
      </w:r>
      <w:r>
        <w:rPr>
          <w:rFonts w:hint="eastAsia" w:ascii="宋体" w:hAnsi="宋体"/>
          <w:color w:val="auto"/>
          <w:sz w:val="24"/>
          <w:szCs w:val="24"/>
        </w:rPr>
        <w:t>中企业边界污染物控制要求</w:t>
      </w:r>
      <w:r>
        <w:rPr>
          <w:rFonts w:hint="eastAsia" w:ascii="宋体" w:hAnsi="宋体"/>
          <w:color w:val="auto"/>
          <w:sz w:val="24"/>
          <w:szCs w:val="24"/>
        </w:rPr>
        <w:t>，燃气发电机烟气中各污染物均满足《大气污染物综合排放标准》（GB16297-1996）无组织排放监控浓度限值。</w:t>
      </w:r>
      <w:bookmarkEnd w:id="815"/>
    </w:p>
    <w:bookmarkEnd w:id="814"/>
    <w:bookmarkEnd w:id="816"/>
    <w:p w14:paraId="121B937D">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运营期废水污染防治措施</w:t>
      </w:r>
    </w:p>
    <w:p w14:paraId="46F5D789">
      <w:pPr>
        <w:pStyle w:val="86"/>
        <w:ind w:firstLine="480"/>
        <w:rPr>
          <w:rFonts w:hint="eastAsia"/>
          <w:color w:val="auto"/>
        </w:rPr>
      </w:pPr>
      <w:r>
        <w:rPr>
          <w:rFonts w:hint="eastAsia"/>
          <w:color w:val="auto"/>
        </w:rPr>
        <w:t>（1）废水处理方案</w:t>
      </w:r>
    </w:p>
    <w:p w14:paraId="605A744A">
      <w:pPr>
        <w:pStyle w:val="86"/>
        <w:ind w:firstLine="480"/>
        <w:rPr>
          <w:rFonts w:hint="eastAsia" w:cs="宋体"/>
          <w:color w:val="auto"/>
          <w:kern w:val="0"/>
          <w:lang w:bidi="ar"/>
        </w:rPr>
      </w:pPr>
      <w:r>
        <w:rPr>
          <w:rFonts w:hint="eastAsia" w:cs="宋体"/>
          <w:color w:val="auto"/>
          <w:kern w:val="0"/>
          <w:lang w:bidi="ar"/>
        </w:rPr>
        <w:t>井下作业时带罐作业，</w:t>
      </w:r>
      <w:bookmarkStart w:id="817" w:name="_Hlk177511175"/>
      <w:r>
        <w:rPr>
          <w:rFonts w:hint="eastAsia" w:cs="宋体"/>
          <w:color w:val="auto"/>
          <w:kern w:val="0"/>
          <w:lang w:bidi="ar"/>
        </w:rPr>
        <w:t>井下作业废液（压裂返排液和废洗井液）排至罐内，由罐车拉运至莫北转油站采出水处理系统处理，</w:t>
      </w:r>
      <w:r>
        <w:rPr>
          <w:rFonts w:hint="eastAsia"/>
          <w:color w:val="auto"/>
        </w:rPr>
        <w:t>出水水质满足</w:t>
      </w:r>
      <w:r>
        <w:rPr>
          <w:rFonts w:hint="eastAsia"/>
          <w:color w:val="auto"/>
          <w:lang w:val="zh-CN"/>
        </w:rPr>
        <w:t>《碎屑岩油藏注水水质指标技术要求及分析方法》（SY</w:t>
      </w:r>
      <w:r>
        <w:rPr>
          <w:color w:val="auto"/>
          <w:lang w:val="zh-CN"/>
        </w:rPr>
        <w:t>/</w:t>
      </w:r>
      <w:r>
        <w:rPr>
          <w:rFonts w:hint="eastAsia"/>
          <w:color w:val="auto"/>
          <w:lang w:val="zh-CN"/>
        </w:rPr>
        <w:t>T5329-2022）</w:t>
      </w:r>
      <w:r>
        <w:rPr>
          <w:rFonts w:hint="eastAsia"/>
          <w:color w:val="auto"/>
        </w:rPr>
        <w:t>Ⅲ级标准</w:t>
      </w:r>
      <w:r>
        <w:rPr>
          <w:rFonts w:hint="eastAsia"/>
          <w:color w:val="auto"/>
          <w:lang w:val="zh-CN"/>
        </w:rPr>
        <w:t>后回注地层</w:t>
      </w:r>
      <w:r>
        <w:rPr>
          <w:rFonts w:hint="eastAsia" w:cs="宋体"/>
          <w:color w:val="auto"/>
          <w:kern w:val="0"/>
          <w:lang w:bidi="ar"/>
        </w:rPr>
        <w:t>；生活污水送至玛纳斯县生活污水处理厂处理。</w:t>
      </w:r>
    </w:p>
    <w:bookmarkEnd w:id="817"/>
    <w:p w14:paraId="092C2CB4">
      <w:pPr>
        <w:spacing w:line="520" w:lineRule="exact"/>
        <w:ind w:firstLine="480"/>
        <w:rPr>
          <w:rFonts w:hint="eastAsia" w:ascii="宋体" w:hAnsi="宋体" w:cs="宋体"/>
          <w:color w:val="auto"/>
          <w:sz w:val="24"/>
          <w:szCs w:val="24"/>
        </w:rPr>
      </w:pPr>
      <w:bookmarkStart w:id="818" w:name="_Hlk40626837"/>
      <w:bookmarkStart w:id="819" w:name="_Hlk37933724"/>
      <w:r>
        <w:rPr>
          <w:rFonts w:hint="eastAsia" w:ascii="宋体" w:hAnsi="宋体" w:cs="宋体"/>
          <w:color w:val="auto"/>
          <w:sz w:val="24"/>
          <w:szCs w:val="24"/>
        </w:rPr>
        <w:t>（2）地下水污染防治措施</w:t>
      </w:r>
    </w:p>
    <w:p w14:paraId="7EBBA57E">
      <w:pPr>
        <w:spacing w:line="520" w:lineRule="exact"/>
        <w:ind w:firstLine="480"/>
        <w:rPr>
          <w:rFonts w:hint="eastAsia" w:ascii="宋体" w:hAnsi="宋体" w:cs="宋体"/>
          <w:color w:val="auto"/>
          <w:sz w:val="24"/>
          <w:szCs w:val="24"/>
        </w:rPr>
      </w:pPr>
      <w:r>
        <w:rPr>
          <w:rFonts w:hint="eastAsia" w:ascii="宋体" w:hAnsi="宋体" w:cs="宋体"/>
          <w:color w:val="auto"/>
          <w:sz w:val="24"/>
          <w:szCs w:val="24"/>
        </w:rPr>
        <w:t>①采取源头控制措施，使用先进、成熟、可靠的工艺技术，</w:t>
      </w:r>
      <w:bookmarkStart w:id="820" w:name="_Hlk165764108"/>
      <w:r>
        <w:rPr>
          <w:rFonts w:hint="eastAsia" w:ascii="宋体" w:hAnsi="宋体" w:cs="宋体"/>
          <w:color w:val="auto"/>
          <w:sz w:val="24"/>
          <w:szCs w:val="24"/>
        </w:rPr>
        <w:t>采用高质量的管线和设备</w:t>
      </w:r>
      <w:bookmarkEnd w:id="820"/>
      <w:r>
        <w:rPr>
          <w:rFonts w:hint="eastAsia" w:ascii="宋体" w:hAnsi="宋体" w:cs="宋体"/>
          <w:color w:val="auto"/>
          <w:sz w:val="24"/>
          <w:szCs w:val="24"/>
        </w:rPr>
        <w:t>，尽可能从源头上减少污染物泄漏风险；同时，严格按照施工规范施工，保证施工质量。</w:t>
      </w:r>
    </w:p>
    <w:p w14:paraId="7FC8C423">
      <w:pPr>
        <w:pStyle w:val="86"/>
        <w:ind w:firstLine="480"/>
        <w:rPr>
          <w:rFonts w:hint="eastAsia" w:cs="宋体"/>
          <w:color w:val="auto"/>
        </w:rPr>
      </w:pPr>
      <w:r>
        <w:rPr>
          <w:rFonts w:hint="eastAsia" w:cs="宋体"/>
          <w:color w:val="auto"/>
        </w:rPr>
        <w:t>②</w:t>
      </w:r>
      <w:bookmarkStart w:id="821" w:name="_Hlk165764121"/>
      <w:r>
        <w:rPr>
          <w:rFonts w:hint="eastAsia" w:cs="宋体"/>
          <w:color w:val="auto"/>
        </w:rPr>
        <w:t>定期做好井场、</w:t>
      </w:r>
      <w:r>
        <w:rPr>
          <w:color w:val="auto"/>
        </w:rPr>
        <w:t>撬装天然气浅冷</w:t>
      </w:r>
      <w:r>
        <w:rPr>
          <w:rFonts w:hint="eastAsia"/>
          <w:color w:val="auto"/>
        </w:rPr>
        <w:t>处理装置的</w:t>
      </w:r>
      <w:r>
        <w:rPr>
          <w:rFonts w:hint="eastAsia" w:cs="宋体"/>
          <w:color w:val="auto"/>
        </w:rPr>
        <w:t>设备、阀门、管线等巡检，一旦发现异常，及时采取措施，防止“跑、冒、滴、漏”的发生，并随时做好抢修准备，加强抢修队伍的训练和工作演练。</w:t>
      </w:r>
    </w:p>
    <w:bookmarkEnd w:id="821"/>
    <w:p w14:paraId="54196C2C">
      <w:pPr>
        <w:pStyle w:val="86"/>
        <w:ind w:firstLine="480"/>
        <w:rPr>
          <w:rFonts w:hint="eastAsia" w:cs="宋体"/>
          <w:color w:val="auto"/>
        </w:rPr>
      </w:pPr>
      <w:r>
        <w:rPr>
          <w:rFonts w:hint="eastAsia" w:cs="宋体"/>
          <w:color w:val="auto"/>
        </w:rPr>
        <w:t>③分区防渗</w:t>
      </w:r>
    </w:p>
    <w:p w14:paraId="6E57BEC1">
      <w:pPr>
        <w:pStyle w:val="183"/>
        <w:rPr>
          <w:rFonts w:hint="eastAsia"/>
          <w:color w:val="auto"/>
        </w:rPr>
      </w:pPr>
      <w:r>
        <w:rPr>
          <w:rFonts w:hint="eastAsia"/>
          <w:color w:val="auto"/>
        </w:rPr>
        <w:t>项目主要污染物为石油类，根据《环境影响评价技术导则-地下水环境》（HJ610-2016）中表5污染控制难易程度分级参照表、表6天然包气带防污性能分级参照表、表7地下水污染防渗分区参照表</w:t>
      </w:r>
      <w:bookmarkStart w:id="822" w:name="_Hlk148007898"/>
      <w:r>
        <w:rPr>
          <w:rFonts w:hint="eastAsia"/>
          <w:color w:val="auto"/>
        </w:rPr>
        <w:t>，将采油井场井口处、井场管线和撬装天然气浅冷处理装置区划为重点防渗区，其余为一般防渗区，</w:t>
      </w:r>
      <w:bookmarkStart w:id="823" w:name="_Hlk177305605"/>
      <w:r>
        <w:rPr>
          <w:rFonts w:hint="eastAsia"/>
          <w:color w:val="auto"/>
        </w:rPr>
        <w:t>重点防渗区防渗性能不应低于</w:t>
      </w:r>
      <w:r>
        <w:rPr>
          <w:color w:val="auto"/>
        </w:rPr>
        <w:t>6</w:t>
      </w:r>
      <w:r>
        <w:rPr>
          <w:rFonts w:hint="eastAsia"/>
          <w:color w:val="auto"/>
        </w:rPr>
        <w:t>m厚渗透系数为1.0×10</w:t>
      </w:r>
      <w:r>
        <w:rPr>
          <w:rFonts w:hint="eastAsia"/>
          <w:color w:val="auto"/>
          <w:vertAlign w:val="superscript"/>
        </w:rPr>
        <w:t>-7</w:t>
      </w:r>
      <w:r>
        <w:rPr>
          <w:rFonts w:hint="eastAsia"/>
          <w:color w:val="auto"/>
        </w:rPr>
        <w:t>cm/s的黏土层的防渗性能</w:t>
      </w:r>
      <w:bookmarkEnd w:id="823"/>
      <w:r>
        <w:rPr>
          <w:rFonts w:hint="eastAsia"/>
          <w:color w:val="auto"/>
        </w:rPr>
        <w:t>，一般防渗区防渗性能不应低于</w:t>
      </w:r>
      <w:r>
        <w:rPr>
          <w:color w:val="auto"/>
        </w:rPr>
        <w:t>1.5</w:t>
      </w:r>
      <w:r>
        <w:rPr>
          <w:rFonts w:hint="eastAsia"/>
          <w:color w:val="auto"/>
        </w:rPr>
        <w:t>m厚渗透系数为1.0×10</w:t>
      </w:r>
      <w:r>
        <w:rPr>
          <w:rFonts w:hint="eastAsia"/>
          <w:color w:val="auto"/>
          <w:vertAlign w:val="superscript"/>
        </w:rPr>
        <w:t>-7</w:t>
      </w:r>
      <w:r>
        <w:rPr>
          <w:rFonts w:hint="eastAsia"/>
          <w:color w:val="auto"/>
        </w:rPr>
        <w:t>cm/s的黏土层的防渗性能</w:t>
      </w:r>
      <w:bookmarkEnd w:id="822"/>
      <w:r>
        <w:rPr>
          <w:rFonts w:hint="eastAsia"/>
          <w:color w:val="auto"/>
        </w:rPr>
        <w:t>。分区防渗示意图见图6.2-1至6.2-2。</w:t>
      </w:r>
    </w:p>
    <w:p w14:paraId="373DEC19">
      <w:pPr>
        <w:pStyle w:val="183"/>
        <w:spacing w:line="240" w:lineRule="auto"/>
        <w:ind w:firstLine="0" w:firstLineChars="0"/>
        <w:jc w:val="center"/>
        <w:rPr>
          <w:rFonts w:hint="eastAsia"/>
          <w:color w:val="auto"/>
        </w:rPr>
      </w:pPr>
      <w:r>
        <w:rPr>
          <w:color w:val="auto"/>
        </w:rPr>
        <w:drawing>
          <wp:inline distT="0" distB="0" distL="0" distR="0">
            <wp:extent cx="3028950" cy="3176270"/>
            <wp:effectExtent l="0" t="0" r="0" b="5080"/>
            <wp:docPr id="156712992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129929" name="图片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3038911" cy="3186782"/>
                    </a:xfrm>
                    <a:prstGeom prst="rect">
                      <a:avLst/>
                    </a:prstGeom>
                    <a:noFill/>
                    <a:ln>
                      <a:noFill/>
                    </a:ln>
                  </pic:spPr>
                </pic:pic>
              </a:graphicData>
            </a:graphic>
          </wp:inline>
        </w:drawing>
      </w:r>
    </w:p>
    <w:p w14:paraId="5D9749D5">
      <w:pPr>
        <w:pStyle w:val="86"/>
        <w:adjustRightInd w:val="0"/>
        <w:snapToGrid w:val="0"/>
        <w:ind w:firstLine="0" w:firstLineChars="0"/>
        <w:jc w:val="center"/>
        <w:rPr>
          <w:rFonts w:hint="eastAsia" w:ascii="黑体" w:hAnsi="黑体" w:eastAsia="黑体" w:cs="宋体"/>
          <w:color w:val="auto"/>
          <w:kern w:val="0"/>
          <w:sz w:val="21"/>
          <w:szCs w:val="21"/>
        </w:rPr>
      </w:pPr>
      <w:r>
        <w:rPr>
          <w:rFonts w:hint="eastAsia" w:ascii="黑体" w:hAnsi="黑体" w:eastAsia="黑体" w:cs="宋体"/>
          <w:color w:val="auto"/>
          <w:kern w:val="0"/>
          <w:sz w:val="21"/>
          <w:szCs w:val="21"/>
        </w:rPr>
        <w:t>图6.2-1  充装区分区防渗示意图</w:t>
      </w:r>
    </w:p>
    <w:p w14:paraId="0FF8468D">
      <w:pPr>
        <w:pStyle w:val="183"/>
        <w:spacing w:line="240" w:lineRule="auto"/>
        <w:ind w:firstLine="0" w:firstLineChars="0"/>
        <w:jc w:val="center"/>
        <w:rPr>
          <w:rFonts w:hint="eastAsia"/>
          <w:color w:val="auto"/>
        </w:rPr>
      </w:pPr>
      <w:r>
        <w:rPr>
          <w:color w:val="auto"/>
        </w:rPr>
        <w:drawing>
          <wp:inline distT="0" distB="0" distL="0" distR="0">
            <wp:extent cx="5543550" cy="5545455"/>
            <wp:effectExtent l="0" t="0" r="0" b="0"/>
            <wp:docPr id="10373823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8236" name="图片 1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5543550" cy="5545455"/>
                    </a:xfrm>
                    <a:prstGeom prst="rect">
                      <a:avLst/>
                    </a:prstGeom>
                    <a:noFill/>
                    <a:ln>
                      <a:noFill/>
                    </a:ln>
                  </pic:spPr>
                </pic:pic>
              </a:graphicData>
            </a:graphic>
          </wp:inline>
        </w:drawing>
      </w:r>
    </w:p>
    <w:p w14:paraId="42B73E5A">
      <w:pPr>
        <w:pStyle w:val="86"/>
        <w:ind w:firstLine="420"/>
        <w:jc w:val="center"/>
        <w:rPr>
          <w:rFonts w:hint="eastAsia" w:ascii="黑体" w:hAnsi="黑体" w:eastAsia="黑体"/>
          <w:color w:val="auto"/>
          <w:sz w:val="21"/>
          <w:szCs w:val="21"/>
        </w:rPr>
      </w:pPr>
      <w:r>
        <w:rPr>
          <w:rFonts w:hint="eastAsia" w:ascii="黑体" w:hAnsi="黑体" w:eastAsia="黑体"/>
          <w:color w:val="auto"/>
          <w:sz w:val="21"/>
          <w:szCs w:val="21"/>
        </w:rPr>
        <w:t>图6.2-1  莫172H井、莫174H井分区防渗示意图</w:t>
      </w:r>
    </w:p>
    <w:p w14:paraId="0ADFE634">
      <w:pPr>
        <w:pStyle w:val="183"/>
        <w:rPr>
          <w:rFonts w:hint="eastAsia" w:cs="宋体"/>
          <w:color w:val="auto"/>
        </w:rPr>
      </w:pPr>
      <w:r>
        <w:rPr>
          <w:rFonts w:hint="eastAsia" w:cs="宋体"/>
          <w:color w:val="auto"/>
        </w:rPr>
        <w:t>④污染监控</w:t>
      </w:r>
    </w:p>
    <w:p w14:paraId="4A8F14C2">
      <w:pPr>
        <w:spacing w:line="520" w:lineRule="exact"/>
        <w:ind w:firstLine="480"/>
        <w:rPr>
          <w:rFonts w:hint="eastAsia" w:ascii="宋体" w:hAnsi="宋体" w:cs="宋体"/>
          <w:color w:val="auto"/>
          <w:sz w:val="24"/>
          <w:szCs w:val="24"/>
        </w:rPr>
      </w:pPr>
      <w:r>
        <w:rPr>
          <w:rFonts w:hint="eastAsia" w:ascii="宋体" w:hAnsi="宋体" w:cs="宋体"/>
          <w:color w:val="auto"/>
          <w:sz w:val="24"/>
          <w:szCs w:val="24"/>
        </w:rPr>
        <w:t>按照《环境影响评价技术导则  地下水》（HJ610-2016）中的相关规定</w:t>
      </w:r>
      <w:bookmarkStart w:id="824" w:name="_Hlk92219686"/>
      <w:r>
        <w:rPr>
          <w:rFonts w:hint="eastAsia" w:ascii="宋体" w:hAnsi="宋体" w:cs="宋体"/>
          <w:color w:val="auto"/>
          <w:sz w:val="24"/>
          <w:szCs w:val="24"/>
        </w:rPr>
        <w:t>并结合工程实际情况，建设单位可利用莫109井区现有水源井作为地下水监测井，地下水监测点数量应不少于1个。</w:t>
      </w:r>
    </w:p>
    <w:bookmarkEnd w:id="824"/>
    <w:p w14:paraId="6E1C3555">
      <w:pPr>
        <w:spacing w:line="520" w:lineRule="exact"/>
        <w:ind w:firstLine="480"/>
        <w:rPr>
          <w:rFonts w:hint="eastAsia" w:ascii="宋体" w:hAnsi="宋体" w:cs="宋体"/>
          <w:color w:val="auto"/>
          <w:sz w:val="24"/>
          <w:szCs w:val="24"/>
        </w:rPr>
      </w:pPr>
      <w:r>
        <w:rPr>
          <w:rFonts w:hint="eastAsia" w:ascii="宋体" w:hAnsi="宋体" w:cs="宋体"/>
          <w:color w:val="auto"/>
          <w:sz w:val="24"/>
          <w:szCs w:val="24"/>
        </w:rPr>
        <w:t>⑤应急响应</w:t>
      </w:r>
    </w:p>
    <w:p w14:paraId="4B36FC6F">
      <w:pPr>
        <w:spacing w:line="520" w:lineRule="exact"/>
        <w:ind w:firstLine="480"/>
        <w:rPr>
          <w:rFonts w:hint="eastAsia" w:ascii="宋体" w:hAnsi="宋体" w:cs="宋体"/>
          <w:color w:val="auto"/>
          <w:sz w:val="24"/>
          <w:szCs w:val="24"/>
        </w:rPr>
      </w:pPr>
      <w:r>
        <w:rPr>
          <w:rFonts w:hint="eastAsia" w:ascii="宋体" w:hAnsi="宋体" w:cs="宋体"/>
          <w:color w:val="auto"/>
          <w:sz w:val="24"/>
          <w:szCs w:val="24"/>
        </w:rPr>
        <w:t>针对应急工作需要，参照相关技术导则，结合地下水污染治理的技术特点，成立应急指挥中心，负责编制应急方案，组建应急队伍，组织实施演习，协调各级、各专业应急力量支援行动。</w:t>
      </w:r>
      <w:bookmarkEnd w:id="818"/>
      <w:bookmarkEnd w:id="819"/>
    </w:p>
    <w:p w14:paraId="177F0039">
      <w:pPr>
        <w:spacing w:line="520" w:lineRule="exact"/>
        <w:ind w:firstLine="480"/>
        <w:rPr>
          <w:color w:val="auto"/>
        </w:rPr>
      </w:pPr>
      <w:r>
        <w:rPr>
          <w:rFonts w:hint="eastAsia" w:ascii="宋体" w:hAnsi="宋体" w:cs="宋体"/>
          <w:color w:val="auto"/>
          <w:sz w:val="24"/>
          <w:szCs w:val="24"/>
        </w:rPr>
        <w:t>（3）井筒完整性管理应参照《石油天然气工业套管和油管的维护与使用标准》（GB/T17745-2011）相关要求进行井筒完整性管理，定期开展井筒完整性检查。</w:t>
      </w:r>
    </w:p>
    <w:bookmarkEnd w:id="802"/>
    <w:bookmarkEnd w:id="803"/>
    <w:bookmarkEnd w:id="804"/>
    <w:p w14:paraId="7E3852A2">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825" w:name="_Toc445842147"/>
      <w:bookmarkStart w:id="826" w:name="_Toc32189"/>
      <w:bookmarkStart w:id="827" w:name="_Toc445996467"/>
      <w:r>
        <w:rPr>
          <w:rFonts w:hint="eastAsia" w:ascii="黑体" w:hAnsi="黑体" w:eastAsia="黑体" w:cs="Times New Roman"/>
          <w:color w:val="auto"/>
          <w:sz w:val="24"/>
          <w:szCs w:val="21"/>
          <w:lang w:val="zh-CN"/>
          <w14:ligatures w14:val="none"/>
        </w:rPr>
        <w:t>运营期</w:t>
      </w:r>
      <w:r>
        <w:rPr>
          <w:rFonts w:ascii="黑体" w:hAnsi="黑体" w:eastAsia="黑体" w:cs="Times New Roman"/>
          <w:color w:val="auto"/>
          <w:sz w:val="24"/>
          <w:szCs w:val="21"/>
          <w:lang w:val="zh-CN"/>
          <w14:ligatures w14:val="none"/>
        </w:rPr>
        <w:t>噪声污染防治措施</w:t>
      </w:r>
    </w:p>
    <w:p w14:paraId="51C71F70">
      <w:pPr>
        <w:pStyle w:val="86"/>
        <w:ind w:firstLine="480"/>
        <w:rPr>
          <w:rFonts w:hint="eastAsia"/>
          <w:color w:val="auto"/>
        </w:rPr>
      </w:pPr>
      <w:r>
        <w:rPr>
          <w:rFonts w:hint="eastAsia"/>
          <w:color w:val="auto"/>
        </w:rPr>
        <w:t>（1）尽量选用低噪声设备，对噪声强度较大的设备进行基础减振等减噪处理。</w:t>
      </w:r>
    </w:p>
    <w:p w14:paraId="5F0DFF00">
      <w:pPr>
        <w:pStyle w:val="86"/>
        <w:ind w:firstLine="480"/>
        <w:rPr>
          <w:rFonts w:hint="eastAsia"/>
          <w:color w:val="auto"/>
        </w:rPr>
      </w:pPr>
      <w:r>
        <w:rPr>
          <w:rFonts w:hint="eastAsia"/>
          <w:color w:val="auto"/>
        </w:rPr>
        <w:t>（2）</w:t>
      </w:r>
      <w:bookmarkStart w:id="828" w:name="_Hlk177511280"/>
      <w:r>
        <w:rPr>
          <w:rFonts w:hint="eastAsia"/>
          <w:color w:val="auto"/>
        </w:rPr>
        <w:t>定期给机泵等设备加润滑油和减振垫，对各种机械设备定期保养，加强设备检维修。</w:t>
      </w:r>
      <w:bookmarkEnd w:id="828"/>
    </w:p>
    <w:p w14:paraId="36FC91BF">
      <w:pPr>
        <w:pStyle w:val="86"/>
        <w:ind w:firstLine="480"/>
        <w:rPr>
          <w:rFonts w:hint="eastAsia"/>
          <w:color w:val="auto"/>
        </w:rPr>
      </w:pPr>
      <w:r>
        <w:rPr>
          <w:rFonts w:hint="eastAsia"/>
          <w:color w:val="auto"/>
        </w:rPr>
        <w:t>（3）合理布局使各产噪设备尽可能位于站场中心。</w:t>
      </w:r>
    </w:p>
    <w:p w14:paraId="127011B3">
      <w:pPr>
        <w:pStyle w:val="86"/>
        <w:ind w:firstLine="480"/>
        <w:rPr>
          <w:rFonts w:hint="eastAsia"/>
          <w:color w:val="auto"/>
        </w:rPr>
      </w:pPr>
      <w:r>
        <w:rPr>
          <w:rFonts w:hint="eastAsia"/>
          <w:color w:val="auto"/>
        </w:rPr>
        <w:t>（4）加强噪声防范，做好个人防护工作。</w:t>
      </w:r>
    </w:p>
    <w:p w14:paraId="7063B42D">
      <w:pPr>
        <w:pStyle w:val="86"/>
        <w:ind w:firstLine="480"/>
        <w:rPr>
          <w:rFonts w:hint="eastAsia"/>
          <w:color w:val="auto"/>
        </w:rPr>
      </w:pPr>
      <w:r>
        <w:rPr>
          <w:rFonts w:hint="eastAsia"/>
          <w:color w:val="auto"/>
        </w:rPr>
        <w:t>经以上措施，采油井场和充装区厂界能够满足《工业企业厂界环境噪声排放标准》（GB12348-2008）</w:t>
      </w:r>
      <w:r>
        <w:rPr>
          <w:color w:val="auto"/>
        </w:rPr>
        <w:t>2</w:t>
      </w:r>
      <w:r>
        <w:rPr>
          <w:rFonts w:hint="eastAsia"/>
          <w:color w:val="auto"/>
        </w:rPr>
        <w:t>类声功能区环境噪声限值要求。</w:t>
      </w:r>
    </w:p>
    <w:p w14:paraId="3C040C5F">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829" w:name="_Hlk40434589"/>
      <w:bookmarkStart w:id="830" w:name="_Hlk40733113"/>
      <w:r>
        <w:rPr>
          <w:rFonts w:hint="eastAsia" w:ascii="黑体" w:hAnsi="黑体" w:eastAsia="黑体" w:cs="Times New Roman"/>
          <w:color w:val="auto"/>
          <w:sz w:val="24"/>
          <w:szCs w:val="21"/>
          <w:lang w:val="zh-CN"/>
          <w14:ligatures w14:val="none"/>
        </w:rPr>
        <w:t>运营期</w:t>
      </w:r>
      <w:r>
        <w:rPr>
          <w:rFonts w:ascii="黑体" w:hAnsi="黑体" w:eastAsia="黑体" w:cs="Times New Roman"/>
          <w:color w:val="auto"/>
          <w:sz w:val="24"/>
          <w:szCs w:val="21"/>
          <w:lang w:val="zh-CN"/>
          <w14:ligatures w14:val="none"/>
        </w:rPr>
        <w:t>固体废物污染防治</w:t>
      </w:r>
      <w:bookmarkEnd w:id="829"/>
      <w:r>
        <w:rPr>
          <w:rFonts w:ascii="黑体" w:hAnsi="黑体" w:eastAsia="黑体" w:cs="Times New Roman"/>
          <w:color w:val="auto"/>
          <w:sz w:val="24"/>
          <w:szCs w:val="21"/>
          <w:lang w:val="zh-CN"/>
          <w14:ligatures w14:val="none"/>
        </w:rPr>
        <w:t>措施</w:t>
      </w:r>
    </w:p>
    <w:bookmarkEnd w:id="830"/>
    <w:p w14:paraId="025B7341">
      <w:pPr>
        <w:pStyle w:val="86"/>
        <w:ind w:firstLine="480" w:firstLineChars="0"/>
        <w:rPr>
          <w:rFonts w:hint="eastAsia" w:cs="宋体"/>
          <w:color w:val="auto"/>
        </w:rPr>
      </w:pPr>
      <w:r>
        <w:rPr>
          <w:rFonts w:hint="eastAsia"/>
          <w:color w:val="auto"/>
        </w:rPr>
        <w:t>（1）</w:t>
      </w:r>
      <w:bookmarkStart w:id="831" w:name="_Hlk147589724"/>
      <w:r>
        <w:rPr>
          <w:rFonts w:hint="eastAsia" w:cs="宋体"/>
          <w:color w:val="auto"/>
        </w:rPr>
        <w:t>固体废物主要为清罐底泥、废分子筛、废滤料、废润滑油、废润滑油桶、沾油废防渗材料、</w:t>
      </w:r>
      <w:r>
        <w:rPr>
          <w:rFonts w:hint="eastAsia" w:cs="宋体"/>
          <w:color w:val="auto"/>
          <w:lang w:val="zh-CN"/>
        </w:rPr>
        <w:t>废含油抹布及劳保用品</w:t>
      </w:r>
      <w:r>
        <w:rPr>
          <w:rFonts w:hint="eastAsia" w:cs="宋体"/>
          <w:color w:val="auto"/>
        </w:rPr>
        <w:t>和生活垃圾，废分子筛、废滤料、</w:t>
      </w:r>
      <w:r>
        <w:rPr>
          <w:rFonts w:hint="eastAsia" w:cs="宋体"/>
          <w:color w:val="auto"/>
          <w:lang w:val="zh-CN"/>
        </w:rPr>
        <w:t>废含油抹布及劳保用品</w:t>
      </w:r>
      <w:r>
        <w:rPr>
          <w:rFonts w:hint="eastAsia" w:cs="宋体"/>
          <w:color w:val="auto"/>
        </w:rPr>
        <w:t>属于《国家危险废物名录（</w:t>
      </w:r>
      <w:r>
        <w:rPr>
          <w:rFonts w:cs="宋体"/>
          <w:color w:val="auto"/>
        </w:rPr>
        <w:t>20</w:t>
      </w:r>
      <w:r>
        <w:rPr>
          <w:rFonts w:hint="eastAsia" w:cs="宋体"/>
          <w:color w:val="auto"/>
        </w:rPr>
        <w:t>25年版</w:t>
      </w:r>
      <w:r>
        <w:rPr>
          <w:rFonts w:cs="宋体"/>
          <w:color w:val="auto"/>
        </w:rPr>
        <w:t>）</w:t>
      </w:r>
      <w:r>
        <w:rPr>
          <w:rFonts w:hint="eastAsia" w:cs="宋体"/>
          <w:color w:val="auto"/>
        </w:rPr>
        <w:t>》H</w:t>
      </w:r>
      <w:r>
        <w:rPr>
          <w:rFonts w:cs="宋体"/>
          <w:color w:val="auto"/>
        </w:rPr>
        <w:t>W49</w:t>
      </w:r>
      <w:r>
        <w:rPr>
          <w:rFonts w:hint="eastAsia" w:cs="宋体"/>
          <w:color w:val="auto"/>
        </w:rPr>
        <w:t>其他废物，清罐底泥、废润滑油、废润滑油桶和沾油废防渗材料</w:t>
      </w:r>
      <w:r>
        <w:rPr>
          <w:rFonts w:hint="eastAsia"/>
          <w:color w:val="auto"/>
        </w:rPr>
        <w:t>属于</w:t>
      </w:r>
      <w:r>
        <w:rPr>
          <w:rFonts w:hint="eastAsia" w:cs="宋体"/>
          <w:color w:val="auto"/>
        </w:rPr>
        <w:t>《国家危险废物名录（</w:t>
      </w:r>
      <w:r>
        <w:rPr>
          <w:rFonts w:cs="宋体"/>
          <w:color w:val="auto"/>
        </w:rPr>
        <w:t>20</w:t>
      </w:r>
      <w:r>
        <w:rPr>
          <w:rFonts w:hint="eastAsia" w:cs="宋体"/>
          <w:color w:val="auto"/>
        </w:rPr>
        <w:t>25年版</w:t>
      </w:r>
      <w:r>
        <w:rPr>
          <w:rFonts w:cs="宋体"/>
          <w:color w:val="auto"/>
        </w:rPr>
        <w:t>）</w:t>
      </w:r>
      <w:r>
        <w:rPr>
          <w:rFonts w:hint="eastAsia" w:cs="宋体"/>
          <w:color w:val="auto"/>
        </w:rPr>
        <w:t>》</w:t>
      </w:r>
      <w:r>
        <w:rPr>
          <w:rFonts w:cs="宋体"/>
          <w:color w:val="auto"/>
        </w:rPr>
        <w:t>HW08废矿物油与含矿物油类危险废物</w:t>
      </w:r>
      <w:r>
        <w:rPr>
          <w:rFonts w:hint="eastAsia" w:cs="宋体"/>
          <w:color w:val="auto"/>
        </w:rPr>
        <w:t>，废分子筛、废滤料、废润滑油桶、沾油废防渗材料、</w:t>
      </w:r>
      <w:r>
        <w:rPr>
          <w:rFonts w:hint="eastAsia" w:cs="宋体"/>
          <w:color w:val="auto"/>
          <w:lang w:val="zh-CN"/>
        </w:rPr>
        <w:t>废含油抹布及劳保用品</w:t>
      </w:r>
      <w:r>
        <w:rPr>
          <w:rFonts w:hint="eastAsia" w:cs="宋体"/>
          <w:color w:val="auto"/>
        </w:rPr>
        <w:t>临时贮存在石西油田作业区</w:t>
      </w:r>
      <w:r>
        <w:rPr>
          <w:rFonts w:hint="eastAsia"/>
          <w:color w:val="auto"/>
        </w:rPr>
        <w:t>危险废物临时储存场所</w:t>
      </w:r>
      <w:r>
        <w:rPr>
          <w:rFonts w:hint="eastAsia" w:cs="宋体"/>
          <w:color w:val="auto"/>
        </w:rPr>
        <w:t>暂存，最终交由有相应危险废物处理资质的单位回收处置；清罐底泥、废润滑油不进行贮存，直接交由有相应危险废物处理资质的单位回收处置；生活垃圾送至玛纳斯县生活垃圾填埋场处理。</w:t>
      </w:r>
      <w:bookmarkStart w:id="832" w:name="OLE_LINK280"/>
      <w:r>
        <w:rPr>
          <w:rFonts w:hint="eastAsia" w:cs="宋体"/>
          <w:color w:val="auto"/>
        </w:rPr>
        <w:t>建设单位应根据《危险废物识别标志设置技术规范》（HJ1267-2022）中的相关规定设置石西油田作业区危险废物临时储存场所危险废物贮存分区标志、危险废物标签等</w:t>
      </w:r>
      <w:bookmarkEnd w:id="832"/>
      <w:r>
        <w:rPr>
          <w:rFonts w:hint="eastAsia" w:cs="宋体"/>
          <w:color w:val="auto"/>
        </w:rPr>
        <w:t>。</w:t>
      </w:r>
    </w:p>
    <w:bookmarkEnd w:id="831"/>
    <w:p w14:paraId="096136D2">
      <w:pPr>
        <w:pStyle w:val="86"/>
        <w:ind w:firstLine="480" w:firstLineChars="0"/>
        <w:rPr>
          <w:rFonts w:hint="eastAsia" w:cs="宋体"/>
          <w:color w:val="auto"/>
        </w:rPr>
      </w:pPr>
      <w:r>
        <w:rPr>
          <w:rFonts w:hint="eastAsia" w:cs="宋体"/>
          <w:color w:val="auto"/>
        </w:rPr>
        <w:t>（</w:t>
      </w:r>
      <w:r>
        <w:rPr>
          <w:rFonts w:cs="宋体"/>
          <w:color w:val="auto"/>
        </w:rPr>
        <w:t>2</w:t>
      </w:r>
      <w:r>
        <w:rPr>
          <w:rFonts w:hint="eastAsia" w:cs="宋体"/>
          <w:color w:val="auto"/>
        </w:rPr>
        <w:t>）清罐底泥、废分子筛、废滤料、废润滑油、废润滑油桶、沾油废防渗材料、废含油抹布及劳保用品的收集、贮存、运输须符合《危险废物收集 贮存 运输 技术规范》（HJ2025-2012）</w:t>
      </w:r>
      <w:r>
        <w:rPr>
          <w:rFonts w:cs="宋体"/>
          <w:color w:val="auto"/>
        </w:rPr>
        <w:t>和《危险废物转移管理办法》（生态环境部、公安部、交通运输部令第23号）要求，相关资料存档备查。</w:t>
      </w:r>
      <w:r>
        <w:rPr>
          <w:rFonts w:hint="eastAsia" w:cs="宋体"/>
          <w:color w:val="auto"/>
        </w:rPr>
        <w:t>具体如下：</w:t>
      </w:r>
    </w:p>
    <w:p w14:paraId="7180BE3A">
      <w:pPr>
        <w:pStyle w:val="86"/>
        <w:ind w:firstLine="480" w:firstLineChars="0"/>
        <w:rPr>
          <w:rFonts w:hint="eastAsia" w:cs="宋体"/>
          <w:color w:val="auto"/>
        </w:rPr>
      </w:pPr>
      <w:bookmarkStart w:id="833" w:name="_Hlk110526123"/>
      <w:r>
        <w:rPr>
          <w:rFonts w:hint="eastAsia" w:cs="宋体"/>
          <w:color w:val="auto"/>
        </w:rPr>
        <w:t>①</w:t>
      </w:r>
      <w:r>
        <w:rPr>
          <w:rFonts w:cs="宋体"/>
          <w:color w:val="auto"/>
        </w:rPr>
        <w:t>危废收集过程污染防治措施</w:t>
      </w:r>
    </w:p>
    <w:p w14:paraId="730EA0C8">
      <w:pPr>
        <w:pStyle w:val="86"/>
        <w:ind w:firstLine="480" w:firstLineChars="0"/>
        <w:rPr>
          <w:rFonts w:hint="eastAsia" w:cs="宋体"/>
          <w:color w:val="auto"/>
        </w:rPr>
      </w:pPr>
      <w:r>
        <w:rPr>
          <w:rFonts w:cs="宋体"/>
          <w:color w:val="auto"/>
        </w:rPr>
        <w:t>在危险废物收集过程中应采取以下防治措施：</w:t>
      </w:r>
    </w:p>
    <w:p w14:paraId="133B14F7">
      <w:pPr>
        <w:pStyle w:val="86"/>
        <w:ind w:firstLine="480" w:firstLineChars="0"/>
        <w:rPr>
          <w:rFonts w:ascii="Times New Roman" w:hAnsi="Times New Roman"/>
          <w:color w:val="auto"/>
        </w:rPr>
      </w:pPr>
      <w:r>
        <w:rPr>
          <w:rFonts w:hint="eastAsia" w:cs="宋体"/>
          <w:color w:val="auto"/>
        </w:rPr>
        <w:t>※</w:t>
      </w:r>
      <w:r>
        <w:rPr>
          <w:rFonts w:cs="宋体"/>
          <w:color w:val="auto"/>
        </w:rPr>
        <w:t>危险废物的收集应根据危险废物产生的工艺</w:t>
      </w:r>
      <w:r>
        <w:rPr>
          <w:rFonts w:ascii="Times New Roman" w:hAnsi="Times New Roman"/>
          <w:color w:val="auto"/>
        </w:rPr>
        <w:t>特征、排放周期、危险废物特性、废物管理计划等因素制定收集计划。收集计划应包括收集任务概述、收集目标及原则、危险废物特性评估、危险废物收集量估算、收集作业范围和方法、收集设备与包装容器、安全生产与个人防护、工程防护与事故应急、进度安排与组织管理等。</w:t>
      </w:r>
    </w:p>
    <w:p w14:paraId="5CA00864">
      <w:pPr>
        <w:pStyle w:val="86"/>
        <w:ind w:firstLine="480"/>
        <w:rPr>
          <w:rFonts w:ascii="Times New Roman" w:hAnsi="Times New Roman"/>
          <w:color w:val="auto"/>
        </w:rPr>
      </w:pPr>
      <w:r>
        <w:rPr>
          <w:rFonts w:hint="eastAsia" w:ascii="Times New Roman" w:hAnsi="Times New Roman"/>
          <w:color w:val="auto"/>
        </w:rPr>
        <w:t>※</w:t>
      </w:r>
      <w:r>
        <w:rPr>
          <w:rFonts w:ascii="Times New Roman" w:hAnsi="Times New Roman"/>
          <w:color w:val="auto"/>
        </w:rPr>
        <w:t>危险废物的收集应制定详细的操作规程，内容至少应包括适用范围、操作程序和方法、专用设备和工具、转移和交接、安全保障和应急防护等。</w:t>
      </w:r>
    </w:p>
    <w:p w14:paraId="026EDB2B">
      <w:pPr>
        <w:pStyle w:val="86"/>
        <w:ind w:firstLine="480"/>
        <w:rPr>
          <w:rFonts w:ascii="Times New Roman" w:hAnsi="Times New Roman"/>
          <w:color w:val="auto"/>
        </w:rPr>
      </w:pPr>
      <w:r>
        <w:rPr>
          <w:rFonts w:hint="eastAsia" w:cs="宋体"/>
          <w:color w:val="auto"/>
        </w:rPr>
        <w:t>※</w:t>
      </w:r>
      <w:r>
        <w:rPr>
          <w:rFonts w:ascii="Times New Roman" w:hAnsi="Times New Roman"/>
          <w:color w:val="auto"/>
        </w:rPr>
        <w:t>危险废物收集和转运作业人员应根据工作需要配备必要的个人防护装备，如手套、防护镜、防护服、防毒面具或口罩等。</w:t>
      </w:r>
    </w:p>
    <w:p w14:paraId="71DAB73E">
      <w:pPr>
        <w:pStyle w:val="86"/>
        <w:ind w:firstLine="480"/>
        <w:rPr>
          <w:rFonts w:ascii="Times New Roman" w:hAnsi="Times New Roman"/>
          <w:color w:val="auto"/>
        </w:rPr>
      </w:pPr>
      <w:r>
        <w:rPr>
          <w:rFonts w:hint="eastAsia" w:cs="宋体"/>
          <w:color w:val="auto"/>
        </w:rPr>
        <w:t>※</w:t>
      </w:r>
      <w:r>
        <w:rPr>
          <w:rFonts w:ascii="Times New Roman" w:hAnsi="Times New Roman"/>
          <w:color w:val="auto"/>
        </w:rPr>
        <w:t>在危险废物的收集和转运过程中，应采取相应的安全防护和污染防治措施，包括防爆、防火、防中毒、防感染、防泄漏、防飞扬、防雨或其它防止污染环境的措施。</w:t>
      </w:r>
    </w:p>
    <w:p w14:paraId="6EB4AF52">
      <w:pPr>
        <w:pStyle w:val="86"/>
        <w:ind w:firstLine="480"/>
        <w:rPr>
          <w:rFonts w:ascii="Times New Roman" w:hAnsi="Times New Roman"/>
          <w:color w:val="auto"/>
        </w:rPr>
      </w:pPr>
      <w:r>
        <w:rPr>
          <w:rFonts w:hint="eastAsia" w:cs="宋体"/>
          <w:color w:val="auto"/>
        </w:rPr>
        <w:t>※</w:t>
      </w:r>
      <w:r>
        <w:rPr>
          <w:rFonts w:ascii="Times New Roman" w:hAnsi="Times New Roman"/>
          <w:color w:val="auto"/>
        </w:rPr>
        <w:t>危险废物收集时应根据危险废物的种类、数量、危险特性、物理形态、运输要求等因素确定包装形式，具体包装应符合如下要求</w:t>
      </w:r>
      <w:r>
        <w:rPr>
          <w:rFonts w:hint="eastAsia" w:ascii="Times New Roman" w:hAnsi="Times New Roman"/>
          <w:color w:val="auto"/>
        </w:rPr>
        <w:t>：</w:t>
      </w:r>
      <w:r>
        <w:rPr>
          <w:rFonts w:ascii="Times New Roman" w:hAnsi="Times New Roman"/>
          <w:color w:val="auto"/>
        </w:rPr>
        <w:t>各类危险废物使用符合标准的容器盛装，装载危险废物的容器及材质要满足相应的强度要求，容器必须完好无损，材质和衬里要与危险废物相容（不相互反应）</w:t>
      </w:r>
      <w:r>
        <w:rPr>
          <w:rFonts w:hint="eastAsia" w:ascii="Times New Roman" w:hAnsi="Times New Roman"/>
          <w:color w:val="auto"/>
        </w:rPr>
        <w:t>；</w:t>
      </w:r>
      <w:r>
        <w:rPr>
          <w:rFonts w:ascii="Times New Roman" w:hAnsi="Times New Roman"/>
          <w:color w:val="auto"/>
        </w:rPr>
        <w:t>性质类似的废物可收集到同一容器中，性质不相容的危险废物不应混合包装；危险废物包装应能有效隔断危险废物迁移扩散途径，并达到防渗、防漏要求；容器上必须粘贴符合标准的标签，标签信息填写完整</w:t>
      </w:r>
      <w:r>
        <w:rPr>
          <w:rFonts w:hint="eastAsia" w:ascii="Times New Roman" w:hAnsi="Times New Roman"/>
          <w:color w:val="auto"/>
        </w:rPr>
        <w:t>详实</w:t>
      </w:r>
      <w:r>
        <w:rPr>
          <w:rFonts w:ascii="Times New Roman" w:hAnsi="Times New Roman"/>
          <w:color w:val="auto"/>
        </w:rPr>
        <w:t>；盛装危废后的废包装桶及时转运至处置场所进行处置；盛装过危险废物的包装袋或包装容器破损后应按危险废物进行管理和处置</w:t>
      </w:r>
      <w:r>
        <w:rPr>
          <w:rFonts w:hint="eastAsia" w:ascii="Times New Roman" w:hAnsi="Times New Roman"/>
          <w:color w:val="auto"/>
        </w:rPr>
        <w:t>；</w:t>
      </w:r>
      <w:r>
        <w:rPr>
          <w:rFonts w:ascii="Times New Roman" w:hAnsi="Times New Roman"/>
          <w:color w:val="auto"/>
        </w:rPr>
        <w:t>在危险废物的收集和转运过程中，应采取相应的安全防护和污染防治措施，包括防爆、防火、防中毒、防感染、防泄漏、防飞扬、防雨等其他防治污染环境的措施。</w:t>
      </w:r>
    </w:p>
    <w:p w14:paraId="24B6DFFE">
      <w:pPr>
        <w:pStyle w:val="86"/>
        <w:ind w:firstLine="480"/>
        <w:rPr>
          <w:rFonts w:ascii="Times New Roman" w:hAnsi="Times New Roman"/>
          <w:color w:val="auto"/>
        </w:rPr>
      </w:pPr>
      <w:r>
        <w:rPr>
          <w:rFonts w:hint="eastAsia" w:cs="宋体"/>
          <w:color w:val="auto"/>
        </w:rPr>
        <w:t>②</w:t>
      </w:r>
      <w:r>
        <w:rPr>
          <w:rFonts w:ascii="Times New Roman" w:hAnsi="Times New Roman"/>
          <w:color w:val="auto"/>
        </w:rPr>
        <w:t>危险废物的收集作业应满足如下要求：设置作业界限标志和警示牌；收集时应配备必要的收集工具和包装物，以及必要的应急监测设备及应急装备；收集时应填写记录表，并将记录表作为危险废物管理的重要档案妥善保存；收集结束后应清理和恢复收集作业</w:t>
      </w:r>
      <w:r>
        <w:rPr>
          <w:rFonts w:hint="eastAsia" w:ascii="Times New Roman" w:hAnsi="Times New Roman"/>
          <w:color w:val="auto"/>
        </w:rPr>
        <w:t>区域</w:t>
      </w:r>
      <w:r>
        <w:rPr>
          <w:rFonts w:ascii="Times New Roman" w:hAnsi="Times New Roman"/>
          <w:color w:val="auto"/>
        </w:rPr>
        <w:t>，确保作业区域环境整洁安全；收集过危险废物的容器、设备、场所及其他物品转作</w:t>
      </w:r>
      <w:r>
        <w:rPr>
          <w:rFonts w:hint="eastAsia" w:ascii="Times New Roman" w:hAnsi="Times New Roman"/>
          <w:color w:val="auto"/>
        </w:rPr>
        <w:t>他</w:t>
      </w:r>
      <w:r>
        <w:rPr>
          <w:rFonts w:ascii="Times New Roman" w:hAnsi="Times New Roman"/>
          <w:color w:val="auto"/>
        </w:rPr>
        <w:t>用时，应消除污染，确保使用安全。</w:t>
      </w:r>
    </w:p>
    <w:bookmarkEnd w:id="833"/>
    <w:p w14:paraId="16BBC8DA">
      <w:pPr>
        <w:pStyle w:val="86"/>
        <w:ind w:firstLine="480"/>
        <w:rPr>
          <w:rFonts w:ascii="Times New Roman" w:hAnsi="Times New Roman"/>
          <w:color w:val="auto"/>
        </w:rPr>
      </w:pPr>
      <w:r>
        <w:rPr>
          <w:rFonts w:hint="eastAsia" w:ascii="Times New Roman" w:hAnsi="Times New Roman"/>
          <w:color w:val="auto"/>
        </w:rPr>
        <w:t>③危险废物贮存污染防治措施</w:t>
      </w:r>
    </w:p>
    <w:p w14:paraId="3D1501CD">
      <w:pPr>
        <w:pStyle w:val="86"/>
        <w:ind w:firstLine="480"/>
        <w:rPr>
          <w:rFonts w:ascii="Times New Roman" w:hAnsi="Times New Roman"/>
          <w:color w:val="auto"/>
        </w:rPr>
      </w:pPr>
      <w:r>
        <w:rPr>
          <w:rFonts w:hint="eastAsia" w:ascii="Times New Roman" w:hAnsi="Times New Roman"/>
          <w:color w:val="auto"/>
        </w:rPr>
        <w:t>本项目产生的</w:t>
      </w:r>
      <w:r>
        <w:rPr>
          <w:rFonts w:hint="eastAsia" w:cs="宋体"/>
          <w:color w:val="auto"/>
        </w:rPr>
        <w:t>废分子筛、废滤料、废润滑油桶、沾油废防渗材料、废含油抹布及劳保用品</w:t>
      </w:r>
      <w:r>
        <w:rPr>
          <w:rFonts w:hint="eastAsia"/>
          <w:color w:val="auto"/>
        </w:rPr>
        <w:t>临时贮存在</w:t>
      </w:r>
      <w:r>
        <w:rPr>
          <w:rFonts w:hint="eastAsia" w:cs="宋体"/>
          <w:color w:val="auto"/>
        </w:rPr>
        <w:t>石西油田作业区</w:t>
      </w:r>
      <w:r>
        <w:rPr>
          <w:rFonts w:hint="eastAsia"/>
          <w:color w:val="auto"/>
        </w:rPr>
        <w:t>危险废物临时储存场所，该危险废物临时储存场所满足</w:t>
      </w:r>
      <w:r>
        <w:rPr>
          <w:color w:val="auto"/>
        </w:rPr>
        <w:t>《危险废物贮存污染控制标准》（GB18597-2023）</w:t>
      </w:r>
      <w:r>
        <w:rPr>
          <w:rFonts w:hint="eastAsia"/>
          <w:color w:val="auto"/>
        </w:rPr>
        <w:t>中的相关要求，危险废物暂存场所运营管理要求：危险废物存入危险废物暂存场前应对危险废物类别</w:t>
      </w:r>
      <w:r>
        <w:rPr>
          <w:rFonts w:hint="eastAsia" w:ascii="Times New Roman" w:hAnsi="Times New Roman"/>
          <w:color w:val="auto"/>
        </w:rPr>
        <w:t>和特性与危险废物标签等危险废物识别标志的一致性进行核验，不一致的或类别、特性不明的不应存入；应定期检查危险废物暂存场状况，及时清理暂存场地面，更换破损泄漏的危险废物贮存容器和包装物，保证堆存危险废物的防雨、防风、防扬尘等设施功能完好；作业设备及车辆等结束作业离开危险废物暂存场时，应对其残留的危险废物进行清理，清理的废物或清洗废水应收集处理；贮存设施运行期间，应按国家有关标准和规定建立危险废物管理台账并保存。</w:t>
      </w:r>
    </w:p>
    <w:p w14:paraId="69F2EE8F">
      <w:pPr>
        <w:pStyle w:val="86"/>
        <w:ind w:firstLine="480"/>
        <w:rPr>
          <w:rFonts w:ascii="Times New Roman" w:hAnsi="Times New Roman"/>
          <w:color w:val="auto"/>
        </w:rPr>
      </w:pPr>
      <w:bookmarkStart w:id="834" w:name="_Hlk147589850"/>
      <w:r>
        <w:rPr>
          <w:rFonts w:hint="eastAsia" w:ascii="Times New Roman" w:hAnsi="Times New Roman"/>
          <w:color w:val="auto"/>
        </w:rPr>
        <w:t>④危险废物的运输</w:t>
      </w:r>
    </w:p>
    <w:p w14:paraId="27B6E308">
      <w:pPr>
        <w:pStyle w:val="86"/>
        <w:ind w:firstLine="480"/>
        <w:rPr>
          <w:rFonts w:hint="eastAsia"/>
          <w:color w:val="auto"/>
        </w:rPr>
      </w:pPr>
      <w:r>
        <w:rPr>
          <w:rFonts w:hint="eastAsia"/>
          <w:color w:val="auto"/>
        </w:rPr>
        <w:t>危险废物运输应由持有危险废物经营许可证的单位按照其许可证的经营范围组织实施，承担危险废物运输的单位应获得交通运输部门颁发的危险货物运输资质；在委托运输协议中应明确双方的义务和责任；危险废物公路运输应按照《道路危险货物运输管理规定》（交通部令[2005年]第9号）、JT617以及JT618执行；运输单位承运危险废物时，应在危险废物包装上按照GB18597附录A设置标志；危险废物公路运输时，运输车辆应按GB13392设置车辆标志；危险废物运输时的中转、装卸过程应遵守如下技术要求：卸载区的工作人员应熟悉废物的危险特性，并配备适当的个人防护装备，装卸剧毒废物应配备特殊的防护装备；卸载区应配备必要的消防设备和设施，并设置明显的指示标志；危险废物装卸区应设置隔离设施，液态废物卸载区应设置收集槽和缓冲罐。</w:t>
      </w:r>
    </w:p>
    <w:bookmarkEnd w:id="834"/>
    <w:p w14:paraId="2E305FC8">
      <w:pPr>
        <w:pStyle w:val="86"/>
        <w:ind w:firstLine="480"/>
        <w:rPr>
          <w:rFonts w:hint="eastAsia"/>
          <w:color w:val="auto"/>
        </w:rPr>
      </w:pPr>
      <w:r>
        <w:rPr>
          <w:rFonts w:hint="eastAsia"/>
          <w:color w:val="auto"/>
        </w:rPr>
        <w:t>（</w:t>
      </w:r>
      <w:r>
        <w:rPr>
          <w:color w:val="auto"/>
        </w:rPr>
        <w:t>3</w:t>
      </w:r>
      <w:r>
        <w:rPr>
          <w:rFonts w:hint="eastAsia"/>
          <w:color w:val="auto"/>
        </w:rPr>
        <w:t>）按照《环境保护图形标志固体废物贮存（处置）场》（</w:t>
      </w:r>
      <w:r>
        <w:rPr>
          <w:color w:val="auto"/>
        </w:rPr>
        <w:t>GB15562.2</w:t>
      </w:r>
      <w:r>
        <w:rPr>
          <w:rFonts w:hint="eastAsia"/>
          <w:color w:val="auto"/>
        </w:rPr>
        <w:t>）等有关规定，对危险废物的容器和包装物设置危险废物识别标志。</w:t>
      </w:r>
    </w:p>
    <w:p w14:paraId="10D74623">
      <w:pPr>
        <w:pStyle w:val="86"/>
        <w:ind w:firstLine="480"/>
        <w:rPr>
          <w:rFonts w:hint="eastAsia"/>
          <w:color w:val="auto"/>
        </w:rPr>
      </w:pPr>
      <w:r>
        <w:rPr>
          <w:rFonts w:hint="eastAsia"/>
          <w:color w:val="auto"/>
        </w:rPr>
        <w:t>（</w:t>
      </w:r>
      <w:r>
        <w:rPr>
          <w:color w:val="auto"/>
        </w:rPr>
        <w:t>4</w:t>
      </w:r>
      <w:r>
        <w:rPr>
          <w:rFonts w:hint="eastAsia"/>
          <w:color w:val="auto"/>
        </w:rPr>
        <w:t>）</w:t>
      </w:r>
      <w:bookmarkStart w:id="835" w:name="OLE_LINK61"/>
      <w:r>
        <w:rPr>
          <w:rFonts w:hint="eastAsia"/>
          <w:color w:val="auto"/>
        </w:rPr>
        <w:t>石西油田作业区</w:t>
      </w:r>
      <w:bookmarkEnd w:id="835"/>
      <w:r>
        <w:rPr>
          <w:rFonts w:hint="eastAsia"/>
          <w:color w:val="auto"/>
        </w:rPr>
        <w:t>已按照年度建立了完善的危险废物管理计划，并定期向生态环境主管部门上报备案，项目建成后总体按照既定计划进行危险废物管理。</w:t>
      </w:r>
    </w:p>
    <w:p w14:paraId="2DAA7552">
      <w:pPr>
        <w:pStyle w:val="86"/>
        <w:ind w:firstLine="480"/>
        <w:rPr>
          <w:rFonts w:hint="eastAsia"/>
          <w:color w:val="auto"/>
        </w:rPr>
      </w:pPr>
      <w:r>
        <w:rPr>
          <w:rFonts w:hint="eastAsia"/>
          <w:color w:val="auto"/>
        </w:rPr>
        <w:t>（5）石西油田作业区已建立了污染环境防治责任制度，建立了危险废物产生、收集、贮存、处置等全过程的污染环境防治责任制度；</w:t>
      </w:r>
    </w:p>
    <w:p w14:paraId="7F63A500">
      <w:pPr>
        <w:pStyle w:val="86"/>
        <w:ind w:firstLine="480"/>
        <w:rPr>
          <w:rFonts w:hint="eastAsia"/>
          <w:color w:val="auto"/>
        </w:rPr>
      </w:pPr>
      <w:r>
        <w:rPr>
          <w:rFonts w:hint="eastAsia"/>
          <w:color w:val="auto"/>
        </w:rPr>
        <w:t>（6）运营单位</w:t>
      </w:r>
      <w:bookmarkStart w:id="836" w:name="_Hlk177305730"/>
      <w:r>
        <w:rPr>
          <w:rFonts w:hint="eastAsia"/>
          <w:color w:val="auto"/>
        </w:rPr>
        <w:t>应根据《危险废物产生单位管理计划制定指南》有关要求制定包含本项目的危险废物管理计划，并及时在线填报危险废物管理计划</w:t>
      </w:r>
      <w:bookmarkEnd w:id="836"/>
      <w:r>
        <w:rPr>
          <w:rFonts w:hint="eastAsia"/>
          <w:color w:val="auto"/>
        </w:rPr>
        <w:t>；计划内容主要包括基本信息、过程管理（危险废物产生、转移及利用处置环节）、上年度计划实施情况回顾等内容，并建立危险废物管理台账，如实记载产生危险废物的种类、数量、流向、贮存、利用处置等信息；鼓励产废单位采用信息化手段建立危险废物台账。产废单位应在台账工作的基础上如实向所在地县级以上人民政府环境保护主管部门申报危险废物的种类、产生量、流向、贮存、处置等有关资料。</w:t>
      </w:r>
    </w:p>
    <w:p w14:paraId="2CBDE584">
      <w:pPr>
        <w:pStyle w:val="86"/>
        <w:ind w:firstLine="480"/>
        <w:rPr>
          <w:rFonts w:hint="eastAsia"/>
          <w:color w:val="auto"/>
        </w:rPr>
      </w:pPr>
      <w:r>
        <w:rPr>
          <w:rFonts w:hint="eastAsia"/>
          <w:color w:val="auto"/>
        </w:rPr>
        <w:t>根据《危险废物管理计划和管理台账制定技术导则》（</w:t>
      </w:r>
      <w:r>
        <w:rPr>
          <w:color w:val="auto"/>
        </w:rPr>
        <w:t>HJ1259-2022）</w:t>
      </w:r>
      <w:r>
        <w:rPr>
          <w:rFonts w:hint="eastAsia"/>
          <w:color w:val="auto"/>
        </w:rPr>
        <w:t>建立危险废物管理台账，危险废物产生环节，按照每个容器、包装物如实记录产生批次编码、产生时间、危险废物名称、危险废物类别、危险废物代码、产生量、计量单位、容器/包装编码、容器/包装类型、容器/包装数量、产生危险服务设施编码等；危险废物入库环节，应记录入库批次编码、入库时间、容器</w:t>
      </w:r>
      <w:r>
        <w:rPr>
          <w:color w:val="auto"/>
        </w:rPr>
        <w:t>/</w:t>
      </w:r>
      <w:r>
        <w:rPr>
          <w:rFonts w:hint="eastAsia"/>
          <w:color w:val="auto"/>
        </w:rPr>
        <w:t>包装编码、容器</w:t>
      </w:r>
      <w:r>
        <w:rPr>
          <w:color w:val="auto"/>
        </w:rPr>
        <w:t>/</w:t>
      </w:r>
      <w:r>
        <w:rPr>
          <w:rFonts w:hint="eastAsia"/>
          <w:color w:val="auto"/>
        </w:rPr>
        <w:t>包装类型、容器</w:t>
      </w:r>
      <w:r>
        <w:rPr>
          <w:color w:val="auto"/>
        </w:rPr>
        <w:t>/</w:t>
      </w:r>
      <w:r>
        <w:rPr>
          <w:rFonts w:hint="eastAsia"/>
          <w:color w:val="auto"/>
        </w:rPr>
        <w:t>包装数量、危险废物名称、危险废物类别、危险废物代码、入库量、计量单位、贮存设施编码、贮存设施类型、运送部门经办人、贮存部门经办人、产生批次编码等。危险废物出库环节，应记录出库批次编码、出库时间、容器</w:t>
      </w:r>
      <w:r>
        <w:rPr>
          <w:color w:val="auto"/>
        </w:rPr>
        <w:t>/</w:t>
      </w:r>
      <w:r>
        <w:rPr>
          <w:rFonts w:hint="eastAsia"/>
          <w:color w:val="auto"/>
        </w:rPr>
        <w:t>包装编码、容器</w:t>
      </w:r>
      <w:r>
        <w:rPr>
          <w:color w:val="auto"/>
        </w:rPr>
        <w:t>/</w:t>
      </w:r>
      <w:r>
        <w:rPr>
          <w:rFonts w:hint="eastAsia"/>
          <w:color w:val="auto"/>
        </w:rPr>
        <w:t>包装类型、容器</w:t>
      </w:r>
      <w:r>
        <w:rPr>
          <w:color w:val="auto"/>
        </w:rPr>
        <w:t>/</w:t>
      </w:r>
      <w:r>
        <w:rPr>
          <w:rFonts w:hint="eastAsia"/>
          <w:color w:val="auto"/>
        </w:rPr>
        <w:t>包装数量、危险废物名称、危险废物类别、危险废物代码、出库量、计量单位、贮存设施编码、贮存设施类型、出库部门经办人、运送部门经办人、入库批次编码、去向等。危险废物委外处置环节，应记录委外处置批次编码、出厂时间、容器</w:t>
      </w:r>
      <w:r>
        <w:rPr>
          <w:color w:val="auto"/>
        </w:rPr>
        <w:t>/</w:t>
      </w:r>
      <w:r>
        <w:rPr>
          <w:rFonts w:hint="eastAsia"/>
          <w:color w:val="auto"/>
        </w:rPr>
        <w:t>包装编码、容器</w:t>
      </w:r>
      <w:r>
        <w:rPr>
          <w:color w:val="auto"/>
        </w:rPr>
        <w:t>/</w:t>
      </w:r>
      <w:r>
        <w:rPr>
          <w:rFonts w:hint="eastAsia"/>
          <w:color w:val="auto"/>
        </w:rPr>
        <w:t>包装类型、容器</w:t>
      </w:r>
      <w:r>
        <w:rPr>
          <w:color w:val="auto"/>
        </w:rPr>
        <w:t>/</w:t>
      </w:r>
      <w:r>
        <w:rPr>
          <w:rFonts w:hint="eastAsia"/>
          <w:color w:val="auto"/>
        </w:rPr>
        <w:t>包装数量、危险废物名称、危险废物类别、危险废物代码、委外利用</w:t>
      </w:r>
      <w:r>
        <w:rPr>
          <w:color w:val="auto"/>
        </w:rPr>
        <w:t>/</w:t>
      </w:r>
      <w:r>
        <w:rPr>
          <w:rFonts w:hint="eastAsia"/>
          <w:color w:val="auto"/>
        </w:rPr>
        <w:t>处置量、计量单位、处置方式、接收单位类型、利用</w:t>
      </w:r>
      <w:r>
        <w:rPr>
          <w:color w:val="auto"/>
        </w:rPr>
        <w:t>/</w:t>
      </w:r>
      <w:r>
        <w:rPr>
          <w:rFonts w:hint="eastAsia"/>
          <w:color w:val="auto"/>
        </w:rPr>
        <w:t>处置单位名称、许可证编码</w:t>
      </w:r>
      <w:r>
        <w:rPr>
          <w:color w:val="auto"/>
        </w:rPr>
        <w:t>/</w:t>
      </w:r>
      <w:r>
        <w:rPr>
          <w:rFonts w:hint="eastAsia"/>
          <w:color w:val="auto"/>
        </w:rPr>
        <w:t>出口核准通知单编号、产生批次编码</w:t>
      </w:r>
      <w:r>
        <w:rPr>
          <w:color w:val="auto"/>
        </w:rPr>
        <w:t>/</w:t>
      </w:r>
      <w:r>
        <w:rPr>
          <w:rFonts w:hint="eastAsia"/>
          <w:color w:val="auto"/>
        </w:rPr>
        <w:t>出库批次编码等。记录保存时间原则上应存档5年以上。并通过国家危险废物信息管理系统向所在地生态环境主管部门申报危险废物的种类、产生量、流向、贮存、处置等有关资料。</w:t>
      </w:r>
    </w:p>
    <w:p w14:paraId="0C1ABDD1">
      <w:pPr>
        <w:pStyle w:val="86"/>
        <w:ind w:firstLine="480"/>
        <w:rPr>
          <w:rFonts w:hint="eastAsia"/>
          <w:color w:val="auto"/>
        </w:rPr>
      </w:pPr>
      <w:r>
        <w:rPr>
          <w:rFonts w:hint="eastAsia"/>
          <w:color w:val="auto"/>
        </w:rPr>
        <w:t>（7）运营单位应建立危险废物转移联单制度，转移危险废物的，应当</w:t>
      </w:r>
      <w:bookmarkStart w:id="837" w:name="_Hlk177305743"/>
      <w:r>
        <w:rPr>
          <w:rFonts w:hint="eastAsia"/>
          <w:color w:val="auto"/>
        </w:rPr>
        <w:t>按照《危险废物转移管理办法》</w:t>
      </w:r>
      <w:r>
        <w:rPr>
          <w:color w:val="auto"/>
        </w:rPr>
        <w:t>（生态环境部、公安部、交通运输部令第23号）</w:t>
      </w:r>
      <w:r>
        <w:rPr>
          <w:rFonts w:hint="eastAsia"/>
          <w:color w:val="auto"/>
        </w:rPr>
        <w:t>的有关规定办理电子危险废物转移联单，并建立危险废物管理电子台账。</w:t>
      </w:r>
    </w:p>
    <w:bookmarkEnd w:id="837"/>
    <w:p w14:paraId="78F0ABA0">
      <w:pPr>
        <w:pStyle w:val="86"/>
        <w:ind w:firstLine="480"/>
        <w:rPr>
          <w:rFonts w:hint="eastAsia"/>
          <w:color w:val="auto"/>
        </w:rPr>
      </w:pPr>
      <w:r>
        <w:rPr>
          <w:rFonts w:hint="eastAsia"/>
          <w:color w:val="auto"/>
        </w:rPr>
        <w:t>（8）运营单位应按照国家有关规定和环境保护标准要求贮存、利用、处置危险废物，不得将其擅自倾倒处置；禁止混合收集、贮存、运输、处置性质不相容或未经安全性处置的危险废物；危险废物收集、贮存应当按照其特性分类进行，禁止将危险废物混入非危险废物中贮存。</w:t>
      </w:r>
    </w:p>
    <w:p w14:paraId="43F51BE0">
      <w:pPr>
        <w:pStyle w:val="86"/>
        <w:ind w:firstLine="480"/>
        <w:rPr>
          <w:rFonts w:hint="eastAsia"/>
          <w:color w:val="auto"/>
        </w:rPr>
      </w:pPr>
      <w:bookmarkStart w:id="838" w:name="OLE_LINK283"/>
      <w:r>
        <w:rPr>
          <w:rFonts w:hint="eastAsia"/>
          <w:color w:val="auto"/>
        </w:rPr>
        <w:t>（9）建设单位应与有相应危险废物处理资质的单位签订处置协议，协议中约定处置方应依法合规处置危险废物，处置完毕后报告委托方。</w:t>
      </w:r>
    </w:p>
    <w:bookmarkEnd w:id="838"/>
    <w:p w14:paraId="2D3B38DE">
      <w:pPr>
        <w:pStyle w:val="86"/>
        <w:ind w:firstLine="480"/>
        <w:rPr>
          <w:rFonts w:hint="eastAsia"/>
          <w:color w:val="auto"/>
        </w:rPr>
      </w:pPr>
      <w:r>
        <w:rPr>
          <w:rFonts w:hint="eastAsia"/>
          <w:color w:val="auto"/>
        </w:rPr>
        <w:t>以上措施符合固体废物处置“减量化、资源化、无害化”原则。</w:t>
      </w:r>
    </w:p>
    <w:p w14:paraId="540163FB">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运营期土壤污染防治措施</w:t>
      </w:r>
    </w:p>
    <w:p w14:paraId="54656B06">
      <w:pPr>
        <w:pStyle w:val="86"/>
        <w:ind w:firstLine="480" w:firstLineChars="0"/>
        <w:rPr>
          <w:rFonts w:hint="eastAsia"/>
          <w:color w:val="auto"/>
        </w:rPr>
      </w:pPr>
      <w:r>
        <w:rPr>
          <w:rFonts w:hint="eastAsia"/>
          <w:color w:val="auto"/>
        </w:rPr>
        <w:t>（1）源头控制</w:t>
      </w:r>
    </w:p>
    <w:p w14:paraId="51C7B306">
      <w:pPr>
        <w:pStyle w:val="86"/>
        <w:ind w:firstLine="480" w:firstLineChars="0"/>
        <w:rPr>
          <w:rFonts w:hint="eastAsia"/>
          <w:color w:val="auto"/>
        </w:rPr>
      </w:pPr>
      <w:bookmarkStart w:id="839" w:name="_Hlk148012561"/>
      <w:r>
        <w:rPr>
          <w:rFonts w:hint="eastAsia" w:cs="宋体"/>
          <w:color w:val="auto"/>
          <w:kern w:val="0"/>
          <w:lang w:bidi="ar"/>
        </w:rPr>
        <w:t>井下作业废液（压裂返排液和废洗井液）排至罐内，由罐车拉运至莫北转油站采出水处理系统处理，</w:t>
      </w:r>
      <w:r>
        <w:rPr>
          <w:rFonts w:hint="eastAsia"/>
          <w:color w:val="auto"/>
        </w:rPr>
        <w:t>出水水质满足</w:t>
      </w:r>
      <w:r>
        <w:rPr>
          <w:rFonts w:hint="eastAsia"/>
          <w:color w:val="auto"/>
          <w:lang w:val="zh-CN"/>
        </w:rPr>
        <w:t>《碎屑岩油藏注水水质指标技术要求及分析方法》（SY</w:t>
      </w:r>
      <w:r>
        <w:rPr>
          <w:color w:val="auto"/>
          <w:lang w:val="zh-CN"/>
        </w:rPr>
        <w:t>/</w:t>
      </w:r>
      <w:r>
        <w:rPr>
          <w:rFonts w:hint="eastAsia"/>
          <w:color w:val="auto"/>
          <w:lang w:val="zh-CN"/>
        </w:rPr>
        <w:t>T5329-2022）</w:t>
      </w:r>
      <w:r>
        <w:rPr>
          <w:rFonts w:hint="eastAsia"/>
          <w:color w:val="auto"/>
        </w:rPr>
        <w:t>Ⅲ级标准</w:t>
      </w:r>
      <w:r>
        <w:rPr>
          <w:rFonts w:hint="eastAsia"/>
          <w:color w:val="auto"/>
          <w:lang w:val="zh-CN"/>
        </w:rPr>
        <w:t>后回注地层</w:t>
      </w:r>
      <w:r>
        <w:rPr>
          <w:rFonts w:hint="eastAsia" w:cs="宋体"/>
          <w:color w:val="auto"/>
          <w:lang w:bidi="ar"/>
        </w:rPr>
        <w:t>；</w:t>
      </w:r>
      <w:r>
        <w:rPr>
          <w:rFonts w:hint="eastAsia"/>
          <w:color w:val="auto"/>
        </w:rPr>
        <w:t>危险废物清罐底泥、</w:t>
      </w:r>
      <w:r>
        <w:rPr>
          <w:rFonts w:hint="eastAsia" w:cs="宋体"/>
          <w:color w:val="auto"/>
        </w:rPr>
        <w:t>废分子筛、废滤料、废润滑油、废润滑油桶、沾油废防渗材料、</w:t>
      </w:r>
      <w:r>
        <w:rPr>
          <w:rFonts w:hint="eastAsia" w:cs="宋体"/>
          <w:color w:val="auto"/>
          <w:lang w:val="zh-CN"/>
        </w:rPr>
        <w:t>废含油抹布及劳保用品</w:t>
      </w:r>
      <w:r>
        <w:rPr>
          <w:rFonts w:hint="eastAsia"/>
          <w:color w:val="auto"/>
        </w:rPr>
        <w:t>集中收集后交由有相应危险废物处理资质的单位回收处置，</w:t>
      </w:r>
      <w:r>
        <w:rPr>
          <w:rFonts w:hint="eastAsia" w:cs="宋体"/>
          <w:color w:val="auto"/>
        </w:rPr>
        <w:t>生活垃圾送至玛纳斯县生活垃圾填埋场处理</w:t>
      </w:r>
      <w:r>
        <w:rPr>
          <w:rFonts w:hint="eastAsia"/>
          <w:color w:val="auto"/>
        </w:rPr>
        <w:t>；产生的各类废物均可得到妥善处置，从源头减少了污染物的产生。</w:t>
      </w:r>
      <w:bookmarkStart w:id="840" w:name="_Hlk165763333"/>
      <w:r>
        <w:rPr>
          <w:rFonts w:hint="eastAsia"/>
          <w:color w:val="auto"/>
        </w:rPr>
        <w:t>选用耐腐蚀性能、抗老化性能、耐热性能、抗冻性能及耐磨性能好的设备防止设备腐蚀穿孔，降低新增环境风险事故的发生概率；加强对</w:t>
      </w:r>
      <w:bookmarkStart w:id="841" w:name="_Hlk177510793"/>
      <w:r>
        <w:rPr>
          <w:rFonts w:hint="eastAsia"/>
          <w:color w:val="auto"/>
        </w:rPr>
        <w:t>井场和撬装天然气浅冷处理装置的巡检及检维修。</w:t>
      </w:r>
      <w:bookmarkEnd w:id="841"/>
    </w:p>
    <w:bookmarkEnd w:id="839"/>
    <w:bookmarkEnd w:id="840"/>
    <w:p w14:paraId="752BD1F5">
      <w:pPr>
        <w:pStyle w:val="86"/>
        <w:ind w:firstLine="480" w:firstLineChars="0"/>
        <w:rPr>
          <w:rFonts w:hint="eastAsia"/>
          <w:color w:val="auto"/>
        </w:rPr>
      </w:pPr>
      <w:r>
        <w:rPr>
          <w:rFonts w:hint="eastAsia"/>
          <w:color w:val="auto"/>
        </w:rPr>
        <w:t>（2）防渗措施</w:t>
      </w:r>
    </w:p>
    <w:p w14:paraId="2D22899C">
      <w:pPr>
        <w:pStyle w:val="86"/>
        <w:ind w:firstLine="480" w:firstLineChars="0"/>
        <w:rPr>
          <w:rFonts w:hint="eastAsia"/>
          <w:color w:val="auto"/>
        </w:rPr>
      </w:pPr>
      <w:r>
        <w:rPr>
          <w:rFonts w:hint="eastAsia"/>
          <w:color w:val="auto"/>
        </w:rPr>
        <w:t>防渗措施见“</w:t>
      </w:r>
      <w:r>
        <w:rPr>
          <w:color w:val="auto"/>
        </w:rPr>
        <w:t>6</w:t>
      </w:r>
      <w:r>
        <w:rPr>
          <w:rFonts w:hint="eastAsia"/>
          <w:color w:val="auto"/>
        </w:rPr>
        <w:t>.2.</w:t>
      </w:r>
      <w:r>
        <w:rPr>
          <w:color w:val="auto"/>
        </w:rPr>
        <w:t>2</w:t>
      </w:r>
      <w:r>
        <w:rPr>
          <w:rFonts w:hint="eastAsia"/>
          <w:color w:val="auto"/>
        </w:rPr>
        <w:t>运营期废水污染防治措施”章节。</w:t>
      </w:r>
    </w:p>
    <w:p w14:paraId="2105E4D7">
      <w:pPr>
        <w:pStyle w:val="86"/>
        <w:ind w:firstLine="480" w:firstLineChars="0"/>
        <w:rPr>
          <w:rFonts w:hint="eastAsia"/>
          <w:color w:val="auto"/>
        </w:rPr>
      </w:pPr>
      <w:r>
        <w:rPr>
          <w:rFonts w:hint="eastAsia"/>
          <w:color w:val="auto"/>
        </w:rPr>
        <w:t>（3）跟踪评价</w:t>
      </w:r>
    </w:p>
    <w:p w14:paraId="7A28C44C">
      <w:pPr>
        <w:pStyle w:val="86"/>
        <w:ind w:firstLine="480" w:firstLineChars="0"/>
        <w:rPr>
          <w:rFonts w:hint="eastAsia"/>
          <w:color w:val="auto"/>
        </w:rPr>
      </w:pPr>
      <w:r>
        <w:rPr>
          <w:rFonts w:hint="eastAsia"/>
          <w:color w:val="auto"/>
        </w:rPr>
        <w:t>按照《环境影响评价技术导则 土壤环境（试行）》（HJ964-2018）中的相关规定，对</w:t>
      </w:r>
      <w:bookmarkStart w:id="842" w:name="OLE_LINK62"/>
      <w:r>
        <w:rPr>
          <w:rFonts w:hint="eastAsia"/>
          <w:color w:val="auto"/>
        </w:rPr>
        <w:t>莫172H井和莫174H井</w:t>
      </w:r>
      <w:bookmarkEnd w:id="842"/>
      <w:r>
        <w:rPr>
          <w:rFonts w:hint="eastAsia"/>
          <w:color w:val="auto"/>
        </w:rPr>
        <w:t>开展土壤跟踪监测，在莫172H井和莫174H井井场内各布设一个土壤跟踪监测点，监测因子为pH、石油烃、土壤盐分含量、汞、砷、六价铬。</w:t>
      </w:r>
    </w:p>
    <w:p w14:paraId="08FFA0A8">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运营期生态环境保护措施</w:t>
      </w:r>
    </w:p>
    <w:p w14:paraId="51C3090C">
      <w:pPr>
        <w:pStyle w:val="86"/>
        <w:ind w:firstLine="480"/>
        <w:rPr>
          <w:rFonts w:hint="eastAsia"/>
          <w:color w:val="auto"/>
        </w:rPr>
      </w:pPr>
      <w:bookmarkStart w:id="843" w:name="OLE_LINK86"/>
      <w:bookmarkStart w:id="844" w:name="_Hlk80529873"/>
      <w:r>
        <w:rPr>
          <w:rFonts w:hint="eastAsia"/>
          <w:color w:val="auto"/>
        </w:rPr>
        <w:t>（</w:t>
      </w:r>
      <w:r>
        <w:rPr>
          <w:color w:val="auto"/>
        </w:rPr>
        <w:t>1）</w:t>
      </w:r>
      <w:bookmarkStart w:id="845" w:name="_Hlk148007417"/>
      <w:r>
        <w:rPr>
          <w:rFonts w:hint="eastAsia"/>
          <w:color w:val="auto"/>
        </w:rPr>
        <w:t>加强管理，确保各项环保措施落实；</w:t>
      </w:r>
      <w:r>
        <w:rPr>
          <w:color w:val="auto"/>
        </w:rPr>
        <w:t>定</w:t>
      </w:r>
      <w:r>
        <w:rPr>
          <w:rFonts w:hint="eastAsia"/>
          <w:color w:val="auto"/>
        </w:rPr>
        <w:t>期对井场、撬装天然气浅冷处理装置及单井采油管线进行巡检</w:t>
      </w:r>
      <w:bookmarkEnd w:id="845"/>
      <w:r>
        <w:rPr>
          <w:rFonts w:hint="eastAsia"/>
          <w:color w:val="auto"/>
        </w:rPr>
        <w:t>，严防跑、冒、滴、漏</w:t>
      </w:r>
      <w:r>
        <w:rPr>
          <w:color w:val="auto"/>
        </w:rPr>
        <w:t>。加强对管线、设备的管理和检查，发现问题及时解决，防止泄漏事故的发生</w:t>
      </w:r>
      <w:r>
        <w:rPr>
          <w:rFonts w:hint="eastAsia"/>
          <w:color w:val="auto"/>
        </w:rPr>
        <w:t>。</w:t>
      </w:r>
    </w:p>
    <w:p w14:paraId="423EFE28">
      <w:pPr>
        <w:pStyle w:val="86"/>
        <w:ind w:firstLine="480"/>
        <w:rPr>
          <w:rFonts w:hint="eastAsia"/>
          <w:color w:val="auto"/>
        </w:rPr>
      </w:pPr>
      <w:r>
        <w:rPr>
          <w:rFonts w:hint="eastAsia"/>
          <w:color w:val="auto"/>
        </w:rPr>
        <w:t>（</w:t>
      </w:r>
      <w:r>
        <w:rPr>
          <w:color w:val="auto"/>
        </w:rPr>
        <w:t>2）</w:t>
      </w:r>
      <w:bookmarkStart w:id="846" w:name="_Hlk165762937"/>
      <w:bookmarkStart w:id="847" w:name="_Hlk148007427"/>
      <w:r>
        <w:rPr>
          <w:color w:val="auto"/>
        </w:rPr>
        <w:t>加强环境保护宣传工作，</w:t>
      </w:r>
      <w:r>
        <w:rPr>
          <w:rFonts w:hint="eastAsia"/>
          <w:color w:val="auto"/>
        </w:rPr>
        <w:t>增强</w:t>
      </w:r>
      <w:r>
        <w:rPr>
          <w:color w:val="auto"/>
        </w:rPr>
        <w:t>环保意识，特别是对野生动物和自然植被的保护</w:t>
      </w:r>
      <w:bookmarkEnd w:id="846"/>
      <w:r>
        <w:rPr>
          <w:color w:val="auto"/>
        </w:rPr>
        <w:t>。严禁在场地外砍伐植被</w:t>
      </w:r>
      <w:bookmarkEnd w:id="847"/>
      <w:r>
        <w:rPr>
          <w:color w:val="auto"/>
        </w:rPr>
        <w:t>。</w:t>
      </w:r>
    </w:p>
    <w:p w14:paraId="05A9147C">
      <w:pPr>
        <w:pStyle w:val="86"/>
        <w:ind w:firstLine="480"/>
        <w:rPr>
          <w:rFonts w:hint="eastAsia"/>
          <w:color w:val="auto"/>
        </w:rPr>
      </w:pPr>
      <w:r>
        <w:rPr>
          <w:rFonts w:hint="eastAsia"/>
          <w:color w:val="auto"/>
        </w:rPr>
        <w:t>（</w:t>
      </w:r>
      <w:r>
        <w:rPr>
          <w:color w:val="auto"/>
        </w:rPr>
        <w:t>3）提高驾驶人员技术素质、加强责任心，贯彻安全驾驶机动车辆的行为规定，严格遵守交通法规，杜绝疲劳驾车等行为，减少对道路两侧植被的破坏。</w:t>
      </w:r>
    </w:p>
    <w:p w14:paraId="42838541">
      <w:pPr>
        <w:pStyle w:val="86"/>
        <w:ind w:firstLine="480"/>
        <w:rPr>
          <w:rFonts w:hint="eastAsia"/>
          <w:color w:val="auto"/>
        </w:rPr>
      </w:pPr>
      <w:r>
        <w:rPr>
          <w:rFonts w:hint="eastAsia"/>
          <w:color w:val="auto"/>
        </w:rPr>
        <w:t>（</w:t>
      </w:r>
      <w:r>
        <w:rPr>
          <w:color w:val="auto"/>
        </w:rPr>
        <w:t>4</w:t>
      </w:r>
      <w:r>
        <w:rPr>
          <w:rFonts w:hint="eastAsia"/>
          <w:color w:val="auto"/>
        </w:rPr>
        <w:t>）</w:t>
      </w:r>
      <w:bookmarkStart w:id="848" w:name="_Hlk148007434"/>
      <w:r>
        <w:rPr>
          <w:color w:val="auto"/>
        </w:rPr>
        <w:t>严禁捕杀任何野生动物</w:t>
      </w:r>
      <w:bookmarkEnd w:id="848"/>
      <w:r>
        <w:rPr>
          <w:color w:val="auto"/>
        </w:rPr>
        <w:t>。</w:t>
      </w:r>
    </w:p>
    <w:bookmarkEnd w:id="843"/>
    <w:p w14:paraId="4A9BEEE5">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849" w:name="_Toc224406024"/>
      <w:r>
        <w:rPr>
          <w:rFonts w:hint="eastAsia" w:ascii="黑体" w:hAnsi="黑体" w:eastAsia="黑体" w:cs="Times New Roman"/>
          <w:bCs/>
          <w:color w:val="auto"/>
          <w:sz w:val="28"/>
          <w:szCs w:val="32"/>
          <w14:ligatures w14:val="none"/>
        </w:rPr>
        <w:t>温室气体管控措施</w:t>
      </w:r>
      <w:bookmarkEnd w:id="849"/>
    </w:p>
    <w:p w14:paraId="5B28B0B0">
      <w:pPr>
        <w:pStyle w:val="86"/>
        <w:ind w:firstLine="480" w:firstLineChars="0"/>
        <w:rPr>
          <w:rFonts w:hint="eastAsia" w:cs="宋体"/>
          <w:color w:val="auto"/>
          <w:kern w:val="0"/>
        </w:rPr>
      </w:pPr>
      <w:r>
        <w:rPr>
          <w:rFonts w:hint="eastAsia" w:cs="宋体"/>
          <w:color w:val="auto"/>
          <w:kern w:val="0"/>
        </w:rPr>
        <w:t>（1）天然气集输及处理均采用密闭集输工艺，减少了温室气体甲烷的产生；在工艺流程设计中尽量利用井口压力能，合理确定压力级制，油气集输与处理不增压，或少加压，尽量不用或少用转动设备。</w:t>
      </w:r>
    </w:p>
    <w:p w14:paraId="430F468D">
      <w:pPr>
        <w:pStyle w:val="86"/>
        <w:ind w:firstLine="480" w:firstLineChars="0"/>
        <w:rPr>
          <w:rFonts w:hint="eastAsia" w:cs="宋体"/>
          <w:color w:val="auto"/>
          <w:kern w:val="0"/>
        </w:rPr>
      </w:pPr>
      <w:r>
        <w:rPr>
          <w:rFonts w:hint="eastAsia" w:cs="宋体"/>
          <w:color w:val="auto"/>
          <w:kern w:val="0"/>
        </w:rPr>
        <w:t>（2）井口设置紧急切断阀，减少天然气在事故状态下的损失；制定合理的检修方案和检修时间，尽可能减少天然气的放空损失。</w:t>
      </w:r>
    </w:p>
    <w:p w14:paraId="3C12574E">
      <w:pPr>
        <w:pStyle w:val="86"/>
        <w:ind w:firstLine="480" w:firstLineChars="0"/>
        <w:rPr>
          <w:rFonts w:hint="eastAsia" w:cs="宋体"/>
          <w:color w:val="auto"/>
          <w:kern w:val="0"/>
        </w:rPr>
      </w:pPr>
      <w:r>
        <w:rPr>
          <w:rFonts w:hint="eastAsia" w:cs="宋体"/>
          <w:color w:val="auto"/>
          <w:kern w:val="0"/>
        </w:rPr>
        <w:t>（</w:t>
      </w:r>
      <w:r>
        <w:rPr>
          <w:rFonts w:cs="宋体"/>
          <w:color w:val="auto"/>
          <w:kern w:val="0"/>
        </w:rPr>
        <w:t>3</w:t>
      </w:r>
      <w:r>
        <w:rPr>
          <w:rFonts w:hint="eastAsia" w:cs="宋体"/>
          <w:color w:val="auto"/>
          <w:kern w:val="0"/>
        </w:rPr>
        <w:t>）选择操作灵活、密封性能好的阀门产品，减少天然气的泄漏；合理选择节能型电气设备，使功率损耗最小。</w:t>
      </w:r>
    </w:p>
    <w:p w14:paraId="26AC1B23">
      <w:pPr>
        <w:pStyle w:val="86"/>
        <w:ind w:firstLine="480" w:firstLineChars="0"/>
        <w:rPr>
          <w:rFonts w:hint="eastAsia" w:cs="宋体"/>
          <w:color w:val="auto"/>
          <w:kern w:val="0"/>
        </w:rPr>
      </w:pPr>
      <w:r>
        <w:rPr>
          <w:rFonts w:hint="eastAsia" w:cs="宋体"/>
          <w:color w:val="auto"/>
          <w:kern w:val="0"/>
        </w:rPr>
        <w:t>（4）选择操作灵活、密封性能好的阀门产品，减少天然气的泄漏；合理选择节能型电气设备，使功率损耗最小。</w:t>
      </w:r>
    </w:p>
    <w:p w14:paraId="3399D25A">
      <w:pPr>
        <w:pStyle w:val="86"/>
        <w:ind w:firstLine="480" w:firstLineChars="0"/>
        <w:rPr>
          <w:rFonts w:hint="eastAsia" w:cs="宋体"/>
          <w:color w:val="auto"/>
          <w:kern w:val="0"/>
        </w:rPr>
      </w:pPr>
      <w:r>
        <w:rPr>
          <w:rFonts w:hint="eastAsia" w:cs="宋体"/>
          <w:color w:val="auto"/>
          <w:kern w:val="0"/>
        </w:rPr>
        <w:t>（</w:t>
      </w:r>
      <w:r>
        <w:rPr>
          <w:rFonts w:cs="宋体"/>
          <w:color w:val="auto"/>
          <w:kern w:val="0"/>
        </w:rPr>
        <w:t>5</w:t>
      </w:r>
      <w:r>
        <w:rPr>
          <w:rFonts w:hint="eastAsia" w:cs="宋体"/>
          <w:color w:val="auto"/>
          <w:kern w:val="0"/>
        </w:rPr>
        <w:t>）合理选择节能型电气设备，使功率损耗最小；电缆按经济电流选择截面，合理确定供配电线路导线和电缆的截面，降低线路损耗；选用节能型低损耗变压器，合理选择变压器容量，降低损耗；选用静电电容器，自动进行无功补偿，以提高系统的功率因数。</w:t>
      </w:r>
    </w:p>
    <w:p w14:paraId="2F2788DC">
      <w:pPr>
        <w:pStyle w:val="86"/>
        <w:ind w:firstLine="480" w:firstLineChars="0"/>
        <w:rPr>
          <w:rFonts w:hint="eastAsia" w:cs="宋体"/>
          <w:color w:val="auto"/>
          <w:kern w:val="0"/>
        </w:rPr>
      </w:pPr>
      <w:r>
        <w:rPr>
          <w:rFonts w:hint="eastAsia" w:cs="宋体"/>
          <w:color w:val="auto"/>
          <w:kern w:val="0"/>
        </w:rPr>
        <w:t>（6）采用管道完整性管理。提高整体运营水平通过管道完整性管理，不仅可以大大降低管道事故发生率，而且能够避免不必要和无计划的管道维修和更换，不仅可以降低输气管道的天然气损耗，提高管输经济效益，而且降低管道运行风险，具有巨大的社会效益。</w:t>
      </w:r>
    </w:p>
    <w:p w14:paraId="1ABA2250">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850" w:name="_Toc224406025"/>
      <w:r>
        <w:rPr>
          <w:rFonts w:hint="eastAsia" w:ascii="黑体" w:hAnsi="黑体" w:eastAsia="黑体" w:cs="Times New Roman"/>
          <w:bCs/>
          <w:color w:val="auto"/>
          <w:sz w:val="28"/>
          <w:szCs w:val="32"/>
          <w14:ligatures w14:val="none"/>
        </w:rPr>
        <w:t>环境</w:t>
      </w:r>
      <w:r>
        <w:rPr>
          <w:rFonts w:ascii="黑体" w:hAnsi="黑体" w:eastAsia="黑体" w:cs="Times New Roman"/>
          <w:bCs/>
          <w:color w:val="auto"/>
          <w:sz w:val="28"/>
          <w:szCs w:val="32"/>
          <w14:ligatures w14:val="none"/>
        </w:rPr>
        <w:t>风险</w:t>
      </w:r>
      <w:r>
        <w:rPr>
          <w:rFonts w:hint="eastAsia" w:ascii="黑体" w:hAnsi="黑体" w:eastAsia="黑体" w:cs="Times New Roman"/>
          <w:bCs/>
          <w:color w:val="auto"/>
          <w:sz w:val="28"/>
          <w:szCs w:val="32"/>
          <w14:ligatures w14:val="none"/>
        </w:rPr>
        <w:t>事故防范</w:t>
      </w:r>
      <w:r>
        <w:rPr>
          <w:rFonts w:ascii="黑体" w:hAnsi="黑体" w:eastAsia="黑体" w:cs="Times New Roman"/>
          <w:bCs/>
          <w:color w:val="auto"/>
          <w:sz w:val="28"/>
          <w:szCs w:val="32"/>
          <w14:ligatures w14:val="none"/>
        </w:rPr>
        <w:t>措施</w:t>
      </w:r>
      <w:bookmarkEnd w:id="850"/>
    </w:p>
    <w:p w14:paraId="71C307FD">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851" w:name="_Hlk40722309"/>
      <w:r>
        <w:rPr>
          <w:rFonts w:hint="eastAsia" w:ascii="黑体" w:hAnsi="黑体" w:eastAsia="黑体" w:cs="Times New Roman"/>
          <w:color w:val="auto"/>
          <w:sz w:val="24"/>
          <w:szCs w:val="21"/>
          <w:lang w:val="zh-CN"/>
          <w14:ligatures w14:val="none"/>
        </w:rPr>
        <w:t>井下作业事故风险预防措施</w:t>
      </w:r>
    </w:p>
    <w:bookmarkEnd w:id="851"/>
    <w:p w14:paraId="62166633">
      <w:pPr>
        <w:spacing w:line="500" w:lineRule="exact"/>
        <w:ind w:firstLine="480" w:firstLineChars="200"/>
        <w:rPr>
          <w:rFonts w:hint="eastAsia" w:ascii="宋体" w:hAnsi="宋体"/>
          <w:color w:val="auto"/>
          <w:kern w:val="0"/>
          <w:sz w:val="24"/>
          <w:szCs w:val="24"/>
        </w:rPr>
      </w:pPr>
      <w:bookmarkStart w:id="852" w:name="_Hlk40722275"/>
      <w:r>
        <w:rPr>
          <w:rFonts w:hint="eastAsia" w:ascii="宋体" w:hAnsi="宋体"/>
          <w:color w:val="auto"/>
          <w:kern w:val="0"/>
          <w:sz w:val="24"/>
          <w:szCs w:val="24"/>
        </w:rPr>
        <w:t>（1）</w:t>
      </w:r>
      <w:bookmarkStart w:id="853" w:name="_Hlk177511747"/>
      <w:r>
        <w:rPr>
          <w:rFonts w:hint="eastAsia" w:ascii="宋体" w:hAnsi="宋体"/>
          <w:color w:val="auto"/>
          <w:kern w:val="0"/>
          <w:sz w:val="24"/>
          <w:szCs w:val="24"/>
        </w:rPr>
        <w:t>井场井控严格执行《新疆油田钻井井控实施细则》，防止井喷、井喷失控和井喷着火，在</w:t>
      </w:r>
      <w:bookmarkEnd w:id="853"/>
      <w:r>
        <w:rPr>
          <w:rFonts w:hint="eastAsia" w:ascii="宋体" w:hAnsi="宋体"/>
          <w:color w:val="auto"/>
          <w:kern w:val="0"/>
          <w:sz w:val="24"/>
          <w:szCs w:val="24"/>
        </w:rPr>
        <w:t>设计、生产中采取有效预防措施，严格遵守井下作业的安全规定，在井口安装防喷器和控制装置。</w:t>
      </w:r>
    </w:p>
    <w:p w14:paraId="105BA4F2">
      <w:pPr>
        <w:spacing w:line="500" w:lineRule="exact"/>
        <w:ind w:firstLine="480" w:firstLineChars="200"/>
        <w:rPr>
          <w:rFonts w:hint="eastAsia" w:ascii="宋体" w:hAnsi="宋体"/>
          <w:color w:val="auto"/>
          <w:kern w:val="0"/>
          <w:sz w:val="24"/>
          <w:szCs w:val="24"/>
        </w:rPr>
      </w:pPr>
      <w:r>
        <w:rPr>
          <w:rFonts w:hint="eastAsia" w:ascii="宋体" w:hAnsi="宋体"/>
          <w:color w:val="auto"/>
          <w:kern w:val="0"/>
          <w:sz w:val="24"/>
          <w:szCs w:val="24"/>
        </w:rPr>
        <w:t>（2）井下作业时要求带罐操作，产生的废水排至罐中，由罐车拉运至莫北转油站采出水处理系统处理。</w:t>
      </w:r>
    </w:p>
    <w:bookmarkEnd w:id="852"/>
    <w:p w14:paraId="26D39967">
      <w:pPr>
        <w:pStyle w:val="86"/>
        <w:spacing w:line="480" w:lineRule="exact"/>
        <w:ind w:firstLine="480"/>
        <w:rPr>
          <w:rFonts w:hint="eastAsia" w:cs="宋体"/>
          <w:color w:val="auto"/>
        </w:rPr>
      </w:pPr>
      <w:r>
        <w:rPr>
          <w:rFonts w:hint="eastAsia"/>
          <w:color w:val="auto"/>
          <w:kern w:val="0"/>
        </w:rPr>
        <w:t>（</w:t>
      </w:r>
      <w:r>
        <w:rPr>
          <w:color w:val="auto"/>
          <w:kern w:val="0"/>
        </w:rPr>
        <w:t>3</w:t>
      </w:r>
      <w:r>
        <w:rPr>
          <w:rFonts w:hint="eastAsia"/>
          <w:color w:val="auto"/>
          <w:kern w:val="0"/>
        </w:rPr>
        <w:t>）</w:t>
      </w:r>
      <w:r>
        <w:rPr>
          <w:rFonts w:hint="eastAsia" w:cs="宋体"/>
          <w:color w:val="auto"/>
        </w:rPr>
        <w:t>井场设置明显的禁止烟火标志。</w:t>
      </w:r>
    </w:p>
    <w:p w14:paraId="1EB0D4D2">
      <w:pPr>
        <w:pStyle w:val="86"/>
        <w:spacing w:line="480" w:lineRule="exact"/>
        <w:ind w:firstLine="480"/>
        <w:rPr>
          <w:rFonts w:hint="eastAsia" w:cs="宋体"/>
          <w:color w:val="auto"/>
        </w:rPr>
      </w:pPr>
      <w:r>
        <w:rPr>
          <w:rFonts w:hint="eastAsia"/>
          <w:color w:val="auto"/>
          <w:kern w:val="0"/>
        </w:rPr>
        <w:t>（</w:t>
      </w:r>
      <w:r>
        <w:rPr>
          <w:color w:val="auto"/>
          <w:kern w:val="0"/>
        </w:rPr>
        <w:t>4</w:t>
      </w:r>
      <w:r>
        <w:rPr>
          <w:rFonts w:hint="eastAsia"/>
          <w:color w:val="auto"/>
          <w:kern w:val="0"/>
        </w:rPr>
        <w:t>）</w:t>
      </w:r>
      <w:r>
        <w:rPr>
          <w:rFonts w:hint="eastAsia" w:cs="宋体"/>
          <w:color w:val="auto"/>
        </w:rPr>
        <w:t>在井架上、井场路口等处设置风向标，以便发生事故时人员能迅速向上风向疏散。</w:t>
      </w:r>
    </w:p>
    <w:p w14:paraId="00E12BF3">
      <w:pPr>
        <w:spacing w:line="500" w:lineRule="exact"/>
        <w:ind w:firstLine="480" w:firstLineChars="200"/>
        <w:rPr>
          <w:rFonts w:hint="eastAsia" w:ascii="宋体" w:hAnsi="宋体"/>
          <w:color w:val="auto"/>
          <w:kern w:val="0"/>
          <w:sz w:val="24"/>
          <w:szCs w:val="24"/>
        </w:rPr>
      </w:pPr>
      <w:r>
        <w:rPr>
          <w:rFonts w:hint="eastAsia" w:ascii="宋体" w:hAnsi="宋体"/>
          <w:color w:val="auto"/>
          <w:kern w:val="0"/>
          <w:sz w:val="24"/>
          <w:szCs w:val="24"/>
        </w:rPr>
        <w:t>（</w:t>
      </w:r>
      <w:r>
        <w:rPr>
          <w:rFonts w:ascii="宋体" w:hAnsi="宋体"/>
          <w:color w:val="auto"/>
          <w:kern w:val="0"/>
          <w:sz w:val="24"/>
          <w:szCs w:val="24"/>
        </w:rPr>
        <w:t>5</w:t>
      </w:r>
      <w:r>
        <w:rPr>
          <w:rFonts w:hint="eastAsia" w:ascii="宋体" w:hAnsi="宋体"/>
          <w:color w:val="auto"/>
          <w:kern w:val="0"/>
          <w:sz w:val="24"/>
          <w:szCs w:val="24"/>
        </w:rPr>
        <w:t>）按消防规定配备泡沫灭火器、干粉灭火器、消防铁锹和其他消防器材。</w:t>
      </w:r>
    </w:p>
    <w:p w14:paraId="595FAA78">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854" w:name="_Toc445996449"/>
      <w:bookmarkStart w:id="855" w:name="_Hlk40632300"/>
      <w:bookmarkStart w:id="856" w:name="_Toc445840417"/>
      <w:bookmarkStart w:id="857" w:name="_Toc445842130"/>
      <w:bookmarkStart w:id="858" w:name="_Toc453929541"/>
      <w:bookmarkStart w:id="859" w:name="_Toc445996451"/>
      <w:bookmarkStart w:id="860" w:name="_Toc16038"/>
      <w:bookmarkStart w:id="861" w:name="_Toc445829801"/>
      <w:bookmarkStart w:id="862" w:name="_Toc459026591"/>
      <w:bookmarkStart w:id="863" w:name="_Toc445996589"/>
      <w:r>
        <w:rPr>
          <w:rFonts w:ascii="黑体" w:hAnsi="黑体" w:eastAsia="黑体" w:cs="Times New Roman"/>
          <w:color w:val="auto"/>
          <w:sz w:val="24"/>
          <w:szCs w:val="21"/>
          <w:lang w:val="zh-CN"/>
          <w14:ligatures w14:val="none"/>
        </w:rPr>
        <w:t>油气集输事故风险</w:t>
      </w:r>
      <w:r>
        <w:rPr>
          <w:rFonts w:hint="eastAsia" w:ascii="黑体" w:hAnsi="黑体" w:eastAsia="黑体" w:cs="Times New Roman"/>
          <w:color w:val="auto"/>
          <w:sz w:val="24"/>
          <w:szCs w:val="21"/>
          <w:lang w:val="zh-CN"/>
          <w14:ligatures w14:val="none"/>
        </w:rPr>
        <w:t>防范</w:t>
      </w:r>
      <w:r>
        <w:rPr>
          <w:rFonts w:ascii="黑体" w:hAnsi="黑体" w:eastAsia="黑体" w:cs="Times New Roman"/>
          <w:color w:val="auto"/>
          <w:sz w:val="24"/>
          <w:szCs w:val="21"/>
          <w:lang w:val="zh-CN"/>
          <w14:ligatures w14:val="none"/>
        </w:rPr>
        <w:t>措施</w:t>
      </w:r>
      <w:bookmarkEnd w:id="854"/>
    </w:p>
    <w:bookmarkEnd w:id="855"/>
    <w:p w14:paraId="461BA957">
      <w:pPr>
        <w:pStyle w:val="86"/>
        <w:ind w:firstLine="480"/>
        <w:rPr>
          <w:rFonts w:hint="eastAsia"/>
          <w:color w:val="auto"/>
        </w:rPr>
      </w:pPr>
      <w:r>
        <w:rPr>
          <w:rFonts w:hint="eastAsia"/>
          <w:color w:val="auto"/>
        </w:rPr>
        <w:t>（1）定期对管线进行巡检，</w:t>
      </w:r>
      <w:r>
        <w:rPr>
          <w:color w:val="auto"/>
        </w:rPr>
        <w:t>严格按照管道施工、验收等规范进行设计、施工和验收。管线敷设前，应加强对管材和焊接质量的检查，严禁使用不合格产品。对焊接质量严格检验，防止焊接缺陷造成泄漏事故的发生。</w:t>
      </w:r>
    </w:p>
    <w:p w14:paraId="2E3C5B8D">
      <w:pPr>
        <w:pStyle w:val="86"/>
        <w:ind w:firstLine="480"/>
        <w:rPr>
          <w:rFonts w:hint="eastAsia"/>
          <w:color w:val="auto"/>
        </w:rPr>
      </w:pPr>
      <w:bookmarkStart w:id="864" w:name="_Hlk40722285"/>
      <w:r>
        <w:rPr>
          <w:rFonts w:hint="eastAsia"/>
          <w:color w:val="auto"/>
        </w:rPr>
        <w:t>（</w:t>
      </w:r>
      <w:r>
        <w:rPr>
          <w:color w:val="auto"/>
        </w:rPr>
        <w:t>2</w:t>
      </w:r>
      <w:r>
        <w:rPr>
          <w:rFonts w:hint="eastAsia"/>
          <w:color w:val="auto"/>
        </w:rPr>
        <w:t>）建立施工质量保证体系，提高施工检验人员水平，加强检验手段。选择有丰富经验的单位进行施工，并对其施工质量进行监理。</w:t>
      </w:r>
    </w:p>
    <w:p w14:paraId="5C910E1B">
      <w:pPr>
        <w:pStyle w:val="86"/>
        <w:ind w:firstLine="480"/>
        <w:rPr>
          <w:rFonts w:hint="eastAsia"/>
          <w:color w:val="auto"/>
        </w:rPr>
      </w:pPr>
      <w:r>
        <w:rPr>
          <w:rFonts w:hint="eastAsia"/>
          <w:color w:val="auto"/>
        </w:rPr>
        <w:t>（</w:t>
      </w:r>
      <w:r>
        <w:rPr>
          <w:color w:val="auto"/>
        </w:rPr>
        <w:t>3</w:t>
      </w:r>
      <w:r>
        <w:rPr>
          <w:rFonts w:hint="eastAsia"/>
          <w:color w:val="auto"/>
        </w:rPr>
        <w:t>）加强自动控制系统的管理和控制，严格控制压力平衡</w:t>
      </w:r>
      <w:bookmarkEnd w:id="864"/>
      <w:r>
        <w:rPr>
          <w:color w:val="auto"/>
        </w:rPr>
        <w:t>；定期对管线进行超声波检查，对壁厚低于规定要求的管段应及时更换，消除爆管的隐患；</w:t>
      </w:r>
      <w:r>
        <w:rPr>
          <w:rFonts w:hint="eastAsia"/>
          <w:color w:val="auto"/>
        </w:rPr>
        <w:t>定期对单井采油管线和集油干线管线</w:t>
      </w:r>
      <w:r>
        <w:rPr>
          <w:color w:val="auto"/>
        </w:rPr>
        <w:t>上的安全保护设施，如截断阀、安全阀、放空系统等进行检查，使管道在超压时能够得到安全处理，在管道破裂时能够及时截断上下游管段，以减少事故时油气的释放量，使危害影响范围减小到最低程度</w:t>
      </w:r>
      <w:r>
        <w:rPr>
          <w:rFonts w:hint="eastAsia"/>
          <w:color w:val="auto"/>
        </w:rPr>
        <w:t>。</w:t>
      </w:r>
    </w:p>
    <w:p w14:paraId="43D71280">
      <w:pPr>
        <w:pStyle w:val="86"/>
        <w:ind w:firstLine="480"/>
        <w:rPr>
          <w:rFonts w:hint="eastAsia"/>
          <w:color w:val="auto"/>
        </w:rPr>
      </w:pPr>
      <w:r>
        <w:rPr>
          <w:rFonts w:hint="eastAsia"/>
          <w:color w:val="auto"/>
        </w:rPr>
        <w:t>（</w:t>
      </w:r>
      <w:r>
        <w:rPr>
          <w:color w:val="auto"/>
        </w:rPr>
        <w:t>4</w:t>
      </w:r>
      <w:r>
        <w:rPr>
          <w:rFonts w:hint="eastAsia"/>
          <w:color w:val="auto"/>
        </w:rPr>
        <w:t>）严禁在管线两侧各5m范围内修筑工程，在管线上方及近旁严禁动土开挖和修建超过管道负荷的建筑物。</w:t>
      </w:r>
    </w:p>
    <w:p w14:paraId="2CED9989">
      <w:pPr>
        <w:pStyle w:val="86"/>
        <w:ind w:firstLine="480"/>
        <w:rPr>
          <w:rFonts w:hint="eastAsia"/>
          <w:color w:val="auto"/>
        </w:rPr>
      </w:pPr>
      <w:bookmarkStart w:id="865" w:name="_Hlk160377214"/>
      <w:r>
        <w:rPr>
          <w:rFonts w:hint="eastAsia"/>
          <w:color w:val="auto"/>
        </w:rPr>
        <w:t>（5）泄漏环境应急处置</w:t>
      </w:r>
    </w:p>
    <w:p w14:paraId="3227D8DD">
      <w:pPr>
        <w:pStyle w:val="86"/>
        <w:ind w:firstLine="480"/>
        <w:rPr>
          <w:rFonts w:hint="eastAsia"/>
          <w:color w:val="auto"/>
        </w:rPr>
      </w:pPr>
      <w:r>
        <w:rPr>
          <w:rFonts w:hint="eastAsia"/>
          <w:color w:val="auto"/>
        </w:rPr>
        <w:t>管线泄漏发生后，迅速关闭截断阀，并及时封堵泄漏源；泄漏的原油尽可能回收至页岩油联合站，产生的落地油集中收集后交由有相应危险废物处置资质的单位回收处置；泄漏油品环境应急处置过程中需要注意安全防爆，防止次生爆炸等安全事故发生。</w:t>
      </w:r>
    </w:p>
    <w:p w14:paraId="3DB763B0">
      <w:pPr>
        <w:pStyle w:val="86"/>
        <w:ind w:firstLine="480"/>
        <w:rPr>
          <w:rFonts w:hint="eastAsia"/>
          <w:color w:val="auto"/>
        </w:rPr>
      </w:pPr>
      <w:bookmarkStart w:id="866" w:name="_Hlk175257426"/>
      <w:r>
        <w:rPr>
          <w:rFonts w:hint="eastAsia"/>
          <w:color w:val="auto"/>
        </w:rPr>
        <w:t>（6）泄漏预防</w:t>
      </w:r>
    </w:p>
    <w:p w14:paraId="3F7822C4">
      <w:pPr>
        <w:pStyle w:val="86"/>
        <w:ind w:firstLine="480"/>
        <w:rPr>
          <w:rFonts w:hint="eastAsia"/>
          <w:color w:val="auto"/>
        </w:rPr>
      </w:pPr>
      <w:r>
        <w:rPr>
          <w:rFonts w:hint="eastAsia"/>
          <w:color w:val="auto"/>
        </w:rPr>
        <w:t>原油管道的工艺、设备运行规程参照《原油管道运行规范》（S</w:t>
      </w:r>
      <w:r>
        <w:rPr>
          <w:color w:val="auto"/>
        </w:rPr>
        <w:t>Y/T5536-2016</w:t>
      </w:r>
      <w:r>
        <w:rPr>
          <w:rFonts w:hint="eastAsia"/>
          <w:color w:val="auto"/>
        </w:rPr>
        <w:t>）中的相关要求执行；建议对外腐蚀控制，定期检测管地电位，识别、测试杂散电流对管道的影响，并采取措施减缓杂散电流对管道的影响；建议对内腐蚀进行控制，对输送采出液的腐蚀性进行分析；建议定期对监控与数据采集系统进行维护，定期对管道的腐蚀情况和防腐保护系统进行检验、监测；管道在停运工况下，阴极保护系统不宜停止运行；当管道出现局部管壁减薄，建议对局部管道进行更换或降压运行，降压运行宜经管道压力评定。</w:t>
      </w:r>
    </w:p>
    <w:bookmarkEnd w:id="866"/>
    <w:p w14:paraId="7EDA8C25">
      <w:pPr>
        <w:pStyle w:val="86"/>
        <w:ind w:firstLine="480"/>
        <w:rPr>
          <w:rFonts w:hint="eastAsia"/>
          <w:color w:val="auto"/>
        </w:rPr>
      </w:pPr>
      <w:r>
        <w:rPr>
          <w:rFonts w:hint="eastAsia"/>
          <w:color w:val="auto"/>
        </w:rPr>
        <w:t>（7）建议开展突发环境事件隐患排查，明确排查频次、排查规模、排查项目等，对排查出的隐患根据可能造成的危害程度、治理难度等实施分级管理，并建立隐患排查治理档案。突发环境事件隐患排查内容需包括环境应急管理、环境风险防控措施、管段与环境风险受体之间的通道等；建立管道环境风险信息管理系统。</w:t>
      </w:r>
      <w:bookmarkEnd w:id="865"/>
    </w:p>
    <w:p w14:paraId="213F6A91">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储油罐、CNG槽车及拉运过程中环境风险防范措施</w:t>
      </w:r>
    </w:p>
    <w:p w14:paraId="18E811B9">
      <w:pPr>
        <w:pStyle w:val="86"/>
        <w:ind w:firstLine="480"/>
        <w:rPr>
          <w:rFonts w:hint="eastAsia"/>
          <w:color w:val="auto"/>
        </w:rPr>
      </w:pPr>
      <w:bookmarkStart w:id="867" w:name="_Hlk147588496"/>
      <w:r>
        <w:rPr>
          <w:rFonts w:hint="eastAsia"/>
          <w:color w:val="auto"/>
        </w:rPr>
        <w:t>（1）选用质量合格的</w:t>
      </w:r>
      <w:bookmarkStart w:id="868" w:name="OLE_LINK63"/>
      <w:r>
        <w:rPr>
          <w:rFonts w:hint="eastAsia"/>
          <w:color w:val="auto"/>
        </w:rPr>
        <w:t>储油罐</w:t>
      </w:r>
      <w:bookmarkEnd w:id="868"/>
      <w:r>
        <w:rPr>
          <w:rFonts w:hint="eastAsia"/>
          <w:color w:val="auto"/>
        </w:rPr>
        <w:t>、CNG槽车、阀门及连接件，对储罐进行防腐；加强巡检，确保罐体保持完整，发现孔洞、缝隙等破损时及时检修。及时对井场</w:t>
      </w:r>
      <w:r>
        <w:rPr>
          <w:color w:val="auto"/>
        </w:rPr>
        <w:t>易损及老化部件</w:t>
      </w:r>
      <w:r>
        <w:rPr>
          <w:rFonts w:hint="eastAsia"/>
          <w:color w:val="auto"/>
        </w:rPr>
        <w:t>进行</w:t>
      </w:r>
      <w:r>
        <w:rPr>
          <w:color w:val="auto"/>
        </w:rPr>
        <w:t>更换，防止</w:t>
      </w:r>
      <w:r>
        <w:rPr>
          <w:rFonts w:hint="eastAsia"/>
          <w:color w:val="auto"/>
        </w:rPr>
        <w:t>了储油罐</w:t>
      </w:r>
      <w:r>
        <w:rPr>
          <w:color w:val="auto"/>
        </w:rPr>
        <w:t>泄漏事故的发生。</w:t>
      </w:r>
    </w:p>
    <w:p w14:paraId="19FC9FE8">
      <w:pPr>
        <w:pStyle w:val="86"/>
        <w:ind w:firstLine="480"/>
        <w:rPr>
          <w:rFonts w:hint="eastAsia"/>
          <w:color w:val="auto"/>
        </w:rPr>
      </w:pPr>
      <w:r>
        <w:rPr>
          <w:rFonts w:hint="eastAsia"/>
          <w:color w:val="auto"/>
        </w:rPr>
        <w:t>（2）储油罐按照重点防渗区要求建设防渗设施。</w:t>
      </w:r>
    </w:p>
    <w:bookmarkEnd w:id="867"/>
    <w:p w14:paraId="0B8F3584">
      <w:pPr>
        <w:spacing w:line="500" w:lineRule="exact"/>
        <w:ind w:firstLine="480" w:firstLineChars="200"/>
        <w:rPr>
          <w:rFonts w:hint="eastAsia" w:ascii="宋体" w:hAnsi="宋体" w:cs="Arial"/>
          <w:color w:val="auto"/>
          <w:kern w:val="0"/>
          <w:sz w:val="24"/>
          <w:szCs w:val="24"/>
        </w:rPr>
      </w:pPr>
      <w:r>
        <w:rPr>
          <w:rFonts w:hint="eastAsia" w:ascii="宋体" w:hAnsi="宋体" w:cs="Arial"/>
          <w:color w:val="auto"/>
          <w:kern w:val="0"/>
          <w:sz w:val="24"/>
          <w:szCs w:val="24"/>
        </w:rPr>
        <w:t>由于原油、采出液和天然气在运输过程中具有爆炸、易燃等危险性，对项目区的生态环境具有一定的潜在危险，完成运输任务是一项技术性和专业性强的工作，在运输过程中稍有不慎，便可对环境造成损失。为防止采出液运输过程中的风险事故，主要从以下几个方面进行防范：</w:t>
      </w:r>
    </w:p>
    <w:p w14:paraId="1004BF34">
      <w:pPr>
        <w:spacing w:line="500" w:lineRule="exact"/>
        <w:ind w:firstLine="480" w:firstLineChars="200"/>
        <w:rPr>
          <w:rFonts w:hint="eastAsia" w:ascii="宋体" w:hAnsi="宋体" w:cs="Arial"/>
          <w:color w:val="auto"/>
          <w:kern w:val="0"/>
          <w:sz w:val="24"/>
          <w:szCs w:val="24"/>
        </w:rPr>
      </w:pPr>
      <w:r>
        <w:rPr>
          <w:rFonts w:hint="eastAsia" w:ascii="宋体" w:hAnsi="宋体" w:cs="Arial"/>
          <w:color w:val="auto"/>
          <w:kern w:val="0"/>
          <w:sz w:val="24"/>
          <w:szCs w:val="24"/>
        </w:rPr>
        <w:t>※配备具有危险货物运输资质的驾驶员和押运员。</w:t>
      </w:r>
    </w:p>
    <w:p w14:paraId="2127F4DA">
      <w:pPr>
        <w:spacing w:line="500" w:lineRule="exact"/>
        <w:ind w:firstLine="480" w:firstLineChars="200"/>
        <w:rPr>
          <w:rFonts w:hint="eastAsia" w:ascii="宋体" w:hAnsi="宋体" w:cs="Arial"/>
          <w:color w:val="auto"/>
          <w:kern w:val="0"/>
          <w:sz w:val="24"/>
          <w:szCs w:val="24"/>
        </w:rPr>
      </w:pPr>
      <w:r>
        <w:rPr>
          <w:rFonts w:hint="eastAsia" w:ascii="宋体" w:hAnsi="宋体" w:cs="Arial"/>
          <w:color w:val="auto"/>
          <w:kern w:val="0"/>
          <w:sz w:val="24"/>
          <w:szCs w:val="24"/>
        </w:rPr>
        <w:t>运输的驾驶员和押运员必须经过专门培训并取得道路危险货物运输驾驶证和押运证才能上岗作业。危险货物驾驶员除了掌握一定的驾驶技能外，还要学习掌握一定的化工知识，熟悉采出液的物理化学性质、危险特性、注意事项。</w:t>
      </w:r>
    </w:p>
    <w:p w14:paraId="14E90333">
      <w:pPr>
        <w:spacing w:line="500" w:lineRule="exact"/>
        <w:ind w:firstLine="480" w:firstLineChars="200"/>
        <w:rPr>
          <w:rFonts w:hint="eastAsia" w:ascii="宋体" w:hAnsi="宋体" w:cs="Arial"/>
          <w:color w:val="auto"/>
          <w:kern w:val="0"/>
          <w:sz w:val="24"/>
          <w:szCs w:val="24"/>
        </w:rPr>
      </w:pPr>
      <w:r>
        <w:rPr>
          <w:rFonts w:hint="eastAsia" w:ascii="宋体" w:hAnsi="宋体" w:cs="Arial"/>
          <w:color w:val="auto"/>
          <w:kern w:val="0"/>
          <w:sz w:val="24"/>
          <w:szCs w:val="24"/>
        </w:rPr>
        <w:t>※车辆安全状况和安全性能合格</w:t>
      </w:r>
    </w:p>
    <w:p w14:paraId="4A2C7140">
      <w:pPr>
        <w:spacing w:line="500" w:lineRule="exact"/>
        <w:ind w:firstLine="480" w:firstLineChars="200"/>
        <w:rPr>
          <w:rFonts w:hint="eastAsia" w:ascii="宋体" w:hAnsi="宋体" w:cs="Arial"/>
          <w:color w:val="auto"/>
          <w:kern w:val="0"/>
          <w:sz w:val="24"/>
          <w:szCs w:val="24"/>
        </w:rPr>
      </w:pPr>
      <w:r>
        <w:rPr>
          <w:rFonts w:hint="eastAsia" w:ascii="宋体" w:hAnsi="宋体" w:cs="Arial"/>
          <w:color w:val="auto"/>
          <w:kern w:val="0"/>
          <w:sz w:val="24"/>
          <w:szCs w:val="24"/>
        </w:rPr>
        <w:t>出车前必须对车辆的安全技术状况进行认真检查，发现故障排除后方可投入运行。要特别注意检查罐车罐体的安全性能，逐个部位检查液位计、压力表、阀门、温度表、紧急切断阀、导静电装置等安全装置是否安全可靠，杜绝跑、冒、滴、漏，故障未处置好不得承运。要保持驾驶室干净，不得有发火用具，危险品标志灯、标志牌要完好。</w:t>
      </w:r>
    </w:p>
    <w:p w14:paraId="26018728">
      <w:pPr>
        <w:spacing w:line="500" w:lineRule="exact"/>
        <w:ind w:firstLine="480" w:firstLineChars="200"/>
        <w:rPr>
          <w:rFonts w:hint="eastAsia" w:ascii="宋体" w:hAnsi="宋体" w:cs="Arial"/>
          <w:color w:val="auto"/>
          <w:kern w:val="0"/>
          <w:sz w:val="24"/>
          <w:szCs w:val="24"/>
        </w:rPr>
      </w:pPr>
      <w:r>
        <w:rPr>
          <w:rFonts w:hint="eastAsia" w:ascii="宋体" w:hAnsi="宋体" w:cs="Arial"/>
          <w:color w:val="auto"/>
          <w:kern w:val="0"/>
          <w:sz w:val="24"/>
          <w:szCs w:val="24"/>
        </w:rPr>
        <w:t>※装卸注意事项</w:t>
      </w:r>
    </w:p>
    <w:p w14:paraId="23AADA62">
      <w:pPr>
        <w:spacing w:line="500" w:lineRule="exact"/>
        <w:ind w:firstLine="480" w:firstLineChars="200"/>
        <w:rPr>
          <w:rFonts w:hint="eastAsia" w:ascii="宋体" w:hAnsi="宋体" w:cs="Arial"/>
          <w:color w:val="auto"/>
          <w:kern w:val="0"/>
          <w:sz w:val="24"/>
          <w:szCs w:val="24"/>
        </w:rPr>
      </w:pPr>
      <w:r>
        <w:rPr>
          <w:rFonts w:hint="eastAsia" w:ascii="宋体" w:hAnsi="宋体" w:cs="Arial"/>
          <w:color w:val="auto"/>
          <w:kern w:val="0"/>
          <w:sz w:val="24"/>
          <w:szCs w:val="24"/>
        </w:rPr>
        <w:t>参照《汽车运输危险货物规则》（JT617-2004）配装表进行。承载易燃易爆的采出液时，车辆排气管应安装隔热和熄灭火星装置，并配装符合JT230规定的导静电橡胶拖地带装置。罐体装采出液时，应预留容积不得少于罐体总容量5%的膨胀余量。采出液中的石油类容易污染土地和水源。卸货时尤其要注意。</w:t>
      </w:r>
    </w:p>
    <w:p w14:paraId="6C8894B3">
      <w:pPr>
        <w:spacing w:line="500" w:lineRule="exact"/>
        <w:ind w:firstLine="480" w:firstLineChars="200"/>
        <w:rPr>
          <w:rFonts w:hint="eastAsia" w:ascii="宋体" w:hAnsi="宋体" w:cs="Arial"/>
          <w:color w:val="auto"/>
          <w:kern w:val="0"/>
          <w:sz w:val="24"/>
          <w:szCs w:val="24"/>
        </w:rPr>
      </w:pPr>
      <w:r>
        <w:rPr>
          <w:rFonts w:hint="eastAsia" w:ascii="宋体" w:hAnsi="宋体" w:cs="Arial"/>
          <w:color w:val="auto"/>
          <w:kern w:val="0"/>
          <w:sz w:val="24"/>
          <w:szCs w:val="24"/>
        </w:rPr>
        <w:t>※精心驾驶，平稳行车</w:t>
      </w:r>
    </w:p>
    <w:p w14:paraId="4EBD9295">
      <w:pPr>
        <w:spacing w:line="500" w:lineRule="exact"/>
        <w:ind w:firstLine="480" w:firstLineChars="200"/>
        <w:rPr>
          <w:rFonts w:hint="eastAsia" w:ascii="宋体" w:hAnsi="宋体" w:cs="Arial"/>
          <w:color w:val="auto"/>
          <w:kern w:val="0"/>
          <w:sz w:val="24"/>
          <w:szCs w:val="24"/>
        </w:rPr>
      </w:pPr>
      <w:r>
        <w:rPr>
          <w:rFonts w:hint="eastAsia" w:ascii="宋体" w:hAnsi="宋体" w:cs="Arial"/>
          <w:color w:val="auto"/>
          <w:kern w:val="0"/>
          <w:sz w:val="24"/>
          <w:szCs w:val="24"/>
        </w:rPr>
        <w:t>行车要遵守交通、消防、治安等法律法规。控制车速，保持与前车安全距离，严禁违法超车，不能疲劳驾驶。</w:t>
      </w:r>
    </w:p>
    <w:p w14:paraId="59AD4C33">
      <w:pPr>
        <w:spacing w:line="500" w:lineRule="exact"/>
        <w:ind w:firstLine="480" w:firstLineChars="200"/>
        <w:rPr>
          <w:rFonts w:hint="eastAsia" w:ascii="宋体" w:hAnsi="宋体" w:cs="Arial"/>
          <w:color w:val="auto"/>
          <w:kern w:val="0"/>
          <w:sz w:val="24"/>
          <w:szCs w:val="24"/>
        </w:rPr>
      </w:pPr>
      <w:r>
        <w:rPr>
          <w:rFonts w:hint="eastAsia" w:ascii="宋体" w:hAnsi="宋体" w:cs="Arial"/>
          <w:color w:val="auto"/>
          <w:kern w:val="0"/>
          <w:sz w:val="24"/>
          <w:szCs w:val="24"/>
        </w:rPr>
        <w:t>※行车途中勤检查</w:t>
      </w:r>
    </w:p>
    <w:p w14:paraId="685113D8">
      <w:pPr>
        <w:spacing w:line="500" w:lineRule="exact"/>
        <w:ind w:firstLine="480" w:firstLineChars="200"/>
        <w:rPr>
          <w:color w:val="auto"/>
        </w:rPr>
      </w:pPr>
      <w:r>
        <w:rPr>
          <w:rFonts w:hint="eastAsia" w:ascii="宋体" w:hAnsi="宋体" w:cs="Arial"/>
          <w:color w:val="auto"/>
          <w:kern w:val="0"/>
          <w:sz w:val="24"/>
          <w:szCs w:val="24"/>
        </w:rPr>
        <w:t>危险品运输的事故隐患主要是从泄漏开始的。因此，行车途中要勤于检查。当行驶一定时间后要查看一下车厢底部四周有无泄漏液体，若有凝析油泄漏，应查找泄漏点，采取相应的应急措施，防止液体继续泄漏，将受到污染的土壤全部回收，送至具备相应危废处理资质的单位进行无害化处理。</w:t>
      </w:r>
    </w:p>
    <w:p w14:paraId="09734513">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压裂液泄漏事故风险防范措施</w:t>
      </w:r>
    </w:p>
    <w:p w14:paraId="262DAA31">
      <w:pPr>
        <w:spacing w:line="500" w:lineRule="exact"/>
        <w:ind w:firstLine="480" w:firstLineChars="200"/>
        <w:rPr>
          <w:rFonts w:hint="eastAsia" w:ascii="宋体" w:hAnsi="宋体" w:cs="Arial"/>
          <w:color w:val="auto"/>
          <w:kern w:val="0"/>
          <w:sz w:val="24"/>
          <w:szCs w:val="24"/>
        </w:rPr>
      </w:pPr>
      <w:r>
        <w:rPr>
          <w:rFonts w:hint="eastAsia" w:ascii="宋体" w:hAnsi="宋体" w:cs="Arial"/>
          <w:color w:val="auto"/>
          <w:kern w:val="0"/>
          <w:sz w:val="24"/>
          <w:szCs w:val="24"/>
        </w:rPr>
        <w:t>（1）采用质量合格的压裂液罐。</w:t>
      </w:r>
    </w:p>
    <w:p w14:paraId="40E6EDCC">
      <w:pPr>
        <w:spacing w:line="500" w:lineRule="exact"/>
        <w:ind w:firstLine="480" w:firstLineChars="200"/>
        <w:rPr>
          <w:rFonts w:hint="eastAsia" w:ascii="宋体" w:hAnsi="宋体" w:cs="Arial"/>
          <w:color w:val="auto"/>
          <w:kern w:val="0"/>
          <w:sz w:val="24"/>
          <w:szCs w:val="24"/>
        </w:rPr>
      </w:pPr>
      <w:r>
        <w:rPr>
          <w:rFonts w:hint="eastAsia" w:ascii="宋体" w:hAnsi="宋体" w:cs="Arial"/>
          <w:color w:val="auto"/>
          <w:kern w:val="0"/>
          <w:sz w:val="24"/>
          <w:szCs w:val="24"/>
        </w:rPr>
        <w:t>（2）加强日常管理，对压裂液罐液位采取监控设施，做好罐体防腐防漏工作，严防压裂液罐泄漏。</w:t>
      </w:r>
    </w:p>
    <w:p w14:paraId="763D7656">
      <w:pPr>
        <w:spacing w:line="500" w:lineRule="exact"/>
        <w:ind w:firstLine="480" w:firstLineChars="200"/>
        <w:rPr>
          <w:rFonts w:hint="eastAsia" w:ascii="宋体" w:hAnsi="宋体" w:cs="Arial"/>
          <w:color w:val="auto"/>
          <w:kern w:val="0"/>
          <w:sz w:val="24"/>
          <w:szCs w:val="24"/>
        </w:rPr>
      </w:pPr>
      <w:r>
        <w:rPr>
          <w:rFonts w:hint="eastAsia" w:ascii="宋体" w:hAnsi="宋体" w:cs="Arial"/>
          <w:color w:val="auto"/>
          <w:kern w:val="0"/>
          <w:sz w:val="24"/>
          <w:szCs w:val="24"/>
        </w:rPr>
        <w:t>（3）液体装车时检查罐体情况，确保罐体完好再装车；储罐设有液位装置，装车时及时观察液位装置，以免溢出。</w:t>
      </w:r>
    </w:p>
    <w:p w14:paraId="2EF1A92B">
      <w:pPr>
        <w:spacing w:line="500" w:lineRule="exact"/>
        <w:ind w:firstLine="480" w:firstLineChars="200"/>
        <w:rPr>
          <w:rFonts w:hint="eastAsia" w:ascii="宋体" w:hAnsi="宋体" w:cs="Arial"/>
          <w:color w:val="auto"/>
          <w:kern w:val="0"/>
          <w:sz w:val="24"/>
          <w:szCs w:val="24"/>
        </w:rPr>
      </w:pPr>
      <w:r>
        <w:rPr>
          <w:rFonts w:hint="eastAsia" w:ascii="宋体" w:hAnsi="宋体" w:cs="Arial"/>
          <w:color w:val="auto"/>
          <w:kern w:val="0"/>
          <w:sz w:val="24"/>
          <w:szCs w:val="24"/>
        </w:rPr>
        <w:t>（4）罐车司机选用驾驶技术娴熟的。</w:t>
      </w:r>
    </w:p>
    <w:p w14:paraId="07F3AE11">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869" w:name="_Hlk40733197"/>
      <w:r>
        <w:rPr>
          <w:rFonts w:ascii="黑体" w:hAnsi="黑体" w:eastAsia="黑体" w:cs="Times New Roman"/>
          <w:color w:val="auto"/>
          <w:sz w:val="24"/>
          <w:szCs w:val="21"/>
          <w:lang w:val="zh-CN"/>
          <w14:ligatures w14:val="none"/>
        </w:rPr>
        <w:t>环境风险应急</w:t>
      </w:r>
      <w:bookmarkEnd w:id="856"/>
      <w:bookmarkEnd w:id="857"/>
      <w:bookmarkEnd w:id="858"/>
      <w:bookmarkEnd w:id="859"/>
      <w:bookmarkEnd w:id="860"/>
      <w:bookmarkEnd w:id="861"/>
      <w:bookmarkEnd w:id="862"/>
      <w:bookmarkEnd w:id="863"/>
      <w:r>
        <w:rPr>
          <w:rFonts w:hint="eastAsia" w:ascii="黑体" w:hAnsi="黑体" w:eastAsia="黑体" w:cs="Times New Roman"/>
          <w:color w:val="auto"/>
          <w:sz w:val="24"/>
          <w:szCs w:val="21"/>
          <w:lang w:val="zh-CN"/>
          <w14:ligatures w14:val="none"/>
        </w:rPr>
        <w:t>预案</w:t>
      </w:r>
    </w:p>
    <w:bookmarkEnd w:id="869"/>
    <w:p w14:paraId="2A6974AE">
      <w:pPr>
        <w:spacing w:line="500" w:lineRule="exact"/>
        <w:ind w:firstLine="480" w:firstLineChars="200"/>
        <w:rPr>
          <w:rFonts w:hint="eastAsia" w:ascii="宋体" w:hAnsi="宋体" w:cs="Arial"/>
          <w:color w:val="auto"/>
          <w:kern w:val="0"/>
          <w:sz w:val="24"/>
          <w:szCs w:val="24"/>
        </w:rPr>
      </w:pPr>
      <w:bookmarkStart w:id="870" w:name="_Hlk12460212"/>
      <w:bookmarkStart w:id="871" w:name="_Hlk40733242"/>
      <w:bookmarkStart w:id="872" w:name="_Hlk147588542"/>
      <w:r>
        <w:rPr>
          <w:rFonts w:hint="eastAsia" w:ascii="宋体" w:hAnsi="宋体" w:cs="Arial"/>
          <w:color w:val="auto"/>
          <w:kern w:val="0"/>
          <w:sz w:val="24"/>
          <w:szCs w:val="24"/>
        </w:rPr>
        <w:t>项目投产后应纳入《</w:t>
      </w:r>
      <w:r>
        <w:rPr>
          <w:rFonts w:hint="eastAsia"/>
          <w:color w:val="auto"/>
          <w:kern w:val="0"/>
          <w:sz w:val="24"/>
          <w:szCs w:val="24"/>
        </w:rPr>
        <w:t>中国石油新疆油田分公司石西油田作业区突发环境事件应急预案</w:t>
      </w:r>
      <w:r>
        <w:rPr>
          <w:rFonts w:hint="eastAsia" w:ascii="宋体" w:hAnsi="宋体" w:cs="Arial"/>
          <w:color w:val="auto"/>
          <w:kern w:val="0"/>
          <w:sz w:val="24"/>
          <w:szCs w:val="24"/>
        </w:rPr>
        <w:t>》，从而对环境风险进行有效防治。</w:t>
      </w:r>
      <w:bookmarkEnd w:id="870"/>
      <w:bookmarkEnd w:id="871"/>
      <w:bookmarkStart w:id="873" w:name="_Hlk40733273"/>
      <w:r>
        <w:rPr>
          <w:rFonts w:hint="eastAsia" w:ascii="宋体" w:hAnsi="宋体" w:cs="Arial"/>
          <w:color w:val="auto"/>
          <w:kern w:val="0"/>
          <w:sz w:val="24"/>
          <w:szCs w:val="24"/>
        </w:rPr>
        <w:t>根据实际建设情况</w:t>
      </w:r>
      <w:bookmarkStart w:id="874" w:name="_Hlk92216992"/>
      <w:r>
        <w:rPr>
          <w:rFonts w:hint="eastAsia" w:ascii="宋体" w:hAnsi="宋体" w:cs="Arial"/>
          <w:color w:val="auto"/>
          <w:kern w:val="0"/>
          <w:sz w:val="24"/>
          <w:szCs w:val="24"/>
        </w:rPr>
        <w:t>对应急预案中的环境风险源基本情况、环境风险源识别、装置风险识别等进行修改完善</w:t>
      </w:r>
      <w:bookmarkEnd w:id="874"/>
      <w:r>
        <w:rPr>
          <w:rFonts w:hint="eastAsia" w:ascii="宋体" w:hAnsi="宋体" w:cs="Arial"/>
          <w:color w:val="auto"/>
          <w:kern w:val="0"/>
          <w:sz w:val="24"/>
          <w:szCs w:val="24"/>
        </w:rPr>
        <w:t>，其余与现有应急预案保持一致，并根据风险等级要求对现有应急预案进行修订。</w:t>
      </w:r>
    </w:p>
    <w:bookmarkEnd w:id="872"/>
    <w:p w14:paraId="2AADFB06">
      <w:pPr>
        <w:pStyle w:val="86"/>
        <w:ind w:firstLine="480"/>
        <w:rPr>
          <w:rStyle w:val="208"/>
          <w:rFonts w:hint="eastAsia"/>
          <w:color w:val="auto"/>
        </w:rPr>
      </w:pPr>
      <w:bookmarkStart w:id="875" w:name="_Hlk78887558"/>
      <w:r>
        <w:rPr>
          <w:rFonts w:hint="eastAsia" w:cs="Arial"/>
          <w:color w:val="auto"/>
          <w:kern w:val="0"/>
        </w:rPr>
        <w:t>环境风险简单分析内容详</w:t>
      </w:r>
      <w:r>
        <w:rPr>
          <w:rStyle w:val="208"/>
          <w:rFonts w:hint="eastAsia"/>
          <w:color w:val="auto"/>
        </w:rPr>
        <w:t>见表6.4-1。</w:t>
      </w:r>
    </w:p>
    <w:p w14:paraId="6F83D76A">
      <w:pPr>
        <w:pStyle w:val="15"/>
        <w:rPr>
          <w:rFonts w:hint="eastAsia"/>
          <w:color w:val="auto"/>
          <w:kern w:val="0"/>
        </w:rPr>
      </w:pPr>
      <w:r>
        <w:rPr>
          <w:rFonts w:hint="eastAsia"/>
          <w:color w:val="auto"/>
        </w:rPr>
        <w:t>表6.4-1</w:t>
      </w:r>
      <w:r>
        <w:rPr>
          <w:rFonts w:hint="eastAsia"/>
          <w:color w:val="auto"/>
          <w:kern w:val="0"/>
        </w:rPr>
        <w:t xml:space="preserve">  </w:t>
      </w:r>
      <w:bookmarkStart w:id="876" w:name="_Hlk80209137"/>
      <w:r>
        <w:rPr>
          <w:rFonts w:hint="eastAsia"/>
          <w:color w:val="auto"/>
          <w:kern w:val="0"/>
        </w:rPr>
        <w:t>环境风险简单分析一览表</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8"/>
        <w:gridCol w:w="7638"/>
      </w:tblGrid>
      <w:tr w14:paraId="61B2DD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2FEBED3A">
            <w:pPr>
              <w:pStyle w:val="86"/>
              <w:adjustRightInd w:val="0"/>
              <w:snapToGrid w:val="0"/>
              <w:spacing w:line="300" w:lineRule="exact"/>
              <w:ind w:firstLine="0" w:firstLineChars="0"/>
              <w:jc w:val="center"/>
              <w:rPr>
                <w:rFonts w:hint="eastAsia" w:cs="宋体"/>
                <w:color w:val="auto"/>
                <w:sz w:val="21"/>
                <w:szCs w:val="21"/>
              </w:rPr>
            </w:pPr>
            <w:r>
              <w:rPr>
                <w:rFonts w:hint="eastAsia" w:cs="宋体"/>
                <w:color w:val="auto"/>
                <w:sz w:val="21"/>
                <w:szCs w:val="21"/>
              </w:rPr>
              <w:t>建设项目</w:t>
            </w:r>
          </w:p>
          <w:p w14:paraId="08F89D52">
            <w:pPr>
              <w:pStyle w:val="86"/>
              <w:adjustRightInd w:val="0"/>
              <w:snapToGrid w:val="0"/>
              <w:spacing w:line="300" w:lineRule="exact"/>
              <w:ind w:firstLine="0" w:firstLineChars="0"/>
              <w:jc w:val="center"/>
              <w:rPr>
                <w:rFonts w:hint="eastAsia" w:cs="宋体"/>
                <w:color w:val="auto"/>
                <w:sz w:val="21"/>
                <w:szCs w:val="21"/>
              </w:rPr>
            </w:pPr>
            <w:r>
              <w:rPr>
                <w:rFonts w:hint="eastAsia" w:cs="宋体"/>
                <w:color w:val="auto"/>
                <w:sz w:val="21"/>
                <w:szCs w:val="21"/>
              </w:rPr>
              <w:t>名称</w:t>
            </w:r>
          </w:p>
        </w:tc>
        <w:tc>
          <w:tcPr>
            <w:tcW w:w="4269" w:type="pct"/>
            <w:vAlign w:val="center"/>
          </w:tcPr>
          <w:p w14:paraId="44B7FEB2">
            <w:pPr>
              <w:pStyle w:val="86"/>
              <w:adjustRightInd w:val="0"/>
              <w:snapToGrid w:val="0"/>
              <w:spacing w:line="300" w:lineRule="exact"/>
              <w:ind w:firstLine="0" w:firstLineChars="0"/>
              <w:jc w:val="center"/>
              <w:rPr>
                <w:rFonts w:hint="eastAsia" w:ascii="黑体" w:hAnsi="黑体" w:eastAsia="黑体" w:cs="宋体"/>
                <w:b/>
                <w:snapToGrid w:val="0"/>
                <w:color w:val="auto"/>
                <w:kern w:val="0"/>
                <w:sz w:val="36"/>
                <w:szCs w:val="36"/>
              </w:rPr>
            </w:pPr>
            <w:r>
              <w:rPr>
                <w:rFonts w:cs="宋体"/>
                <w:color w:val="auto"/>
                <w:sz w:val="21"/>
                <w:szCs w:val="21"/>
              </w:rPr>
              <w:t>莫17</w:t>
            </w:r>
            <w:r>
              <w:rPr>
                <w:rFonts w:hint="eastAsia" w:cs="宋体"/>
                <w:color w:val="auto"/>
                <w:sz w:val="21"/>
                <w:szCs w:val="21"/>
              </w:rPr>
              <w:t>井区</w:t>
            </w:r>
            <w:r>
              <w:rPr>
                <w:rFonts w:cs="宋体"/>
                <w:color w:val="auto"/>
                <w:sz w:val="21"/>
                <w:szCs w:val="21"/>
              </w:rPr>
              <w:t>天然气回收</w:t>
            </w:r>
            <w:r>
              <w:rPr>
                <w:rFonts w:hint="eastAsia" w:cs="宋体"/>
                <w:color w:val="auto"/>
                <w:sz w:val="21"/>
                <w:szCs w:val="21"/>
              </w:rPr>
              <w:t>建设项目</w:t>
            </w:r>
          </w:p>
        </w:tc>
      </w:tr>
      <w:tr w14:paraId="7221CF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25E5E54F">
            <w:pPr>
              <w:pStyle w:val="86"/>
              <w:adjustRightInd w:val="0"/>
              <w:snapToGrid w:val="0"/>
              <w:spacing w:line="300" w:lineRule="exact"/>
              <w:ind w:firstLine="0" w:firstLineChars="0"/>
              <w:jc w:val="center"/>
              <w:rPr>
                <w:rFonts w:hint="eastAsia" w:cs="宋体"/>
                <w:color w:val="auto"/>
                <w:sz w:val="21"/>
                <w:szCs w:val="21"/>
              </w:rPr>
            </w:pPr>
            <w:r>
              <w:rPr>
                <w:rFonts w:hint="eastAsia" w:cs="宋体"/>
                <w:color w:val="auto"/>
                <w:sz w:val="21"/>
                <w:szCs w:val="21"/>
              </w:rPr>
              <w:t>建设地点</w:t>
            </w:r>
          </w:p>
        </w:tc>
        <w:tc>
          <w:tcPr>
            <w:tcW w:w="4269" w:type="pct"/>
            <w:vAlign w:val="center"/>
          </w:tcPr>
          <w:p w14:paraId="7F9AD672">
            <w:pPr>
              <w:pStyle w:val="86"/>
              <w:adjustRightInd w:val="0"/>
              <w:snapToGrid w:val="0"/>
              <w:spacing w:line="300" w:lineRule="exact"/>
              <w:ind w:firstLine="0" w:firstLineChars="0"/>
              <w:jc w:val="center"/>
              <w:rPr>
                <w:rFonts w:hint="eastAsia" w:cs="宋体"/>
                <w:color w:val="auto"/>
                <w:sz w:val="21"/>
                <w:szCs w:val="21"/>
              </w:rPr>
            </w:pPr>
            <w:r>
              <w:rPr>
                <w:rFonts w:hint="eastAsia" w:cs="宋体"/>
                <w:color w:val="auto"/>
                <w:sz w:val="21"/>
                <w:szCs w:val="21"/>
              </w:rPr>
              <w:t>拟转产井行政隶属于新疆维吾尔自治区昌吉回族自治州玛纳斯县</w:t>
            </w:r>
          </w:p>
        </w:tc>
      </w:tr>
      <w:tr w14:paraId="067416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16334C8F">
            <w:pPr>
              <w:pStyle w:val="86"/>
              <w:adjustRightInd w:val="0"/>
              <w:snapToGrid w:val="0"/>
              <w:spacing w:line="300" w:lineRule="exact"/>
              <w:ind w:firstLine="0" w:firstLineChars="0"/>
              <w:jc w:val="center"/>
              <w:rPr>
                <w:rFonts w:hint="eastAsia" w:cs="宋体"/>
                <w:color w:val="auto"/>
                <w:sz w:val="21"/>
                <w:szCs w:val="21"/>
              </w:rPr>
            </w:pPr>
            <w:r>
              <w:rPr>
                <w:rFonts w:hint="eastAsia" w:cs="宋体"/>
                <w:color w:val="auto"/>
                <w:sz w:val="21"/>
                <w:szCs w:val="21"/>
              </w:rPr>
              <w:t>地理坐标</w:t>
            </w:r>
          </w:p>
        </w:tc>
        <w:tc>
          <w:tcPr>
            <w:tcW w:w="4269" w:type="pct"/>
            <w:vAlign w:val="center"/>
          </w:tcPr>
          <w:p w14:paraId="490CD51A">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莫27井中心坐标为</w:t>
            </w:r>
            <w:r>
              <w:rPr>
                <w:color w:val="auto"/>
                <w:sz w:val="21"/>
                <w:szCs w:val="21"/>
              </w:rPr>
              <w:t>N45°7'30.29"</w:t>
            </w:r>
            <w:r>
              <w:rPr>
                <w:rFonts w:hint="eastAsia"/>
                <w:color w:val="auto"/>
                <w:sz w:val="21"/>
                <w:szCs w:val="21"/>
              </w:rPr>
              <w:t>、</w:t>
            </w:r>
            <w:r>
              <w:rPr>
                <w:color w:val="auto"/>
                <w:sz w:val="21"/>
                <w:szCs w:val="21"/>
              </w:rPr>
              <w:t>E86°27'38.51"</w:t>
            </w:r>
            <w:r>
              <w:rPr>
                <w:rFonts w:hint="eastAsia"/>
                <w:color w:val="auto"/>
                <w:sz w:val="21"/>
                <w:szCs w:val="21"/>
              </w:rPr>
              <w:t>，</w:t>
            </w:r>
          </w:p>
          <w:p w14:paraId="0C582768">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莫172H井中心坐标为</w:t>
            </w:r>
            <w:r>
              <w:rPr>
                <w:color w:val="auto"/>
                <w:sz w:val="21"/>
                <w:szCs w:val="21"/>
              </w:rPr>
              <w:t>N45°8'4.84"</w:t>
            </w:r>
            <w:r>
              <w:rPr>
                <w:rFonts w:hint="eastAsia"/>
                <w:color w:val="auto"/>
                <w:sz w:val="21"/>
                <w:szCs w:val="21"/>
              </w:rPr>
              <w:t>、</w:t>
            </w:r>
            <w:r>
              <w:rPr>
                <w:color w:val="auto"/>
                <w:sz w:val="21"/>
                <w:szCs w:val="21"/>
              </w:rPr>
              <w:t>E86°27'46.65"</w:t>
            </w:r>
            <w:r>
              <w:rPr>
                <w:rFonts w:hint="eastAsia"/>
                <w:color w:val="auto"/>
                <w:sz w:val="21"/>
                <w:szCs w:val="21"/>
              </w:rPr>
              <w:t>，</w:t>
            </w:r>
          </w:p>
          <w:p w14:paraId="2CEC75E8">
            <w:pPr>
              <w:pStyle w:val="86"/>
              <w:adjustRightInd w:val="0"/>
              <w:snapToGrid w:val="0"/>
              <w:spacing w:line="300" w:lineRule="exact"/>
              <w:ind w:firstLine="0" w:firstLineChars="0"/>
              <w:jc w:val="left"/>
              <w:rPr>
                <w:rFonts w:hint="eastAsia" w:cs="宋体"/>
                <w:color w:val="auto"/>
                <w:szCs w:val="21"/>
              </w:rPr>
            </w:pPr>
            <w:r>
              <w:rPr>
                <w:rFonts w:hint="eastAsia"/>
                <w:color w:val="auto"/>
                <w:sz w:val="21"/>
                <w:szCs w:val="21"/>
              </w:rPr>
              <w:t>莫174H井中心坐标为</w:t>
            </w:r>
            <w:r>
              <w:rPr>
                <w:color w:val="auto"/>
                <w:sz w:val="21"/>
                <w:szCs w:val="21"/>
              </w:rPr>
              <w:t>N45°6'7.60"</w:t>
            </w:r>
            <w:r>
              <w:rPr>
                <w:rFonts w:hint="eastAsia"/>
                <w:color w:val="auto"/>
                <w:sz w:val="21"/>
                <w:szCs w:val="21"/>
              </w:rPr>
              <w:t>、</w:t>
            </w:r>
            <w:r>
              <w:rPr>
                <w:color w:val="auto"/>
                <w:sz w:val="21"/>
                <w:szCs w:val="21"/>
              </w:rPr>
              <w:t>E 86°28'48.19"</w:t>
            </w:r>
            <w:r>
              <w:rPr>
                <w:rFonts w:hint="eastAsia"/>
                <w:color w:val="auto"/>
                <w:sz w:val="21"/>
                <w:szCs w:val="21"/>
              </w:rPr>
              <w:t>。</w:t>
            </w:r>
          </w:p>
        </w:tc>
      </w:tr>
      <w:tr w14:paraId="5B3848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2E9BA84A">
            <w:pPr>
              <w:pStyle w:val="86"/>
              <w:adjustRightInd w:val="0"/>
              <w:snapToGrid w:val="0"/>
              <w:spacing w:line="300" w:lineRule="exact"/>
              <w:ind w:firstLine="0" w:firstLineChars="0"/>
              <w:jc w:val="center"/>
              <w:rPr>
                <w:rFonts w:hint="eastAsia"/>
                <w:color w:val="auto"/>
                <w:sz w:val="21"/>
                <w:szCs w:val="21"/>
              </w:rPr>
            </w:pPr>
            <w:r>
              <w:rPr>
                <w:rFonts w:hint="eastAsia"/>
                <w:color w:val="auto"/>
                <w:sz w:val="21"/>
                <w:szCs w:val="21"/>
              </w:rPr>
              <w:t>主要危险物质及分布</w:t>
            </w:r>
          </w:p>
        </w:tc>
        <w:tc>
          <w:tcPr>
            <w:tcW w:w="4269" w:type="pct"/>
            <w:vAlign w:val="center"/>
          </w:tcPr>
          <w:p w14:paraId="2493F55A">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运营期危险物质主要为原油和伴生气，主要分布在单井采油管线和CNG橇装天然气浅冷处理装置中。</w:t>
            </w:r>
          </w:p>
        </w:tc>
      </w:tr>
      <w:tr w14:paraId="278EF1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1949CE0D">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环境影响途径及危害后果</w:t>
            </w:r>
          </w:p>
        </w:tc>
        <w:tc>
          <w:tcPr>
            <w:tcW w:w="4269" w:type="pct"/>
            <w:vAlign w:val="center"/>
          </w:tcPr>
          <w:p w14:paraId="3F728617">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运营期管线、设备发生破损造成原油和伴生气泄漏，污染土壤和大气，泄漏原油可能通过包气带渗漏进入地下含水层，污染地下水；泄漏的油气若遇明火，发生火灾、爆炸，污染大气环境。事故发生概率较低，发生事故后，及时采取相应的应急措施，不会对周围环境产生明显影响。</w:t>
            </w:r>
          </w:p>
        </w:tc>
      </w:tr>
      <w:tr w14:paraId="4983AE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14:paraId="31C5517C">
            <w:pPr>
              <w:pStyle w:val="86"/>
              <w:adjustRightInd w:val="0"/>
              <w:snapToGrid w:val="0"/>
              <w:spacing w:line="300" w:lineRule="exact"/>
              <w:ind w:firstLine="0" w:firstLineChars="0"/>
              <w:jc w:val="left"/>
              <w:rPr>
                <w:rFonts w:hint="eastAsia"/>
                <w:color w:val="auto"/>
                <w:sz w:val="21"/>
                <w:szCs w:val="21"/>
              </w:rPr>
            </w:pPr>
            <w:r>
              <w:rPr>
                <w:rFonts w:hint="eastAsia"/>
                <w:color w:val="auto"/>
                <w:sz w:val="21"/>
                <w:szCs w:val="21"/>
              </w:rPr>
              <w:t>环境风险防范措施要求</w:t>
            </w:r>
          </w:p>
        </w:tc>
        <w:tc>
          <w:tcPr>
            <w:tcW w:w="4269" w:type="pct"/>
            <w:vAlign w:val="center"/>
          </w:tcPr>
          <w:p w14:paraId="79D3DB5C">
            <w:pPr>
              <w:pStyle w:val="86"/>
              <w:adjustRightInd w:val="0"/>
              <w:snapToGrid w:val="0"/>
              <w:spacing w:line="300" w:lineRule="exact"/>
              <w:ind w:firstLine="0" w:firstLineChars="0"/>
              <w:rPr>
                <w:rFonts w:hint="eastAsia"/>
                <w:color w:val="auto"/>
                <w:sz w:val="21"/>
                <w:szCs w:val="21"/>
              </w:rPr>
            </w:pPr>
            <w:r>
              <w:rPr>
                <w:rFonts w:hint="eastAsia"/>
                <w:color w:val="auto"/>
                <w:sz w:val="21"/>
                <w:szCs w:val="21"/>
              </w:rPr>
              <w:t>（1）严格遵守钻井的安全规定，在井口安装防喷器和控制装置；井场设置明显的禁止烟火标志；井场钻井设备及电器设备、照明灯具符合防火防爆的安全要求，井场安装探照灯，以备井喷时钻台照明；在井架、井场路口等处设置风向标，发生事故时人员迅速向上风向疏散；按消防规定配备灭火器、消防铁锹和其他消防器材。井场设置明显的禁止烟火标志；井下作业时要求带罐操作，最大限度避免落地油产生，而泄漏物料和落地原油应及时回收、妥善处置。</w:t>
            </w:r>
          </w:p>
          <w:p w14:paraId="4F93460B">
            <w:pPr>
              <w:pStyle w:val="86"/>
              <w:adjustRightInd w:val="0"/>
              <w:snapToGrid w:val="0"/>
              <w:spacing w:line="300" w:lineRule="exact"/>
              <w:ind w:firstLine="0" w:firstLineChars="0"/>
              <w:rPr>
                <w:rFonts w:hint="eastAsia"/>
                <w:color w:val="auto"/>
                <w:sz w:val="21"/>
                <w:szCs w:val="21"/>
              </w:rPr>
            </w:pPr>
            <w:r>
              <w:rPr>
                <w:rFonts w:hint="eastAsia"/>
                <w:color w:val="auto"/>
                <w:sz w:val="21"/>
                <w:szCs w:val="21"/>
              </w:rPr>
              <w:t>（2）平面布置中尽量将火灾危险性相近的设施集中布置，并保持规定的防火距离；将全场内的明火点控制到最小，并布置在油气生产区场地边缘部位；按规定配置齐全各类消防设施，并定期进行检查，保持有效性及完好可用；站场内的装置区等均为爆炸火灾危险区域，区域内的配电设备均应采用防爆型；加强对职工的教育培训，实行上岗证制度，增强职工风险意识；在井场设置风向标；在油气可能泄漏和积聚的区域设置可燃气体浓度检测报警装置。</w:t>
            </w:r>
          </w:p>
          <w:p w14:paraId="5FF2E3F1">
            <w:pPr>
              <w:pStyle w:val="86"/>
              <w:adjustRightInd w:val="0"/>
              <w:snapToGrid w:val="0"/>
              <w:spacing w:line="300" w:lineRule="exact"/>
              <w:ind w:firstLine="0" w:firstLineChars="0"/>
              <w:rPr>
                <w:rFonts w:hint="eastAsia"/>
                <w:color w:val="auto"/>
                <w:sz w:val="21"/>
                <w:szCs w:val="21"/>
              </w:rPr>
            </w:pPr>
            <w:r>
              <w:rPr>
                <w:rFonts w:hint="eastAsia"/>
                <w:color w:val="auto"/>
                <w:sz w:val="21"/>
                <w:szCs w:val="21"/>
              </w:rPr>
              <w:t>（3）定期对管线进行巡检，严格按照管道施工、验收等规范进行设计、施工和验收。管线敷设前，应加强对管材和焊接质量的检查，严禁使用不合格产品；定期对管线进行超声波检查，对壁厚低于规定要求的管段应及时更换，消除爆管的隐患；定期对管线上的安全保护设施，如截断阀、安全阀、放空系统等进行检查；严禁在管线两侧各5m范围内修筑工程，在管线上方及近旁严禁动土开挖和修建超过管道负荷的建筑物。</w:t>
            </w:r>
          </w:p>
          <w:p w14:paraId="041F8D7D">
            <w:pPr>
              <w:pStyle w:val="86"/>
              <w:adjustRightInd w:val="0"/>
              <w:snapToGrid w:val="0"/>
              <w:spacing w:line="300" w:lineRule="exact"/>
              <w:ind w:firstLine="0" w:firstLineChars="0"/>
              <w:rPr>
                <w:rFonts w:hint="eastAsia"/>
                <w:color w:val="auto"/>
                <w:sz w:val="21"/>
                <w:szCs w:val="21"/>
              </w:rPr>
            </w:pPr>
            <w:r>
              <w:rPr>
                <w:rFonts w:hint="eastAsia"/>
                <w:color w:val="auto"/>
                <w:sz w:val="21"/>
                <w:szCs w:val="21"/>
              </w:rPr>
              <w:t>（</w:t>
            </w:r>
            <w:r>
              <w:rPr>
                <w:color w:val="auto"/>
                <w:sz w:val="21"/>
                <w:szCs w:val="21"/>
              </w:rPr>
              <w:t>4</w:t>
            </w:r>
            <w:r>
              <w:rPr>
                <w:rFonts w:hint="eastAsia"/>
                <w:color w:val="auto"/>
                <w:sz w:val="21"/>
                <w:szCs w:val="21"/>
              </w:rPr>
              <w:t>）采用质量合格的压裂液罐；加强日常管理，对压裂液罐液位采取监控设施，做好罐体防腐防漏工作，严防压裂液罐泄漏；液体装车时检查罐体情况，确保罐体完好再装车；储罐设有液位装置，装车时及时观察液位装置，以免溢出；罐车司机选用驾驶技术娴熟的。</w:t>
            </w:r>
          </w:p>
        </w:tc>
      </w:tr>
      <w:bookmarkEnd w:id="825"/>
      <w:bookmarkEnd w:id="826"/>
      <w:bookmarkEnd w:id="827"/>
      <w:bookmarkEnd w:id="844"/>
      <w:bookmarkEnd w:id="873"/>
      <w:bookmarkEnd w:id="875"/>
      <w:bookmarkEnd w:id="876"/>
    </w:tbl>
    <w:p w14:paraId="5BC3B603">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877" w:name="_Toc445840422"/>
      <w:bookmarkStart w:id="878" w:name="_Toc21737"/>
      <w:bookmarkStart w:id="879" w:name="_Toc445842149"/>
      <w:bookmarkStart w:id="880" w:name="_Toc224406026"/>
      <w:bookmarkStart w:id="881" w:name="_Toc14918"/>
      <w:bookmarkStart w:id="882" w:name="_Toc448413621"/>
      <w:bookmarkStart w:id="883" w:name="_Toc445996468"/>
      <w:bookmarkStart w:id="884" w:name="_Toc459026596"/>
      <w:bookmarkStart w:id="885" w:name="_Toc9979"/>
      <w:bookmarkStart w:id="886" w:name="_Toc475624490"/>
      <w:r>
        <w:rPr>
          <w:rFonts w:hint="eastAsia" w:ascii="黑体" w:hAnsi="黑体" w:eastAsia="黑体" w:cs="Times New Roman"/>
          <w:bCs/>
          <w:color w:val="auto"/>
          <w:sz w:val="28"/>
          <w:szCs w:val="32"/>
          <w14:ligatures w14:val="none"/>
        </w:rPr>
        <w:t>退役</w:t>
      </w:r>
      <w:r>
        <w:rPr>
          <w:rFonts w:ascii="黑体" w:hAnsi="黑体" w:eastAsia="黑体" w:cs="Times New Roman"/>
          <w:bCs/>
          <w:color w:val="auto"/>
          <w:sz w:val="28"/>
          <w:szCs w:val="32"/>
          <w14:ligatures w14:val="none"/>
        </w:rPr>
        <w:t>期环境保护</w:t>
      </w:r>
      <w:r>
        <w:rPr>
          <w:rFonts w:hint="eastAsia" w:ascii="黑体" w:hAnsi="黑体" w:eastAsia="黑体" w:cs="Times New Roman"/>
          <w:bCs/>
          <w:color w:val="auto"/>
          <w:sz w:val="28"/>
          <w:szCs w:val="32"/>
          <w14:ligatures w14:val="none"/>
        </w:rPr>
        <w:t>措施</w:t>
      </w:r>
      <w:bookmarkEnd w:id="877"/>
      <w:bookmarkEnd w:id="878"/>
      <w:bookmarkEnd w:id="879"/>
      <w:bookmarkEnd w:id="880"/>
      <w:bookmarkEnd w:id="881"/>
      <w:bookmarkEnd w:id="882"/>
      <w:bookmarkEnd w:id="883"/>
      <w:bookmarkEnd w:id="884"/>
      <w:bookmarkEnd w:id="885"/>
      <w:bookmarkEnd w:id="886"/>
    </w:p>
    <w:p w14:paraId="7E2A87B3">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退役</w:t>
      </w:r>
      <w:r>
        <w:rPr>
          <w:rFonts w:ascii="黑体" w:hAnsi="黑体" w:eastAsia="黑体" w:cs="Times New Roman"/>
          <w:color w:val="auto"/>
          <w:sz w:val="24"/>
          <w:szCs w:val="21"/>
          <w:lang w:val="zh-CN"/>
          <w14:ligatures w14:val="none"/>
        </w:rPr>
        <w:t>期</w:t>
      </w:r>
      <w:r>
        <w:rPr>
          <w:rFonts w:hint="eastAsia" w:ascii="黑体" w:hAnsi="黑体" w:eastAsia="黑体" w:cs="Times New Roman"/>
          <w:color w:val="auto"/>
          <w:sz w:val="24"/>
          <w:szCs w:val="21"/>
          <w:lang w:val="zh-CN"/>
          <w14:ligatures w14:val="none"/>
        </w:rPr>
        <w:t>大气环境保护措施</w:t>
      </w:r>
    </w:p>
    <w:p w14:paraId="40A4CC79">
      <w:pPr>
        <w:pStyle w:val="86"/>
        <w:ind w:firstLine="480"/>
        <w:rPr>
          <w:rFonts w:hint="eastAsia"/>
          <w:color w:val="auto"/>
        </w:rPr>
      </w:pPr>
      <w:r>
        <w:rPr>
          <w:rFonts w:hint="eastAsia"/>
          <w:color w:val="auto"/>
        </w:rPr>
        <w:t>（</w:t>
      </w:r>
      <w:r>
        <w:rPr>
          <w:color w:val="auto"/>
        </w:rPr>
        <w:t>1）运输车辆使用符合国家标准的油品。</w:t>
      </w:r>
    </w:p>
    <w:p w14:paraId="0D450DE9">
      <w:pPr>
        <w:pStyle w:val="86"/>
        <w:ind w:firstLine="480"/>
        <w:rPr>
          <w:rFonts w:hint="eastAsia"/>
          <w:color w:val="auto"/>
        </w:rPr>
      </w:pPr>
      <w:r>
        <w:rPr>
          <w:rFonts w:hint="eastAsia"/>
          <w:color w:val="auto"/>
        </w:rPr>
        <w:t>（</w:t>
      </w:r>
      <w:r>
        <w:rPr>
          <w:color w:val="auto"/>
        </w:rPr>
        <w:t>2）在施工操作中应做到文明施工，防止水泥等的洒落与飘散；尽量避开大风天气进行作业。</w:t>
      </w:r>
    </w:p>
    <w:p w14:paraId="2D334FDB">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退役期水环境保护措施</w:t>
      </w:r>
    </w:p>
    <w:p w14:paraId="248B3E7B">
      <w:pPr>
        <w:pStyle w:val="86"/>
        <w:ind w:firstLine="480"/>
        <w:rPr>
          <w:rFonts w:hint="eastAsia"/>
          <w:color w:val="auto"/>
        </w:rPr>
      </w:pPr>
      <w:r>
        <w:rPr>
          <w:rFonts w:hint="eastAsia"/>
          <w:color w:val="auto"/>
        </w:rPr>
        <w:t>对完成采油的废弃井应封堵，拆除井口装置，截去地下</w:t>
      </w:r>
      <w:r>
        <w:rPr>
          <w:color w:val="auto"/>
        </w:rPr>
        <w:t>1m内管头，</w:t>
      </w:r>
      <w:r>
        <w:rPr>
          <w:rFonts w:hint="eastAsia"/>
          <w:color w:val="auto"/>
        </w:rPr>
        <w:t>废弃井应根据《废弃井封井回填技术指南（试行）》中的相关要求进行封井回填；单井采油管线清扫确保管线内无残留采出物，管线两端使用盲板封堵，清扫过程中会产生少量的废水，集中收集后送至莫北转油站采出水处理系统进行处理，处理达标后回注地层，不外排。</w:t>
      </w:r>
    </w:p>
    <w:p w14:paraId="0CE8B7D3">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887" w:name="_Toc11580"/>
      <w:bookmarkStart w:id="888" w:name="_Toc445840423"/>
      <w:bookmarkStart w:id="889" w:name="_Toc445842153"/>
      <w:bookmarkStart w:id="890" w:name="_Toc445996471"/>
      <w:r>
        <w:rPr>
          <w:rFonts w:hint="eastAsia" w:ascii="黑体" w:hAnsi="黑体" w:eastAsia="黑体" w:cs="Times New Roman"/>
          <w:color w:val="auto"/>
          <w:sz w:val="24"/>
          <w:szCs w:val="21"/>
          <w:lang w:val="zh-CN"/>
          <w14:ligatures w14:val="none"/>
        </w:rPr>
        <w:t>退役期</w:t>
      </w:r>
      <w:r>
        <w:rPr>
          <w:rFonts w:ascii="黑体" w:hAnsi="黑体" w:eastAsia="黑体" w:cs="Times New Roman"/>
          <w:color w:val="auto"/>
          <w:sz w:val="24"/>
          <w:szCs w:val="21"/>
          <w:lang w:val="zh-CN"/>
          <w14:ligatures w14:val="none"/>
        </w:rPr>
        <w:t>噪声污染防治措施</w:t>
      </w:r>
    </w:p>
    <w:p w14:paraId="56E0C389">
      <w:pPr>
        <w:pStyle w:val="86"/>
        <w:ind w:firstLine="480"/>
        <w:rPr>
          <w:rFonts w:hint="eastAsia"/>
          <w:color w:val="auto"/>
        </w:rPr>
      </w:pPr>
      <w:r>
        <w:rPr>
          <w:rFonts w:hint="eastAsia"/>
          <w:color w:val="auto"/>
        </w:rPr>
        <w:t>（</w:t>
      </w:r>
      <w:r>
        <w:rPr>
          <w:color w:val="auto"/>
        </w:rPr>
        <w:t>1）选用低噪声机械和车辆。</w:t>
      </w:r>
    </w:p>
    <w:p w14:paraId="07BA4D38">
      <w:pPr>
        <w:pStyle w:val="86"/>
        <w:ind w:firstLine="480"/>
        <w:rPr>
          <w:rFonts w:hint="eastAsia"/>
          <w:color w:val="auto"/>
        </w:rPr>
      </w:pPr>
      <w:r>
        <w:rPr>
          <w:rFonts w:hint="eastAsia"/>
          <w:color w:val="auto"/>
        </w:rPr>
        <w:t>（</w:t>
      </w:r>
      <w:r>
        <w:rPr>
          <w:color w:val="auto"/>
        </w:rPr>
        <w:t>2）加强设备检查维修，保证其正常运行。</w:t>
      </w:r>
    </w:p>
    <w:p w14:paraId="113106C8">
      <w:pPr>
        <w:pStyle w:val="86"/>
        <w:ind w:firstLine="480"/>
        <w:rPr>
          <w:rFonts w:hint="eastAsia"/>
          <w:color w:val="auto"/>
        </w:rPr>
      </w:pPr>
      <w:r>
        <w:rPr>
          <w:rFonts w:hint="eastAsia"/>
          <w:color w:val="auto"/>
        </w:rPr>
        <w:t>（</w:t>
      </w:r>
      <w:r>
        <w:rPr>
          <w:color w:val="auto"/>
        </w:rPr>
        <w:t>3）加强运输车辆管理，合理规划运输路线，禁止运输车辆随意高声鸣笛</w:t>
      </w:r>
      <w:r>
        <w:rPr>
          <w:rFonts w:hint="eastAsia"/>
          <w:color w:val="auto"/>
        </w:rPr>
        <w:t>。</w:t>
      </w:r>
    </w:p>
    <w:p w14:paraId="20DDEB4B">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退役期固废及土壤污染防治措施</w:t>
      </w:r>
    </w:p>
    <w:p w14:paraId="7C985E68">
      <w:pPr>
        <w:pStyle w:val="86"/>
        <w:ind w:firstLine="480"/>
        <w:rPr>
          <w:rFonts w:hint="eastAsia"/>
          <w:color w:val="auto"/>
        </w:rPr>
      </w:pPr>
      <w:bookmarkStart w:id="891" w:name="_Toc22367"/>
      <w:bookmarkStart w:id="892" w:name="_Toc448413622"/>
      <w:bookmarkStart w:id="893" w:name="_Toc30821"/>
      <w:r>
        <w:rPr>
          <w:rFonts w:hint="eastAsia"/>
          <w:color w:val="auto"/>
        </w:rPr>
        <w:t>（1）地面设施拆除、清理等工作中会产生废弃管线、废弃建筑残渣，应集中清理收集。管线外运清洗后可回收利用，废弃建筑残渣外运至当地建筑垃圾填埋场，不得遗留在场地内影响土壤环境质量。</w:t>
      </w:r>
    </w:p>
    <w:p w14:paraId="7C6AA487">
      <w:pPr>
        <w:pStyle w:val="86"/>
        <w:ind w:firstLine="480"/>
        <w:rPr>
          <w:rFonts w:hint="eastAsia"/>
          <w:color w:val="auto"/>
        </w:rPr>
      </w:pPr>
      <w:r>
        <w:rPr>
          <w:rFonts w:hint="eastAsia"/>
          <w:color w:val="auto"/>
        </w:rPr>
        <w:t>（2）运输过程中，运输车辆均加盖篷布，以防止行驶过程中固体废物的散落。</w:t>
      </w:r>
    </w:p>
    <w:p w14:paraId="2236CCDA">
      <w:pPr>
        <w:pStyle w:val="86"/>
        <w:ind w:firstLine="480"/>
        <w:rPr>
          <w:rFonts w:hint="eastAsia"/>
          <w:color w:val="auto"/>
        </w:rPr>
      </w:pPr>
      <w:r>
        <w:rPr>
          <w:rFonts w:hint="eastAsia"/>
          <w:color w:val="auto"/>
        </w:rPr>
        <w:t>（</w:t>
      </w:r>
      <w:r>
        <w:rPr>
          <w:color w:val="auto"/>
        </w:rPr>
        <w:t>3</w:t>
      </w:r>
      <w:r>
        <w:rPr>
          <w:rFonts w:hint="eastAsia"/>
          <w:color w:val="auto"/>
        </w:rPr>
        <w:t>）对完成采油的废弃井应封堵，拆除井口装置，截去地下1m内管头，最后清理场地，清除各种固体废弃物，植被靠自然恢复。</w:t>
      </w:r>
    </w:p>
    <w:p w14:paraId="2B5D79C6">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退役期生态环境保护措施</w:t>
      </w:r>
    </w:p>
    <w:bookmarkEnd w:id="887"/>
    <w:bookmarkEnd w:id="888"/>
    <w:bookmarkEnd w:id="889"/>
    <w:bookmarkEnd w:id="890"/>
    <w:bookmarkEnd w:id="891"/>
    <w:bookmarkEnd w:id="892"/>
    <w:bookmarkEnd w:id="893"/>
    <w:p w14:paraId="3C156BB5">
      <w:pPr>
        <w:adjustRightInd w:val="0"/>
        <w:snapToGrid w:val="0"/>
        <w:spacing w:line="520" w:lineRule="exact"/>
        <w:ind w:firstLine="496"/>
        <w:rPr>
          <w:rFonts w:hint="eastAsia" w:ascii="宋体" w:hAnsi="宋体"/>
          <w:color w:val="auto"/>
          <w:spacing w:val="4"/>
          <w:sz w:val="24"/>
          <w:szCs w:val="24"/>
        </w:rPr>
      </w:pPr>
      <w:bookmarkStart w:id="894" w:name="OLE_LINK87"/>
      <w:bookmarkStart w:id="895" w:name="_Hlk40721850"/>
      <w:bookmarkStart w:id="896" w:name="_Hlk512466345"/>
      <w:bookmarkStart w:id="897" w:name="_Hlk511374601"/>
      <w:bookmarkStart w:id="898" w:name="_Hlk512466869"/>
      <w:r>
        <w:rPr>
          <w:rFonts w:hint="eastAsia" w:ascii="宋体" w:hAnsi="宋体"/>
          <w:color w:val="auto"/>
          <w:spacing w:val="4"/>
          <w:sz w:val="24"/>
          <w:szCs w:val="24"/>
        </w:rPr>
        <w:t>根据《废弃井封井回填技术指南（试行）》《废弃井及长停井处置指南》（SY/T6646-2017）、《陆上石油天然气生产环境保护推荐作法》（SY/T6628-2005）、《矿山生态环境保护与恢复治理技术规范（试行）》（HJ651-2013）、《陆上石油天然气开采业绿色矿山建设规范（DZ/T0317-2018）》和中国石油新疆油田分公司的相关要求对采油井进行封堵，并拆除相关设施，确保无土壤及地下水环境污染遗留问题、废弃物均得到妥善处置，制定生态恢复方案，并做好以下生态保护措施：</w:t>
      </w:r>
    </w:p>
    <w:p w14:paraId="1CD1E33C">
      <w:pPr>
        <w:adjustRightInd w:val="0"/>
        <w:snapToGrid w:val="0"/>
        <w:spacing w:line="520" w:lineRule="exact"/>
        <w:ind w:firstLine="496"/>
        <w:rPr>
          <w:rFonts w:hint="eastAsia" w:ascii="宋体" w:hAnsi="宋体"/>
          <w:color w:val="auto"/>
          <w:spacing w:val="4"/>
          <w:sz w:val="24"/>
          <w:szCs w:val="24"/>
        </w:rPr>
      </w:pPr>
      <w:r>
        <w:rPr>
          <w:rFonts w:hint="eastAsia" w:ascii="宋体" w:hAnsi="宋体"/>
          <w:color w:val="auto"/>
          <w:spacing w:val="4"/>
          <w:sz w:val="24"/>
          <w:szCs w:val="24"/>
        </w:rPr>
        <w:t>（1）封井材料应无污染，不得使用可能对地下水造成污染的材料。</w:t>
      </w:r>
    </w:p>
    <w:p w14:paraId="3B073E87">
      <w:pPr>
        <w:adjustRightInd w:val="0"/>
        <w:snapToGrid w:val="0"/>
        <w:spacing w:line="520" w:lineRule="exact"/>
        <w:ind w:firstLine="496"/>
        <w:rPr>
          <w:rFonts w:hint="eastAsia" w:ascii="宋体" w:hAnsi="宋体"/>
          <w:color w:val="auto"/>
          <w:spacing w:val="4"/>
          <w:sz w:val="24"/>
          <w:szCs w:val="24"/>
        </w:rPr>
      </w:pPr>
      <w:r>
        <w:rPr>
          <w:rFonts w:hint="eastAsia" w:ascii="宋体" w:hAnsi="宋体"/>
          <w:color w:val="auto"/>
          <w:spacing w:val="4"/>
          <w:sz w:val="24"/>
          <w:szCs w:val="24"/>
        </w:rPr>
        <w:t>（2）应开展井盖封堵或密闭填充，对废弃井进行封井回填并做好井口处置，确保地表污染物不进入井内，各层位地下水不连通。</w:t>
      </w:r>
    </w:p>
    <w:p w14:paraId="1FF690B2">
      <w:pPr>
        <w:adjustRightInd w:val="0"/>
        <w:snapToGrid w:val="0"/>
        <w:spacing w:line="520" w:lineRule="exact"/>
        <w:ind w:firstLine="496"/>
        <w:rPr>
          <w:rFonts w:hint="eastAsia" w:ascii="宋体" w:hAnsi="宋体"/>
          <w:color w:val="auto"/>
          <w:spacing w:val="4"/>
          <w:sz w:val="24"/>
          <w:szCs w:val="24"/>
        </w:rPr>
      </w:pPr>
      <w:r>
        <w:rPr>
          <w:rFonts w:hint="eastAsia" w:ascii="宋体" w:hAnsi="宋体"/>
          <w:color w:val="auto"/>
          <w:spacing w:val="4"/>
          <w:sz w:val="24"/>
          <w:szCs w:val="24"/>
        </w:rPr>
        <w:t>（3）确保固井质量和封井质量合格。</w:t>
      </w:r>
    </w:p>
    <w:p w14:paraId="5119B35C">
      <w:pPr>
        <w:adjustRightInd w:val="0"/>
        <w:snapToGrid w:val="0"/>
        <w:spacing w:line="520" w:lineRule="exact"/>
        <w:ind w:firstLine="496"/>
        <w:rPr>
          <w:rFonts w:hint="eastAsia" w:ascii="宋体" w:hAnsi="宋体"/>
          <w:color w:val="auto"/>
          <w:spacing w:val="4"/>
          <w:sz w:val="24"/>
          <w:szCs w:val="24"/>
        </w:rPr>
      </w:pPr>
      <w:r>
        <w:rPr>
          <w:rFonts w:hint="eastAsia" w:ascii="宋体" w:hAnsi="宋体"/>
          <w:color w:val="auto"/>
          <w:spacing w:val="4"/>
          <w:sz w:val="24"/>
          <w:szCs w:val="24"/>
        </w:rPr>
        <w:t>（4）</w:t>
      </w:r>
      <w:r>
        <w:rPr>
          <w:rFonts w:ascii="宋体" w:hAnsi="宋体"/>
          <w:color w:val="auto"/>
          <w:spacing w:val="4"/>
          <w:sz w:val="24"/>
          <w:szCs w:val="24"/>
        </w:rPr>
        <w:t>封井施工过程中，应加强施工质量管理，避免出现封井不严等非正常工况的烃类泄漏</w:t>
      </w:r>
      <w:r>
        <w:rPr>
          <w:rFonts w:hint="eastAsia" w:ascii="宋体" w:hAnsi="宋体"/>
          <w:color w:val="auto"/>
          <w:spacing w:val="4"/>
          <w:sz w:val="24"/>
          <w:szCs w:val="24"/>
        </w:rPr>
        <w:t>。</w:t>
      </w:r>
    </w:p>
    <w:p w14:paraId="6202C130">
      <w:pPr>
        <w:adjustRightInd w:val="0"/>
        <w:snapToGrid w:val="0"/>
        <w:spacing w:line="520" w:lineRule="exact"/>
        <w:ind w:firstLine="496"/>
        <w:rPr>
          <w:rFonts w:hint="eastAsia" w:ascii="宋体" w:hAnsi="宋体"/>
          <w:color w:val="auto"/>
          <w:spacing w:val="4"/>
          <w:sz w:val="24"/>
          <w:szCs w:val="24"/>
        </w:rPr>
      </w:pPr>
      <w:r>
        <w:rPr>
          <w:rFonts w:hint="eastAsia" w:ascii="宋体" w:hAnsi="宋体"/>
          <w:color w:val="auto"/>
          <w:spacing w:val="4"/>
          <w:sz w:val="24"/>
          <w:szCs w:val="24"/>
        </w:rPr>
        <w:t>（5）对废弃井应封堵，拆除井口装置，截去地下1m内管头，废弃井应根据《废弃井及长停井处置指南》（SY/T6646-2017）、《废弃井封井回填技术指南（试行）》中的相关要求进行封井回填，防止发生井漏事故，污染地下水资源。</w:t>
      </w:r>
    </w:p>
    <w:p w14:paraId="1EBA3671">
      <w:pPr>
        <w:adjustRightInd w:val="0"/>
        <w:snapToGrid w:val="0"/>
        <w:spacing w:line="520" w:lineRule="exact"/>
        <w:ind w:firstLine="496"/>
        <w:rPr>
          <w:rFonts w:hint="eastAsia" w:ascii="宋体" w:hAnsi="宋体"/>
          <w:color w:val="auto"/>
          <w:spacing w:val="4"/>
          <w:sz w:val="24"/>
          <w:szCs w:val="24"/>
        </w:rPr>
      </w:pPr>
      <w:r>
        <w:rPr>
          <w:rFonts w:hint="eastAsia" w:ascii="宋体" w:hAnsi="宋体"/>
          <w:color w:val="auto"/>
          <w:spacing w:val="4"/>
          <w:sz w:val="24"/>
          <w:szCs w:val="24"/>
        </w:rPr>
        <w:t>（6）</w:t>
      </w:r>
      <w:r>
        <w:rPr>
          <w:rFonts w:ascii="宋体" w:hAnsi="宋体"/>
          <w:color w:val="auto"/>
          <w:spacing w:val="4"/>
          <w:sz w:val="24"/>
          <w:szCs w:val="24"/>
        </w:rPr>
        <w:t>选用低噪声机械和车辆</w:t>
      </w:r>
      <w:r>
        <w:rPr>
          <w:rFonts w:hint="eastAsia" w:ascii="宋体" w:hAnsi="宋体"/>
          <w:color w:val="auto"/>
          <w:spacing w:val="4"/>
          <w:sz w:val="24"/>
          <w:szCs w:val="24"/>
        </w:rPr>
        <w:t>，</w:t>
      </w:r>
      <w:r>
        <w:rPr>
          <w:rFonts w:ascii="宋体" w:hAnsi="宋体"/>
          <w:color w:val="auto"/>
          <w:spacing w:val="4"/>
          <w:sz w:val="24"/>
          <w:szCs w:val="24"/>
        </w:rPr>
        <w:t>加强设备检查维修，保证其正常运行加强运输车辆管理，合理规划运输路线，禁止运输车辆随意高声鸣笛</w:t>
      </w:r>
      <w:r>
        <w:rPr>
          <w:rFonts w:hint="eastAsia" w:ascii="宋体" w:hAnsi="宋体"/>
          <w:color w:val="auto"/>
          <w:spacing w:val="4"/>
          <w:sz w:val="24"/>
          <w:szCs w:val="24"/>
        </w:rPr>
        <w:t>。</w:t>
      </w:r>
    </w:p>
    <w:p w14:paraId="68C74505">
      <w:pPr>
        <w:adjustRightInd w:val="0"/>
        <w:snapToGrid w:val="0"/>
        <w:spacing w:line="520" w:lineRule="exact"/>
        <w:ind w:firstLine="496"/>
        <w:rPr>
          <w:rFonts w:hint="eastAsia" w:ascii="宋体" w:hAnsi="宋体"/>
          <w:color w:val="auto"/>
          <w:spacing w:val="4"/>
          <w:sz w:val="24"/>
          <w:szCs w:val="24"/>
        </w:rPr>
      </w:pPr>
      <w:r>
        <w:rPr>
          <w:rFonts w:hint="eastAsia" w:ascii="宋体" w:hAnsi="宋体"/>
          <w:color w:val="auto"/>
          <w:spacing w:val="4"/>
          <w:sz w:val="24"/>
          <w:szCs w:val="24"/>
        </w:rPr>
        <w:t>（7）封井作业结束后及时清理作业现场，各个建构筑物和基础设施应全部拆除，做到“工完、料尽、场地清”，确保采取的封井措施有效可行。施工区域采用临时占地剥离表土对其进行回填，以便于恢复复垦条件。各个建构筑物和基础设施拆除过程中会产生一定扬尘，应避开大风天气施工。</w:t>
      </w:r>
    </w:p>
    <w:p w14:paraId="3FAFC4F5">
      <w:pPr>
        <w:adjustRightInd w:val="0"/>
        <w:snapToGrid w:val="0"/>
        <w:spacing w:line="520" w:lineRule="exact"/>
        <w:ind w:firstLine="496"/>
        <w:rPr>
          <w:rFonts w:hint="eastAsia" w:ascii="宋体" w:hAnsi="宋体"/>
          <w:color w:val="auto"/>
          <w:spacing w:val="4"/>
          <w:sz w:val="24"/>
          <w:szCs w:val="24"/>
        </w:rPr>
      </w:pPr>
      <w:r>
        <w:rPr>
          <w:rFonts w:hint="eastAsia" w:ascii="宋体" w:hAnsi="宋体"/>
          <w:color w:val="auto"/>
          <w:spacing w:val="4"/>
          <w:sz w:val="24"/>
          <w:szCs w:val="24"/>
        </w:rPr>
        <w:t>（8）对永久性占地范围内的水泥平台或砂砾石铺垫应进行清理，确保无环境遗留问题后根据周边区域的自然现状对其进行恢复，使站场恢复到相对自然的一种状态。</w:t>
      </w:r>
    </w:p>
    <w:p w14:paraId="5523B34F">
      <w:pPr>
        <w:adjustRightInd w:val="0"/>
        <w:snapToGrid w:val="0"/>
        <w:spacing w:line="520" w:lineRule="exact"/>
        <w:ind w:firstLine="496"/>
        <w:rPr>
          <w:rFonts w:hint="eastAsia" w:ascii="宋体" w:hAnsi="宋体"/>
          <w:color w:val="auto"/>
          <w:spacing w:val="4"/>
          <w:sz w:val="24"/>
          <w:szCs w:val="24"/>
        </w:rPr>
      </w:pPr>
      <w:r>
        <w:rPr>
          <w:rFonts w:hint="eastAsia" w:ascii="宋体" w:hAnsi="宋体"/>
          <w:color w:val="auto"/>
          <w:spacing w:val="4"/>
          <w:sz w:val="24"/>
          <w:szCs w:val="24"/>
        </w:rPr>
        <w:t>（9）加强对《</w:t>
      </w:r>
      <w:r>
        <w:rPr>
          <w:rFonts w:ascii="宋体" w:hAnsi="宋体"/>
          <w:color w:val="auto"/>
          <w:spacing w:val="4"/>
          <w:sz w:val="24"/>
          <w:szCs w:val="24"/>
        </w:rPr>
        <w:t>中华人民共和国野生动物保护法</w:t>
      </w:r>
      <w:r>
        <w:rPr>
          <w:rFonts w:hint="eastAsia" w:ascii="宋体" w:hAnsi="宋体"/>
          <w:color w:val="auto"/>
          <w:spacing w:val="4"/>
          <w:sz w:val="24"/>
          <w:szCs w:val="24"/>
        </w:rPr>
        <w:t>》及</w:t>
      </w:r>
      <w:r>
        <w:rPr>
          <w:rFonts w:ascii="宋体" w:hAnsi="宋体"/>
          <w:color w:val="auto"/>
          <w:spacing w:val="4"/>
          <w:sz w:val="24"/>
          <w:szCs w:val="24"/>
        </w:rPr>
        <w:t>《中华人民共和国野生植物保护条例》的</w:t>
      </w:r>
      <w:r>
        <w:rPr>
          <w:rFonts w:hint="eastAsia" w:ascii="宋体" w:hAnsi="宋体"/>
          <w:color w:val="auto"/>
          <w:spacing w:val="4"/>
          <w:sz w:val="24"/>
          <w:szCs w:val="24"/>
        </w:rPr>
        <w:t>普及、教育工作，强化保护野生动植物的观念，让施工人员明确破坏保护植物，捕猎、杀害保护动物的法律后果，理解保护野生动植物的重要意义。</w:t>
      </w:r>
    </w:p>
    <w:bookmarkEnd w:id="894"/>
    <w:p w14:paraId="55A2C267">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生态恢复治理方案</w:t>
      </w:r>
    </w:p>
    <w:bookmarkEnd w:id="895"/>
    <w:p w14:paraId="6008C80D">
      <w:pPr>
        <w:pStyle w:val="86"/>
        <w:ind w:firstLine="480"/>
        <w:rPr>
          <w:rFonts w:hint="eastAsia"/>
          <w:color w:val="auto"/>
        </w:rPr>
      </w:pPr>
      <w:bookmarkStart w:id="899" w:name="_Hlk80207146"/>
      <w:r>
        <w:rPr>
          <w:rFonts w:hint="eastAsia"/>
          <w:color w:val="auto"/>
        </w:rPr>
        <w:t>（1）生态环境保护与恢复治理的一般要求</w:t>
      </w:r>
    </w:p>
    <w:p w14:paraId="4BEF845F">
      <w:pPr>
        <w:adjustRightInd w:val="0"/>
        <w:snapToGrid w:val="0"/>
        <w:spacing w:line="520" w:lineRule="exact"/>
        <w:ind w:firstLine="496"/>
        <w:rPr>
          <w:rFonts w:hint="eastAsia" w:ascii="宋体" w:hAnsi="宋体"/>
          <w:color w:val="auto"/>
          <w:spacing w:val="4"/>
          <w:sz w:val="24"/>
          <w:szCs w:val="24"/>
        </w:rPr>
      </w:pPr>
      <w:r>
        <w:rPr>
          <w:rFonts w:hint="eastAsia" w:ascii="宋体" w:hAnsi="宋体"/>
          <w:color w:val="auto"/>
          <w:spacing w:val="4"/>
          <w:sz w:val="24"/>
          <w:szCs w:val="24"/>
        </w:rPr>
        <w:t>根据《矿山生态环境保护与恢复治理技术规范（试行）》（HJ651-2013）、《废弃井封井回填技术指南（试行）》的相关要求，制定生态环境保护与恢复治理方案时需遵循以下要求：</w:t>
      </w:r>
    </w:p>
    <w:p w14:paraId="3EB60EB2">
      <w:pPr>
        <w:adjustRightInd w:val="0"/>
        <w:snapToGrid w:val="0"/>
        <w:spacing w:line="520" w:lineRule="exact"/>
        <w:ind w:firstLine="496"/>
        <w:rPr>
          <w:rFonts w:hint="eastAsia" w:ascii="宋体" w:hAnsi="宋体"/>
          <w:color w:val="auto"/>
          <w:spacing w:val="4"/>
          <w:sz w:val="24"/>
          <w:szCs w:val="24"/>
        </w:rPr>
      </w:pPr>
      <w:r>
        <w:rPr>
          <w:rFonts w:hint="eastAsia" w:ascii="宋体" w:hAnsi="宋体"/>
          <w:color w:val="auto"/>
          <w:spacing w:val="4"/>
          <w:sz w:val="24"/>
          <w:szCs w:val="24"/>
        </w:rPr>
        <w:t>①禁止在依法划定的饮用水水源保护区内进行开采。</w:t>
      </w:r>
    </w:p>
    <w:p w14:paraId="695EA8DD">
      <w:pPr>
        <w:adjustRightInd w:val="0"/>
        <w:snapToGrid w:val="0"/>
        <w:spacing w:line="520" w:lineRule="exact"/>
        <w:ind w:firstLine="496"/>
        <w:rPr>
          <w:rFonts w:hint="eastAsia" w:ascii="宋体" w:hAnsi="宋体"/>
          <w:color w:val="auto"/>
          <w:spacing w:val="4"/>
          <w:sz w:val="24"/>
          <w:szCs w:val="24"/>
        </w:rPr>
      </w:pPr>
      <w:r>
        <w:rPr>
          <w:rFonts w:hint="eastAsia" w:ascii="宋体" w:hAnsi="宋体"/>
          <w:color w:val="auto"/>
          <w:spacing w:val="4"/>
          <w:sz w:val="24"/>
          <w:szCs w:val="24"/>
        </w:rPr>
        <w:t>②采取有效预防和保护措施，避免或减轻矿产资源开发活动造成的生态破坏和环境污染。</w:t>
      </w:r>
    </w:p>
    <w:p w14:paraId="6F811D32">
      <w:pPr>
        <w:adjustRightInd w:val="0"/>
        <w:snapToGrid w:val="0"/>
        <w:spacing w:line="520" w:lineRule="exact"/>
        <w:ind w:firstLine="496"/>
        <w:rPr>
          <w:rFonts w:hint="eastAsia" w:ascii="宋体" w:hAnsi="宋体"/>
          <w:color w:val="auto"/>
          <w:spacing w:val="4"/>
          <w:sz w:val="24"/>
          <w:szCs w:val="24"/>
        </w:rPr>
      </w:pPr>
      <w:r>
        <w:rPr>
          <w:rFonts w:hint="eastAsia" w:ascii="宋体" w:hAnsi="宋体"/>
          <w:color w:val="auto"/>
          <w:spacing w:val="4"/>
          <w:sz w:val="24"/>
          <w:szCs w:val="24"/>
        </w:rPr>
        <w:t>③坚持“预防为主、防治结合、过程控制”的原则，将生态环境保护与恢复治理贯穿开采的全过程。</w:t>
      </w:r>
    </w:p>
    <w:p w14:paraId="4749EB1E">
      <w:pPr>
        <w:spacing w:line="360" w:lineRule="auto"/>
        <w:ind w:firstLine="480" w:firstLineChars="200"/>
        <w:rPr>
          <w:color w:val="auto"/>
          <w:sz w:val="24"/>
        </w:rPr>
      </w:pPr>
      <w:bookmarkStart w:id="900" w:name="_Hlk72012541"/>
      <w:r>
        <w:rPr>
          <w:rFonts w:hint="eastAsia"/>
          <w:color w:val="auto"/>
          <w:sz w:val="24"/>
        </w:rPr>
        <w:t>④贯彻“边开采，边治理，边恢复”的原则，及时治理恢复生态环境。</w:t>
      </w:r>
    </w:p>
    <w:p w14:paraId="79CDC3B9">
      <w:pPr>
        <w:spacing w:line="360" w:lineRule="auto"/>
        <w:ind w:firstLine="480" w:firstLineChars="200"/>
        <w:rPr>
          <w:color w:val="auto"/>
          <w:sz w:val="24"/>
        </w:rPr>
      </w:pPr>
      <w:r>
        <w:rPr>
          <w:rFonts w:hint="eastAsia"/>
          <w:color w:val="auto"/>
          <w:sz w:val="24"/>
        </w:rPr>
        <w:t>⑤遵循矿区油气资源赋存状况、生态环境特征等条件，科学合理地确定开发方案，选择与油气藏类型相适应的先进开采技术和工艺，推广使用成熟、先进的技术装备，严禁使用国家明文规定的限制和淘汰的技术工艺及装备。</w:t>
      </w:r>
    </w:p>
    <w:bookmarkEnd w:id="900"/>
    <w:p w14:paraId="65DA8AA3">
      <w:pPr>
        <w:pStyle w:val="86"/>
        <w:ind w:firstLine="480"/>
        <w:rPr>
          <w:rFonts w:hint="eastAsia"/>
          <w:color w:val="auto"/>
        </w:rPr>
      </w:pPr>
      <w:r>
        <w:rPr>
          <w:rFonts w:hint="eastAsia"/>
          <w:color w:val="auto"/>
        </w:rPr>
        <w:t>（2）站场生态恢复治理</w:t>
      </w:r>
    </w:p>
    <w:p w14:paraId="0C0587EE">
      <w:pPr>
        <w:pStyle w:val="86"/>
        <w:ind w:firstLine="480"/>
        <w:rPr>
          <w:rFonts w:hint="eastAsia"/>
          <w:color w:val="auto"/>
        </w:rPr>
      </w:pPr>
      <w:bookmarkStart w:id="901" w:name="_Hlk80530047"/>
      <w:r>
        <w:rPr>
          <w:rFonts w:hint="eastAsia"/>
          <w:color w:val="auto"/>
        </w:rPr>
        <w:t>拆除井场和CNG撬装天然气浅冷处理装置内的各项生产设施，清除地面硬化、砾石铺垫，释放永久占地。最后进行场地清理，清除各种固体废物，并对占地进行平整，避免影响植被自然恢复。</w:t>
      </w:r>
      <w:bookmarkEnd w:id="901"/>
    </w:p>
    <w:p w14:paraId="4B3C5A7A">
      <w:pPr>
        <w:pStyle w:val="86"/>
        <w:ind w:firstLine="480"/>
        <w:rPr>
          <w:rFonts w:hint="eastAsia"/>
          <w:color w:val="auto"/>
        </w:rPr>
      </w:pPr>
      <w:r>
        <w:rPr>
          <w:rFonts w:hint="eastAsia"/>
          <w:color w:val="auto"/>
        </w:rPr>
        <w:t>（3）管线生态恢复</w:t>
      </w:r>
    </w:p>
    <w:p w14:paraId="6567C9D1">
      <w:pPr>
        <w:pStyle w:val="86"/>
        <w:ind w:firstLine="480"/>
        <w:rPr>
          <w:rFonts w:hint="eastAsia"/>
          <w:color w:val="auto"/>
        </w:rPr>
      </w:pPr>
      <w:bookmarkStart w:id="902" w:name="_Hlk80530867"/>
      <w:r>
        <w:rPr>
          <w:rFonts w:hint="eastAsia"/>
          <w:color w:val="auto"/>
        </w:rPr>
        <w:t>单井采油管线维持现状，避免因开挖管线对区域生态环境造成二次破坏。管线内物质应清空干净，并按要求进行吹扫，确保管线内无残留采出物，管线两端使用盲板封堵。</w:t>
      </w:r>
    </w:p>
    <w:bookmarkEnd w:id="902"/>
    <w:p w14:paraId="59B64C69">
      <w:pPr>
        <w:pStyle w:val="86"/>
        <w:ind w:firstLine="439" w:firstLineChars="183"/>
        <w:rPr>
          <w:rFonts w:hint="eastAsia"/>
          <w:color w:val="auto"/>
        </w:rPr>
      </w:pPr>
      <w:bookmarkStart w:id="903" w:name="_Hlk165553781"/>
      <w:r>
        <w:rPr>
          <w:rFonts w:hint="eastAsia"/>
          <w:color w:val="auto"/>
        </w:rPr>
        <w:t>（</w:t>
      </w:r>
      <w:r>
        <w:rPr>
          <w:color w:val="auto"/>
        </w:rPr>
        <w:t>4</w:t>
      </w:r>
      <w:r>
        <w:rPr>
          <w:rFonts w:hint="eastAsia"/>
          <w:color w:val="auto"/>
        </w:rPr>
        <w:t>）植被恢复措施及恢复要求</w:t>
      </w:r>
    </w:p>
    <w:p w14:paraId="419E5127">
      <w:pPr>
        <w:pStyle w:val="86"/>
        <w:ind w:firstLine="480"/>
        <w:rPr>
          <w:rFonts w:hint="eastAsia"/>
          <w:color w:val="auto"/>
        </w:rPr>
      </w:pPr>
      <w:bookmarkStart w:id="904" w:name="_Hlk40721908"/>
      <w:bookmarkStart w:id="905" w:name="_Hlk80530885"/>
      <w:r>
        <w:rPr>
          <w:rFonts w:hint="eastAsia"/>
          <w:color w:val="auto"/>
        </w:rPr>
        <w:t>工程施工结束后，应对临时占地内的土地进行平整，做到“工完、料净、场地清”。经治理后应做到不漏油、不漏气、不漏电，无油污、无垃圾。各种机动车辆固定线路，禁止随意开路。</w:t>
      </w:r>
    </w:p>
    <w:bookmarkEnd w:id="904"/>
    <w:p w14:paraId="719C2C6B">
      <w:pPr>
        <w:pStyle w:val="86"/>
        <w:ind w:firstLine="480"/>
        <w:rPr>
          <w:rFonts w:hint="eastAsia"/>
          <w:color w:val="auto"/>
        </w:rPr>
      </w:pPr>
      <w:r>
        <w:rPr>
          <w:rFonts w:hint="eastAsia"/>
          <w:color w:val="auto"/>
        </w:rPr>
        <w:t>采用自然恢复的方式对区域植被进行恢复，恢复后的植被覆盖率不应低于区域范围内同类型土地植被覆盖率，植被类型应与原有类型相似，并与周边自然景观协调，不得使用外来有害物种进行占地范围内的植被恢复。</w:t>
      </w:r>
    </w:p>
    <w:bookmarkEnd w:id="903"/>
    <w:p w14:paraId="0F60EA41">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906" w:name="_Toc224406027"/>
      <w:r>
        <w:rPr>
          <w:rFonts w:hint="eastAsia" w:ascii="黑体" w:hAnsi="黑体" w:eastAsia="黑体" w:cs="Times New Roman"/>
          <w:bCs/>
          <w:color w:val="auto"/>
          <w:sz w:val="28"/>
          <w:szCs w:val="32"/>
          <w14:ligatures w14:val="none"/>
        </w:rPr>
        <w:t>环境保护措施可行性分析</w:t>
      </w:r>
      <w:bookmarkEnd w:id="906"/>
    </w:p>
    <w:bookmarkEnd w:id="896"/>
    <w:bookmarkEnd w:id="897"/>
    <w:bookmarkEnd w:id="898"/>
    <w:bookmarkEnd w:id="899"/>
    <w:bookmarkEnd w:id="905"/>
    <w:p w14:paraId="140769F3">
      <w:pPr>
        <w:pStyle w:val="86"/>
        <w:ind w:firstLine="480"/>
        <w:rPr>
          <w:rFonts w:hint="eastAsia"/>
          <w:color w:val="auto"/>
        </w:rPr>
      </w:pPr>
      <w:bookmarkStart w:id="907" w:name="_Toc445840444"/>
      <w:bookmarkStart w:id="908" w:name="_Toc459026612"/>
      <w:bookmarkStart w:id="909" w:name="_Toc448413636"/>
      <w:bookmarkStart w:id="910" w:name="_Toc16453"/>
      <w:bookmarkStart w:id="911" w:name="_Toc23463"/>
      <w:bookmarkStart w:id="912" w:name="_Toc21031"/>
      <w:bookmarkStart w:id="913" w:name="_Toc475624492"/>
      <w:bookmarkStart w:id="914" w:name="_Toc445842206"/>
      <w:bookmarkStart w:id="915" w:name="_Toc445829834"/>
      <w:bookmarkStart w:id="916" w:name="_Toc445996513"/>
      <w:r>
        <w:rPr>
          <w:rFonts w:hint="eastAsia"/>
          <w:color w:val="auto"/>
        </w:rPr>
        <w:t>本次评价类比中国石油新疆油田分公司石西油田作业区同类项目来说明采取的环境保护措施的技术可行性、经济合理性、长期稳定运行和达标排放的可靠性。中国石油新疆油田分公司石西油田作业区开发多年来，油气集输大部分采用密闭集输工艺，且近年来实际生产运行过程均未发生环境风险事故，各类油气生产和储存设备、设施运转、维护基本正常。</w:t>
      </w:r>
    </w:p>
    <w:p w14:paraId="7B785ACD">
      <w:pPr>
        <w:pStyle w:val="86"/>
        <w:ind w:firstLine="480"/>
        <w:rPr>
          <w:rFonts w:hint="eastAsia"/>
          <w:color w:val="auto"/>
        </w:rPr>
      </w:pPr>
      <w:r>
        <w:rPr>
          <w:rFonts w:hint="eastAsia"/>
          <w:color w:val="auto"/>
        </w:rPr>
        <w:t>根据《</w:t>
      </w:r>
      <w:bookmarkStart w:id="917" w:name="OLE_LINK64"/>
      <w:bookmarkStart w:id="918" w:name="_Hlk36718218"/>
      <w:r>
        <w:rPr>
          <w:rFonts w:hint="eastAsia"/>
          <w:color w:val="auto"/>
        </w:rPr>
        <w:t>石西油田作业区</w:t>
      </w:r>
      <w:bookmarkEnd w:id="917"/>
      <w:r>
        <w:rPr>
          <w:rFonts w:hint="eastAsia"/>
          <w:color w:val="auto"/>
        </w:rPr>
        <w:t>2020年～2024年</w:t>
      </w:r>
      <w:bookmarkEnd w:id="918"/>
      <w:r>
        <w:rPr>
          <w:rFonts w:hint="eastAsia"/>
          <w:color w:val="auto"/>
        </w:rPr>
        <w:t>环境影响后评价报告书》评价结论可知</w:t>
      </w:r>
      <w:r>
        <w:rPr>
          <w:rFonts w:hint="eastAsia" w:cs="宋体"/>
          <w:color w:val="auto"/>
        </w:rPr>
        <w:t>，各站场厂界</w:t>
      </w:r>
      <w:r>
        <w:rPr>
          <w:rFonts w:cs="宋体"/>
          <w:color w:val="auto"/>
        </w:rPr>
        <w:t>无组织非甲烷总烃满足《</w:t>
      </w:r>
      <w:r>
        <w:rPr>
          <w:rFonts w:hint="eastAsia" w:cs="宋体"/>
          <w:color w:val="auto"/>
        </w:rPr>
        <w:t>陆上石油天然气开采工业大气污染物排放标准</w:t>
      </w:r>
      <w:r>
        <w:rPr>
          <w:rFonts w:cs="宋体"/>
          <w:color w:val="auto"/>
        </w:rPr>
        <w:t>》（GB39728</w:t>
      </w:r>
      <w:r>
        <w:rPr>
          <w:rFonts w:hint="eastAsia" w:cs="宋体"/>
          <w:color w:val="auto"/>
        </w:rPr>
        <w:t>-</w:t>
      </w:r>
      <w:r>
        <w:rPr>
          <w:rFonts w:cs="宋体"/>
          <w:color w:val="auto"/>
        </w:rPr>
        <w:t>2020</w:t>
      </w:r>
      <w:r>
        <w:rPr>
          <w:rFonts w:hint="eastAsia" w:cs="宋体"/>
          <w:color w:val="auto"/>
        </w:rPr>
        <w:t>）企业边界浓度不应超过4</w:t>
      </w:r>
      <w:r>
        <w:rPr>
          <w:rFonts w:cs="宋体"/>
          <w:color w:val="auto"/>
        </w:rPr>
        <w:t>.0mg</w:t>
      </w:r>
      <w:r>
        <w:rPr>
          <w:rFonts w:hint="eastAsia" w:cs="宋体"/>
          <w:color w:val="auto"/>
        </w:rPr>
        <w:t>/</w:t>
      </w:r>
      <w:r>
        <w:rPr>
          <w:rFonts w:cs="宋体"/>
          <w:color w:val="auto"/>
        </w:rPr>
        <w:t>m</w:t>
      </w:r>
      <w:r>
        <w:rPr>
          <w:rFonts w:cs="宋体"/>
          <w:color w:val="auto"/>
          <w:vertAlign w:val="superscript"/>
        </w:rPr>
        <w:t>3</w:t>
      </w:r>
      <w:r>
        <w:rPr>
          <w:rFonts w:hint="eastAsia" w:cs="宋体"/>
          <w:color w:val="auto"/>
        </w:rPr>
        <w:t>的要求；</w:t>
      </w:r>
      <w:r>
        <w:rPr>
          <w:rFonts w:cs="宋体"/>
          <w:color w:val="auto"/>
        </w:rPr>
        <w:t>声环境质量满足《声环境质量标准》（GB3096-2008）中2类标准限值</w:t>
      </w:r>
      <w:r>
        <w:rPr>
          <w:rFonts w:hint="eastAsia" w:cs="宋体"/>
          <w:color w:val="auto"/>
        </w:rPr>
        <w:t>；产生的废水和固体废物均得到妥善处置，</w:t>
      </w:r>
      <w:r>
        <w:rPr>
          <w:rFonts w:cs="宋体"/>
          <w:color w:val="auto"/>
        </w:rPr>
        <w:t>没有对周围环境产生重大不利影响</w:t>
      </w:r>
      <w:r>
        <w:rPr>
          <w:rFonts w:hint="eastAsia" w:cs="宋体"/>
          <w:color w:val="auto"/>
        </w:rPr>
        <w:t>；</w:t>
      </w:r>
      <w:r>
        <w:rPr>
          <w:rFonts w:cs="宋体"/>
          <w:color w:val="auto"/>
        </w:rPr>
        <w:t>永久性占地地面均进行了硬化处理，临时性占地范围内草本植被</w:t>
      </w:r>
      <w:r>
        <w:rPr>
          <w:rFonts w:hint="eastAsia" w:cs="宋体"/>
          <w:color w:val="auto"/>
        </w:rPr>
        <w:t>正在</w:t>
      </w:r>
      <w:r>
        <w:rPr>
          <w:rFonts w:cs="宋体"/>
          <w:color w:val="auto"/>
        </w:rPr>
        <w:t>恢复。</w:t>
      </w:r>
    </w:p>
    <w:p w14:paraId="53406E45">
      <w:pPr>
        <w:pStyle w:val="86"/>
        <w:ind w:firstLine="480"/>
        <w:rPr>
          <w:rFonts w:hint="eastAsia"/>
          <w:color w:val="auto"/>
        </w:rPr>
      </w:pPr>
      <w:r>
        <w:rPr>
          <w:rFonts w:hint="eastAsia"/>
          <w:color w:val="auto"/>
        </w:rPr>
        <w:t>综上所述，本次采取的环境保护措施与中国石油新疆油田分公司石西油田作业区现有的环境保护措施基本相同，均为技术可行、经济合理、稳定可靠、便于实施的成熟措施，在油田开发过程中得到广泛应用。综上所述，本次采取的环境保护措施为技术可行、经济合理、可以达到长期稳定运行和达标排放。</w:t>
      </w:r>
    </w:p>
    <w:p w14:paraId="69D33A62">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919" w:name="_Toc224406028"/>
      <w:r>
        <w:rPr>
          <w:rFonts w:ascii="黑体" w:hAnsi="黑体" w:eastAsia="黑体" w:cs="Times New Roman"/>
          <w:bCs/>
          <w:color w:val="auto"/>
          <w:sz w:val="28"/>
          <w:szCs w:val="32"/>
          <w14:ligatures w14:val="none"/>
        </w:rPr>
        <w:t>环保投资分析</w:t>
      </w:r>
      <w:bookmarkEnd w:id="907"/>
      <w:bookmarkEnd w:id="908"/>
      <w:bookmarkEnd w:id="909"/>
      <w:bookmarkEnd w:id="910"/>
      <w:bookmarkEnd w:id="911"/>
      <w:bookmarkEnd w:id="912"/>
      <w:bookmarkEnd w:id="913"/>
      <w:bookmarkEnd w:id="914"/>
      <w:bookmarkEnd w:id="915"/>
      <w:bookmarkEnd w:id="916"/>
      <w:bookmarkEnd w:id="919"/>
    </w:p>
    <w:p w14:paraId="6773C254">
      <w:pPr>
        <w:pStyle w:val="86"/>
        <w:ind w:firstLine="480"/>
        <w:rPr>
          <w:rFonts w:hint="eastAsia"/>
          <w:color w:val="auto"/>
        </w:rPr>
      </w:pPr>
      <w:bookmarkStart w:id="920" w:name="_Hlk147588038"/>
      <w:bookmarkStart w:id="921" w:name="_Hlk40722423"/>
      <w:r>
        <w:rPr>
          <w:rFonts w:hint="eastAsia"/>
          <w:color w:val="auto"/>
        </w:rPr>
        <w:t>项目总投资5500万元，</w:t>
      </w:r>
      <w:r>
        <w:rPr>
          <w:color w:val="auto"/>
        </w:rPr>
        <w:t>环保投资约</w:t>
      </w:r>
      <w:r>
        <w:rPr>
          <w:rFonts w:hint="eastAsia"/>
          <w:color w:val="auto"/>
        </w:rPr>
        <w:t>145万</w:t>
      </w:r>
      <w:r>
        <w:rPr>
          <w:color w:val="auto"/>
        </w:rPr>
        <w:t>元，占总投资的</w:t>
      </w:r>
      <w:r>
        <w:rPr>
          <w:rFonts w:hint="eastAsia"/>
          <w:color w:val="auto"/>
        </w:rPr>
        <w:t>2.64</w:t>
      </w:r>
      <w:r>
        <w:rPr>
          <w:color w:val="auto"/>
        </w:rPr>
        <w:t>%</w:t>
      </w:r>
      <w:r>
        <w:rPr>
          <w:rFonts w:hint="eastAsia"/>
          <w:color w:val="auto"/>
        </w:rPr>
        <w:t>，见表</w:t>
      </w:r>
      <w:r>
        <w:rPr>
          <w:color w:val="auto"/>
        </w:rPr>
        <w:t>6.7</w:t>
      </w:r>
      <w:r>
        <w:rPr>
          <w:rFonts w:hint="eastAsia"/>
          <w:color w:val="auto"/>
        </w:rPr>
        <w:t>-1。</w:t>
      </w:r>
    </w:p>
    <w:p w14:paraId="5EF2EC9A">
      <w:pPr>
        <w:pStyle w:val="15"/>
        <w:rPr>
          <w:rFonts w:hint="eastAsia"/>
          <w:color w:val="auto"/>
          <w:kern w:val="0"/>
        </w:rPr>
      </w:pPr>
      <w:r>
        <w:rPr>
          <w:rFonts w:hint="eastAsia"/>
          <w:color w:val="auto"/>
          <w:kern w:val="0"/>
        </w:rPr>
        <w:t>表</w:t>
      </w:r>
      <w:r>
        <w:rPr>
          <w:color w:val="auto"/>
          <w:kern w:val="0"/>
        </w:rPr>
        <w:t>6.7</w:t>
      </w:r>
      <w:r>
        <w:rPr>
          <w:rFonts w:hint="eastAsia"/>
          <w:color w:val="auto"/>
          <w:kern w:val="0"/>
        </w:rPr>
        <w:t>-</w:t>
      </w:r>
      <w:r>
        <w:rPr>
          <w:color w:val="auto"/>
          <w:kern w:val="0"/>
        </w:rPr>
        <w:t xml:space="preserve">1 </w:t>
      </w:r>
      <w:r>
        <w:rPr>
          <w:rFonts w:hint="eastAsia"/>
          <w:color w:val="auto"/>
          <w:kern w:val="0"/>
        </w:rPr>
        <w:t xml:space="preserve"> 环境保护投资估算一览表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28" w:type="dxa"/>
          <w:bottom w:w="0" w:type="dxa"/>
          <w:right w:w="28" w:type="dxa"/>
        </w:tblCellMar>
      </w:tblPr>
      <w:tblGrid>
        <w:gridCol w:w="474"/>
        <w:gridCol w:w="829"/>
        <w:gridCol w:w="1835"/>
        <w:gridCol w:w="4686"/>
        <w:gridCol w:w="942"/>
        <w:gridCol w:w="20"/>
      </w:tblGrid>
      <w:tr w14:paraId="7412DD97">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70" w:type="pct"/>
            <w:vAlign w:val="center"/>
          </w:tcPr>
          <w:p w14:paraId="286BB2DA">
            <w:pPr>
              <w:pStyle w:val="296"/>
              <w:adjustRightInd w:val="0"/>
              <w:snapToGrid w:val="0"/>
              <w:spacing w:line="300" w:lineRule="exact"/>
              <w:rPr>
                <w:rFonts w:hint="eastAsia" w:cs="宋体"/>
                <w:color w:val="auto"/>
              </w:rPr>
            </w:pPr>
            <w:r>
              <w:rPr>
                <w:rFonts w:hint="eastAsia" w:cs="宋体"/>
                <w:color w:val="auto"/>
              </w:rPr>
              <w:t>阶段</w:t>
            </w:r>
          </w:p>
        </w:tc>
        <w:tc>
          <w:tcPr>
            <w:tcW w:w="472" w:type="pct"/>
            <w:vAlign w:val="center"/>
          </w:tcPr>
          <w:p w14:paraId="46B9260B">
            <w:pPr>
              <w:pStyle w:val="296"/>
              <w:adjustRightInd w:val="0"/>
              <w:snapToGrid w:val="0"/>
              <w:spacing w:line="300" w:lineRule="exact"/>
              <w:rPr>
                <w:rFonts w:hint="eastAsia" w:cs="宋体"/>
                <w:color w:val="auto"/>
              </w:rPr>
            </w:pPr>
            <w:r>
              <w:rPr>
                <w:rFonts w:hint="eastAsia" w:cs="宋体"/>
                <w:color w:val="auto"/>
              </w:rPr>
              <w:t>环境</w:t>
            </w:r>
          </w:p>
          <w:p w14:paraId="47F54D76">
            <w:pPr>
              <w:pStyle w:val="296"/>
              <w:adjustRightInd w:val="0"/>
              <w:snapToGrid w:val="0"/>
              <w:spacing w:line="300" w:lineRule="exact"/>
              <w:rPr>
                <w:rFonts w:hint="eastAsia" w:cs="宋体"/>
                <w:color w:val="auto"/>
              </w:rPr>
            </w:pPr>
            <w:r>
              <w:rPr>
                <w:rFonts w:hint="eastAsia" w:cs="宋体"/>
                <w:color w:val="auto"/>
              </w:rPr>
              <w:t>要素</w:t>
            </w:r>
          </w:p>
        </w:tc>
        <w:tc>
          <w:tcPr>
            <w:tcW w:w="1044" w:type="pct"/>
            <w:vAlign w:val="center"/>
          </w:tcPr>
          <w:p w14:paraId="28A97D10">
            <w:pPr>
              <w:pStyle w:val="296"/>
              <w:adjustRightInd w:val="0"/>
              <w:snapToGrid w:val="0"/>
              <w:spacing w:line="300" w:lineRule="exact"/>
              <w:rPr>
                <w:rFonts w:hint="eastAsia" w:cs="宋体"/>
                <w:color w:val="auto"/>
              </w:rPr>
            </w:pPr>
            <w:r>
              <w:rPr>
                <w:rFonts w:hint="eastAsia" w:cs="宋体"/>
                <w:color w:val="auto"/>
              </w:rPr>
              <w:t>类别</w:t>
            </w:r>
          </w:p>
        </w:tc>
        <w:tc>
          <w:tcPr>
            <w:tcW w:w="2667" w:type="pct"/>
            <w:vAlign w:val="center"/>
          </w:tcPr>
          <w:p w14:paraId="092F9673">
            <w:pPr>
              <w:pStyle w:val="296"/>
              <w:adjustRightInd w:val="0"/>
              <w:snapToGrid w:val="0"/>
              <w:spacing w:line="300" w:lineRule="exact"/>
              <w:rPr>
                <w:rFonts w:hint="eastAsia" w:cs="宋体"/>
                <w:color w:val="auto"/>
              </w:rPr>
            </w:pPr>
            <w:r>
              <w:rPr>
                <w:rFonts w:hint="eastAsia" w:cs="宋体"/>
                <w:color w:val="auto"/>
              </w:rPr>
              <w:t>环保措施</w:t>
            </w:r>
          </w:p>
        </w:tc>
        <w:tc>
          <w:tcPr>
            <w:tcW w:w="547" w:type="pct"/>
            <w:gridSpan w:val="2"/>
            <w:vAlign w:val="center"/>
          </w:tcPr>
          <w:p w14:paraId="01AB5FC5">
            <w:pPr>
              <w:pStyle w:val="296"/>
              <w:adjustRightInd w:val="0"/>
              <w:snapToGrid w:val="0"/>
              <w:spacing w:line="300" w:lineRule="exact"/>
              <w:rPr>
                <w:rFonts w:hint="eastAsia" w:cs="宋体"/>
                <w:color w:val="auto"/>
              </w:rPr>
            </w:pPr>
            <w:r>
              <w:rPr>
                <w:rFonts w:hint="eastAsia" w:cs="宋体"/>
                <w:color w:val="auto"/>
              </w:rPr>
              <w:t>投资</w:t>
            </w:r>
          </w:p>
          <w:p w14:paraId="2685BF91">
            <w:pPr>
              <w:pStyle w:val="296"/>
              <w:adjustRightInd w:val="0"/>
              <w:snapToGrid w:val="0"/>
              <w:spacing w:line="300" w:lineRule="exact"/>
              <w:rPr>
                <w:rFonts w:hint="eastAsia" w:cs="宋体"/>
                <w:color w:val="auto"/>
              </w:rPr>
            </w:pPr>
            <w:r>
              <w:rPr>
                <w:rFonts w:hint="eastAsia" w:cs="宋体"/>
                <w:color w:val="auto"/>
              </w:rPr>
              <w:t>（万元）</w:t>
            </w:r>
          </w:p>
        </w:tc>
      </w:tr>
      <w:tr w14:paraId="5368747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70" w:type="pct"/>
            <w:vMerge w:val="restart"/>
            <w:vAlign w:val="center"/>
          </w:tcPr>
          <w:p w14:paraId="12CBD861">
            <w:pPr>
              <w:pStyle w:val="296"/>
              <w:adjustRightInd w:val="0"/>
              <w:snapToGrid w:val="0"/>
              <w:spacing w:line="300" w:lineRule="exact"/>
              <w:rPr>
                <w:rFonts w:hint="eastAsia" w:cs="宋体"/>
                <w:color w:val="auto"/>
              </w:rPr>
            </w:pPr>
            <w:r>
              <w:rPr>
                <w:rFonts w:hint="eastAsia" w:cs="宋体"/>
                <w:color w:val="auto"/>
              </w:rPr>
              <w:t>施</w:t>
            </w:r>
          </w:p>
          <w:p w14:paraId="3138B1B8">
            <w:pPr>
              <w:pStyle w:val="296"/>
              <w:adjustRightInd w:val="0"/>
              <w:snapToGrid w:val="0"/>
              <w:spacing w:line="300" w:lineRule="exact"/>
              <w:rPr>
                <w:rFonts w:hint="eastAsia" w:cs="宋体"/>
                <w:color w:val="auto"/>
              </w:rPr>
            </w:pPr>
            <w:r>
              <w:rPr>
                <w:rFonts w:hint="eastAsia" w:cs="宋体"/>
                <w:color w:val="auto"/>
              </w:rPr>
              <w:t>工</w:t>
            </w:r>
          </w:p>
          <w:p w14:paraId="6706A753">
            <w:pPr>
              <w:pStyle w:val="296"/>
              <w:adjustRightInd w:val="0"/>
              <w:snapToGrid w:val="0"/>
              <w:spacing w:line="300" w:lineRule="exact"/>
              <w:rPr>
                <w:rFonts w:hint="eastAsia" w:cs="宋体"/>
                <w:color w:val="auto"/>
              </w:rPr>
            </w:pPr>
            <w:r>
              <w:rPr>
                <w:rFonts w:hint="eastAsia" w:cs="宋体"/>
                <w:color w:val="auto"/>
              </w:rPr>
              <w:t>期</w:t>
            </w:r>
          </w:p>
        </w:tc>
        <w:tc>
          <w:tcPr>
            <w:tcW w:w="472" w:type="pct"/>
            <w:vAlign w:val="center"/>
          </w:tcPr>
          <w:p w14:paraId="054DFFEF">
            <w:pPr>
              <w:pStyle w:val="296"/>
              <w:adjustRightInd w:val="0"/>
              <w:snapToGrid w:val="0"/>
              <w:spacing w:line="300" w:lineRule="exact"/>
              <w:rPr>
                <w:rFonts w:hint="eastAsia" w:cs="宋体"/>
                <w:color w:val="auto"/>
              </w:rPr>
            </w:pPr>
            <w:r>
              <w:rPr>
                <w:rFonts w:hint="eastAsia" w:cs="宋体"/>
                <w:color w:val="auto"/>
              </w:rPr>
              <w:t>生态</w:t>
            </w:r>
          </w:p>
          <w:p w14:paraId="1C603311">
            <w:pPr>
              <w:pStyle w:val="296"/>
              <w:adjustRightInd w:val="0"/>
              <w:snapToGrid w:val="0"/>
              <w:spacing w:line="300" w:lineRule="exact"/>
              <w:rPr>
                <w:rFonts w:hint="eastAsia" w:cs="宋体"/>
                <w:color w:val="auto"/>
              </w:rPr>
            </w:pPr>
            <w:r>
              <w:rPr>
                <w:rFonts w:hint="eastAsia" w:cs="宋体"/>
                <w:color w:val="auto"/>
              </w:rPr>
              <w:t>环境</w:t>
            </w:r>
          </w:p>
        </w:tc>
        <w:tc>
          <w:tcPr>
            <w:tcW w:w="1044" w:type="pct"/>
            <w:vAlign w:val="center"/>
          </w:tcPr>
          <w:p w14:paraId="3193D257">
            <w:pPr>
              <w:pStyle w:val="296"/>
              <w:adjustRightInd w:val="0"/>
              <w:snapToGrid w:val="0"/>
              <w:spacing w:line="300" w:lineRule="exact"/>
              <w:rPr>
                <w:rFonts w:hint="eastAsia" w:cs="宋体"/>
                <w:color w:val="auto"/>
              </w:rPr>
            </w:pPr>
            <w:r>
              <w:rPr>
                <w:rFonts w:hint="eastAsia" w:cs="宋体"/>
                <w:color w:val="auto"/>
              </w:rPr>
              <w:t>临时占地</w:t>
            </w:r>
          </w:p>
        </w:tc>
        <w:tc>
          <w:tcPr>
            <w:tcW w:w="2667" w:type="pct"/>
            <w:vAlign w:val="center"/>
          </w:tcPr>
          <w:p w14:paraId="0EF9322B">
            <w:pPr>
              <w:pStyle w:val="296"/>
              <w:adjustRightInd w:val="0"/>
              <w:snapToGrid w:val="0"/>
              <w:spacing w:line="300" w:lineRule="exact"/>
              <w:rPr>
                <w:rFonts w:hint="eastAsia" w:cs="宋体"/>
                <w:color w:val="auto"/>
              </w:rPr>
            </w:pPr>
            <w:r>
              <w:rPr>
                <w:rFonts w:hint="eastAsia" w:cs="宋体"/>
                <w:color w:val="auto"/>
              </w:rPr>
              <w:t>对占地造成的生态破坏进行经济补偿，完工后迹地清理并平整压实、临时占地释放后植被和土壤的恢复</w:t>
            </w:r>
          </w:p>
        </w:tc>
        <w:tc>
          <w:tcPr>
            <w:tcW w:w="547" w:type="pct"/>
            <w:gridSpan w:val="2"/>
            <w:vAlign w:val="center"/>
          </w:tcPr>
          <w:p w14:paraId="090657F1">
            <w:pPr>
              <w:overflowPunct w:val="0"/>
              <w:adjustRightInd w:val="0"/>
              <w:snapToGrid w:val="0"/>
              <w:spacing w:line="300" w:lineRule="exact"/>
              <w:jc w:val="center"/>
              <w:rPr>
                <w:rFonts w:hint="eastAsia" w:ascii="宋体" w:hAnsi="宋体" w:cs="宋体"/>
                <w:color w:val="auto"/>
                <w:spacing w:val="4"/>
                <w:szCs w:val="21"/>
              </w:rPr>
            </w:pPr>
            <w:r>
              <w:rPr>
                <w:rFonts w:hint="eastAsia" w:ascii="宋体" w:hAnsi="宋体" w:cs="宋体"/>
                <w:color w:val="auto"/>
                <w:spacing w:val="4"/>
                <w:szCs w:val="21"/>
              </w:rPr>
              <w:t>40</w:t>
            </w:r>
          </w:p>
        </w:tc>
      </w:tr>
      <w:tr w14:paraId="30971662">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70" w:type="pct"/>
            <w:vMerge w:val="continue"/>
            <w:vAlign w:val="center"/>
          </w:tcPr>
          <w:p w14:paraId="6949EB99">
            <w:pPr>
              <w:pStyle w:val="296"/>
              <w:adjustRightInd w:val="0"/>
              <w:snapToGrid w:val="0"/>
              <w:spacing w:line="300" w:lineRule="exact"/>
              <w:rPr>
                <w:rFonts w:hint="eastAsia" w:cs="宋体"/>
                <w:color w:val="auto"/>
              </w:rPr>
            </w:pPr>
          </w:p>
        </w:tc>
        <w:tc>
          <w:tcPr>
            <w:tcW w:w="472" w:type="pct"/>
            <w:vMerge w:val="restart"/>
            <w:vAlign w:val="center"/>
          </w:tcPr>
          <w:p w14:paraId="53E04704">
            <w:pPr>
              <w:pStyle w:val="296"/>
              <w:adjustRightInd w:val="0"/>
              <w:snapToGrid w:val="0"/>
              <w:spacing w:line="300" w:lineRule="exact"/>
              <w:rPr>
                <w:rFonts w:hint="eastAsia" w:cs="宋体"/>
                <w:color w:val="auto"/>
              </w:rPr>
            </w:pPr>
            <w:r>
              <w:rPr>
                <w:rFonts w:hint="eastAsia" w:cs="宋体"/>
                <w:color w:val="auto"/>
              </w:rPr>
              <w:t>废气</w:t>
            </w:r>
          </w:p>
        </w:tc>
        <w:tc>
          <w:tcPr>
            <w:tcW w:w="1044" w:type="pct"/>
            <w:vAlign w:val="center"/>
          </w:tcPr>
          <w:p w14:paraId="5E1136A6">
            <w:pPr>
              <w:pStyle w:val="296"/>
              <w:adjustRightInd w:val="0"/>
              <w:snapToGrid w:val="0"/>
              <w:spacing w:line="300" w:lineRule="exact"/>
              <w:rPr>
                <w:rFonts w:hint="eastAsia" w:cs="宋体"/>
                <w:color w:val="auto"/>
              </w:rPr>
            </w:pPr>
            <w:r>
              <w:rPr>
                <w:rFonts w:hint="eastAsia" w:cs="宋体"/>
                <w:color w:val="auto"/>
              </w:rPr>
              <w:t>施工扬尘</w:t>
            </w:r>
          </w:p>
        </w:tc>
        <w:tc>
          <w:tcPr>
            <w:tcW w:w="2667" w:type="pct"/>
            <w:vAlign w:val="center"/>
          </w:tcPr>
          <w:p w14:paraId="556A621C">
            <w:pPr>
              <w:pStyle w:val="296"/>
              <w:adjustRightInd w:val="0"/>
              <w:snapToGrid w:val="0"/>
              <w:spacing w:line="300" w:lineRule="exact"/>
              <w:rPr>
                <w:rFonts w:hint="eastAsia" w:cs="宋体"/>
                <w:color w:val="auto"/>
              </w:rPr>
            </w:pPr>
            <w:r>
              <w:rPr>
                <w:rFonts w:hint="eastAsia" w:cs="宋体"/>
                <w:color w:val="auto"/>
              </w:rPr>
              <w:t>运输车辆应加盖篷布，临时土方覆盖，防尘布（或网），逸散性材料运输采用苫布遮盖</w:t>
            </w:r>
          </w:p>
        </w:tc>
        <w:tc>
          <w:tcPr>
            <w:tcW w:w="547" w:type="pct"/>
            <w:gridSpan w:val="2"/>
            <w:vAlign w:val="center"/>
          </w:tcPr>
          <w:p w14:paraId="6D42A3E9">
            <w:pPr>
              <w:pStyle w:val="296"/>
              <w:adjustRightInd w:val="0"/>
              <w:snapToGrid w:val="0"/>
              <w:spacing w:line="300" w:lineRule="exact"/>
              <w:rPr>
                <w:rFonts w:hint="eastAsia" w:cs="宋体"/>
                <w:color w:val="auto"/>
              </w:rPr>
            </w:pPr>
            <w:r>
              <w:rPr>
                <w:rFonts w:hint="eastAsia" w:cs="宋体"/>
                <w:color w:val="auto"/>
              </w:rPr>
              <w:t>3</w:t>
            </w:r>
          </w:p>
        </w:tc>
      </w:tr>
      <w:tr w14:paraId="3938549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70" w:type="pct"/>
            <w:vMerge w:val="continue"/>
            <w:vAlign w:val="center"/>
          </w:tcPr>
          <w:p w14:paraId="2F428771">
            <w:pPr>
              <w:pStyle w:val="296"/>
              <w:adjustRightInd w:val="0"/>
              <w:snapToGrid w:val="0"/>
              <w:spacing w:line="300" w:lineRule="exact"/>
              <w:rPr>
                <w:rFonts w:hint="eastAsia" w:cs="宋体"/>
                <w:color w:val="auto"/>
              </w:rPr>
            </w:pPr>
          </w:p>
        </w:tc>
        <w:tc>
          <w:tcPr>
            <w:tcW w:w="472" w:type="pct"/>
            <w:vMerge w:val="continue"/>
            <w:vAlign w:val="center"/>
          </w:tcPr>
          <w:p w14:paraId="2652CBB9">
            <w:pPr>
              <w:pStyle w:val="296"/>
              <w:adjustRightInd w:val="0"/>
              <w:snapToGrid w:val="0"/>
              <w:spacing w:line="300" w:lineRule="exact"/>
              <w:rPr>
                <w:rFonts w:hint="eastAsia" w:cs="宋体"/>
                <w:color w:val="auto"/>
              </w:rPr>
            </w:pPr>
          </w:p>
        </w:tc>
        <w:tc>
          <w:tcPr>
            <w:tcW w:w="1044" w:type="pct"/>
            <w:vAlign w:val="center"/>
          </w:tcPr>
          <w:p w14:paraId="515E5199">
            <w:pPr>
              <w:pStyle w:val="296"/>
              <w:adjustRightInd w:val="0"/>
              <w:snapToGrid w:val="0"/>
              <w:spacing w:line="300" w:lineRule="exact"/>
              <w:rPr>
                <w:rFonts w:hint="eastAsia" w:cs="宋体"/>
                <w:color w:val="auto"/>
                <w:spacing w:val="-4"/>
              </w:rPr>
            </w:pPr>
            <w:r>
              <w:rPr>
                <w:rFonts w:hint="eastAsia" w:cs="宋体"/>
                <w:color w:val="auto"/>
                <w:spacing w:val="-4"/>
              </w:rPr>
              <w:t>施工机械和施工车辆尾气</w:t>
            </w:r>
          </w:p>
        </w:tc>
        <w:tc>
          <w:tcPr>
            <w:tcW w:w="2667" w:type="pct"/>
            <w:vAlign w:val="center"/>
          </w:tcPr>
          <w:p w14:paraId="2A6D28CF">
            <w:pPr>
              <w:pStyle w:val="296"/>
              <w:adjustRightInd w:val="0"/>
              <w:snapToGrid w:val="0"/>
              <w:spacing w:line="300" w:lineRule="exact"/>
              <w:rPr>
                <w:rFonts w:hint="eastAsia" w:cs="宋体"/>
                <w:color w:val="auto"/>
                <w:spacing w:val="-4"/>
              </w:rPr>
            </w:pPr>
            <w:r>
              <w:rPr>
                <w:rFonts w:hint="eastAsia" w:cs="宋体"/>
                <w:color w:val="auto"/>
                <w:spacing w:val="-4"/>
              </w:rPr>
              <w:t>使用达标油品，加强设备维护</w:t>
            </w:r>
          </w:p>
        </w:tc>
        <w:tc>
          <w:tcPr>
            <w:tcW w:w="547" w:type="pct"/>
            <w:gridSpan w:val="2"/>
            <w:vAlign w:val="center"/>
          </w:tcPr>
          <w:p w14:paraId="38C358F4">
            <w:pPr>
              <w:pStyle w:val="296"/>
              <w:adjustRightInd w:val="0"/>
              <w:snapToGrid w:val="0"/>
              <w:spacing w:line="300" w:lineRule="exact"/>
              <w:rPr>
                <w:rFonts w:hint="eastAsia" w:cs="宋体"/>
                <w:color w:val="auto"/>
              </w:rPr>
            </w:pPr>
            <w:r>
              <w:rPr>
                <w:rFonts w:hint="eastAsia" w:cs="宋体"/>
                <w:color w:val="auto"/>
              </w:rPr>
              <w:t>3</w:t>
            </w:r>
          </w:p>
        </w:tc>
      </w:tr>
      <w:tr w14:paraId="4E40B9A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70" w:type="pct"/>
            <w:vMerge w:val="continue"/>
            <w:vAlign w:val="center"/>
          </w:tcPr>
          <w:p w14:paraId="41131248">
            <w:pPr>
              <w:pStyle w:val="296"/>
              <w:adjustRightInd w:val="0"/>
              <w:snapToGrid w:val="0"/>
              <w:spacing w:line="300" w:lineRule="exact"/>
              <w:rPr>
                <w:rFonts w:hint="eastAsia" w:cs="宋体"/>
                <w:color w:val="auto"/>
              </w:rPr>
            </w:pPr>
          </w:p>
        </w:tc>
        <w:tc>
          <w:tcPr>
            <w:tcW w:w="472" w:type="pct"/>
            <w:vAlign w:val="center"/>
          </w:tcPr>
          <w:p w14:paraId="13B128AE">
            <w:pPr>
              <w:pStyle w:val="296"/>
              <w:adjustRightInd w:val="0"/>
              <w:snapToGrid w:val="0"/>
              <w:spacing w:line="300" w:lineRule="exact"/>
              <w:rPr>
                <w:rFonts w:hint="eastAsia" w:cs="宋体"/>
                <w:color w:val="auto"/>
              </w:rPr>
            </w:pPr>
            <w:r>
              <w:rPr>
                <w:rFonts w:hint="eastAsia" w:cs="宋体"/>
                <w:color w:val="auto"/>
              </w:rPr>
              <w:t>噪声</w:t>
            </w:r>
          </w:p>
        </w:tc>
        <w:tc>
          <w:tcPr>
            <w:tcW w:w="1044" w:type="pct"/>
            <w:vAlign w:val="center"/>
          </w:tcPr>
          <w:p w14:paraId="0E724A7E">
            <w:pPr>
              <w:pStyle w:val="296"/>
              <w:adjustRightInd w:val="0"/>
              <w:snapToGrid w:val="0"/>
              <w:spacing w:line="300" w:lineRule="exact"/>
              <w:rPr>
                <w:rFonts w:hint="eastAsia" w:cs="宋体"/>
                <w:color w:val="auto"/>
                <w:spacing w:val="-4"/>
              </w:rPr>
            </w:pPr>
            <w:r>
              <w:rPr>
                <w:rFonts w:hint="eastAsia" w:cs="宋体"/>
                <w:color w:val="auto"/>
                <w:spacing w:val="-4"/>
              </w:rPr>
              <w:t>噪声</w:t>
            </w:r>
          </w:p>
        </w:tc>
        <w:tc>
          <w:tcPr>
            <w:tcW w:w="2667" w:type="pct"/>
            <w:vAlign w:val="center"/>
          </w:tcPr>
          <w:p w14:paraId="51A08EDA">
            <w:pPr>
              <w:pStyle w:val="296"/>
              <w:adjustRightInd w:val="0"/>
              <w:snapToGrid w:val="0"/>
              <w:spacing w:line="300" w:lineRule="exact"/>
              <w:rPr>
                <w:rFonts w:hint="eastAsia" w:cs="宋体"/>
                <w:color w:val="auto"/>
                <w:spacing w:val="-4"/>
              </w:rPr>
            </w:pPr>
            <w:r>
              <w:rPr>
                <w:rFonts w:hint="eastAsia" w:cs="宋体"/>
                <w:color w:val="auto"/>
                <w:spacing w:val="-4"/>
              </w:rPr>
              <w:t>采用低噪声设备、基础减振，加强维修</w:t>
            </w:r>
          </w:p>
        </w:tc>
        <w:tc>
          <w:tcPr>
            <w:tcW w:w="547" w:type="pct"/>
            <w:gridSpan w:val="2"/>
            <w:vAlign w:val="center"/>
          </w:tcPr>
          <w:p w14:paraId="17951B30">
            <w:pPr>
              <w:pStyle w:val="296"/>
              <w:adjustRightInd w:val="0"/>
              <w:snapToGrid w:val="0"/>
              <w:spacing w:line="300" w:lineRule="exact"/>
              <w:rPr>
                <w:rFonts w:hint="eastAsia" w:cs="宋体"/>
                <w:color w:val="auto"/>
              </w:rPr>
            </w:pPr>
            <w:r>
              <w:rPr>
                <w:rFonts w:hint="eastAsia" w:cs="宋体"/>
                <w:color w:val="auto"/>
              </w:rPr>
              <w:t>3</w:t>
            </w:r>
          </w:p>
        </w:tc>
      </w:tr>
      <w:tr w14:paraId="3F7E088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70" w:type="pct"/>
            <w:vMerge w:val="continue"/>
            <w:vAlign w:val="center"/>
          </w:tcPr>
          <w:p w14:paraId="24203FB9">
            <w:pPr>
              <w:pStyle w:val="296"/>
              <w:adjustRightInd w:val="0"/>
              <w:snapToGrid w:val="0"/>
              <w:spacing w:line="300" w:lineRule="exact"/>
              <w:rPr>
                <w:rFonts w:hint="eastAsia" w:cs="宋体"/>
                <w:color w:val="auto"/>
              </w:rPr>
            </w:pPr>
          </w:p>
        </w:tc>
        <w:tc>
          <w:tcPr>
            <w:tcW w:w="472" w:type="pct"/>
            <w:vAlign w:val="center"/>
          </w:tcPr>
          <w:p w14:paraId="04396B2F">
            <w:pPr>
              <w:pStyle w:val="296"/>
              <w:adjustRightInd w:val="0"/>
              <w:snapToGrid w:val="0"/>
              <w:spacing w:line="300" w:lineRule="exact"/>
              <w:rPr>
                <w:rFonts w:hint="eastAsia" w:cs="宋体"/>
                <w:color w:val="auto"/>
              </w:rPr>
            </w:pPr>
            <w:r>
              <w:rPr>
                <w:rFonts w:hint="eastAsia" w:cs="宋体"/>
                <w:color w:val="auto"/>
              </w:rPr>
              <w:t>固体</w:t>
            </w:r>
          </w:p>
          <w:p w14:paraId="29D1AEC9">
            <w:pPr>
              <w:pStyle w:val="296"/>
              <w:adjustRightInd w:val="0"/>
              <w:snapToGrid w:val="0"/>
              <w:spacing w:line="300" w:lineRule="exact"/>
              <w:rPr>
                <w:rFonts w:hint="eastAsia" w:cs="宋体"/>
                <w:color w:val="auto"/>
              </w:rPr>
            </w:pPr>
            <w:r>
              <w:rPr>
                <w:rFonts w:hint="eastAsia" w:cs="宋体"/>
                <w:color w:val="auto"/>
              </w:rPr>
              <w:t>废物</w:t>
            </w:r>
          </w:p>
        </w:tc>
        <w:tc>
          <w:tcPr>
            <w:tcW w:w="1044" w:type="pct"/>
            <w:vAlign w:val="center"/>
          </w:tcPr>
          <w:p w14:paraId="6C2B1E26">
            <w:pPr>
              <w:pStyle w:val="296"/>
              <w:adjustRightInd w:val="0"/>
              <w:snapToGrid w:val="0"/>
              <w:spacing w:line="300" w:lineRule="exact"/>
              <w:rPr>
                <w:rFonts w:hint="eastAsia" w:cs="宋体"/>
                <w:color w:val="auto"/>
                <w:spacing w:val="-4"/>
              </w:rPr>
            </w:pPr>
            <w:r>
              <w:rPr>
                <w:rFonts w:hint="eastAsia" w:cs="宋体"/>
                <w:color w:val="auto"/>
              </w:rPr>
              <w:t>建筑垃圾</w:t>
            </w:r>
          </w:p>
        </w:tc>
        <w:tc>
          <w:tcPr>
            <w:tcW w:w="2667" w:type="pct"/>
            <w:vAlign w:val="center"/>
          </w:tcPr>
          <w:p w14:paraId="4D307C6F">
            <w:pPr>
              <w:pStyle w:val="296"/>
              <w:adjustRightInd w:val="0"/>
              <w:snapToGrid w:val="0"/>
              <w:spacing w:line="300" w:lineRule="exact"/>
              <w:rPr>
                <w:rFonts w:hint="eastAsia" w:cs="宋体"/>
                <w:color w:val="auto"/>
                <w:spacing w:val="-4"/>
              </w:rPr>
            </w:pPr>
            <w:r>
              <w:rPr>
                <w:rFonts w:hint="eastAsia" w:cs="宋体"/>
                <w:color w:val="auto"/>
              </w:rPr>
              <w:t>送至当地建筑垃圾填埋场</w:t>
            </w:r>
          </w:p>
        </w:tc>
        <w:tc>
          <w:tcPr>
            <w:tcW w:w="547" w:type="pct"/>
            <w:gridSpan w:val="2"/>
            <w:vAlign w:val="center"/>
          </w:tcPr>
          <w:p w14:paraId="58228610">
            <w:pPr>
              <w:pStyle w:val="296"/>
              <w:adjustRightInd w:val="0"/>
              <w:snapToGrid w:val="0"/>
              <w:spacing w:line="300" w:lineRule="exact"/>
              <w:rPr>
                <w:rFonts w:hint="eastAsia" w:cs="宋体"/>
                <w:color w:val="auto"/>
              </w:rPr>
            </w:pPr>
            <w:r>
              <w:rPr>
                <w:rFonts w:hint="eastAsia" w:cs="宋体"/>
                <w:color w:val="auto"/>
              </w:rPr>
              <w:t>2</w:t>
            </w:r>
          </w:p>
        </w:tc>
      </w:tr>
      <w:tr w14:paraId="1F1763E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70" w:type="pct"/>
            <w:vMerge w:val="restart"/>
            <w:vAlign w:val="center"/>
          </w:tcPr>
          <w:p w14:paraId="611AE2E9">
            <w:pPr>
              <w:pStyle w:val="296"/>
              <w:adjustRightInd w:val="0"/>
              <w:snapToGrid w:val="0"/>
              <w:spacing w:line="300" w:lineRule="exact"/>
              <w:rPr>
                <w:rFonts w:hint="eastAsia" w:cs="宋体"/>
                <w:color w:val="auto"/>
              </w:rPr>
            </w:pPr>
            <w:r>
              <w:rPr>
                <w:rFonts w:hint="eastAsia" w:cs="宋体"/>
                <w:color w:val="auto"/>
              </w:rPr>
              <w:t>运</w:t>
            </w:r>
          </w:p>
          <w:p w14:paraId="5F7FEEBE">
            <w:pPr>
              <w:pStyle w:val="296"/>
              <w:adjustRightInd w:val="0"/>
              <w:snapToGrid w:val="0"/>
              <w:spacing w:line="300" w:lineRule="exact"/>
              <w:rPr>
                <w:rFonts w:hint="eastAsia" w:cs="宋体"/>
                <w:color w:val="auto"/>
              </w:rPr>
            </w:pPr>
            <w:r>
              <w:rPr>
                <w:rFonts w:hint="eastAsia" w:cs="宋体"/>
                <w:color w:val="auto"/>
              </w:rPr>
              <w:t>营</w:t>
            </w:r>
          </w:p>
          <w:p w14:paraId="49F6D0A8">
            <w:pPr>
              <w:pStyle w:val="296"/>
              <w:adjustRightInd w:val="0"/>
              <w:snapToGrid w:val="0"/>
              <w:spacing w:line="300" w:lineRule="exact"/>
              <w:rPr>
                <w:rFonts w:hint="eastAsia" w:cs="宋体"/>
                <w:color w:val="auto"/>
              </w:rPr>
            </w:pPr>
            <w:r>
              <w:rPr>
                <w:rFonts w:hint="eastAsia" w:cs="宋体"/>
                <w:color w:val="auto"/>
              </w:rPr>
              <w:t>期</w:t>
            </w:r>
          </w:p>
        </w:tc>
        <w:tc>
          <w:tcPr>
            <w:tcW w:w="472" w:type="pct"/>
            <w:vMerge w:val="restart"/>
            <w:vAlign w:val="center"/>
          </w:tcPr>
          <w:p w14:paraId="1CAF8A82">
            <w:pPr>
              <w:pStyle w:val="296"/>
              <w:adjustRightInd w:val="0"/>
              <w:snapToGrid w:val="0"/>
              <w:spacing w:line="300" w:lineRule="exact"/>
              <w:rPr>
                <w:rFonts w:hint="eastAsia" w:cs="宋体"/>
                <w:color w:val="auto"/>
              </w:rPr>
            </w:pPr>
            <w:r>
              <w:rPr>
                <w:rFonts w:hint="eastAsia" w:cs="宋体"/>
                <w:color w:val="auto"/>
              </w:rPr>
              <w:t>废气</w:t>
            </w:r>
          </w:p>
        </w:tc>
        <w:tc>
          <w:tcPr>
            <w:tcW w:w="1044" w:type="pct"/>
            <w:vAlign w:val="center"/>
          </w:tcPr>
          <w:p w14:paraId="15617006">
            <w:pPr>
              <w:pStyle w:val="296"/>
              <w:adjustRightInd w:val="0"/>
              <w:snapToGrid w:val="0"/>
              <w:spacing w:line="300" w:lineRule="exact"/>
              <w:rPr>
                <w:rFonts w:hint="eastAsia" w:cs="宋体"/>
                <w:color w:val="auto"/>
              </w:rPr>
            </w:pPr>
            <w:r>
              <w:rPr>
                <w:rFonts w:hint="eastAsia" w:cs="宋体"/>
                <w:color w:val="auto"/>
              </w:rPr>
              <w:t>无组织挥发烃类</w:t>
            </w:r>
          </w:p>
        </w:tc>
        <w:tc>
          <w:tcPr>
            <w:tcW w:w="2667" w:type="pct"/>
            <w:vAlign w:val="center"/>
          </w:tcPr>
          <w:p w14:paraId="56136501">
            <w:pPr>
              <w:pStyle w:val="296"/>
              <w:adjustRightInd w:val="0"/>
              <w:snapToGrid w:val="0"/>
              <w:spacing w:line="300" w:lineRule="exact"/>
              <w:rPr>
                <w:rFonts w:hint="eastAsia" w:cs="宋体"/>
                <w:color w:val="auto"/>
              </w:rPr>
            </w:pPr>
            <w:r>
              <w:rPr>
                <w:rFonts w:hint="eastAsia" w:cs="宋体"/>
                <w:color w:val="auto"/>
              </w:rPr>
              <w:t>天然气集输及处理均采用密闭工艺，选用技术质量可靠的设备、仪表控制、阀门，加强巡检</w:t>
            </w:r>
          </w:p>
        </w:tc>
        <w:tc>
          <w:tcPr>
            <w:tcW w:w="547" w:type="pct"/>
            <w:gridSpan w:val="2"/>
            <w:vAlign w:val="center"/>
          </w:tcPr>
          <w:p w14:paraId="4116B480">
            <w:pPr>
              <w:pStyle w:val="296"/>
              <w:adjustRightInd w:val="0"/>
              <w:snapToGrid w:val="0"/>
              <w:spacing w:line="300" w:lineRule="exact"/>
              <w:rPr>
                <w:rFonts w:hint="eastAsia" w:cs="宋体"/>
                <w:color w:val="auto"/>
              </w:rPr>
            </w:pPr>
            <w:r>
              <w:rPr>
                <w:rFonts w:hint="eastAsia" w:cs="宋体"/>
                <w:color w:val="auto"/>
              </w:rPr>
              <w:t>6</w:t>
            </w:r>
          </w:p>
        </w:tc>
      </w:tr>
      <w:tr w14:paraId="062D7B4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70" w:type="pct"/>
            <w:vMerge w:val="continue"/>
            <w:vAlign w:val="center"/>
          </w:tcPr>
          <w:p w14:paraId="5F5F45E4">
            <w:pPr>
              <w:pStyle w:val="296"/>
              <w:adjustRightInd w:val="0"/>
              <w:snapToGrid w:val="0"/>
              <w:spacing w:line="300" w:lineRule="exact"/>
              <w:rPr>
                <w:rFonts w:hint="eastAsia" w:cs="宋体"/>
                <w:color w:val="auto"/>
              </w:rPr>
            </w:pPr>
          </w:p>
        </w:tc>
        <w:tc>
          <w:tcPr>
            <w:tcW w:w="472" w:type="pct"/>
            <w:vMerge w:val="continue"/>
            <w:vAlign w:val="center"/>
          </w:tcPr>
          <w:p w14:paraId="65091A89">
            <w:pPr>
              <w:pStyle w:val="296"/>
              <w:adjustRightInd w:val="0"/>
              <w:snapToGrid w:val="0"/>
              <w:spacing w:line="300" w:lineRule="exact"/>
              <w:rPr>
                <w:rFonts w:hint="eastAsia" w:cs="宋体"/>
                <w:color w:val="auto"/>
              </w:rPr>
            </w:pPr>
          </w:p>
        </w:tc>
        <w:tc>
          <w:tcPr>
            <w:tcW w:w="1044" w:type="pct"/>
            <w:vAlign w:val="center"/>
          </w:tcPr>
          <w:p w14:paraId="294BEA63">
            <w:pPr>
              <w:pStyle w:val="296"/>
              <w:adjustRightInd w:val="0"/>
              <w:snapToGrid w:val="0"/>
              <w:spacing w:line="300" w:lineRule="exact"/>
              <w:rPr>
                <w:rFonts w:hint="eastAsia" w:cs="宋体"/>
                <w:color w:val="auto"/>
              </w:rPr>
            </w:pPr>
            <w:r>
              <w:rPr>
                <w:rFonts w:hint="eastAsia" w:cs="宋体"/>
                <w:color w:val="auto"/>
              </w:rPr>
              <w:t>燃气发电机</w:t>
            </w:r>
          </w:p>
        </w:tc>
        <w:tc>
          <w:tcPr>
            <w:tcW w:w="2667" w:type="pct"/>
            <w:vAlign w:val="center"/>
          </w:tcPr>
          <w:p w14:paraId="606BB207">
            <w:pPr>
              <w:pStyle w:val="296"/>
              <w:adjustRightInd w:val="0"/>
              <w:snapToGrid w:val="0"/>
              <w:spacing w:line="300" w:lineRule="exact"/>
              <w:rPr>
                <w:rFonts w:hint="eastAsia" w:cs="宋体"/>
                <w:color w:val="auto"/>
              </w:rPr>
            </w:pPr>
            <w:r>
              <w:rPr>
                <w:rFonts w:hint="eastAsia" w:cs="宋体"/>
                <w:color w:val="auto"/>
              </w:rPr>
              <w:t>采用清洁燃烧，加强设备检维修</w:t>
            </w:r>
          </w:p>
        </w:tc>
        <w:tc>
          <w:tcPr>
            <w:tcW w:w="547" w:type="pct"/>
            <w:gridSpan w:val="2"/>
            <w:vAlign w:val="center"/>
          </w:tcPr>
          <w:p w14:paraId="1E999D1F">
            <w:pPr>
              <w:pStyle w:val="296"/>
              <w:adjustRightInd w:val="0"/>
              <w:snapToGrid w:val="0"/>
              <w:spacing w:line="300" w:lineRule="exact"/>
              <w:rPr>
                <w:rFonts w:hint="eastAsia" w:cs="宋体"/>
                <w:color w:val="auto"/>
              </w:rPr>
            </w:pPr>
            <w:r>
              <w:rPr>
                <w:rFonts w:hint="eastAsia" w:cs="宋体"/>
                <w:color w:val="auto"/>
              </w:rPr>
              <w:t>26</w:t>
            </w:r>
          </w:p>
        </w:tc>
      </w:tr>
      <w:tr w14:paraId="7B80185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70" w:type="pct"/>
            <w:vMerge w:val="continue"/>
            <w:vAlign w:val="center"/>
          </w:tcPr>
          <w:p w14:paraId="19DF953C">
            <w:pPr>
              <w:pStyle w:val="296"/>
              <w:adjustRightInd w:val="0"/>
              <w:snapToGrid w:val="0"/>
              <w:spacing w:line="300" w:lineRule="exact"/>
              <w:rPr>
                <w:rFonts w:hint="eastAsia" w:cs="宋体"/>
                <w:color w:val="auto"/>
              </w:rPr>
            </w:pPr>
          </w:p>
        </w:tc>
        <w:tc>
          <w:tcPr>
            <w:tcW w:w="472" w:type="pct"/>
            <w:vMerge w:val="restart"/>
            <w:vAlign w:val="center"/>
          </w:tcPr>
          <w:p w14:paraId="316CDFFC">
            <w:pPr>
              <w:pStyle w:val="296"/>
              <w:adjustRightInd w:val="0"/>
              <w:snapToGrid w:val="0"/>
              <w:spacing w:line="300" w:lineRule="exact"/>
              <w:rPr>
                <w:rFonts w:hint="eastAsia" w:cs="宋体"/>
                <w:color w:val="auto"/>
              </w:rPr>
            </w:pPr>
            <w:r>
              <w:rPr>
                <w:rFonts w:hint="eastAsia" w:cs="宋体"/>
                <w:color w:val="auto"/>
              </w:rPr>
              <w:t>废水</w:t>
            </w:r>
          </w:p>
        </w:tc>
        <w:tc>
          <w:tcPr>
            <w:tcW w:w="1044" w:type="pct"/>
            <w:vAlign w:val="center"/>
          </w:tcPr>
          <w:p w14:paraId="38D9A170">
            <w:pPr>
              <w:pStyle w:val="296"/>
              <w:adjustRightInd w:val="0"/>
              <w:snapToGrid w:val="0"/>
              <w:spacing w:line="300" w:lineRule="exact"/>
              <w:rPr>
                <w:rFonts w:hint="eastAsia" w:cs="宋体"/>
                <w:color w:val="auto"/>
              </w:rPr>
            </w:pPr>
            <w:r>
              <w:rPr>
                <w:rFonts w:hint="eastAsia" w:cs="宋体"/>
                <w:color w:val="auto"/>
              </w:rPr>
              <w:t>井下作业废液</w:t>
            </w:r>
          </w:p>
        </w:tc>
        <w:tc>
          <w:tcPr>
            <w:tcW w:w="2667" w:type="pct"/>
            <w:vAlign w:val="center"/>
          </w:tcPr>
          <w:p w14:paraId="101305D4">
            <w:pPr>
              <w:pStyle w:val="296"/>
              <w:adjustRightInd w:val="0"/>
              <w:snapToGrid w:val="0"/>
              <w:spacing w:line="300" w:lineRule="exact"/>
              <w:rPr>
                <w:rFonts w:hint="eastAsia" w:cs="宋体"/>
                <w:color w:val="auto"/>
              </w:rPr>
            </w:pPr>
            <w:r>
              <w:rPr>
                <w:rFonts w:hint="eastAsia" w:cs="宋体"/>
                <w:color w:val="auto"/>
              </w:rPr>
              <w:t>送至莫北转油站采出水处理系统</w:t>
            </w:r>
          </w:p>
        </w:tc>
        <w:tc>
          <w:tcPr>
            <w:tcW w:w="547" w:type="pct"/>
            <w:gridSpan w:val="2"/>
            <w:vAlign w:val="center"/>
          </w:tcPr>
          <w:p w14:paraId="44D35C13">
            <w:pPr>
              <w:pStyle w:val="296"/>
              <w:adjustRightInd w:val="0"/>
              <w:snapToGrid w:val="0"/>
              <w:spacing w:line="300" w:lineRule="exact"/>
              <w:rPr>
                <w:rFonts w:hint="eastAsia" w:cs="宋体"/>
                <w:color w:val="auto"/>
              </w:rPr>
            </w:pPr>
            <w:r>
              <w:rPr>
                <w:rFonts w:hint="eastAsia" w:cs="宋体"/>
                <w:color w:val="auto"/>
              </w:rPr>
              <w:t>5</w:t>
            </w:r>
          </w:p>
        </w:tc>
      </w:tr>
      <w:tr w14:paraId="4F590D0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70" w:type="pct"/>
            <w:vMerge w:val="continue"/>
            <w:vAlign w:val="center"/>
          </w:tcPr>
          <w:p w14:paraId="7C33DBAF">
            <w:pPr>
              <w:pStyle w:val="296"/>
              <w:adjustRightInd w:val="0"/>
              <w:snapToGrid w:val="0"/>
              <w:spacing w:line="300" w:lineRule="exact"/>
              <w:rPr>
                <w:rFonts w:hint="eastAsia" w:cs="宋体"/>
                <w:color w:val="auto"/>
              </w:rPr>
            </w:pPr>
          </w:p>
        </w:tc>
        <w:tc>
          <w:tcPr>
            <w:tcW w:w="472" w:type="pct"/>
            <w:vMerge w:val="continue"/>
            <w:vAlign w:val="center"/>
          </w:tcPr>
          <w:p w14:paraId="6C7FCD6B">
            <w:pPr>
              <w:pStyle w:val="296"/>
              <w:adjustRightInd w:val="0"/>
              <w:snapToGrid w:val="0"/>
              <w:spacing w:line="300" w:lineRule="exact"/>
              <w:rPr>
                <w:rFonts w:hint="eastAsia" w:cs="宋体"/>
                <w:color w:val="auto"/>
              </w:rPr>
            </w:pPr>
          </w:p>
        </w:tc>
        <w:tc>
          <w:tcPr>
            <w:tcW w:w="1044" w:type="pct"/>
            <w:vAlign w:val="center"/>
          </w:tcPr>
          <w:p w14:paraId="7DF88405">
            <w:pPr>
              <w:pStyle w:val="296"/>
              <w:adjustRightInd w:val="0"/>
              <w:snapToGrid w:val="0"/>
              <w:spacing w:line="300" w:lineRule="exact"/>
              <w:rPr>
                <w:rFonts w:hint="eastAsia" w:cs="宋体"/>
                <w:color w:val="auto"/>
              </w:rPr>
            </w:pPr>
            <w:r>
              <w:rPr>
                <w:rFonts w:hint="eastAsia" w:cs="宋体"/>
                <w:color w:val="auto"/>
              </w:rPr>
              <w:t>生活污水</w:t>
            </w:r>
          </w:p>
        </w:tc>
        <w:tc>
          <w:tcPr>
            <w:tcW w:w="2667" w:type="pct"/>
            <w:vAlign w:val="center"/>
          </w:tcPr>
          <w:p w14:paraId="41EDA149">
            <w:pPr>
              <w:pStyle w:val="296"/>
              <w:adjustRightInd w:val="0"/>
              <w:snapToGrid w:val="0"/>
              <w:spacing w:line="300" w:lineRule="exact"/>
              <w:rPr>
                <w:rFonts w:hint="eastAsia" w:cs="宋体"/>
                <w:color w:val="auto"/>
              </w:rPr>
            </w:pPr>
            <w:r>
              <w:rPr>
                <w:rFonts w:hint="eastAsia" w:cs="宋体"/>
                <w:color w:val="auto"/>
              </w:rPr>
              <w:t>送至玛纳斯县生活污水处理厂处理</w:t>
            </w:r>
          </w:p>
        </w:tc>
        <w:tc>
          <w:tcPr>
            <w:tcW w:w="547" w:type="pct"/>
            <w:gridSpan w:val="2"/>
            <w:vAlign w:val="center"/>
          </w:tcPr>
          <w:p w14:paraId="545155E5">
            <w:pPr>
              <w:pStyle w:val="296"/>
              <w:adjustRightInd w:val="0"/>
              <w:snapToGrid w:val="0"/>
              <w:spacing w:line="300" w:lineRule="exact"/>
              <w:rPr>
                <w:rFonts w:hint="eastAsia" w:cs="宋体"/>
                <w:color w:val="auto"/>
              </w:rPr>
            </w:pPr>
            <w:r>
              <w:rPr>
                <w:rFonts w:hint="eastAsia" w:cs="宋体"/>
                <w:color w:val="auto"/>
              </w:rPr>
              <w:t>2</w:t>
            </w:r>
          </w:p>
        </w:tc>
      </w:tr>
      <w:tr w14:paraId="2581770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70" w:type="pct"/>
            <w:vMerge w:val="continue"/>
            <w:vAlign w:val="center"/>
          </w:tcPr>
          <w:p w14:paraId="2654BEE6">
            <w:pPr>
              <w:pStyle w:val="296"/>
              <w:adjustRightInd w:val="0"/>
              <w:snapToGrid w:val="0"/>
              <w:spacing w:line="300" w:lineRule="exact"/>
              <w:rPr>
                <w:rFonts w:hint="eastAsia" w:cs="宋体"/>
                <w:color w:val="auto"/>
              </w:rPr>
            </w:pPr>
          </w:p>
        </w:tc>
        <w:tc>
          <w:tcPr>
            <w:tcW w:w="472" w:type="pct"/>
            <w:vAlign w:val="center"/>
          </w:tcPr>
          <w:p w14:paraId="1C2C47BC">
            <w:pPr>
              <w:adjustRightInd w:val="0"/>
              <w:snapToGrid w:val="0"/>
              <w:spacing w:line="300" w:lineRule="exact"/>
              <w:jc w:val="center"/>
              <w:rPr>
                <w:rFonts w:hint="eastAsia" w:ascii="宋体" w:hAnsi="宋体" w:cs="宋体"/>
                <w:color w:val="auto"/>
                <w:spacing w:val="4"/>
                <w:szCs w:val="21"/>
              </w:rPr>
            </w:pPr>
            <w:r>
              <w:rPr>
                <w:rFonts w:hint="eastAsia" w:ascii="宋体" w:hAnsi="宋体" w:cs="宋体"/>
                <w:color w:val="auto"/>
                <w:spacing w:val="4"/>
                <w:szCs w:val="21"/>
                <w:lang w:bidi="ar"/>
              </w:rPr>
              <w:t>噪声</w:t>
            </w:r>
          </w:p>
        </w:tc>
        <w:tc>
          <w:tcPr>
            <w:tcW w:w="1044" w:type="pct"/>
            <w:vAlign w:val="center"/>
          </w:tcPr>
          <w:p w14:paraId="69C8CA64">
            <w:pPr>
              <w:adjustRightInd w:val="0"/>
              <w:snapToGrid w:val="0"/>
              <w:spacing w:line="300" w:lineRule="exact"/>
              <w:jc w:val="center"/>
              <w:rPr>
                <w:rFonts w:hint="eastAsia" w:ascii="宋体" w:hAnsi="宋体" w:cs="宋体"/>
                <w:color w:val="auto"/>
                <w:spacing w:val="4"/>
                <w:szCs w:val="21"/>
              </w:rPr>
            </w:pPr>
            <w:r>
              <w:rPr>
                <w:rFonts w:hint="eastAsia" w:ascii="宋体" w:hAnsi="宋体" w:cs="宋体"/>
                <w:color w:val="auto"/>
                <w:spacing w:val="4"/>
                <w:szCs w:val="21"/>
                <w:lang w:bidi="ar"/>
              </w:rPr>
              <w:t>噪声</w:t>
            </w:r>
          </w:p>
        </w:tc>
        <w:tc>
          <w:tcPr>
            <w:tcW w:w="2667" w:type="pct"/>
            <w:vAlign w:val="center"/>
          </w:tcPr>
          <w:p w14:paraId="57094906">
            <w:pPr>
              <w:adjustRightInd w:val="0"/>
              <w:snapToGrid w:val="0"/>
              <w:spacing w:line="300" w:lineRule="exact"/>
              <w:jc w:val="center"/>
              <w:rPr>
                <w:rFonts w:hint="eastAsia" w:ascii="宋体" w:hAnsi="宋体" w:cs="宋体"/>
                <w:color w:val="auto"/>
                <w:spacing w:val="4"/>
                <w:szCs w:val="21"/>
              </w:rPr>
            </w:pPr>
            <w:r>
              <w:rPr>
                <w:rFonts w:hint="eastAsia" w:ascii="宋体" w:hAnsi="宋体" w:cs="宋体"/>
                <w:color w:val="auto"/>
                <w:szCs w:val="21"/>
                <w:lang w:bidi="ar"/>
              </w:rPr>
              <w:t>采用低噪声设备、基础减振</w:t>
            </w:r>
          </w:p>
        </w:tc>
        <w:tc>
          <w:tcPr>
            <w:tcW w:w="547" w:type="pct"/>
            <w:gridSpan w:val="2"/>
            <w:vAlign w:val="center"/>
          </w:tcPr>
          <w:p w14:paraId="1A435E32">
            <w:pPr>
              <w:adjustRightInd w:val="0"/>
              <w:snapToGrid w:val="0"/>
              <w:spacing w:line="300" w:lineRule="exact"/>
              <w:jc w:val="center"/>
              <w:rPr>
                <w:rFonts w:hint="eastAsia" w:ascii="宋体" w:hAnsi="宋体" w:cs="宋体"/>
                <w:color w:val="auto"/>
                <w:spacing w:val="4"/>
                <w:szCs w:val="21"/>
              </w:rPr>
            </w:pPr>
            <w:r>
              <w:rPr>
                <w:rFonts w:hint="eastAsia" w:ascii="宋体" w:hAnsi="宋体" w:cs="宋体"/>
                <w:color w:val="auto"/>
                <w:spacing w:val="4"/>
                <w:szCs w:val="21"/>
              </w:rPr>
              <w:t>3</w:t>
            </w:r>
          </w:p>
        </w:tc>
      </w:tr>
      <w:tr w14:paraId="24CCD46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70" w:type="pct"/>
            <w:vMerge w:val="continue"/>
            <w:vAlign w:val="center"/>
          </w:tcPr>
          <w:p w14:paraId="72C06A0F">
            <w:pPr>
              <w:pStyle w:val="296"/>
              <w:adjustRightInd w:val="0"/>
              <w:snapToGrid w:val="0"/>
              <w:spacing w:line="300" w:lineRule="exact"/>
              <w:rPr>
                <w:rFonts w:hint="eastAsia" w:cs="宋体"/>
                <w:color w:val="auto"/>
              </w:rPr>
            </w:pPr>
          </w:p>
        </w:tc>
        <w:tc>
          <w:tcPr>
            <w:tcW w:w="472" w:type="pct"/>
            <w:vMerge w:val="restart"/>
            <w:vAlign w:val="center"/>
          </w:tcPr>
          <w:p w14:paraId="5AB1C0D3">
            <w:pPr>
              <w:adjustRightInd w:val="0"/>
              <w:snapToGrid w:val="0"/>
              <w:spacing w:line="300" w:lineRule="exact"/>
              <w:jc w:val="center"/>
              <w:rPr>
                <w:rFonts w:hint="eastAsia" w:ascii="宋体" w:hAnsi="宋体" w:cs="宋体"/>
                <w:color w:val="auto"/>
                <w:spacing w:val="4"/>
                <w:szCs w:val="21"/>
                <w:lang w:bidi="ar"/>
              </w:rPr>
            </w:pPr>
            <w:r>
              <w:rPr>
                <w:rFonts w:hint="eastAsia" w:ascii="宋体" w:hAnsi="宋体" w:cs="宋体"/>
                <w:color w:val="auto"/>
                <w:spacing w:val="4"/>
                <w:szCs w:val="21"/>
                <w:lang w:bidi="ar"/>
              </w:rPr>
              <w:t>固体</w:t>
            </w:r>
          </w:p>
          <w:p w14:paraId="703F56C3">
            <w:pPr>
              <w:adjustRightInd w:val="0"/>
              <w:snapToGrid w:val="0"/>
              <w:spacing w:line="300" w:lineRule="exact"/>
              <w:jc w:val="center"/>
              <w:rPr>
                <w:rFonts w:hint="eastAsia" w:ascii="宋体" w:hAnsi="宋体" w:cs="宋体"/>
                <w:color w:val="auto"/>
                <w:spacing w:val="4"/>
                <w:szCs w:val="21"/>
                <w:lang w:bidi="ar"/>
              </w:rPr>
            </w:pPr>
            <w:r>
              <w:rPr>
                <w:rFonts w:hint="eastAsia" w:ascii="宋体" w:hAnsi="宋体" w:cs="宋体"/>
                <w:color w:val="auto"/>
                <w:spacing w:val="4"/>
                <w:szCs w:val="21"/>
                <w:lang w:bidi="ar"/>
              </w:rPr>
              <w:t>废物</w:t>
            </w:r>
          </w:p>
        </w:tc>
        <w:tc>
          <w:tcPr>
            <w:tcW w:w="1044" w:type="pct"/>
            <w:vAlign w:val="center"/>
          </w:tcPr>
          <w:p w14:paraId="48F05733">
            <w:pPr>
              <w:adjustRightInd w:val="0"/>
              <w:snapToGrid w:val="0"/>
              <w:spacing w:line="300" w:lineRule="exact"/>
              <w:jc w:val="center"/>
              <w:rPr>
                <w:rFonts w:hint="eastAsia" w:ascii="宋体" w:hAnsi="宋体" w:cs="宋体"/>
                <w:color w:val="auto"/>
                <w:spacing w:val="4"/>
                <w:szCs w:val="21"/>
                <w:lang w:bidi="ar"/>
              </w:rPr>
            </w:pPr>
            <w:r>
              <w:rPr>
                <w:rFonts w:hint="eastAsia"/>
                <w:color w:val="auto"/>
                <w:szCs w:val="21"/>
              </w:rPr>
              <w:t>清罐底泥、废滤料、废分子筛、废润滑油、废润滑油桶、沾油废防渗材料</w:t>
            </w:r>
            <w:r>
              <w:rPr>
                <w:rFonts w:hint="eastAsia" w:cs="宋体"/>
                <w:color w:val="auto"/>
              </w:rPr>
              <w:t>、</w:t>
            </w:r>
            <w:r>
              <w:rPr>
                <w:rFonts w:hint="eastAsia" w:cs="宋体"/>
                <w:color w:val="auto"/>
                <w:lang w:val="zh-CN"/>
              </w:rPr>
              <w:t>废含油抹布及劳保用品</w:t>
            </w:r>
          </w:p>
        </w:tc>
        <w:tc>
          <w:tcPr>
            <w:tcW w:w="2667" w:type="pct"/>
            <w:vAlign w:val="center"/>
          </w:tcPr>
          <w:p w14:paraId="474E09C8">
            <w:pPr>
              <w:adjustRightInd w:val="0"/>
              <w:snapToGrid w:val="0"/>
              <w:spacing w:line="300" w:lineRule="exact"/>
              <w:jc w:val="center"/>
              <w:rPr>
                <w:rFonts w:hint="eastAsia" w:ascii="宋体" w:hAnsi="宋体" w:cs="宋体"/>
                <w:color w:val="auto"/>
                <w:szCs w:val="21"/>
                <w:lang w:bidi="ar"/>
              </w:rPr>
            </w:pPr>
            <w:r>
              <w:rPr>
                <w:rFonts w:hint="eastAsia"/>
                <w:color w:val="auto"/>
                <w:szCs w:val="21"/>
              </w:rPr>
              <w:t>集中收集后交由有相应危险废物处理资质的单位回收处置</w:t>
            </w:r>
          </w:p>
        </w:tc>
        <w:tc>
          <w:tcPr>
            <w:tcW w:w="547" w:type="pct"/>
            <w:gridSpan w:val="2"/>
            <w:vAlign w:val="center"/>
          </w:tcPr>
          <w:p w14:paraId="17DA17B9">
            <w:pPr>
              <w:adjustRightInd w:val="0"/>
              <w:snapToGrid w:val="0"/>
              <w:spacing w:line="300" w:lineRule="exact"/>
              <w:jc w:val="center"/>
              <w:rPr>
                <w:rFonts w:hint="eastAsia" w:ascii="宋体" w:hAnsi="宋体" w:cs="宋体"/>
                <w:color w:val="auto"/>
                <w:spacing w:val="4"/>
                <w:szCs w:val="21"/>
                <w:lang w:bidi="ar"/>
              </w:rPr>
            </w:pPr>
            <w:r>
              <w:rPr>
                <w:rFonts w:hint="eastAsia" w:ascii="宋体" w:hAnsi="宋体" w:cs="宋体"/>
                <w:color w:val="auto"/>
                <w:spacing w:val="4"/>
                <w:szCs w:val="21"/>
                <w:lang w:bidi="ar"/>
              </w:rPr>
              <w:t>6</w:t>
            </w:r>
          </w:p>
        </w:tc>
      </w:tr>
      <w:tr w14:paraId="13C3529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70" w:type="pct"/>
            <w:vMerge w:val="continue"/>
            <w:vAlign w:val="center"/>
          </w:tcPr>
          <w:p w14:paraId="60FE0042">
            <w:pPr>
              <w:pStyle w:val="296"/>
              <w:adjustRightInd w:val="0"/>
              <w:snapToGrid w:val="0"/>
              <w:spacing w:line="300" w:lineRule="exact"/>
              <w:rPr>
                <w:rFonts w:hint="eastAsia" w:cs="宋体"/>
                <w:color w:val="auto"/>
              </w:rPr>
            </w:pPr>
          </w:p>
        </w:tc>
        <w:tc>
          <w:tcPr>
            <w:tcW w:w="472" w:type="pct"/>
            <w:vMerge w:val="continue"/>
            <w:vAlign w:val="center"/>
          </w:tcPr>
          <w:p w14:paraId="0B5CD9B1">
            <w:pPr>
              <w:adjustRightInd w:val="0"/>
              <w:snapToGrid w:val="0"/>
              <w:spacing w:line="300" w:lineRule="exact"/>
              <w:jc w:val="center"/>
              <w:rPr>
                <w:rFonts w:hint="eastAsia" w:ascii="宋体" w:hAnsi="宋体" w:cs="宋体"/>
                <w:color w:val="auto"/>
                <w:spacing w:val="4"/>
                <w:szCs w:val="21"/>
                <w:lang w:bidi="ar"/>
              </w:rPr>
            </w:pPr>
          </w:p>
        </w:tc>
        <w:tc>
          <w:tcPr>
            <w:tcW w:w="1044" w:type="pct"/>
            <w:vAlign w:val="center"/>
          </w:tcPr>
          <w:p w14:paraId="04181C7E">
            <w:pPr>
              <w:adjustRightInd w:val="0"/>
              <w:snapToGrid w:val="0"/>
              <w:spacing w:line="300" w:lineRule="exact"/>
              <w:jc w:val="center"/>
              <w:rPr>
                <w:color w:val="auto"/>
                <w:szCs w:val="21"/>
              </w:rPr>
            </w:pPr>
            <w:r>
              <w:rPr>
                <w:rFonts w:hint="eastAsia"/>
                <w:color w:val="auto"/>
                <w:szCs w:val="21"/>
              </w:rPr>
              <w:t>生活垃圾</w:t>
            </w:r>
          </w:p>
        </w:tc>
        <w:tc>
          <w:tcPr>
            <w:tcW w:w="2667" w:type="pct"/>
            <w:vAlign w:val="center"/>
          </w:tcPr>
          <w:p w14:paraId="2C09C24D">
            <w:pPr>
              <w:adjustRightInd w:val="0"/>
              <w:snapToGrid w:val="0"/>
              <w:spacing w:line="300" w:lineRule="exact"/>
              <w:jc w:val="center"/>
              <w:rPr>
                <w:color w:val="auto"/>
                <w:szCs w:val="21"/>
              </w:rPr>
            </w:pPr>
            <w:r>
              <w:rPr>
                <w:rFonts w:hint="eastAsia"/>
                <w:color w:val="auto"/>
                <w:szCs w:val="21"/>
              </w:rPr>
              <w:t>送至玛纳斯县生活垃圾填埋场处理</w:t>
            </w:r>
          </w:p>
        </w:tc>
        <w:tc>
          <w:tcPr>
            <w:tcW w:w="547" w:type="pct"/>
            <w:gridSpan w:val="2"/>
            <w:vAlign w:val="center"/>
          </w:tcPr>
          <w:p w14:paraId="0D6FC41D">
            <w:pPr>
              <w:adjustRightInd w:val="0"/>
              <w:snapToGrid w:val="0"/>
              <w:spacing w:line="300" w:lineRule="exact"/>
              <w:jc w:val="center"/>
              <w:rPr>
                <w:rFonts w:hint="eastAsia" w:ascii="宋体" w:hAnsi="宋体" w:cs="宋体"/>
                <w:color w:val="auto"/>
                <w:spacing w:val="4"/>
                <w:szCs w:val="21"/>
                <w:lang w:bidi="ar"/>
              </w:rPr>
            </w:pPr>
            <w:r>
              <w:rPr>
                <w:rFonts w:hint="eastAsia" w:ascii="宋体" w:hAnsi="宋体" w:cs="宋体"/>
                <w:color w:val="auto"/>
                <w:spacing w:val="4"/>
                <w:szCs w:val="21"/>
                <w:lang w:bidi="ar"/>
              </w:rPr>
              <w:t>2</w:t>
            </w:r>
          </w:p>
        </w:tc>
      </w:tr>
      <w:tr w14:paraId="6D64DFA7">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70" w:type="pct"/>
            <w:vMerge w:val="restart"/>
            <w:vAlign w:val="center"/>
          </w:tcPr>
          <w:p w14:paraId="474464B0">
            <w:pPr>
              <w:pStyle w:val="296"/>
              <w:adjustRightInd w:val="0"/>
              <w:snapToGrid w:val="0"/>
              <w:spacing w:line="300" w:lineRule="exact"/>
              <w:rPr>
                <w:rFonts w:hint="eastAsia" w:cs="宋体"/>
                <w:color w:val="auto"/>
              </w:rPr>
            </w:pPr>
            <w:r>
              <w:rPr>
                <w:rFonts w:hint="eastAsia" w:cs="宋体"/>
                <w:color w:val="auto"/>
              </w:rPr>
              <w:t>退役期</w:t>
            </w:r>
          </w:p>
        </w:tc>
        <w:tc>
          <w:tcPr>
            <w:tcW w:w="472" w:type="pct"/>
            <w:tcBorders>
              <w:top w:val="single" w:color="auto" w:sz="4" w:space="0"/>
              <w:left w:val="single" w:color="auto" w:sz="6" w:space="0"/>
              <w:right w:val="single" w:color="auto" w:sz="4" w:space="0"/>
            </w:tcBorders>
            <w:vAlign w:val="center"/>
          </w:tcPr>
          <w:p w14:paraId="25D79B1E">
            <w:pPr>
              <w:pStyle w:val="296"/>
              <w:adjustRightInd w:val="0"/>
              <w:snapToGrid w:val="0"/>
              <w:spacing w:line="300" w:lineRule="exact"/>
              <w:rPr>
                <w:rFonts w:hint="eastAsia" w:cs="宋体"/>
                <w:color w:val="auto"/>
              </w:rPr>
            </w:pPr>
            <w:r>
              <w:rPr>
                <w:rFonts w:hint="eastAsia" w:cs="宋体"/>
                <w:color w:val="auto"/>
              </w:rPr>
              <w:t>固体</w:t>
            </w:r>
          </w:p>
          <w:p w14:paraId="5B6685F2">
            <w:pPr>
              <w:pStyle w:val="296"/>
              <w:adjustRightInd w:val="0"/>
              <w:snapToGrid w:val="0"/>
              <w:spacing w:line="300" w:lineRule="exact"/>
              <w:rPr>
                <w:rFonts w:hint="eastAsia" w:cs="宋体"/>
                <w:color w:val="auto"/>
              </w:rPr>
            </w:pPr>
            <w:r>
              <w:rPr>
                <w:rFonts w:hint="eastAsia" w:cs="宋体"/>
                <w:color w:val="auto"/>
              </w:rPr>
              <w:t>废物</w:t>
            </w:r>
          </w:p>
        </w:tc>
        <w:tc>
          <w:tcPr>
            <w:tcW w:w="1044" w:type="pct"/>
            <w:tcBorders>
              <w:top w:val="single" w:color="auto" w:sz="4" w:space="0"/>
              <w:left w:val="single" w:color="auto" w:sz="6" w:space="0"/>
              <w:bottom w:val="single" w:color="auto" w:sz="4" w:space="0"/>
              <w:right w:val="single" w:color="auto" w:sz="4" w:space="0"/>
            </w:tcBorders>
            <w:vAlign w:val="center"/>
          </w:tcPr>
          <w:p w14:paraId="072D69A9">
            <w:pPr>
              <w:pStyle w:val="296"/>
              <w:adjustRightInd w:val="0"/>
              <w:snapToGrid w:val="0"/>
              <w:spacing w:line="300" w:lineRule="exact"/>
              <w:rPr>
                <w:rFonts w:hint="eastAsia" w:cs="宋体"/>
                <w:color w:val="auto"/>
              </w:rPr>
            </w:pPr>
            <w:r>
              <w:rPr>
                <w:rFonts w:hint="eastAsia" w:cs="宋体"/>
                <w:color w:val="auto"/>
              </w:rPr>
              <w:t>站场及管线拆除的建筑垃圾</w:t>
            </w:r>
          </w:p>
        </w:tc>
        <w:tc>
          <w:tcPr>
            <w:tcW w:w="2667" w:type="pct"/>
            <w:tcBorders>
              <w:top w:val="single" w:color="auto" w:sz="4" w:space="0"/>
              <w:left w:val="single" w:color="auto" w:sz="6" w:space="0"/>
              <w:bottom w:val="single" w:color="auto" w:sz="4" w:space="0"/>
              <w:right w:val="single" w:color="auto" w:sz="4" w:space="0"/>
            </w:tcBorders>
            <w:vAlign w:val="center"/>
          </w:tcPr>
          <w:p w14:paraId="743B3C94">
            <w:pPr>
              <w:pStyle w:val="296"/>
              <w:adjustRightInd w:val="0"/>
              <w:snapToGrid w:val="0"/>
              <w:spacing w:line="300" w:lineRule="exact"/>
              <w:rPr>
                <w:rFonts w:hint="eastAsia" w:cs="宋体"/>
                <w:color w:val="auto"/>
              </w:rPr>
            </w:pPr>
            <w:r>
              <w:rPr>
                <w:rFonts w:hint="eastAsia" w:cs="宋体"/>
                <w:color w:val="auto"/>
              </w:rPr>
              <w:t>建筑垃圾清运至当地建筑垃圾填埋场</w:t>
            </w:r>
          </w:p>
        </w:tc>
        <w:tc>
          <w:tcPr>
            <w:tcW w:w="547" w:type="pct"/>
            <w:gridSpan w:val="2"/>
            <w:tcBorders>
              <w:top w:val="single" w:color="auto" w:sz="4" w:space="0"/>
              <w:left w:val="single" w:color="auto" w:sz="6" w:space="0"/>
              <w:bottom w:val="single" w:color="auto" w:sz="4" w:space="0"/>
            </w:tcBorders>
            <w:vAlign w:val="center"/>
          </w:tcPr>
          <w:p w14:paraId="1F8FDED9">
            <w:pPr>
              <w:pStyle w:val="296"/>
              <w:adjustRightInd w:val="0"/>
              <w:snapToGrid w:val="0"/>
              <w:spacing w:line="300" w:lineRule="exact"/>
              <w:rPr>
                <w:rFonts w:hint="eastAsia" w:cs="宋体"/>
                <w:color w:val="auto"/>
              </w:rPr>
            </w:pPr>
            <w:r>
              <w:rPr>
                <w:rFonts w:hint="eastAsia" w:cs="宋体"/>
                <w:color w:val="auto"/>
              </w:rPr>
              <w:t>3</w:t>
            </w:r>
          </w:p>
        </w:tc>
      </w:tr>
      <w:tr w14:paraId="77B15D6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270" w:type="pct"/>
            <w:vMerge w:val="continue"/>
            <w:vAlign w:val="center"/>
          </w:tcPr>
          <w:p w14:paraId="51E50C0B">
            <w:pPr>
              <w:pStyle w:val="296"/>
              <w:adjustRightInd w:val="0"/>
              <w:snapToGrid w:val="0"/>
              <w:spacing w:line="300" w:lineRule="exact"/>
              <w:rPr>
                <w:rFonts w:hint="eastAsia" w:cs="宋体"/>
                <w:color w:val="auto"/>
              </w:rPr>
            </w:pPr>
          </w:p>
        </w:tc>
        <w:tc>
          <w:tcPr>
            <w:tcW w:w="472" w:type="pct"/>
            <w:tcBorders>
              <w:top w:val="single" w:color="auto" w:sz="4" w:space="0"/>
              <w:left w:val="single" w:color="auto" w:sz="6" w:space="0"/>
              <w:bottom w:val="single" w:color="auto" w:sz="4" w:space="0"/>
              <w:right w:val="single" w:color="auto" w:sz="4" w:space="0"/>
            </w:tcBorders>
            <w:vAlign w:val="center"/>
          </w:tcPr>
          <w:p w14:paraId="5B0BDDEF">
            <w:pPr>
              <w:pStyle w:val="296"/>
              <w:adjustRightInd w:val="0"/>
              <w:snapToGrid w:val="0"/>
              <w:spacing w:line="300" w:lineRule="exact"/>
              <w:rPr>
                <w:rFonts w:hint="eastAsia" w:cs="宋体"/>
                <w:color w:val="auto"/>
              </w:rPr>
            </w:pPr>
            <w:r>
              <w:rPr>
                <w:rFonts w:hint="eastAsia" w:cs="宋体"/>
                <w:color w:val="auto"/>
              </w:rPr>
              <w:t>生态</w:t>
            </w:r>
          </w:p>
          <w:p w14:paraId="714DEECA">
            <w:pPr>
              <w:pStyle w:val="296"/>
              <w:adjustRightInd w:val="0"/>
              <w:snapToGrid w:val="0"/>
              <w:spacing w:line="300" w:lineRule="exact"/>
              <w:rPr>
                <w:rFonts w:hint="eastAsia" w:cs="宋体"/>
                <w:color w:val="auto"/>
              </w:rPr>
            </w:pPr>
            <w:r>
              <w:rPr>
                <w:rFonts w:hint="eastAsia" w:cs="宋体"/>
                <w:color w:val="auto"/>
              </w:rPr>
              <w:t>恢复</w:t>
            </w:r>
          </w:p>
        </w:tc>
        <w:tc>
          <w:tcPr>
            <w:tcW w:w="1044" w:type="pct"/>
            <w:tcBorders>
              <w:top w:val="single" w:color="auto" w:sz="4" w:space="0"/>
              <w:left w:val="single" w:color="auto" w:sz="6" w:space="0"/>
              <w:bottom w:val="single" w:color="auto" w:sz="4" w:space="0"/>
              <w:right w:val="single" w:color="auto" w:sz="4" w:space="0"/>
            </w:tcBorders>
            <w:vAlign w:val="center"/>
          </w:tcPr>
          <w:p w14:paraId="55CEBAD6">
            <w:pPr>
              <w:pStyle w:val="296"/>
              <w:adjustRightInd w:val="0"/>
              <w:snapToGrid w:val="0"/>
              <w:spacing w:line="300" w:lineRule="exact"/>
              <w:rPr>
                <w:rFonts w:hint="eastAsia" w:cs="宋体"/>
                <w:color w:val="auto"/>
              </w:rPr>
            </w:pPr>
            <w:r>
              <w:rPr>
                <w:rFonts w:hint="eastAsia" w:cs="宋体"/>
                <w:color w:val="auto"/>
              </w:rPr>
              <w:t>临时占地和永久占地</w:t>
            </w:r>
          </w:p>
        </w:tc>
        <w:tc>
          <w:tcPr>
            <w:tcW w:w="2667" w:type="pct"/>
            <w:tcBorders>
              <w:top w:val="single" w:color="auto" w:sz="4" w:space="0"/>
              <w:left w:val="single" w:color="auto" w:sz="6" w:space="0"/>
              <w:bottom w:val="single" w:color="auto" w:sz="4" w:space="0"/>
              <w:right w:val="single" w:color="auto" w:sz="4" w:space="0"/>
            </w:tcBorders>
            <w:vAlign w:val="center"/>
          </w:tcPr>
          <w:p w14:paraId="76E27C87">
            <w:pPr>
              <w:pStyle w:val="296"/>
              <w:adjustRightInd w:val="0"/>
              <w:snapToGrid w:val="0"/>
              <w:spacing w:line="300" w:lineRule="exact"/>
              <w:rPr>
                <w:rFonts w:hint="eastAsia" w:cs="宋体"/>
                <w:color w:val="auto"/>
              </w:rPr>
            </w:pPr>
            <w:r>
              <w:rPr>
                <w:rFonts w:hint="eastAsia" w:cs="宋体"/>
                <w:color w:val="auto"/>
              </w:rPr>
              <w:t>完工后迹地清理并平整压实、施工临时占地和永久占地释放后植被和土壤的恢复</w:t>
            </w:r>
          </w:p>
        </w:tc>
        <w:tc>
          <w:tcPr>
            <w:tcW w:w="547" w:type="pct"/>
            <w:gridSpan w:val="2"/>
            <w:tcBorders>
              <w:top w:val="single" w:color="auto" w:sz="4" w:space="0"/>
              <w:left w:val="single" w:color="auto" w:sz="6" w:space="0"/>
              <w:bottom w:val="single" w:color="auto" w:sz="4" w:space="0"/>
            </w:tcBorders>
            <w:vAlign w:val="center"/>
          </w:tcPr>
          <w:p w14:paraId="69D0509C">
            <w:pPr>
              <w:pStyle w:val="296"/>
              <w:adjustRightInd w:val="0"/>
              <w:snapToGrid w:val="0"/>
              <w:spacing w:line="300" w:lineRule="exact"/>
              <w:rPr>
                <w:rFonts w:hint="eastAsia" w:cs="宋体"/>
                <w:color w:val="auto"/>
              </w:rPr>
            </w:pPr>
            <w:r>
              <w:rPr>
                <w:rFonts w:hint="eastAsia" w:cs="宋体"/>
                <w:color w:val="auto"/>
              </w:rPr>
              <w:t>3</w:t>
            </w:r>
          </w:p>
        </w:tc>
      </w:tr>
      <w:tr w14:paraId="1282A13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gridAfter w:val="1"/>
          <w:wAfter w:w="11" w:type="pct"/>
          <w:trHeight w:val="340" w:hRule="atLeast"/>
          <w:jc w:val="center"/>
        </w:trPr>
        <w:tc>
          <w:tcPr>
            <w:tcW w:w="742" w:type="pct"/>
            <w:gridSpan w:val="2"/>
            <w:vMerge w:val="restart"/>
            <w:vAlign w:val="center"/>
          </w:tcPr>
          <w:p w14:paraId="6A58B4AB">
            <w:pPr>
              <w:pStyle w:val="296"/>
              <w:adjustRightInd w:val="0"/>
              <w:snapToGrid w:val="0"/>
              <w:spacing w:line="300" w:lineRule="exact"/>
              <w:rPr>
                <w:rFonts w:hint="eastAsia" w:cs="宋体"/>
                <w:color w:val="auto"/>
              </w:rPr>
            </w:pPr>
            <w:r>
              <w:rPr>
                <w:rFonts w:hint="eastAsia" w:cs="宋体"/>
                <w:color w:val="auto"/>
              </w:rPr>
              <w:t>环境管理</w:t>
            </w:r>
          </w:p>
        </w:tc>
        <w:tc>
          <w:tcPr>
            <w:tcW w:w="1044" w:type="pct"/>
            <w:vAlign w:val="center"/>
          </w:tcPr>
          <w:p w14:paraId="68180153">
            <w:pPr>
              <w:pStyle w:val="296"/>
              <w:adjustRightInd w:val="0"/>
              <w:snapToGrid w:val="0"/>
              <w:spacing w:line="300" w:lineRule="exact"/>
              <w:rPr>
                <w:rFonts w:hint="eastAsia" w:cs="宋体"/>
                <w:color w:val="auto"/>
              </w:rPr>
            </w:pPr>
            <w:r>
              <w:rPr>
                <w:rFonts w:hint="eastAsia" w:cs="宋体"/>
                <w:color w:val="auto"/>
              </w:rPr>
              <w:t>环境监理</w:t>
            </w:r>
          </w:p>
        </w:tc>
        <w:tc>
          <w:tcPr>
            <w:tcW w:w="2667" w:type="pct"/>
            <w:vAlign w:val="center"/>
          </w:tcPr>
          <w:p w14:paraId="7BF7BAFE">
            <w:pPr>
              <w:pStyle w:val="296"/>
              <w:adjustRightInd w:val="0"/>
              <w:snapToGrid w:val="0"/>
              <w:spacing w:line="300" w:lineRule="exact"/>
              <w:rPr>
                <w:rFonts w:hint="eastAsia" w:cs="宋体"/>
                <w:color w:val="auto"/>
              </w:rPr>
            </w:pPr>
            <w:r>
              <w:rPr>
                <w:rFonts w:hint="eastAsia" w:cs="宋体"/>
                <w:color w:val="auto"/>
              </w:rPr>
              <w:t>防渗措施落实情况；严格监督各项环保措施落实情况，确保各项污染防治措施有效实施</w:t>
            </w:r>
          </w:p>
        </w:tc>
        <w:tc>
          <w:tcPr>
            <w:tcW w:w="536" w:type="pct"/>
            <w:vAlign w:val="center"/>
          </w:tcPr>
          <w:p w14:paraId="69CDAD6A">
            <w:pPr>
              <w:pStyle w:val="296"/>
              <w:adjustRightInd w:val="0"/>
              <w:snapToGrid w:val="0"/>
              <w:spacing w:line="300" w:lineRule="exact"/>
              <w:rPr>
                <w:rFonts w:hint="eastAsia" w:cs="宋体"/>
                <w:color w:val="auto"/>
              </w:rPr>
            </w:pPr>
            <w:r>
              <w:rPr>
                <w:rFonts w:hint="eastAsia" w:cs="宋体"/>
                <w:color w:val="auto"/>
              </w:rPr>
              <w:t>10</w:t>
            </w:r>
          </w:p>
        </w:tc>
      </w:tr>
      <w:tr w14:paraId="3088EB1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gridAfter w:val="1"/>
          <w:wAfter w:w="11" w:type="pct"/>
          <w:trHeight w:val="340" w:hRule="atLeast"/>
          <w:jc w:val="center"/>
        </w:trPr>
        <w:tc>
          <w:tcPr>
            <w:tcW w:w="742" w:type="pct"/>
            <w:gridSpan w:val="2"/>
            <w:vMerge w:val="continue"/>
            <w:vAlign w:val="center"/>
          </w:tcPr>
          <w:p w14:paraId="386E7492">
            <w:pPr>
              <w:pStyle w:val="296"/>
              <w:adjustRightInd w:val="0"/>
              <w:snapToGrid w:val="0"/>
              <w:spacing w:line="300" w:lineRule="exact"/>
              <w:rPr>
                <w:rFonts w:hint="eastAsia" w:cs="宋体"/>
                <w:color w:val="auto"/>
              </w:rPr>
            </w:pPr>
          </w:p>
        </w:tc>
        <w:tc>
          <w:tcPr>
            <w:tcW w:w="1044" w:type="pct"/>
            <w:vAlign w:val="center"/>
          </w:tcPr>
          <w:p w14:paraId="007ADF7B">
            <w:pPr>
              <w:pStyle w:val="296"/>
              <w:adjustRightInd w:val="0"/>
              <w:snapToGrid w:val="0"/>
              <w:spacing w:line="300" w:lineRule="exact"/>
              <w:rPr>
                <w:rFonts w:hint="eastAsia" w:cs="宋体"/>
                <w:color w:val="auto"/>
              </w:rPr>
            </w:pPr>
            <w:r>
              <w:rPr>
                <w:rFonts w:hint="eastAsia" w:cs="宋体"/>
                <w:color w:val="auto"/>
              </w:rPr>
              <w:t>环境监测</w:t>
            </w:r>
          </w:p>
        </w:tc>
        <w:tc>
          <w:tcPr>
            <w:tcW w:w="2667" w:type="pct"/>
            <w:vAlign w:val="center"/>
          </w:tcPr>
          <w:p w14:paraId="04DC2E61">
            <w:pPr>
              <w:pStyle w:val="296"/>
              <w:adjustRightInd w:val="0"/>
              <w:snapToGrid w:val="0"/>
              <w:spacing w:line="300" w:lineRule="exact"/>
              <w:rPr>
                <w:rFonts w:hint="eastAsia" w:cs="宋体"/>
                <w:color w:val="auto"/>
              </w:rPr>
            </w:pPr>
            <w:r>
              <w:rPr>
                <w:rFonts w:hint="eastAsia" w:cs="宋体"/>
                <w:color w:val="auto"/>
              </w:rPr>
              <w:t>生态环境、土壤和地下水跟踪监测</w:t>
            </w:r>
          </w:p>
        </w:tc>
        <w:tc>
          <w:tcPr>
            <w:tcW w:w="536" w:type="pct"/>
            <w:vAlign w:val="center"/>
          </w:tcPr>
          <w:p w14:paraId="0DEBF7AA">
            <w:pPr>
              <w:pStyle w:val="296"/>
              <w:adjustRightInd w:val="0"/>
              <w:snapToGrid w:val="0"/>
              <w:spacing w:line="300" w:lineRule="exact"/>
              <w:rPr>
                <w:rFonts w:hint="eastAsia" w:cs="宋体"/>
                <w:color w:val="auto"/>
              </w:rPr>
            </w:pPr>
            <w:r>
              <w:rPr>
                <w:rFonts w:hint="eastAsia" w:cs="宋体"/>
                <w:color w:val="auto"/>
              </w:rPr>
              <w:t>20</w:t>
            </w:r>
          </w:p>
        </w:tc>
      </w:tr>
      <w:tr w14:paraId="6D96C16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gridAfter w:val="1"/>
          <w:wAfter w:w="11" w:type="pct"/>
          <w:trHeight w:val="340" w:hRule="atLeast"/>
          <w:jc w:val="center"/>
        </w:trPr>
        <w:tc>
          <w:tcPr>
            <w:tcW w:w="742" w:type="pct"/>
            <w:gridSpan w:val="2"/>
            <w:vAlign w:val="center"/>
          </w:tcPr>
          <w:p w14:paraId="0FB09481">
            <w:pPr>
              <w:pStyle w:val="296"/>
              <w:adjustRightInd w:val="0"/>
              <w:snapToGrid w:val="0"/>
              <w:spacing w:line="300" w:lineRule="exact"/>
              <w:rPr>
                <w:rFonts w:hint="eastAsia" w:cs="宋体"/>
                <w:color w:val="auto"/>
              </w:rPr>
            </w:pPr>
            <w:r>
              <w:rPr>
                <w:rFonts w:hint="eastAsia" w:cs="宋体"/>
                <w:color w:val="auto"/>
              </w:rPr>
              <w:t>地下水保护措施</w:t>
            </w:r>
          </w:p>
        </w:tc>
        <w:tc>
          <w:tcPr>
            <w:tcW w:w="3711" w:type="pct"/>
            <w:gridSpan w:val="2"/>
            <w:vAlign w:val="center"/>
          </w:tcPr>
          <w:p w14:paraId="043DE42C">
            <w:pPr>
              <w:pStyle w:val="296"/>
              <w:adjustRightInd w:val="0"/>
              <w:snapToGrid w:val="0"/>
              <w:spacing w:line="300" w:lineRule="exact"/>
              <w:rPr>
                <w:rFonts w:hint="eastAsia" w:cs="宋体"/>
                <w:color w:val="auto"/>
              </w:rPr>
            </w:pPr>
            <w:r>
              <w:rPr>
                <w:rFonts w:hint="eastAsia" w:cs="宋体"/>
                <w:color w:val="auto"/>
              </w:rPr>
              <w:t>采油井场、橇装天然气浅冷处理装置的防渗措施</w:t>
            </w:r>
          </w:p>
        </w:tc>
        <w:tc>
          <w:tcPr>
            <w:tcW w:w="536" w:type="pct"/>
            <w:vAlign w:val="center"/>
          </w:tcPr>
          <w:p w14:paraId="55670E27">
            <w:pPr>
              <w:pStyle w:val="296"/>
              <w:adjustRightInd w:val="0"/>
              <w:snapToGrid w:val="0"/>
              <w:spacing w:line="300" w:lineRule="exact"/>
              <w:rPr>
                <w:rFonts w:hint="eastAsia" w:cs="宋体"/>
                <w:color w:val="auto"/>
              </w:rPr>
            </w:pPr>
            <w:r>
              <w:rPr>
                <w:rFonts w:hint="eastAsia" w:cs="宋体"/>
                <w:color w:val="auto"/>
              </w:rPr>
              <w:t>8</w:t>
            </w:r>
          </w:p>
        </w:tc>
      </w:tr>
      <w:tr w14:paraId="096931A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gridAfter w:val="1"/>
          <w:wAfter w:w="11" w:type="pct"/>
          <w:trHeight w:val="340" w:hRule="atLeast"/>
          <w:jc w:val="center"/>
        </w:trPr>
        <w:tc>
          <w:tcPr>
            <w:tcW w:w="742" w:type="pct"/>
            <w:gridSpan w:val="2"/>
            <w:vAlign w:val="center"/>
          </w:tcPr>
          <w:p w14:paraId="4B86D1C7">
            <w:pPr>
              <w:pStyle w:val="296"/>
              <w:adjustRightInd w:val="0"/>
              <w:snapToGrid w:val="0"/>
              <w:spacing w:line="300" w:lineRule="exact"/>
              <w:rPr>
                <w:rFonts w:hint="eastAsia" w:cs="宋体"/>
                <w:color w:val="auto"/>
              </w:rPr>
            </w:pPr>
            <w:r>
              <w:rPr>
                <w:rFonts w:hint="eastAsia" w:cs="宋体"/>
                <w:color w:val="auto"/>
              </w:rPr>
              <w:t>合计</w:t>
            </w:r>
          </w:p>
        </w:tc>
        <w:tc>
          <w:tcPr>
            <w:tcW w:w="3711" w:type="pct"/>
            <w:gridSpan w:val="2"/>
            <w:vAlign w:val="center"/>
          </w:tcPr>
          <w:p w14:paraId="0E2AAA38">
            <w:pPr>
              <w:pStyle w:val="296"/>
              <w:adjustRightInd w:val="0"/>
              <w:snapToGrid w:val="0"/>
              <w:spacing w:line="300" w:lineRule="exact"/>
              <w:rPr>
                <w:rFonts w:hint="eastAsia" w:cs="宋体"/>
                <w:color w:val="auto"/>
              </w:rPr>
            </w:pPr>
            <w:r>
              <w:rPr>
                <w:rFonts w:hint="eastAsia" w:cs="宋体"/>
                <w:color w:val="auto"/>
              </w:rPr>
              <w:t>/</w:t>
            </w:r>
          </w:p>
        </w:tc>
        <w:tc>
          <w:tcPr>
            <w:tcW w:w="536" w:type="pct"/>
            <w:vAlign w:val="center"/>
          </w:tcPr>
          <w:p w14:paraId="15D0E18A">
            <w:pPr>
              <w:pStyle w:val="296"/>
              <w:adjustRightInd w:val="0"/>
              <w:snapToGrid w:val="0"/>
              <w:spacing w:line="300" w:lineRule="exact"/>
              <w:rPr>
                <w:rFonts w:hint="eastAsia" w:cs="宋体"/>
                <w:color w:val="auto"/>
              </w:rPr>
            </w:pPr>
            <w:r>
              <w:rPr>
                <w:rFonts w:hint="eastAsia" w:cs="宋体"/>
                <w:color w:val="auto"/>
              </w:rPr>
              <w:t>145</w:t>
            </w:r>
          </w:p>
        </w:tc>
      </w:tr>
      <w:bookmarkEnd w:id="920"/>
    </w:tbl>
    <w:p w14:paraId="23A2377F">
      <w:pPr>
        <w:pStyle w:val="2"/>
        <w:keepLines w:val="0"/>
        <w:widowControl/>
        <w:numPr>
          <w:ilvl w:val="0"/>
          <w:numId w:val="2"/>
        </w:numPr>
        <w:spacing w:before="200" w:after="200" w:line="360" w:lineRule="auto"/>
        <w:ind w:hanging="567"/>
        <w:jc w:val="left"/>
        <w:rPr>
          <w:color w:val="auto"/>
        </w:rPr>
      </w:pPr>
      <w:r>
        <w:rPr>
          <w:color w:val="auto"/>
          <w:kern w:val="0"/>
        </w:rPr>
        <w:br w:type="page"/>
      </w:r>
      <w:bookmarkEnd w:id="921"/>
      <w:bookmarkStart w:id="922" w:name="_Toc468307959"/>
      <w:bookmarkStart w:id="923" w:name="_Toc471933676"/>
      <w:bookmarkStart w:id="924" w:name="_Toc224406029"/>
      <w:bookmarkStart w:id="925" w:name="_Toc459026608"/>
      <w:r>
        <w:rPr>
          <w:rFonts w:hint="eastAsia" w:ascii="黑体" w:hAnsi="黑体" w:eastAsia="黑体"/>
          <w:b w:val="0"/>
          <w:bCs w:val="0"/>
          <w:color w:val="auto"/>
          <w:kern w:val="2"/>
          <w:sz w:val="32"/>
          <w:szCs w:val="20"/>
          <w14:ligatures w14:val="none"/>
        </w:rPr>
        <w:t>环境管理与监测</w:t>
      </w:r>
      <w:bookmarkEnd w:id="922"/>
      <w:bookmarkEnd w:id="923"/>
      <w:r>
        <w:rPr>
          <w:rFonts w:hint="eastAsia" w:ascii="黑体" w:hAnsi="黑体" w:eastAsia="黑体"/>
          <w:b w:val="0"/>
          <w:bCs w:val="0"/>
          <w:color w:val="auto"/>
          <w:kern w:val="2"/>
          <w:sz w:val="32"/>
          <w:szCs w:val="20"/>
          <w14:ligatures w14:val="none"/>
        </w:rPr>
        <w:t>计划</w:t>
      </w:r>
      <w:bookmarkEnd w:id="924"/>
    </w:p>
    <w:p w14:paraId="2137D197">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926" w:name="_Toc471933677"/>
      <w:bookmarkStart w:id="927" w:name="_Toc224406030"/>
      <w:bookmarkStart w:id="928" w:name="_Toc468307960"/>
      <w:r>
        <w:rPr>
          <w:rFonts w:hint="eastAsia" w:ascii="黑体" w:hAnsi="黑体" w:eastAsia="黑体" w:cs="Times New Roman"/>
          <w:bCs/>
          <w:color w:val="auto"/>
          <w:sz w:val="28"/>
          <w:szCs w:val="32"/>
          <w14:ligatures w14:val="none"/>
        </w:rPr>
        <w:t>环境</w:t>
      </w:r>
      <w:bookmarkEnd w:id="925"/>
      <w:r>
        <w:rPr>
          <w:rFonts w:ascii="黑体" w:hAnsi="黑体" w:eastAsia="黑体" w:cs="Times New Roman"/>
          <w:bCs/>
          <w:color w:val="auto"/>
          <w:sz w:val="28"/>
          <w:szCs w:val="32"/>
          <w14:ligatures w14:val="none"/>
        </w:rPr>
        <w:t>管理</w:t>
      </w:r>
      <w:r>
        <w:rPr>
          <w:rFonts w:hint="eastAsia" w:ascii="黑体" w:hAnsi="黑体" w:eastAsia="黑体" w:cs="Times New Roman"/>
          <w:bCs/>
          <w:color w:val="auto"/>
          <w:sz w:val="28"/>
          <w:szCs w:val="32"/>
          <w14:ligatures w14:val="none"/>
        </w:rPr>
        <w:t>机构</w:t>
      </w:r>
      <w:bookmarkEnd w:id="926"/>
      <w:bookmarkEnd w:id="927"/>
      <w:bookmarkEnd w:id="928"/>
    </w:p>
    <w:p w14:paraId="75704826">
      <w:pPr>
        <w:pStyle w:val="86"/>
        <w:ind w:firstLine="480"/>
        <w:rPr>
          <w:rFonts w:hint="eastAsia"/>
          <w:color w:val="auto"/>
        </w:rPr>
      </w:pPr>
      <w:r>
        <w:rPr>
          <w:rFonts w:hint="eastAsia"/>
          <w:color w:val="auto"/>
        </w:rPr>
        <w:t>本项目依托</w:t>
      </w:r>
      <w:bookmarkStart w:id="929" w:name="OLE_LINK65"/>
      <w:r>
        <w:rPr>
          <w:rFonts w:hint="eastAsia"/>
          <w:color w:val="auto"/>
        </w:rPr>
        <w:t>石西油田作业区</w:t>
      </w:r>
      <w:bookmarkEnd w:id="929"/>
      <w:r>
        <w:rPr>
          <w:rFonts w:hint="eastAsia"/>
          <w:color w:val="auto"/>
        </w:rPr>
        <w:t>现有环境管理机构。石西油田作业区在环境管理上建立了健康、安全与环境管理体系（</w:t>
      </w:r>
      <w:r>
        <w:rPr>
          <w:color w:val="auto"/>
        </w:rPr>
        <w:t>HSE</w:t>
      </w:r>
      <w:r>
        <w:rPr>
          <w:rFonts w:hint="eastAsia"/>
          <w:color w:val="auto"/>
        </w:rPr>
        <w:t>管理体系），</w:t>
      </w:r>
      <w:r>
        <w:rPr>
          <w:color w:val="auto"/>
        </w:rPr>
        <w:t>HSE</w:t>
      </w:r>
      <w:r>
        <w:rPr>
          <w:rFonts w:hint="eastAsia"/>
          <w:color w:val="auto"/>
        </w:rPr>
        <w:t>最高管理者为厂长，主要负责制定环境方针和环境目标，为环境管理方案的执行提供必要的支持和物质保障等；日常环境管理工作由任</w:t>
      </w:r>
      <w:r>
        <w:rPr>
          <w:color w:val="auto"/>
        </w:rPr>
        <w:t>HSE</w:t>
      </w:r>
      <w:r>
        <w:rPr>
          <w:rFonts w:hint="eastAsia"/>
          <w:color w:val="auto"/>
        </w:rPr>
        <w:t>管理者代表的副厂长、安全总监主持，在环境管理中行使职权，监督体系的建立和实施等；质量安全环保科负责监督</w:t>
      </w:r>
      <w:r>
        <w:rPr>
          <w:color w:val="auto"/>
        </w:rPr>
        <w:t>HSE</w:t>
      </w:r>
      <w:r>
        <w:rPr>
          <w:rFonts w:hint="eastAsia"/>
          <w:color w:val="auto"/>
        </w:rPr>
        <w:t>标准、环境标准的贯彻实施，确保所有有关</w:t>
      </w:r>
      <w:r>
        <w:rPr>
          <w:color w:val="auto"/>
        </w:rPr>
        <w:t>HSE</w:t>
      </w:r>
      <w:r>
        <w:rPr>
          <w:rFonts w:hint="eastAsia"/>
          <w:color w:val="auto"/>
        </w:rPr>
        <w:t>方面的要求能正确、完全地执行等；石西油田作业区安全第一责任人负责解决油气田开发过程中出现的环境问题以及发生污染事故的处理等。</w:t>
      </w:r>
    </w:p>
    <w:p w14:paraId="6F8CBFC8">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930" w:name="_Toc459026609"/>
      <w:bookmarkStart w:id="931" w:name="_Toc471933678"/>
      <w:bookmarkStart w:id="932" w:name="_Toc224406031"/>
      <w:bookmarkStart w:id="933" w:name="_Toc468307961"/>
      <w:r>
        <w:rPr>
          <w:rFonts w:hint="eastAsia" w:ascii="黑体" w:hAnsi="黑体" w:eastAsia="黑体" w:cs="Times New Roman"/>
          <w:bCs/>
          <w:color w:val="auto"/>
          <w:sz w:val="28"/>
          <w:szCs w:val="32"/>
          <w14:ligatures w14:val="none"/>
        </w:rPr>
        <w:t>生产区</w:t>
      </w:r>
      <w:r>
        <w:rPr>
          <w:rFonts w:ascii="黑体" w:hAnsi="黑体" w:eastAsia="黑体" w:cs="Times New Roman"/>
          <w:bCs/>
          <w:color w:val="auto"/>
          <w:sz w:val="28"/>
          <w:szCs w:val="32"/>
          <w14:ligatures w14:val="none"/>
        </w:rPr>
        <w:t>环境管理</w:t>
      </w:r>
      <w:bookmarkEnd w:id="930"/>
      <w:bookmarkEnd w:id="931"/>
      <w:bookmarkEnd w:id="932"/>
      <w:bookmarkEnd w:id="933"/>
    </w:p>
    <w:p w14:paraId="05A63DBE">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施工期环境</w:t>
      </w:r>
      <w:r>
        <w:rPr>
          <w:rFonts w:ascii="黑体" w:hAnsi="黑体" w:eastAsia="黑体" w:cs="Times New Roman"/>
          <w:color w:val="auto"/>
          <w:sz w:val="24"/>
          <w:szCs w:val="21"/>
          <w:lang w:val="zh-CN"/>
          <w14:ligatures w14:val="none"/>
        </w:rPr>
        <w:t>管理</w:t>
      </w:r>
    </w:p>
    <w:p w14:paraId="559B4CA8">
      <w:pPr>
        <w:pStyle w:val="86"/>
        <w:ind w:firstLine="480"/>
        <w:rPr>
          <w:rStyle w:val="85"/>
          <w:rFonts w:hint="eastAsia"/>
          <w:color w:val="auto"/>
        </w:rPr>
      </w:pPr>
      <w:r>
        <w:rPr>
          <w:rFonts w:hint="eastAsia"/>
          <w:color w:val="auto"/>
        </w:rPr>
        <w:t>建设单位在施工期应加强对施工单位环境保护工作的监督与管理，施工单位应遵守相关环境保护法律法规，并严格落实本报告以及环评批复中提出的施工期环境保护要求；建立环境保护档案，对施工期采取的环境保护工作进行记录，保留施工前后施工区域的影像资料，便于建设单位进行监督检查。</w:t>
      </w:r>
      <w:r>
        <w:rPr>
          <w:rFonts w:hint="eastAsia" w:cs="宋体"/>
          <w:color w:val="auto"/>
          <w:lang w:bidi="ar"/>
        </w:rPr>
        <w:t>施工期相关的施工期环境保护行动计划</w:t>
      </w:r>
      <w:r>
        <w:rPr>
          <w:rStyle w:val="85"/>
          <w:rFonts w:hint="eastAsia"/>
          <w:color w:val="auto"/>
        </w:rPr>
        <w:t>见</w:t>
      </w:r>
      <w:r>
        <w:rPr>
          <w:rFonts w:hint="eastAsia"/>
          <w:color w:val="auto"/>
        </w:rPr>
        <w:t>表</w:t>
      </w:r>
      <w:r>
        <w:rPr>
          <w:color w:val="auto"/>
        </w:rPr>
        <w:t>7.2</w:t>
      </w:r>
      <w:r>
        <w:rPr>
          <w:rFonts w:hint="eastAsia"/>
          <w:color w:val="auto"/>
        </w:rPr>
        <w:t>-</w:t>
      </w:r>
      <w:r>
        <w:rPr>
          <w:color w:val="auto"/>
        </w:rPr>
        <w:t>1</w:t>
      </w:r>
      <w:r>
        <w:rPr>
          <w:rStyle w:val="85"/>
          <w:rFonts w:hint="eastAsia"/>
          <w:color w:val="auto"/>
        </w:rPr>
        <w:t>。</w:t>
      </w:r>
    </w:p>
    <w:p w14:paraId="41D8B06F">
      <w:pPr>
        <w:pStyle w:val="15"/>
        <w:rPr>
          <w:rFonts w:hint="eastAsia"/>
          <w:color w:val="auto"/>
        </w:rPr>
      </w:pPr>
      <w:bookmarkStart w:id="934" w:name="_Ref468827344"/>
      <w:r>
        <w:rPr>
          <w:color w:val="auto"/>
        </w:rPr>
        <w:t>表</w:t>
      </w:r>
      <w:bookmarkEnd w:id="934"/>
      <w:r>
        <w:rPr>
          <w:color w:val="auto"/>
        </w:rPr>
        <w:t>7.2-1</w:t>
      </w:r>
      <w:r>
        <w:rPr>
          <w:rFonts w:hint="eastAsia"/>
          <w:color w:val="auto"/>
        </w:rPr>
        <w:t xml:space="preserve">  </w:t>
      </w:r>
      <w:bookmarkStart w:id="935" w:name="_Hlk33482327"/>
      <w:r>
        <w:rPr>
          <w:rFonts w:hint="eastAsia"/>
          <w:color w:val="auto"/>
        </w:rPr>
        <w:t>施工期</w:t>
      </w:r>
      <w:r>
        <w:rPr>
          <w:color w:val="auto"/>
        </w:rPr>
        <w:t>环境保护行动计划</w:t>
      </w:r>
    </w:p>
    <w:bookmarkEnd w:id="935"/>
    <w:tbl>
      <w:tblPr>
        <w:tblStyle w:val="51"/>
        <w:tblW w:w="8900"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85" w:type="dxa"/>
          <w:bottom w:w="0" w:type="dxa"/>
          <w:right w:w="85" w:type="dxa"/>
        </w:tblCellMar>
      </w:tblPr>
      <w:tblGrid>
        <w:gridCol w:w="631"/>
        <w:gridCol w:w="645"/>
        <w:gridCol w:w="5954"/>
        <w:gridCol w:w="652"/>
        <w:gridCol w:w="1018"/>
      </w:tblGrid>
      <w:tr w14:paraId="0F6C6F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40" w:hRule="atLeast"/>
          <w:tblHeader/>
          <w:jc w:val="center"/>
        </w:trPr>
        <w:tc>
          <w:tcPr>
            <w:tcW w:w="631" w:type="dxa"/>
            <w:vAlign w:val="center"/>
          </w:tcPr>
          <w:p w14:paraId="30F55F47">
            <w:pPr>
              <w:pStyle w:val="296"/>
              <w:spacing w:line="280" w:lineRule="exact"/>
              <w:rPr>
                <w:rFonts w:hint="eastAsia"/>
                <w:color w:val="auto"/>
              </w:rPr>
            </w:pPr>
            <w:r>
              <w:rPr>
                <w:rFonts w:hint="eastAsia"/>
                <w:color w:val="auto"/>
              </w:rPr>
              <w:t>序号</w:t>
            </w:r>
          </w:p>
        </w:tc>
        <w:tc>
          <w:tcPr>
            <w:tcW w:w="645" w:type="dxa"/>
            <w:vAlign w:val="center"/>
          </w:tcPr>
          <w:p w14:paraId="5054EF2C">
            <w:pPr>
              <w:pStyle w:val="296"/>
              <w:spacing w:line="280" w:lineRule="exact"/>
              <w:rPr>
                <w:rFonts w:hint="eastAsia"/>
                <w:color w:val="auto"/>
              </w:rPr>
            </w:pPr>
            <w:r>
              <w:rPr>
                <w:rFonts w:hint="eastAsia"/>
                <w:color w:val="auto"/>
              </w:rPr>
              <w:t>影响</w:t>
            </w:r>
          </w:p>
          <w:p w14:paraId="656856A8">
            <w:pPr>
              <w:pStyle w:val="296"/>
              <w:spacing w:line="280" w:lineRule="exact"/>
              <w:rPr>
                <w:rFonts w:hint="eastAsia"/>
                <w:color w:val="auto"/>
              </w:rPr>
            </w:pPr>
            <w:r>
              <w:rPr>
                <w:rFonts w:hint="eastAsia"/>
                <w:color w:val="auto"/>
              </w:rPr>
              <w:t>因素</w:t>
            </w:r>
          </w:p>
        </w:tc>
        <w:tc>
          <w:tcPr>
            <w:tcW w:w="5954" w:type="dxa"/>
            <w:vAlign w:val="center"/>
          </w:tcPr>
          <w:p w14:paraId="6ED1458B">
            <w:pPr>
              <w:pStyle w:val="296"/>
              <w:spacing w:line="280" w:lineRule="exact"/>
              <w:rPr>
                <w:rFonts w:hint="eastAsia"/>
                <w:color w:val="auto"/>
              </w:rPr>
            </w:pPr>
            <w:r>
              <w:rPr>
                <w:rFonts w:hint="eastAsia"/>
                <w:color w:val="auto"/>
              </w:rPr>
              <w:t>环保措施</w:t>
            </w:r>
          </w:p>
        </w:tc>
        <w:tc>
          <w:tcPr>
            <w:tcW w:w="652" w:type="dxa"/>
            <w:vAlign w:val="center"/>
          </w:tcPr>
          <w:p w14:paraId="6D65CF84">
            <w:pPr>
              <w:pStyle w:val="296"/>
              <w:spacing w:line="280" w:lineRule="exact"/>
              <w:rPr>
                <w:rFonts w:hint="eastAsia"/>
                <w:color w:val="auto"/>
              </w:rPr>
            </w:pPr>
            <w:r>
              <w:rPr>
                <w:rFonts w:hint="eastAsia"/>
                <w:color w:val="auto"/>
              </w:rPr>
              <w:t>实施</w:t>
            </w:r>
          </w:p>
          <w:p w14:paraId="75D6FC0D">
            <w:pPr>
              <w:pStyle w:val="296"/>
              <w:spacing w:line="280" w:lineRule="exact"/>
              <w:rPr>
                <w:rFonts w:hint="eastAsia"/>
                <w:color w:val="auto"/>
              </w:rPr>
            </w:pPr>
            <w:r>
              <w:rPr>
                <w:rFonts w:hint="eastAsia"/>
                <w:color w:val="auto"/>
              </w:rPr>
              <w:t>单位</w:t>
            </w:r>
          </w:p>
        </w:tc>
        <w:tc>
          <w:tcPr>
            <w:tcW w:w="1018" w:type="dxa"/>
            <w:vAlign w:val="center"/>
          </w:tcPr>
          <w:p w14:paraId="53907DBA">
            <w:pPr>
              <w:pStyle w:val="296"/>
              <w:spacing w:line="280" w:lineRule="exact"/>
              <w:rPr>
                <w:rFonts w:hint="eastAsia"/>
                <w:color w:val="auto"/>
              </w:rPr>
            </w:pPr>
            <w:r>
              <w:rPr>
                <w:rFonts w:hint="eastAsia"/>
                <w:color w:val="auto"/>
              </w:rPr>
              <w:t>监督</w:t>
            </w:r>
          </w:p>
          <w:p w14:paraId="69341DE9">
            <w:pPr>
              <w:pStyle w:val="296"/>
              <w:spacing w:line="280" w:lineRule="exact"/>
              <w:rPr>
                <w:rFonts w:hint="eastAsia"/>
                <w:color w:val="auto"/>
              </w:rPr>
            </w:pPr>
            <w:r>
              <w:rPr>
                <w:rFonts w:hint="eastAsia"/>
                <w:color w:val="auto"/>
              </w:rPr>
              <w:t>单位</w:t>
            </w:r>
          </w:p>
        </w:tc>
      </w:tr>
      <w:tr w14:paraId="0C9824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40" w:hRule="atLeast"/>
          <w:jc w:val="center"/>
        </w:trPr>
        <w:tc>
          <w:tcPr>
            <w:tcW w:w="631" w:type="dxa"/>
            <w:vAlign w:val="center"/>
          </w:tcPr>
          <w:p w14:paraId="4E0144E0">
            <w:pPr>
              <w:pStyle w:val="296"/>
              <w:spacing w:line="280" w:lineRule="exact"/>
              <w:rPr>
                <w:rFonts w:hint="eastAsia"/>
                <w:color w:val="auto"/>
              </w:rPr>
            </w:pPr>
            <w:r>
              <w:rPr>
                <w:rFonts w:hint="eastAsia"/>
                <w:color w:val="auto"/>
              </w:rPr>
              <w:t>1</w:t>
            </w:r>
          </w:p>
        </w:tc>
        <w:tc>
          <w:tcPr>
            <w:tcW w:w="645" w:type="dxa"/>
            <w:vAlign w:val="center"/>
          </w:tcPr>
          <w:p w14:paraId="21BC237D">
            <w:pPr>
              <w:pStyle w:val="296"/>
              <w:spacing w:line="280" w:lineRule="exact"/>
              <w:rPr>
                <w:rFonts w:hint="eastAsia"/>
                <w:color w:val="auto"/>
              </w:rPr>
            </w:pPr>
            <w:r>
              <w:rPr>
                <w:rFonts w:hint="eastAsia"/>
                <w:color w:val="auto"/>
              </w:rPr>
              <w:t>生态</w:t>
            </w:r>
          </w:p>
          <w:p w14:paraId="49AA2B48">
            <w:pPr>
              <w:pStyle w:val="296"/>
              <w:spacing w:line="280" w:lineRule="exact"/>
              <w:rPr>
                <w:rFonts w:hint="eastAsia"/>
                <w:color w:val="auto"/>
              </w:rPr>
            </w:pPr>
            <w:r>
              <w:rPr>
                <w:rFonts w:hint="eastAsia"/>
                <w:color w:val="auto"/>
              </w:rPr>
              <w:t>环境</w:t>
            </w:r>
          </w:p>
        </w:tc>
        <w:tc>
          <w:tcPr>
            <w:tcW w:w="5954" w:type="dxa"/>
            <w:vAlign w:val="center"/>
          </w:tcPr>
          <w:p w14:paraId="204B3DD4">
            <w:pPr>
              <w:pStyle w:val="296"/>
              <w:spacing w:line="280" w:lineRule="exact"/>
              <w:jc w:val="left"/>
              <w:rPr>
                <w:rFonts w:hint="eastAsia"/>
                <w:color w:val="auto"/>
              </w:rPr>
            </w:pPr>
            <w:r>
              <w:rPr>
                <w:rFonts w:hint="eastAsia"/>
                <w:color w:val="auto"/>
              </w:rPr>
              <w:t>施工过程中严格控制占地面积，规定施工活动范围，减少临时占地和对地表的扰动。施工结束后，施工单位应负责及时清理现场，使之尽快自然恢复，将施工期对生态环境影响降到最低。严禁施工人员踩踏植被和猎捕野生动物</w:t>
            </w:r>
          </w:p>
        </w:tc>
        <w:tc>
          <w:tcPr>
            <w:tcW w:w="652" w:type="dxa"/>
            <w:vMerge w:val="restart"/>
            <w:vAlign w:val="center"/>
          </w:tcPr>
          <w:p w14:paraId="018FAB3C">
            <w:pPr>
              <w:pStyle w:val="296"/>
              <w:spacing w:line="280" w:lineRule="exact"/>
              <w:rPr>
                <w:rFonts w:hint="eastAsia"/>
                <w:color w:val="auto"/>
              </w:rPr>
            </w:pPr>
            <w:r>
              <w:rPr>
                <w:rFonts w:hint="eastAsia"/>
                <w:color w:val="auto"/>
              </w:rPr>
              <w:t>施工单位</w:t>
            </w:r>
          </w:p>
        </w:tc>
        <w:tc>
          <w:tcPr>
            <w:tcW w:w="1018" w:type="dxa"/>
            <w:vMerge w:val="restart"/>
            <w:vAlign w:val="center"/>
          </w:tcPr>
          <w:p w14:paraId="7FA8DFA1">
            <w:pPr>
              <w:pStyle w:val="296"/>
              <w:spacing w:line="280" w:lineRule="exact"/>
              <w:rPr>
                <w:rFonts w:hint="eastAsia"/>
                <w:color w:val="auto"/>
              </w:rPr>
            </w:pPr>
            <w:r>
              <w:rPr>
                <w:rFonts w:hint="eastAsia"/>
                <w:color w:val="auto"/>
              </w:rPr>
              <w:t>昌吉回族自治州生态环境局、昌吉回族自治州生态环境局玛纳斯县分局</w:t>
            </w:r>
          </w:p>
        </w:tc>
      </w:tr>
      <w:tr w14:paraId="3586D8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40" w:hRule="atLeast"/>
          <w:jc w:val="center"/>
        </w:trPr>
        <w:tc>
          <w:tcPr>
            <w:tcW w:w="631" w:type="dxa"/>
            <w:vAlign w:val="center"/>
          </w:tcPr>
          <w:p w14:paraId="43C09909">
            <w:pPr>
              <w:pStyle w:val="296"/>
              <w:spacing w:line="280" w:lineRule="exact"/>
              <w:rPr>
                <w:rFonts w:hint="eastAsia"/>
                <w:color w:val="auto"/>
              </w:rPr>
            </w:pPr>
            <w:r>
              <w:rPr>
                <w:rFonts w:hint="eastAsia"/>
                <w:color w:val="auto"/>
              </w:rPr>
              <w:t>2</w:t>
            </w:r>
          </w:p>
        </w:tc>
        <w:tc>
          <w:tcPr>
            <w:tcW w:w="645" w:type="dxa"/>
            <w:vAlign w:val="center"/>
          </w:tcPr>
          <w:p w14:paraId="4EBBC27D">
            <w:pPr>
              <w:pStyle w:val="296"/>
              <w:spacing w:line="280" w:lineRule="exact"/>
              <w:rPr>
                <w:rFonts w:hint="eastAsia"/>
                <w:color w:val="auto"/>
              </w:rPr>
            </w:pPr>
            <w:r>
              <w:rPr>
                <w:rFonts w:hint="eastAsia"/>
                <w:color w:val="auto"/>
              </w:rPr>
              <w:t>水环境</w:t>
            </w:r>
          </w:p>
        </w:tc>
        <w:tc>
          <w:tcPr>
            <w:tcW w:w="5954" w:type="dxa"/>
            <w:vAlign w:val="center"/>
          </w:tcPr>
          <w:p w14:paraId="1421158C">
            <w:pPr>
              <w:pStyle w:val="296"/>
              <w:spacing w:line="280" w:lineRule="exact"/>
              <w:jc w:val="left"/>
              <w:rPr>
                <w:rFonts w:hint="eastAsia"/>
                <w:color w:val="auto"/>
              </w:rPr>
            </w:pPr>
            <w:r>
              <w:rPr>
                <w:rFonts w:hint="eastAsia"/>
                <w:color w:val="auto"/>
              </w:rPr>
              <w:t>管线试压废水用于施工洒水抑尘，混凝土养护废水主要靠自然蒸发处理。</w:t>
            </w:r>
          </w:p>
        </w:tc>
        <w:tc>
          <w:tcPr>
            <w:tcW w:w="652" w:type="dxa"/>
            <w:vMerge w:val="continue"/>
            <w:vAlign w:val="center"/>
          </w:tcPr>
          <w:p w14:paraId="5444510F">
            <w:pPr>
              <w:pStyle w:val="296"/>
              <w:spacing w:line="280" w:lineRule="exact"/>
              <w:rPr>
                <w:rFonts w:hint="eastAsia"/>
                <w:color w:val="auto"/>
              </w:rPr>
            </w:pPr>
          </w:p>
        </w:tc>
        <w:tc>
          <w:tcPr>
            <w:tcW w:w="1018" w:type="dxa"/>
            <w:vMerge w:val="continue"/>
            <w:vAlign w:val="center"/>
          </w:tcPr>
          <w:p w14:paraId="5BE684F0">
            <w:pPr>
              <w:pStyle w:val="296"/>
              <w:spacing w:line="280" w:lineRule="exact"/>
              <w:rPr>
                <w:rFonts w:hint="eastAsia"/>
                <w:color w:val="auto"/>
              </w:rPr>
            </w:pPr>
          </w:p>
        </w:tc>
      </w:tr>
      <w:tr w14:paraId="2A8580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40" w:hRule="atLeast"/>
          <w:jc w:val="center"/>
        </w:trPr>
        <w:tc>
          <w:tcPr>
            <w:tcW w:w="631" w:type="dxa"/>
            <w:vAlign w:val="center"/>
          </w:tcPr>
          <w:p w14:paraId="113B2CF2">
            <w:pPr>
              <w:pStyle w:val="296"/>
              <w:spacing w:line="280" w:lineRule="exact"/>
              <w:rPr>
                <w:rFonts w:hint="eastAsia"/>
                <w:color w:val="auto"/>
              </w:rPr>
            </w:pPr>
            <w:r>
              <w:rPr>
                <w:rFonts w:hint="eastAsia"/>
                <w:color w:val="auto"/>
              </w:rPr>
              <w:t>3</w:t>
            </w:r>
          </w:p>
        </w:tc>
        <w:tc>
          <w:tcPr>
            <w:tcW w:w="645" w:type="dxa"/>
            <w:vAlign w:val="center"/>
          </w:tcPr>
          <w:p w14:paraId="26380766">
            <w:pPr>
              <w:pStyle w:val="296"/>
              <w:spacing w:line="280" w:lineRule="exact"/>
              <w:rPr>
                <w:rFonts w:hint="eastAsia"/>
                <w:color w:val="auto"/>
              </w:rPr>
            </w:pPr>
            <w:r>
              <w:rPr>
                <w:rFonts w:hint="eastAsia"/>
                <w:color w:val="auto"/>
              </w:rPr>
              <w:t>土壤</w:t>
            </w:r>
          </w:p>
          <w:p w14:paraId="4E809278">
            <w:pPr>
              <w:pStyle w:val="296"/>
              <w:spacing w:line="280" w:lineRule="exact"/>
              <w:rPr>
                <w:rFonts w:hint="eastAsia"/>
                <w:color w:val="auto"/>
              </w:rPr>
            </w:pPr>
            <w:r>
              <w:rPr>
                <w:rFonts w:hint="eastAsia"/>
                <w:color w:val="auto"/>
              </w:rPr>
              <w:t>环境</w:t>
            </w:r>
          </w:p>
        </w:tc>
        <w:tc>
          <w:tcPr>
            <w:tcW w:w="5954" w:type="dxa"/>
            <w:vAlign w:val="center"/>
          </w:tcPr>
          <w:p w14:paraId="357FEB33">
            <w:pPr>
              <w:pStyle w:val="296"/>
              <w:spacing w:line="280" w:lineRule="exact"/>
              <w:jc w:val="left"/>
              <w:rPr>
                <w:rFonts w:hint="eastAsia"/>
                <w:color w:val="auto"/>
              </w:rPr>
            </w:pPr>
            <w:r>
              <w:rPr>
                <w:rFonts w:hint="eastAsia"/>
                <w:color w:val="auto"/>
              </w:rPr>
              <w:t>按规定的施工范围进行作业，可有效减少土壤扰动，施工产生的建筑垃圾及时清运，可避免污染物进入土壤环境造成污染。</w:t>
            </w:r>
          </w:p>
        </w:tc>
        <w:tc>
          <w:tcPr>
            <w:tcW w:w="652" w:type="dxa"/>
            <w:vMerge w:val="continue"/>
            <w:vAlign w:val="center"/>
          </w:tcPr>
          <w:p w14:paraId="076EC2B2">
            <w:pPr>
              <w:pStyle w:val="296"/>
              <w:spacing w:line="280" w:lineRule="exact"/>
              <w:rPr>
                <w:rFonts w:hint="eastAsia"/>
                <w:color w:val="auto"/>
              </w:rPr>
            </w:pPr>
          </w:p>
        </w:tc>
        <w:tc>
          <w:tcPr>
            <w:tcW w:w="1018" w:type="dxa"/>
            <w:vMerge w:val="continue"/>
            <w:vAlign w:val="center"/>
          </w:tcPr>
          <w:p w14:paraId="3F2FDEDC">
            <w:pPr>
              <w:pStyle w:val="296"/>
              <w:spacing w:line="280" w:lineRule="exact"/>
              <w:rPr>
                <w:rFonts w:hint="eastAsia"/>
                <w:color w:val="auto"/>
              </w:rPr>
            </w:pPr>
          </w:p>
        </w:tc>
      </w:tr>
      <w:tr w14:paraId="1C09BC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40" w:hRule="atLeast"/>
          <w:jc w:val="center"/>
        </w:trPr>
        <w:tc>
          <w:tcPr>
            <w:tcW w:w="631" w:type="dxa"/>
            <w:vAlign w:val="center"/>
          </w:tcPr>
          <w:p w14:paraId="5EA37640">
            <w:pPr>
              <w:pStyle w:val="296"/>
              <w:spacing w:line="280" w:lineRule="exact"/>
              <w:rPr>
                <w:rFonts w:hint="eastAsia"/>
                <w:color w:val="auto"/>
              </w:rPr>
            </w:pPr>
            <w:r>
              <w:rPr>
                <w:color w:val="auto"/>
              </w:rPr>
              <w:t>4</w:t>
            </w:r>
          </w:p>
        </w:tc>
        <w:tc>
          <w:tcPr>
            <w:tcW w:w="645" w:type="dxa"/>
            <w:vAlign w:val="center"/>
          </w:tcPr>
          <w:p w14:paraId="3FFC5B14">
            <w:pPr>
              <w:pStyle w:val="296"/>
              <w:spacing w:line="280" w:lineRule="exact"/>
              <w:rPr>
                <w:rFonts w:hint="eastAsia"/>
                <w:color w:val="auto"/>
              </w:rPr>
            </w:pPr>
            <w:r>
              <w:rPr>
                <w:rFonts w:hint="eastAsia"/>
                <w:color w:val="auto"/>
              </w:rPr>
              <w:t>声环境</w:t>
            </w:r>
          </w:p>
        </w:tc>
        <w:tc>
          <w:tcPr>
            <w:tcW w:w="5954" w:type="dxa"/>
            <w:vAlign w:val="center"/>
          </w:tcPr>
          <w:p w14:paraId="4F3EE256">
            <w:pPr>
              <w:pStyle w:val="296"/>
              <w:spacing w:line="280" w:lineRule="exact"/>
              <w:jc w:val="left"/>
              <w:rPr>
                <w:rFonts w:hint="eastAsia"/>
                <w:color w:val="auto"/>
              </w:rPr>
            </w:pPr>
            <w:r>
              <w:rPr>
                <w:rFonts w:hint="eastAsia"/>
                <w:color w:val="auto"/>
              </w:rPr>
              <w:t>选用低噪声设备，并注意设备的正确使用和经常性维护，保持较低噪声水平。运输车辆限速、尽量减少鸣笛。</w:t>
            </w:r>
          </w:p>
        </w:tc>
        <w:tc>
          <w:tcPr>
            <w:tcW w:w="652" w:type="dxa"/>
            <w:vMerge w:val="continue"/>
            <w:vAlign w:val="center"/>
          </w:tcPr>
          <w:p w14:paraId="3A7DCF70">
            <w:pPr>
              <w:pStyle w:val="296"/>
              <w:spacing w:line="280" w:lineRule="exact"/>
              <w:rPr>
                <w:rFonts w:hint="eastAsia"/>
                <w:color w:val="auto"/>
              </w:rPr>
            </w:pPr>
          </w:p>
        </w:tc>
        <w:tc>
          <w:tcPr>
            <w:tcW w:w="1018" w:type="dxa"/>
            <w:vMerge w:val="continue"/>
            <w:vAlign w:val="center"/>
          </w:tcPr>
          <w:p w14:paraId="078BDF7F">
            <w:pPr>
              <w:pStyle w:val="296"/>
              <w:spacing w:line="280" w:lineRule="exact"/>
              <w:rPr>
                <w:rFonts w:hint="eastAsia"/>
                <w:color w:val="auto"/>
              </w:rPr>
            </w:pPr>
          </w:p>
        </w:tc>
      </w:tr>
      <w:tr w14:paraId="665859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40" w:hRule="atLeast"/>
          <w:jc w:val="center"/>
        </w:trPr>
        <w:tc>
          <w:tcPr>
            <w:tcW w:w="631" w:type="dxa"/>
            <w:vAlign w:val="center"/>
          </w:tcPr>
          <w:p w14:paraId="3C91E254">
            <w:pPr>
              <w:pStyle w:val="296"/>
              <w:spacing w:line="280" w:lineRule="exact"/>
              <w:rPr>
                <w:rFonts w:hint="eastAsia"/>
                <w:color w:val="auto"/>
              </w:rPr>
            </w:pPr>
            <w:r>
              <w:rPr>
                <w:color w:val="auto"/>
              </w:rPr>
              <w:t>5</w:t>
            </w:r>
          </w:p>
        </w:tc>
        <w:tc>
          <w:tcPr>
            <w:tcW w:w="645" w:type="dxa"/>
            <w:vAlign w:val="center"/>
          </w:tcPr>
          <w:p w14:paraId="43A48A34">
            <w:pPr>
              <w:pStyle w:val="296"/>
              <w:spacing w:line="280" w:lineRule="exact"/>
              <w:rPr>
                <w:rFonts w:hint="eastAsia"/>
                <w:color w:val="auto"/>
              </w:rPr>
            </w:pPr>
            <w:r>
              <w:rPr>
                <w:rFonts w:hint="eastAsia"/>
                <w:color w:val="auto"/>
              </w:rPr>
              <w:t>大气</w:t>
            </w:r>
          </w:p>
          <w:p w14:paraId="1A56D6FE">
            <w:pPr>
              <w:pStyle w:val="296"/>
              <w:spacing w:line="280" w:lineRule="exact"/>
              <w:rPr>
                <w:rFonts w:hint="eastAsia"/>
                <w:color w:val="auto"/>
              </w:rPr>
            </w:pPr>
            <w:r>
              <w:rPr>
                <w:rFonts w:hint="eastAsia"/>
                <w:color w:val="auto"/>
              </w:rPr>
              <w:t>环境</w:t>
            </w:r>
          </w:p>
        </w:tc>
        <w:tc>
          <w:tcPr>
            <w:tcW w:w="5954" w:type="dxa"/>
            <w:vAlign w:val="center"/>
          </w:tcPr>
          <w:p w14:paraId="1082898C">
            <w:pPr>
              <w:pStyle w:val="296"/>
              <w:spacing w:line="280" w:lineRule="exact"/>
              <w:jc w:val="left"/>
              <w:rPr>
                <w:rFonts w:hint="eastAsia"/>
                <w:color w:val="auto"/>
              </w:rPr>
            </w:pPr>
            <w:r>
              <w:rPr>
                <w:rFonts w:hint="eastAsia"/>
                <w:color w:val="auto"/>
              </w:rPr>
              <w:t>逸散性材料运输、装卸和堆放过程中采取加盖苫布等抑尘措施，严禁散落和尘土飞扬。施工期各机械设备应使用符合国家标准的油品，加强设备的维护，减少大气污染物的排放量。</w:t>
            </w:r>
          </w:p>
        </w:tc>
        <w:tc>
          <w:tcPr>
            <w:tcW w:w="652" w:type="dxa"/>
            <w:vMerge w:val="continue"/>
            <w:vAlign w:val="center"/>
          </w:tcPr>
          <w:p w14:paraId="7AE366F8">
            <w:pPr>
              <w:pStyle w:val="296"/>
              <w:spacing w:line="280" w:lineRule="exact"/>
              <w:rPr>
                <w:rFonts w:hint="eastAsia"/>
                <w:color w:val="auto"/>
              </w:rPr>
            </w:pPr>
          </w:p>
        </w:tc>
        <w:tc>
          <w:tcPr>
            <w:tcW w:w="1018" w:type="dxa"/>
            <w:vMerge w:val="continue"/>
            <w:vAlign w:val="center"/>
          </w:tcPr>
          <w:p w14:paraId="00F23142">
            <w:pPr>
              <w:pStyle w:val="296"/>
              <w:spacing w:line="280" w:lineRule="exact"/>
              <w:rPr>
                <w:rFonts w:hint="eastAsia"/>
                <w:color w:val="auto"/>
              </w:rPr>
            </w:pPr>
          </w:p>
        </w:tc>
      </w:tr>
      <w:tr w14:paraId="4A5D94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40" w:hRule="atLeast"/>
          <w:jc w:val="center"/>
        </w:trPr>
        <w:tc>
          <w:tcPr>
            <w:tcW w:w="631" w:type="dxa"/>
            <w:vAlign w:val="center"/>
          </w:tcPr>
          <w:p w14:paraId="666EDAB1">
            <w:pPr>
              <w:pStyle w:val="296"/>
              <w:spacing w:line="280" w:lineRule="exact"/>
              <w:rPr>
                <w:rFonts w:hint="eastAsia"/>
                <w:color w:val="auto"/>
              </w:rPr>
            </w:pPr>
            <w:r>
              <w:rPr>
                <w:color w:val="auto"/>
              </w:rPr>
              <w:t>6</w:t>
            </w:r>
          </w:p>
        </w:tc>
        <w:tc>
          <w:tcPr>
            <w:tcW w:w="645" w:type="dxa"/>
            <w:vAlign w:val="center"/>
          </w:tcPr>
          <w:p w14:paraId="45C8B761">
            <w:pPr>
              <w:pStyle w:val="296"/>
              <w:spacing w:line="280" w:lineRule="exact"/>
              <w:rPr>
                <w:rFonts w:hint="eastAsia"/>
                <w:color w:val="auto"/>
              </w:rPr>
            </w:pPr>
            <w:r>
              <w:rPr>
                <w:rFonts w:hint="eastAsia"/>
                <w:color w:val="auto"/>
              </w:rPr>
              <w:t>水土</w:t>
            </w:r>
          </w:p>
          <w:p w14:paraId="402FE07A">
            <w:pPr>
              <w:pStyle w:val="296"/>
              <w:spacing w:line="280" w:lineRule="exact"/>
              <w:rPr>
                <w:rFonts w:hint="eastAsia"/>
                <w:color w:val="auto"/>
              </w:rPr>
            </w:pPr>
            <w:r>
              <w:rPr>
                <w:rFonts w:hint="eastAsia"/>
                <w:color w:val="auto"/>
              </w:rPr>
              <w:t>流失</w:t>
            </w:r>
          </w:p>
        </w:tc>
        <w:tc>
          <w:tcPr>
            <w:tcW w:w="5954" w:type="dxa"/>
            <w:vAlign w:val="center"/>
          </w:tcPr>
          <w:p w14:paraId="07C372CE">
            <w:pPr>
              <w:pStyle w:val="296"/>
              <w:spacing w:line="280" w:lineRule="exact"/>
              <w:jc w:val="left"/>
              <w:rPr>
                <w:rFonts w:hint="eastAsia"/>
                <w:color w:val="auto"/>
              </w:rPr>
            </w:pPr>
            <w:r>
              <w:rPr>
                <w:rFonts w:hint="eastAsia"/>
                <w:color w:val="auto"/>
              </w:rPr>
              <w:t>严格按规划的施工范围进行施工作业，不得随意开辟施工便道。施工后期，及时做好施工迹地的清理工作。做好施工后期的迹地恢复工作，包括土地平整，创造局部小环境以利于植被的恢复等，防止水土流失</w:t>
            </w:r>
          </w:p>
        </w:tc>
        <w:tc>
          <w:tcPr>
            <w:tcW w:w="652" w:type="dxa"/>
            <w:vMerge w:val="continue"/>
            <w:vAlign w:val="center"/>
          </w:tcPr>
          <w:p w14:paraId="7017EB13">
            <w:pPr>
              <w:pStyle w:val="296"/>
              <w:spacing w:line="280" w:lineRule="exact"/>
              <w:rPr>
                <w:rFonts w:hint="eastAsia"/>
                <w:color w:val="auto"/>
              </w:rPr>
            </w:pPr>
          </w:p>
        </w:tc>
        <w:tc>
          <w:tcPr>
            <w:tcW w:w="1018" w:type="dxa"/>
            <w:vMerge w:val="continue"/>
            <w:vAlign w:val="center"/>
          </w:tcPr>
          <w:p w14:paraId="60A2387A">
            <w:pPr>
              <w:pStyle w:val="296"/>
              <w:spacing w:line="280" w:lineRule="exact"/>
              <w:rPr>
                <w:rFonts w:hint="eastAsia"/>
                <w:color w:val="auto"/>
              </w:rPr>
            </w:pPr>
          </w:p>
        </w:tc>
      </w:tr>
      <w:tr w14:paraId="77B552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40" w:hRule="atLeast"/>
          <w:jc w:val="center"/>
        </w:trPr>
        <w:tc>
          <w:tcPr>
            <w:tcW w:w="631" w:type="dxa"/>
            <w:vAlign w:val="center"/>
          </w:tcPr>
          <w:p w14:paraId="03239A88">
            <w:pPr>
              <w:pStyle w:val="296"/>
              <w:spacing w:line="280" w:lineRule="exact"/>
              <w:rPr>
                <w:rFonts w:hint="eastAsia"/>
                <w:color w:val="auto"/>
              </w:rPr>
            </w:pPr>
            <w:r>
              <w:rPr>
                <w:rFonts w:hint="eastAsia"/>
                <w:color w:val="auto"/>
              </w:rPr>
              <w:t>7</w:t>
            </w:r>
          </w:p>
        </w:tc>
        <w:tc>
          <w:tcPr>
            <w:tcW w:w="645" w:type="dxa"/>
            <w:vAlign w:val="center"/>
          </w:tcPr>
          <w:p w14:paraId="07EBFD25">
            <w:pPr>
              <w:pStyle w:val="296"/>
              <w:spacing w:line="280" w:lineRule="exact"/>
              <w:rPr>
                <w:rFonts w:hint="eastAsia"/>
                <w:color w:val="auto"/>
              </w:rPr>
            </w:pPr>
            <w:r>
              <w:rPr>
                <w:rFonts w:hint="eastAsia"/>
                <w:color w:val="auto"/>
              </w:rPr>
              <w:t>固体</w:t>
            </w:r>
          </w:p>
          <w:p w14:paraId="035B2E98">
            <w:pPr>
              <w:pStyle w:val="296"/>
              <w:spacing w:line="280" w:lineRule="exact"/>
              <w:rPr>
                <w:rFonts w:hint="eastAsia"/>
                <w:color w:val="auto"/>
              </w:rPr>
            </w:pPr>
            <w:r>
              <w:rPr>
                <w:rFonts w:hint="eastAsia"/>
                <w:color w:val="auto"/>
              </w:rPr>
              <w:t>废物</w:t>
            </w:r>
          </w:p>
        </w:tc>
        <w:tc>
          <w:tcPr>
            <w:tcW w:w="5954" w:type="dxa"/>
            <w:vAlign w:val="center"/>
          </w:tcPr>
          <w:p w14:paraId="5C171F86">
            <w:pPr>
              <w:pStyle w:val="296"/>
              <w:spacing w:line="280" w:lineRule="exact"/>
              <w:jc w:val="left"/>
              <w:rPr>
                <w:rFonts w:hint="eastAsia"/>
                <w:color w:val="auto"/>
              </w:rPr>
            </w:pPr>
            <w:r>
              <w:rPr>
                <w:rFonts w:hint="eastAsia"/>
                <w:color w:val="auto"/>
              </w:rPr>
              <w:t>建筑垃圾集中收集后送至当地建筑垃圾填埋场处理</w:t>
            </w:r>
          </w:p>
        </w:tc>
        <w:tc>
          <w:tcPr>
            <w:tcW w:w="652" w:type="dxa"/>
            <w:vMerge w:val="continue"/>
            <w:vAlign w:val="center"/>
          </w:tcPr>
          <w:p w14:paraId="7E214FF7">
            <w:pPr>
              <w:pStyle w:val="296"/>
              <w:spacing w:line="280" w:lineRule="exact"/>
              <w:rPr>
                <w:rFonts w:hint="eastAsia"/>
                <w:color w:val="auto"/>
              </w:rPr>
            </w:pPr>
          </w:p>
        </w:tc>
        <w:tc>
          <w:tcPr>
            <w:tcW w:w="1018" w:type="dxa"/>
            <w:vMerge w:val="continue"/>
            <w:vAlign w:val="center"/>
          </w:tcPr>
          <w:p w14:paraId="5F05AC71">
            <w:pPr>
              <w:pStyle w:val="296"/>
              <w:spacing w:line="280" w:lineRule="exact"/>
              <w:rPr>
                <w:rFonts w:hint="eastAsia"/>
                <w:color w:val="auto"/>
              </w:rPr>
            </w:pPr>
          </w:p>
        </w:tc>
      </w:tr>
    </w:tbl>
    <w:p w14:paraId="023198B5">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运营期环境管理</w:t>
      </w:r>
    </w:p>
    <w:p w14:paraId="43BC13EC">
      <w:pPr>
        <w:pStyle w:val="86"/>
        <w:ind w:firstLine="480"/>
        <w:rPr>
          <w:rFonts w:hint="eastAsia"/>
          <w:color w:val="auto"/>
        </w:rPr>
      </w:pPr>
      <w:bookmarkStart w:id="936" w:name="_Ref468827447"/>
      <w:r>
        <w:rPr>
          <w:rFonts w:hint="eastAsia"/>
          <w:color w:val="auto"/>
        </w:rPr>
        <w:t>（1）建立和实施运营期的健康、安全与环境（HSE）管理体系。</w:t>
      </w:r>
    </w:p>
    <w:p w14:paraId="2155191C">
      <w:pPr>
        <w:pStyle w:val="86"/>
        <w:ind w:firstLine="480"/>
        <w:rPr>
          <w:rFonts w:hint="eastAsia"/>
          <w:color w:val="auto"/>
        </w:rPr>
      </w:pPr>
      <w:r>
        <w:rPr>
          <w:rFonts w:hint="eastAsia"/>
          <w:color w:val="auto"/>
        </w:rPr>
        <w:t>（2）贯彻执行国家、地方及上级部门有关环境保护方针、政策、法律及法规。</w:t>
      </w:r>
    </w:p>
    <w:p w14:paraId="58B0FF84">
      <w:pPr>
        <w:pStyle w:val="86"/>
        <w:ind w:firstLine="480"/>
        <w:rPr>
          <w:rFonts w:hint="eastAsia"/>
          <w:color w:val="auto"/>
        </w:rPr>
      </w:pPr>
      <w:r>
        <w:rPr>
          <w:rFonts w:hint="eastAsia"/>
          <w:color w:val="auto"/>
        </w:rPr>
        <w:t>（3</w:t>
      </w:r>
      <w:r>
        <w:rPr>
          <w:color w:val="auto"/>
        </w:rPr>
        <w:t>）</w:t>
      </w:r>
      <w:r>
        <w:rPr>
          <w:rFonts w:hint="eastAsia"/>
          <w:color w:val="auto"/>
        </w:rPr>
        <w:t>加强环保管理人员的培训、教育，学习先进的环保管理理念，提高管理人员的技术水平与业务能力，定期对运营期环境保护工作进行总结和分析，根据环保水平的发展进步持续改进、强化运营期的环境保护与管理要求。</w:t>
      </w:r>
    </w:p>
    <w:p w14:paraId="19475B93">
      <w:pPr>
        <w:pStyle w:val="86"/>
        <w:ind w:firstLine="480"/>
        <w:rPr>
          <w:rFonts w:hint="eastAsia"/>
          <w:color w:val="auto"/>
        </w:rPr>
      </w:pPr>
      <w:r>
        <w:rPr>
          <w:rFonts w:hint="eastAsia"/>
          <w:color w:val="auto"/>
        </w:rPr>
        <w:t>（</w:t>
      </w:r>
      <w:r>
        <w:rPr>
          <w:color w:val="auto"/>
        </w:rPr>
        <w:t>4</w:t>
      </w:r>
      <w:r>
        <w:rPr>
          <w:rFonts w:hint="eastAsia"/>
          <w:color w:val="auto"/>
        </w:rPr>
        <w:t>）组织开展环境保护宣传教育、技术和经验交流活动，推广先进技术和科研成果；参加调查、分析、处理环境污染事故，并负责统计上报事故的基本情况及处理结果，协同有关部门制定防治污染事故措施，并监督实施。</w:t>
      </w:r>
    </w:p>
    <w:p w14:paraId="6190CA1A">
      <w:pPr>
        <w:pStyle w:val="86"/>
        <w:ind w:firstLine="480"/>
        <w:rPr>
          <w:rFonts w:hint="eastAsia"/>
          <w:color w:val="auto"/>
        </w:rPr>
      </w:pPr>
      <w:r>
        <w:rPr>
          <w:rFonts w:hint="eastAsia"/>
          <w:color w:val="auto"/>
        </w:rPr>
        <w:t>（5）项目运行后3至5年内，须组织开展环境影响后评价工作，对实际产生的环境影响以及污染防治、生态保护和风险防范措施的有效性进行跟踪监测和验证评价，对存在问题提出补救方案或者改进措施，不断完善和提高建设项目环境影响评价的有效性，切实落实各项环境保护措施。</w:t>
      </w:r>
    </w:p>
    <w:p w14:paraId="0AA62E07">
      <w:pPr>
        <w:pStyle w:val="86"/>
        <w:ind w:firstLine="480"/>
        <w:rPr>
          <w:rFonts w:hint="eastAsia"/>
          <w:color w:val="auto"/>
        </w:rPr>
      </w:pPr>
      <w:r>
        <w:rPr>
          <w:rFonts w:hint="eastAsia"/>
          <w:color w:val="auto"/>
        </w:rPr>
        <w:t>（6）运营期各环境要素的污染防治措施见表</w:t>
      </w:r>
      <w:r>
        <w:rPr>
          <w:color w:val="auto"/>
        </w:rPr>
        <w:t>7.2</w:t>
      </w:r>
      <w:r>
        <w:rPr>
          <w:rFonts w:hint="eastAsia"/>
          <w:color w:val="auto"/>
        </w:rPr>
        <w:t>-</w:t>
      </w:r>
      <w:r>
        <w:rPr>
          <w:color w:val="auto"/>
        </w:rPr>
        <w:t>2</w:t>
      </w:r>
      <w:r>
        <w:rPr>
          <w:rFonts w:hint="eastAsia"/>
          <w:color w:val="auto"/>
        </w:rPr>
        <w:t>。</w:t>
      </w:r>
    </w:p>
    <w:p w14:paraId="24406935">
      <w:pPr>
        <w:pStyle w:val="15"/>
        <w:rPr>
          <w:rFonts w:hint="eastAsia"/>
          <w:color w:val="auto"/>
        </w:rPr>
      </w:pPr>
      <w:r>
        <w:rPr>
          <w:color w:val="auto"/>
        </w:rPr>
        <w:t>表</w:t>
      </w:r>
      <w:bookmarkEnd w:id="936"/>
      <w:r>
        <w:rPr>
          <w:color w:val="auto"/>
        </w:rPr>
        <w:t>7.2-2</w:t>
      </w:r>
      <w:r>
        <w:rPr>
          <w:rFonts w:hint="eastAsia"/>
          <w:color w:val="auto"/>
        </w:rPr>
        <w:t xml:space="preserve">  运营期</w:t>
      </w:r>
      <w:r>
        <w:rPr>
          <w:color w:val="auto"/>
        </w:rPr>
        <w:t>环境保护</w:t>
      </w:r>
      <w:r>
        <w:rPr>
          <w:rFonts w:hint="eastAsia"/>
          <w:color w:val="auto"/>
        </w:rPr>
        <w:t>行动计划</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134"/>
        <w:gridCol w:w="5244"/>
        <w:gridCol w:w="709"/>
        <w:gridCol w:w="1325"/>
      </w:tblGrid>
      <w:tr w14:paraId="63AFC4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34" w:type="dxa"/>
            <w:vAlign w:val="center"/>
          </w:tcPr>
          <w:p w14:paraId="5610E59A">
            <w:pPr>
              <w:pStyle w:val="296"/>
              <w:adjustRightInd w:val="0"/>
              <w:snapToGrid w:val="0"/>
              <w:spacing w:line="300" w:lineRule="exact"/>
              <w:rPr>
                <w:rFonts w:hint="eastAsia"/>
                <w:color w:val="auto"/>
              </w:rPr>
            </w:pPr>
            <w:r>
              <w:rPr>
                <w:rFonts w:hint="eastAsia"/>
                <w:color w:val="auto"/>
              </w:rPr>
              <w:t>序号</w:t>
            </w:r>
          </w:p>
        </w:tc>
        <w:tc>
          <w:tcPr>
            <w:tcW w:w="1134" w:type="dxa"/>
            <w:vAlign w:val="center"/>
          </w:tcPr>
          <w:p w14:paraId="61452C7F">
            <w:pPr>
              <w:pStyle w:val="296"/>
              <w:adjustRightInd w:val="0"/>
              <w:snapToGrid w:val="0"/>
              <w:spacing w:line="300" w:lineRule="exact"/>
              <w:rPr>
                <w:rFonts w:hint="eastAsia"/>
                <w:color w:val="auto"/>
              </w:rPr>
            </w:pPr>
            <w:r>
              <w:rPr>
                <w:rFonts w:hint="eastAsia"/>
                <w:color w:val="auto"/>
              </w:rPr>
              <w:t>影响因素</w:t>
            </w:r>
          </w:p>
        </w:tc>
        <w:tc>
          <w:tcPr>
            <w:tcW w:w="5244" w:type="dxa"/>
            <w:vAlign w:val="center"/>
          </w:tcPr>
          <w:p w14:paraId="35C8DF07">
            <w:pPr>
              <w:pStyle w:val="296"/>
              <w:adjustRightInd w:val="0"/>
              <w:snapToGrid w:val="0"/>
              <w:spacing w:line="300" w:lineRule="exact"/>
              <w:rPr>
                <w:rFonts w:hint="eastAsia"/>
                <w:color w:val="auto"/>
              </w:rPr>
            </w:pPr>
            <w:r>
              <w:rPr>
                <w:rFonts w:hint="eastAsia"/>
                <w:color w:val="auto"/>
              </w:rPr>
              <w:t>环保措施</w:t>
            </w:r>
          </w:p>
        </w:tc>
        <w:tc>
          <w:tcPr>
            <w:tcW w:w="709" w:type="dxa"/>
            <w:vAlign w:val="center"/>
          </w:tcPr>
          <w:p w14:paraId="7620CFAE">
            <w:pPr>
              <w:pStyle w:val="296"/>
              <w:adjustRightInd w:val="0"/>
              <w:snapToGrid w:val="0"/>
              <w:spacing w:line="300" w:lineRule="exact"/>
              <w:rPr>
                <w:rFonts w:hint="eastAsia"/>
                <w:color w:val="auto"/>
              </w:rPr>
            </w:pPr>
            <w:r>
              <w:rPr>
                <w:rFonts w:hint="eastAsia"/>
                <w:color w:val="auto"/>
              </w:rPr>
              <w:t>实施单位</w:t>
            </w:r>
          </w:p>
        </w:tc>
        <w:tc>
          <w:tcPr>
            <w:tcW w:w="1325" w:type="dxa"/>
            <w:vAlign w:val="center"/>
          </w:tcPr>
          <w:p w14:paraId="63CC32A1">
            <w:pPr>
              <w:pStyle w:val="296"/>
              <w:adjustRightInd w:val="0"/>
              <w:snapToGrid w:val="0"/>
              <w:spacing w:line="300" w:lineRule="exact"/>
              <w:rPr>
                <w:rFonts w:hint="eastAsia"/>
                <w:color w:val="auto"/>
              </w:rPr>
            </w:pPr>
            <w:r>
              <w:rPr>
                <w:rFonts w:hint="eastAsia"/>
                <w:color w:val="auto"/>
              </w:rPr>
              <w:t>监督</w:t>
            </w:r>
          </w:p>
          <w:p w14:paraId="2BBF4466">
            <w:pPr>
              <w:pStyle w:val="296"/>
              <w:adjustRightInd w:val="0"/>
              <w:snapToGrid w:val="0"/>
              <w:spacing w:line="300" w:lineRule="exact"/>
              <w:rPr>
                <w:rFonts w:hint="eastAsia"/>
                <w:color w:val="auto"/>
              </w:rPr>
            </w:pPr>
            <w:r>
              <w:rPr>
                <w:rFonts w:hint="eastAsia"/>
                <w:color w:val="auto"/>
              </w:rPr>
              <w:t>单位</w:t>
            </w:r>
          </w:p>
        </w:tc>
      </w:tr>
      <w:tr w14:paraId="09092F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vAlign w:val="center"/>
          </w:tcPr>
          <w:p w14:paraId="691F2007">
            <w:pPr>
              <w:pStyle w:val="296"/>
              <w:adjustRightInd w:val="0"/>
              <w:snapToGrid w:val="0"/>
              <w:spacing w:line="300" w:lineRule="exact"/>
              <w:rPr>
                <w:rFonts w:hint="eastAsia"/>
                <w:color w:val="auto"/>
              </w:rPr>
            </w:pPr>
            <w:r>
              <w:rPr>
                <w:rFonts w:hint="eastAsia"/>
                <w:color w:val="auto"/>
              </w:rPr>
              <w:t>1</w:t>
            </w:r>
          </w:p>
        </w:tc>
        <w:tc>
          <w:tcPr>
            <w:tcW w:w="1134" w:type="dxa"/>
            <w:vAlign w:val="center"/>
          </w:tcPr>
          <w:p w14:paraId="6A1CA806">
            <w:pPr>
              <w:pStyle w:val="296"/>
              <w:adjustRightInd w:val="0"/>
              <w:snapToGrid w:val="0"/>
              <w:spacing w:line="300" w:lineRule="exact"/>
              <w:rPr>
                <w:rFonts w:hint="eastAsia"/>
                <w:color w:val="auto"/>
              </w:rPr>
            </w:pPr>
            <w:r>
              <w:rPr>
                <w:rFonts w:hint="eastAsia"/>
                <w:color w:val="auto"/>
              </w:rPr>
              <w:t>大气环境</w:t>
            </w:r>
          </w:p>
        </w:tc>
        <w:tc>
          <w:tcPr>
            <w:tcW w:w="5244" w:type="dxa"/>
            <w:vAlign w:val="center"/>
          </w:tcPr>
          <w:p w14:paraId="6866D534">
            <w:pPr>
              <w:adjustRightInd w:val="0"/>
              <w:snapToGrid w:val="0"/>
              <w:spacing w:line="300" w:lineRule="exact"/>
              <w:rPr>
                <w:rFonts w:hint="eastAsia" w:ascii="宋体" w:hAnsi="宋体" w:cs="Arial"/>
                <w:color w:val="auto"/>
                <w:szCs w:val="21"/>
              </w:rPr>
            </w:pPr>
            <w:r>
              <w:rPr>
                <w:rFonts w:hint="eastAsia" w:ascii="宋体" w:hAnsi="宋体"/>
                <w:color w:val="auto"/>
                <w:szCs w:val="21"/>
              </w:rPr>
              <w:t>莫174H井井口采出物通过单井采油管线管输至莫172H井CNG撬装天然气浅冷处理装置处理，选用质量可靠的设备、仪表、阀门等；定期对站场内各设备、阀门等检查、检修。</w:t>
            </w:r>
          </w:p>
        </w:tc>
        <w:tc>
          <w:tcPr>
            <w:tcW w:w="709" w:type="dxa"/>
            <w:vMerge w:val="restart"/>
            <w:vAlign w:val="center"/>
          </w:tcPr>
          <w:p w14:paraId="4C0E22BA">
            <w:pPr>
              <w:pStyle w:val="296"/>
              <w:adjustRightInd w:val="0"/>
              <w:snapToGrid w:val="0"/>
              <w:spacing w:line="300" w:lineRule="exact"/>
              <w:rPr>
                <w:rFonts w:hint="eastAsia"/>
                <w:color w:val="auto"/>
              </w:rPr>
            </w:pPr>
            <w:r>
              <w:rPr>
                <w:rFonts w:hint="eastAsia"/>
                <w:color w:val="auto"/>
              </w:rPr>
              <w:t>中国石油新疆油田分公司石西油田作业区</w:t>
            </w:r>
          </w:p>
        </w:tc>
        <w:tc>
          <w:tcPr>
            <w:tcW w:w="1325" w:type="dxa"/>
            <w:vMerge w:val="restart"/>
            <w:vAlign w:val="center"/>
          </w:tcPr>
          <w:p w14:paraId="5557168E">
            <w:pPr>
              <w:pStyle w:val="296"/>
              <w:adjustRightInd w:val="0"/>
              <w:snapToGrid w:val="0"/>
              <w:spacing w:line="300" w:lineRule="exact"/>
              <w:rPr>
                <w:rFonts w:hint="eastAsia"/>
                <w:color w:val="auto"/>
              </w:rPr>
            </w:pPr>
            <w:r>
              <w:rPr>
                <w:rFonts w:hint="eastAsia"/>
                <w:color w:val="auto"/>
              </w:rPr>
              <w:t>昌吉回族自治州生态环境局、昌吉回族自治州生态环境局玛纳斯县分局</w:t>
            </w:r>
          </w:p>
        </w:tc>
      </w:tr>
      <w:tr w14:paraId="7D6AF4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vAlign w:val="center"/>
          </w:tcPr>
          <w:p w14:paraId="406BAEB9">
            <w:pPr>
              <w:pStyle w:val="296"/>
              <w:adjustRightInd w:val="0"/>
              <w:snapToGrid w:val="0"/>
              <w:spacing w:line="300" w:lineRule="exact"/>
              <w:rPr>
                <w:rFonts w:hint="eastAsia"/>
                <w:color w:val="auto"/>
              </w:rPr>
            </w:pPr>
            <w:r>
              <w:rPr>
                <w:rFonts w:hint="eastAsia"/>
                <w:color w:val="auto"/>
              </w:rPr>
              <w:t>2</w:t>
            </w:r>
          </w:p>
        </w:tc>
        <w:tc>
          <w:tcPr>
            <w:tcW w:w="1134" w:type="dxa"/>
            <w:vAlign w:val="center"/>
          </w:tcPr>
          <w:p w14:paraId="7E1ACD2A">
            <w:pPr>
              <w:adjustRightInd w:val="0"/>
              <w:snapToGrid w:val="0"/>
              <w:spacing w:line="300" w:lineRule="exact"/>
              <w:jc w:val="center"/>
              <w:rPr>
                <w:rFonts w:hint="eastAsia" w:ascii="宋体" w:hAnsi="宋体"/>
                <w:color w:val="auto"/>
                <w:szCs w:val="21"/>
              </w:rPr>
            </w:pPr>
            <w:r>
              <w:rPr>
                <w:rFonts w:hint="eastAsia" w:ascii="宋体" w:hAnsi="宋体"/>
                <w:color w:val="auto"/>
                <w:szCs w:val="21"/>
              </w:rPr>
              <w:t>水环境</w:t>
            </w:r>
          </w:p>
        </w:tc>
        <w:tc>
          <w:tcPr>
            <w:tcW w:w="5244" w:type="dxa"/>
            <w:vAlign w:val="center"/>
          </w:tcPr>
          <w:p w14:paraId="653DBBEB">
            <w:pPr>
              <w:adjustRightInd w:val="0"/>
              <w:snapToGrid w:val="0"/>
              <w:spacing w:line="300" w:lineRule="exact"/>
              <w:jc w:val="center"/>
              <w:rPr>
                <w:rFonts w:hint="eastAsia" w:ascii="宋体" w:hAnsi="宋体"/>
                <w:color w:val="auto"/>
                <w:szCs w:val="21"/>
              </w:rPr>
            </w:pPr>
            <w:r>
              <w:rPr>
                <w:rFonts w:hint="eastAsia" w:ascii="宋体" w:hAnsi="宋体"/>
                <w:color w:val="auto"/>
                <w:szCs w:val="21"/>
              </w:rPr>
              <w:t>井下作业时带罐作业，井下作业废液（压裂返排液和废洗井液）排至罐内，由罐车拉运至莫北转油站采出水处理系统处理。</w:t>
            </w:r>
          </w:p>
        </w:tc>
        <w:tc>
          <w:tcPr>
            <w:tcW w:w="709" w:type="dxa"/>
            <w:vMerge w:val="continue"/>
            <w:vAlign w:val="center"/>
          </w:tcPr>
          <w:p w14:paraId="0C5F035C">
            <w:pPr>
              <w:pStyle w:val="296"/>
              <w:adjustRightInd w:val="0"/>
              <w:snapToGrid w:val="0"/>
              <w:spacing w:line="300" w:lineRule="exact"/>
              <w:rPr>
                <w:rFonts w:hint="eastAsia"/>
                <w:color w:val="auto"/>
              </w:rPr>
            </w:pPr>
          </w:p>
        </w:tc>
        <w:tc>
          <w:tcPr>
            <w:tcW w:w="1325" w:type="dxa"/>
            <w:vMerge w:val="continue"/>
            <w:vAlign w:val="center"/>
          </w:tcPr>
          <w:p w14:paraId="3410A3DC">
            <w:pPr>
              <w:pStyle w:val="296"/>
              <w:adjustRightInd w:val="0"/>
              <w:snapToGrid w:val="0"/>
              <w:spacing w:line="300" w:lineRule="exact"/>
              <w:rPr>
                <w:rFonts w:hint="eastAsia"/>
                <w:color w:val="auto"/>
              </w:rPr>
            </w:pPr>
          </w:p>
        </w:tc>
      </w:tr>
      <w:tr w14:paraId="073CD8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vAlign w:val="center"/>
          </w:tcPr>
          <w:p w14:paraId="0B39952D">
            <w:pPr>
              <w:pStyle w:val="296"/>
              <w:adjustRightInd w:val="0"/>
              <w:snapToGrid w:val="0"/>
              <w:spacing w:line="300" w:lineRule="exact"/>
              <w:rPr>
                <w:rFonts w:hint="eastAsia"/>
                <w:color w:val="auto"/>
              </w:rPr>
            </w:pPr>
            <w:r>
              <w:rPr>
                <w:rFonts w:hint="eastAsia"/>
                <w:color w:val="auto"/>
              </w:rPr>
              <w:t>3</w:t>
            </w:r>
          </w:p>
        </w:tc>
        <w:tc>
          <w:tcPr>
            <w:tcW w:w="1134" w:type="dxa"/>
            <w:vAlign w:val="center"/>
          </w:tcPr>
          <w:p w14:paraId="3B1C8A6F">
            <w:pPr>
              <w:pStyle w:val="296"/>
              <w:adjustRightInd w:val="0"/>
              <w:snapToGrid w:val="0"/>
              <w:spacing w:line="300" w:lineRule="exact"/>
              <w:rPr>
                <w:rFonts w:hint="eastAsia"/>
                <w:color w:val="auto"/>
              </w:rPr>
            </w:pPr>
            <w:r>
              <w:rPr>
                <w:rFonts w:hint="eastAsia"/>
                <w:color w:val="auto"/>
              </w:rPr>
              <w:t>声环境</w:t>
            </w:r>
          </w:p>
        </w:tc>
        <w:tc>
          <w:tcPr>
            <w:tcW w:w="5244" w:type="dxa"/>
            <w:vAlign w:val="center"/>
          </w:tcPr>
          <w:p w14:paraId="50F788CF">
            <w:pPr>
              <w:pStyle w:val="296"/>
              <w:adjustRightInd w:val="0"/>
              <w:snapToGrid w:val="0"/>
              <w:spacing w:line="300" w:lineRule="exact"/>
              <w:rPr>
                <w:rFonts w:hint="eastAsia"/>
                <w:color w:val="auto"/>
              </w:rPr>
            </w:pPr>
            <w:r>
              <w:rPr>
                <w:rFonts w:hint="eastAsia"/>
                <w:color w:val="auto"/>
              </w:rPr>
              <w:t>选用低噪声设备、基础减振，定期对设备进行检修和维护，使其处于运行良好的状态。</w:t>
            </w:r>
          </w:p>
        </w:tc>
        <w:tc>
          <w:tcPr>
            <w:tcW w:w="709" w:type="dxa"/>
            <w:vMerge w:val="continue"/>
            <w:vAlign w:val="center"/>
          </w:tcPr>
          <w:p w14:paraId="434847CA">
            <w:pPr>
              <w:pStyle w:val="296"/>
              <w:adjustRightInd w:val="0"/>
              <w:snapToGrid w:val="0"/>
              <w:spacing w:line="300" w:lineRule="exact"/>
              <w:rPr>
                <w:rFonts w:hint="eastAsia"/>
                <w:color w:val="auto"/>
              </w:rPr>
            </w:pPr>
          </w:p>
        </w:tc>
        <w:tc>
          <w:tcPr>
            <w:tcW w:w="1325" w:type="dxa"/>
            <w:vMerge w:val="continue"/>
            <w:vAlign w:val="center"/>
          </w:tcPr>
          <w:p w14:paraId="46F6DB03">
            <w:pPr>
              <w:pStyle w:val="296"/>
              <w:adjustRightInd w:val="0"/>
              <w:snapToGrid w:val="0"/>
              <w:spacing w:line="300" w:lineRule="exact"/>
              <w:rPr>
                <w:rFonts w:hint="eastAsia"/>
                <w:color w:val="auto"/>
              </w:rPr>
            </w:pPr>
          </w:p>
        </w:tc>
      </w:tr>
      <w:tr w14:paraId="168ADB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vAlign w:val="center"/>
          </w:tcPr>
          <w:p w14:paraId="444F90D3">
            <w:pPr>
              <w:pStyle w:val="296"/>
              <w:adjustRightInd w:val="0"/>
              <w:snapToGrid w:val="0"/>
              <w:spacing w:line="300" w:lineRule="exact"/>
              <w:rPr>
                <w:rFonts w:hint="eastAsia"/>
                <w:color w:val="auto"/>
              </w:rPr>
            </w:pPr>
            <w:r>
              <w:rPr>
                <w:rFonts w:hint="eastAsia"/>
                <w:color w:val="auto"/>
              </w:rPr>
              <w:t>4</w:t>
            </w:r>
          </w:p>
        </w:tc>
        <w:tc>
          <w:tcPr>
            <w:tcW w:w="1134" w:type="dxa"/>
            <w:vAlign w:val="center"/>
          </w:tcPr>
          <w:p w14:paraId="3B73BD8D">
            <w:pPr>
              <w:pStyle w:val="296"/>
              <w:adjustRightInd w:val="0"/>
              <w:snapToGrid w:val="0"/>
              <w:spacing w:line="300" w:lineRule="exact"/>
              <w:rPr>
                <w:rFonts w:hint="eastAsia"/>
                <w:color w:val="auto"/>
              </w:rPr>
            </w:pPr>
            <w:r>
              <w:rPr>
                <w:rFonts w:hint="eastAsia"/>
                <w:color w:val="auto"/>
              </w:rPr>
              <w:t>固体废物处置</w:t>
            </w:r>
          </w:p>
        </w:tc>
        <w:tc>
          <w:tcPr>
            <w:tcW w:w="5244" w:type="dxa"/>
            <w:vAlign w:val="center"/>
          </w:tcPr>
          <w:p w14:paraId="623BAE53">
            <w:pPr>
              <w:pStyle w:val="296"/>
              <w:adjustRightInd w:val="0"/>
              <w:snapToGrid w:val="0"/>
              <w:spacing w:line="300" w:lineRule="exact"/>
              <w:rPr>
                <w:rFonts w:hint="eastAsia"/>
                <w:color w:val="auto"/>
              </w:rPr>
            </w:pPr>
            <w:r>
              <w:rPr>
                <w:rFonts w:hint="eastAsia"/>
                <w:color w:val="auto"/>
              </w:rPr>
              <w:t>清罐底泥、废滤料、废分子筛、废润滑油、废润滑油桶、沾油废防渗材料</w:t>
            </w:r>
            <w:r>
              <w:rPr>
                <w:rFonts w:hint="eastAsia" w:cs="宋体"/>
                <w:color w:val="auto"/>
              </w:rPr>
              <w:t>、</w:t>
            </w:r>
            <w:r>
              <w:rPr>
                <w:rFonts w:hint="eastAsia" w:cs="宋体"/>
                <w:color w:val="auto"/>
                <w:lang w:val="zh-CN"/>
              </w:rPr>
              <w:t>废含油抹布及劳保用品</w:t>
            </w:r>
            <w:r>
              <w:rPr>
                <w:rFonts w:hint="eastAsia"/>
                <w:color w:val="auto"/>
              </w:rPr>
              <w:t>集中收集后交由有相应危险废物处理资质的单位回收处置</w:t>
            </w:r>
          </w:p>
        </w:tc>
        <w:tc>
          <w:tcPr>
            <w:tcW w:w="709" w:type="dxa"/>
            <w:vMerge w:val="continue"/>
            <w:vAlign w:val="center"/>
          </w:tcPr>
          <w:p w14:paraId="269B99C5">
            <w:pPr>
              <w:pStyle w:val="296"/>
              <w:adjustRightInd w:val="0"/>
              <w:snapToGrid w:val="0"/>
              <w:spacing w:line="300" w:lineRule="exact"/>
              <w:rPr>
                <w:rFonts w:hint="eastAsia"/>
                <w:color w:val="auto"/>
              </w:rPr>
            </w:pPr>
          </w:p>
        </w:tc>
        <w:tc>
          <w:tcPr>
            <w:tcW w:w="1325" w:type="dxa"/>
            <w:vMerge w:val="continue"/>
            <w:vAlign w:val="center"/>
          </w:tcPr>
          <w:p w14:paraId="3A66D875">
            <w:pPr>
              <w:pStyle w:val="296"/>
              <w:adjustRightInd w:val="0"/>
              <w:snapToGrid w:val="0"/>
              <w:spacing w:line="300" w:lineRule="exact"/>
              <w:rPr>
                <w:rFonts w:hint="eastAsia"/>
                <w:color w:val="auto"/>
              </w:rPr>
            </w:pPr>
          </w:p>
        </w:tc>
      </w:tr>
      <w:tr w14:paraId="448431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vAlign w:val="center"/>
          </w:tcPr>
          <w:p w14:paraId="681AF150">
            <w:pPr>
              <w:pStyle w:val="296"/>
              <w:adjustRightInd w:val="0"/>
              <w:snapToGrid w:val="0"/>
              <w:spacing w:line="300" w:lineRule="exact"/>
              <w:rPr>
                <w:rFonts w:hint="eastAsia"/>
                <w:color w:val="auto"/>
              </w:rPr>
            </w:pPr>
            <w:r>
              <w:rPr>
                <w:rFonts w:hint="eastAsia"/>
                <w:color w:val="auto"/>
              </w:rPr>
              <w:t>5</w:t>
            </w:r>
          </w:p>
        </w:tc>
        <w:tc>
          <w:tcPr>
            <w:tcW w:w="1134" w:type="dxa"/>
            <w:vAlign w:val="center"/>
          </w:tcPr>
          <w:p w14:paraId="6CA865FF">
            <w:pPr>
              <w:pStyle w:val="296"/>
              <w:adjustRightInd w:val="0"/>
              <w:snapToGrid w:val="0"/>
              <w:spacing w:line="300" w:lineRule="exact"/>
              <w:rPr>
                <w:rFonts w:hint="eastAsia"/>
                <w:color w:val="auto"/>
              </w:rPr>
            </w:pPr>
            <w:r>
              <w:rPr>
                <w:rFonts w:hint="eastAsia"/>
                <w:color w:val="auto"/>
              </w:rPr>
              <w:t>生态环境</w:t>
            </w:r>
          </w:p>
        </w:tc>
        <w:tc>
          <w:tcPr>
            <w:tcW w:w="5244" w:type="dxa"/>
            <w:vAlign w:val="center"/>
          </w:tcPr>
          <w:p w14:paraId="135DE2F9">
            <w:pPr>
              <w:pStyle w:val="296"/>
              <w:adjustRightInd w:val="0"/>
              <w:snapToGrid w:val="0"/>
              <w:spacing w:line="300" w:lineRule="exact"/>
              <w:rPr>
                <w:rFonts w:hint="eastAsia"/>
                <w:color w:val="auto"/>
              </w:rPr>
            </w:pPr>
            <w:r>
              <w:rPr>
                <w:rFonts w:hint="eastAsia"/>
                <w:color w:val="auto"/>
              </w:rPr>
              <w:t>继续做好施工地的地表恢复工作，培训巡检人员相关环境保护知识，更好地保护沿线植被；对管道设施定期巡查，及时维修保养</w:t>
            </w:r>
          </w:p>
        </w:tc>
        <w:tc>
          <w:tcPr>
            <w:tcW w:w="709" w:type="dxa"/>
            <w:vMerge w:val="continue"/>
            <w:vAlign w:val="center"/>
          </w:tcPr>
          <w:p w14:paraId="13D91D56">
            <w:pPr>
              <w:pStyle w:val="296"/>
              <w:adjustRightInd w:val="0"/>
              <w:snapToGrid w:val="0"/>
              <w:spacing w:line="300" w:lineRule="exact"/>
              <w:rPr>
                <w:rFonts w:hint="eastAsia"/>
                <w:color w:val="auto"/>
              </w:rPr>
            </w:pPr>
          </w:p>
        </w:tc>
        <w:tc>
          <w:tcPr>
            <w:tcW w:w="1325" w:type="dxa"/>
            <w:vMerge w:val="continue"/>
            <w:vAlign w:val="center"/>
          </w:tcPr>
          <w:p w14:paraId="0B472C89">
            <w:pPr>
              <w:pStyle w:val="296"/>
              <w:adjustRightInd w:val="0"/>
              <w:snapToGrid w:val="0"/>
              <w:spacing w:line="300" w:lineRule="exact"/>
              <w:rPr>
                <w:rFonts w:hint="eastAsia"/>
                <w:color w:val="auto"/>
              </w:rPr>
            </w:pPr>
          </w:p>
        </w:tc>
      </w:tr>
      <w:tr w14:paraId="310AF1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vAlign w:val="center"/>
          </w:tcPr>
          <w:p w14:paraId="1E6807A6">
            <w:pPr>
              <w:pStyle w:val="296"/>
              <w:adjustRightInd w:val="0"/>
              <w:snapToGrid w:val="0"/>
              <w:spacing w:line="300" w:lineRule="exact"/>
              <w:rPr>
                <w:rFonts w:hint="eastAsia"/>
                <w:color w:val="auto"/>
              </w:rPr>
            </w:pPr>
            <w:r>
              <w:rPr>
                <w:color w:val="auto"/>
              </w:rPr>
              <w:t>6</w:t>
            </w:r>
          </w:p>
        </w:tc>
        <w:tc>
          <w:tcPr>
            <w:tcW w:w="1134" w:type="dxa"/>
            <w:vAlign w:val="center"/>
          </w:tcPr>
          <w:p w14:paraId="17FA2CDF">
            <w:pPr>
              <w:pStyle w:val="296"/>
              <w:adjustRightInd w:val="0"/>
              <w:snapToGrid w:val="0"/>
              <w:spacing w:line="300" w:lineRule="exact"/>
              <w:rPr>
                <w:rFonts w:hint="eastAsia"/>
                <w:color w:val="auto"/>
              </w:rPr>
            </w:pPr>
            <w:r>
              <w:rPr>
                <w:rFonts w:hint="eastAsia"/>
                <w:color w:val="auto"/>
              </w:rPr>
              <w:t>风险防范措施</w:t>
            </w:r>
          </w:p>
        </w:tc>
        <w:tc>
          <w:tcPr>
            <w:tcW w:w="5244" w:type="dxa"/>
            <w:vAlign w:val="center"/>
          </w:tcPr>
          <w:p w14:paraId="73981803">
            <w:pPr>
              <w:pStyle w:val="296"/>
              <w:adjustRightInd w:val="0"/>
              <w:snapToGrid w:val="0"/>
              <w:spacing w:line="300" w:lineRule="exact"/>
              <w:rPr>
                <w:rFonts w:hint="eastAsia"/>
                <w:color w:val="auto"/>
              </w:rPr>
            </w:pPr>
            <w:r>
              <w:rPr>
                <w:rFonts w:hint="eastAsia"/>
                <w:color w:val="auto"/>
              </w:rPr>
              <w:t>制定事故应急预案，对重大隐患和重大事故能够快速做出反应并及时处理</w:t>
            </w:r>
          </w:p>
        </w:tc>
        <w:tc>
          <w:tcPr>
            <w:tcW w:w="709" w:type="dxa"/>
            <w:vMerge w:val="continue"/>
            <w:vAlign w:val="center"/>
          </w:tcPr>
          <w:p w14:paraId="2CDE235A">
            <w:pPr>
              <w:pStyle w:val="296"/>
              <w:adjustRightInd w:val="0"/>
              <w:snapToGrid w:val="0"/>
              <w:spacing w:line="300" w:lineRule="exact"/>
              <w:rPr>
                <w:rFonts w:hint="eastAsia"/>
                <w:color w:val="auto"/>
              </w:rPr>
            </w:pPr>
          </w:p>
        </w:tc>
        <w:tc>
          <w:tcPr>
            <w:tcW w:w="1325" w:type="dxa"/>
            <w:vMerge w:val="continue"/>
            <w:vAlign w:val="center"/>
          </w:tcPr>
          <w:p w14:paraId="60FEFBB3">
            <w:pPr>
              <w:pStyle w:val="296"/>
              <w:adjustRightInd w:val="0"/>
              <w:snapToGrid w:val="0"/>
              <w:spacing w:line="300" w:lineRule="exact"/>
              <w:rPr>
                <w:rFonts w:hint="eastAsia"/>
                <w:color w:val="auto"/>
              </w:rPr>
            </w:pPr>
          </w:p>
        </w:tc>
      </w:tr>
      <w:tr w14:paraId="72B009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vAlign w:val="center"/>
          </w:tcPr>
          <w:p w14:paraId="0BD4E077">
            <w:pPr>
              <w:pStyle w:val="296"/>
              <w:adjustRightInd w:val="0"/>
              <w:snapToGrid w:val="0"/>
              <w:spacing w:line="300" w:lineRule="exact"/>
              <w:rPr>
                <w:rFonts w:hint="eastAsia"/>
                <w:color w:val="auto"/>
              </w:rPr>
            </w:pPr>
            <w:r>
              <w:rPr>
                <w:color w:val="auto"/>
              </w:rPr>
              <w:t>7</w:t>
            </w:r>
          </w:p>
        </w:tc>
        <w:tc>
          <w:tcPr>
            <w:tcW w:w="1134" w:type="dxa"/>
            <w:vAlign w:val="center"/>
          </w:tcPr>
          <w:p w14:paraId="00B3F706">
            <w:pPr>
              <w:pStyle w:val="296"/>
              <w:adjustRightInd w:val="0"/>
              <w:snapToGrid w:val="0"/>
              <w:spacing w:line="300" w:lineRule="exact"/>
              <w:rPr>
                <w:rFonts w:hint="eastAsia"/>
                <w:color w:val="auto"/>
              </w:rPr>
            </w:pPr>
            <w:r>
              <w:rPr>
                <w:rFonts w:hint="eastAsia"/>
                <w:color w:val="auto"/>
              </w:rPr>
              <w:t>环境管理</w:t>
            </w:r>
          </w:p>
        </w:tc>
        <w:tc>
          <w:tcPr>
            <w:tcW w:w="5244" w:type="dxa"/>
            <w:vAlign w:val="center"/>
          </w:tcPr>
          <w:p w14:paraId="131840BA">
            <w:pPr>
              <w:pStyle w:val="296"/>
              <w:adjustRightInd w:val="0"/>
              <w:snapToGrid w:val="0"/>
              <w:spacing w:line="300" w:lineRule="exact"/>
              <w:rPr>
                <w:rFonts w:hint="eastAsia"/>
                <w:color w:val="auto"/>
              </w:rPr>
            </w:pPr>
            <w:r>
              <w:rPr>
                <w:rFonts w:hint="eastAsia"/>
                <w:color w:val="auto"/>
              </w:rPr>
              <w:t>建立环境管理体系和事故应急体系，实施环境监测计划</w:t>
            </w:r>
          </w:p>
        </w:tc>
        <w:tc>
          <w:tcPr>
            <w:tcW w:w="709" w:type="dxa"/>
            <w:vMerge w:val="continue"/>
            <w:vAlign w:val="center"/>
          </w:tcPr>
          <w:p w14:paraId="2477E51B">
            <w:pPr>
              <w:pStyle w:val="296"/>
              <w:adjustRightInd w:val="0"/>
              <w:snapToGrid w:val="0"/>
              <w:spacing w:line="300" w:lineRule="exact"/>
              <w:rPr>
                <w:rFonts w:hint="eastAsia"/>
                <w:color w:val="auto"/>
              </w:rPr>
            </w:pPr>
          </w:p>
        </w:tc>
        <w:tc>
          <w:tcPr>
            <w:tcW w:w="1325" w:type="dxa"/>
            <w:vMerge w:val="continue"/>
            <w:vAlign w:val="center"/>
          </w:tcPr>
          <w:p w14:paraId="269D115E">
            <w:pPr>
              <w:pStyle w:val="296"/>
              <w:adjustRightInd w:val="0"/>
              <w:snapToGrid w:val="0"/>
              <w:spacing w:line="300" w:lineRule="exact"/>
              <w:rPr>
                <w:rFonts w:hint="eastAsia"/>
                <w:color w:val="auto"/>
              </w:rPr>
            </w:pPr>
          </w:p>
        </w:tc>
      </w:tr>
    </w:tbl>
    <w:p w14:paraId="6659B9EA">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排污许可管理</w:t>
      </w:r>
    </w:p>
    <w:p w14:paraId="1B3E46AA">
      <w:pPr>
        <w:pStyle w:val="86"/>
        <w:ind w:firstLine="480"/>
        <w:rPr>
          <w:rFonts w:hint="eastAsia"/>
          <w:color w:val="auto"/>
        </w:rPr>
      </w:pPr>
      <w:bookmarkStart w:id="937" w:name="_Hlk160377308"/>
      <w:r>
        <w:rPr>
          <w:rFonts w:hint="eastAsia"/>
          <w:color w:val="auto"/>
        </w:rPr>
        <w:t>《固定污染源排污许可分类管理名录》（2</w:t>
      </w:r>
      <w:r>
        <w:rPr>
          <w:color w:val="auto"/>
        </w:rPr>
        <w:t>019</w:t>
      </w:r>
      <w:r>
        <w:rPr>
          <w:rFonts w:hint="eastAsia"/>
          <w:color w:val="auto"/>
        </w:rPr>
        <w:t>年版）第六条规定：“属于本名录第</w:t>
      </w:r>
      <w:r>
        <w:rPr>
          <w:color w:val="auto"/>
        </w:rPr>
        <w:t>1</w:t>
      </w:r>
      <w:r>
        <w:rPr>
          <w:rFonts w:hint="eastAsia"/>
          <w:color w:val="auto"/>
        </w:rPr>
        <w:t>至</w:t>
      </w:r>
      <w:r>
        <w:rPr>
          <w:color w:val="auto"/>
        </w:rPr>
        <w:t>107</w:t>
      </w:r>
      <w:r>
        <w:rPr>
          <w:rFonts w:hint="eastAsia"/>
          <w:color w:val="auto"/>
        </w:rPr>
        <w:t>类行业的排污单位，按照本名录第</w:t>
      </w:r>
      <w:r>
        <w:rPr>
          <w:color w:val="auto"/>
        </w:rPr>
        <w:t>109</w:t>
      </w:r>
      <w:r>
        <w:rPr>
          <w:rFonts w:hint="eastAsia"/>
          <w:color w:val="auto"/>
        </w:rPr>
        <w:t>至</w:t>
      </w:r>
      <w:r>
        <w:rPr>
          <w:color w:val="auto"/>
        </w:rPr>
        <w:t>112</w:t>
      </w:r>
      <w:r>
        <w:rPr>
          <w:rFonts w:hint="eastAsia"/>
          <w:color w:val="auto"/>
        </w:rPr>
        <w:t>类规定的锅炉、工业炉窑、表面处理、水处理等通用工序实施重点管理或者简化管理的，只需对其涉及的通用工序申请取得排污许可证，不需要对其他生产设施和相应的排放口等申请取得排污许可证”。项目涉及通用工序——加热炉（锅炉），</w:t>
      </w:r>
      <w:r>
        <w:rPr>
          <w:color w:val="auto"/>
        </w:rPr>
        <w:t>根据《固定污染源排污许可分类管理名录》（2019年版）规定，</w:t>
      </w:r>
      <w:r>
        <w:rPr>
          <w:rFonts w:hint="eastAsia"/>
          <w:color w:val="auto"/>
        </w:rPr>
        <w:t>本项目</w:t>
      </w:r>
      <w:r>
        <w:rPr>
          <w:color w:val="auto"/>
        </w:rPr>
        <w:t>实行登记管理。工程建成后应当在全国排污许可证管理信息平台填报排污登记表，登记基本信息、污染物排放去向、执行的污染物排放标准以及采取的污染防治措施等信息。</w:t>
      </w:r>
    </w:p>
    <w:bookmarkEnd w:id="937"/>
    <w:p w14:paraId="3F299683">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退役期</w:t>
      </w:r>
      <w:r>
        <w:rPr>
          <w:rFonts w:ascii="黑体" w:hAnsi="黑体" w:eastAsia="黑体" w:cs="Times New Roman"/>
          <w:color w:val="auto"/>
          <w:sz w:val="24"/>
          <w:szCs w:val="21"/>
          <w:lang w:val="zh-CN"/>
          <w14:ligatures w14:val="none"/>
        </w:rPr>
        <w:t>环境管理</w:t>
      </w:r>
    </w:p>
    <w:p w14:paraId="3980069E">
      <w:pPr>
        <w:pStyle w:val="86"/>
        <w:ind w:firstLine="480"/>
        <w:rPr>
          <w:rFonts w:hint="eastAsia"/>
          <w:color w:val="auto"/>
        </w:rPr>
      </w:pPr>
      <w:r>
        <w:rPr>
          <w:rFonts w:hint="eastAsia"/>
          <w:color w:val="auto"/>
        </w:rPr>
        <w:t>退役期环境管理</w:t>
      </w:r>
      <w:r>
        <w:rPr>
          <w:color w:val="auto"/>
        </w:rPr>
        <w:t>的主要内容见</w:t>
      </w:r>
      <w:r>
        <w:rPr>
          <w:rFonts w:hint="eastAsia"/>
          <w:color w:val="auto"/>
        </w:rPr>
        <w:t>表</w:t>
      </w:r>
      <w:r>
        <w:rPr>
          <w:color w:val="auto"/>
        </w:rPr>
        <w:t>7.2-3</w:t>
      </w:r>
      <w:r>
        <w:rPr>
          <w:rFonts w:hint="eastAsia"/>
          <w:color w:val="auto"/>
        </w:rPr>
        <w:t>。</w:t>
      </w:r>
    </w:p>
    <w:p w14:paraId="7F8AABDE">
      <w:pPr>
        <w:pStyle w:val="15"/>
        <w:rPr>
          <w:rStyle w:val="184"/>
          <w:rFonts w:hint="eastAsia"/>
          <w:color w:val="auto"/>
        </w:rPr>
      </w:pPr>
      <w:bookmarkStart w:id="938" w:name="_Ref468827454"/>
      <w:r>
        <w:rPr>
          <w:rStyle w:val="184"/>
          <w:color w:val="auto"/>
        </w:rPr>
        <w:t>表</w:t>
      </w:r>
      <w:bookmarkEnd w:id="938"/>
      <w:r>
        <w:rPr>
          <w:rStyle w:val="184"/>
          <w:color w:val="auto"/>
        </w:rPr>
        <w:t>7.2-3</w:t>
      </w:r>
      <w:r>
        <w:rPr>
          <w:rStyle w:val="184"/>
          <w:rFonts w:hint="eastAsia"/>
          <w:color w:val="auto"/>
        </w:rPr>
        <w:t xml:space="preserve">  退役</w:t>
      </w:r>
      <w:r>
        <w:rPr>
          <w:rStyle w:val="184"/>
          <w:color w:val="auto"/>
        </w:rPr>
        <w:t>期</w:t>
      </w:r>
      <w:r>
        <w:rPr>
          <w:rStyle w:val="184"/>
          <w:rFonts w:hint="eastAsia"/>
          <w:color w:val="auto"/>
        </w:rPr>
        <w:t>的</w:t>
      </w:r>
      <w:r>
        <w:rPr>
          <w:rStyle w:val="184"/>
          <w:color w:val="auto"/>
        </w:rPr>
        <w:t>环境保护</w:t>
      </w:r>
      <w:r>
        <w:rPr>
          <w:rStyle w:val="184"/>
          <w:rFonts w:hint="eastAsia"/>
          <w:color w:val="auto"/>
        </w:rPr>
        <w:t>行动计划</w:t>
      </w:r>
    </w:p>
    <w:tbl>
      <w:tblPr>
        <w:tblStyle w:val="5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1082"/>
        <w:gridCol w:w="4439"/>
        <w:gridCol w:w="1161"/>
        <w:gridCol w:w="1538"/>
      </w:tblGrid>
      <w:tr w14:paraId="05D04F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06" w:type="pct"/>
            <w:vAlign w:val="center"/>
          </w:tcPr>
          <w:p w14:paraId="05F06700">
            <w:pPr>
              <w:pStyle w:val="296"/>
              <w:spacing w:line="280" w:lineRule="exact"/>
              <w:rPr>
                <w:rFonts w:hint="eastAsia"/>
                <w:color w:val="auto"/>
              </w:rPr>
            </w:pPr>
            <w:r>
              <w:rPr>
                <w:rFonts w:hint="eastAsia"/>
                <w:color w:val="auto"/>
              </w:rPr>
              <w:t>序号</w:t>
            </w:r>
          </w:p>
        </w:tc>
        <w:tc>
          <w:tcPr>
            <w:tcW w:w="605" w:type="pct"/>
            <w:vAlign w:val="center"/>
          </w:tcPr>
          <w:p w14:paraId="72AC2E82">
            <w:pPr>
              <w:pStyle w:val="296"/>
              <w:spacing w:line="280" w:lineRule="exact"/>
              <w:rPr>
                <w:rFonts w:hint="eastAsia"/>
                <w:color w:val="auto"/>
              </w:rPr>
            </w:pPr>
            <w:r>
              <w:rPr>
                <w:rFonts w:hint="eastAsia"/>
                <w:color w:val="auto"/>
              </w:rPr>
              <w:t>影响因素</w:t>
            </w:r>
          </w:p>
        </w:tc>
        <w:tc>
          <w:tcPr>
            <w:tcW w:w="2481" w:type="pct"/>
            <w:vAlign w:val="center"/>
          </w:tcPr>
          <w:p w14:paraId="52812451">
            <w:pPr>
              <w:pStyle w:val="296"/>
              <w:spacing w:line="280" w:lineRule="exact"/>
              <w:rPr>
                <w:rFonts w:hint="eastAsia"/>
                <w:color w:val="auto"/>
              </w:rPr>
            </w:pPr>
            <w:r>
              <w:rPr>
                <w:rFonts w:hint="eastAsia"/>
                <w:color w:val="auto"/>
              </w:rPr>
              <w:t>环保措施</w:t>
            </w:r>
          </w:p>
        </w:tc>
        <w:tc>
          <w:tcPr>
            <w:tcW w:w="649" w:type="pct"/>
            <w:vAlign w:val="center"/>
          </w:tcPr>
          <w:p w14:paraId="3F5B1144">
            <w:pPr>
              <w:pStyle w:val="296"/>
              <w:spacing w:line="280" w:lineRule="exact"/>
              <w:rPr>
                <w:rFonts w:hint="eastAsia"/>
                <w:color w:val="auto"/>
              </w:rPr>
            </w:pPr>
            <w:r>
              <w:rPr>
                <w:rFonts w:hint="eastAsia"/>
                <w:color w:val="auto"/>
              </w:rPr>
              <w:t>实施单位</w:t>
            </w:r>
          </w:p>
        </w:tc>
        <w:tc>
          <w:tcPr>
            <w:tcW w:w="859" w:type="pct"/>
            <w:vAlign w:val="center"/>
          </w:tcPr>
          <w:p w14:paraId="23B22F61">
            <w:pPr>
              <w:pStyle w:val="296"/>
              <w:spacing w:line="280" w:lineRule="exact"/>
              <w:rPr>
                <w:rFonts w:hint="eastAsia"/>
                <w:color w:val="auto"/>
              </w:rPr>
            </w:pPr>
            <w:r>
              <w:rPr>
                <w:rFonts w:hint="eastAsia"/>
                <w:color w:val="auto"/>
              </w:rPr>
              <w:t>监督单位</w:t>
            </w:r>
          </w:p>
        </w:tc>
      </w:tr>
      <w:tr w14:paraId="598600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237DB1EE">
            <w:pPr>
              <w:pStyle w:val="296"/>
              <w:spacing w:line="280" w:lineRule="exact"/>
              <w:rPr>
                <w:rFonts w:hint="eastAsia"/>
                <w:color w:val="auto"/>
              </w:rPr>
            </w:pPr>
            <w:r>
              <w:rPr>
                <w:rFonts w:hint="eastAsia"/>
                <w:color w:val="auto"/>
              </w:rPr>
              <w:t>1</w:t>
            </w:r>
          </w:p>
        </w:tc>
        <w:tc>
          <w:tcPr>
            <w:tcW w:w="605" w:type="pct"/>
            <w:vAlign w:val="center"/>
          </w:tcPr>
          <w:p w14:paraId="281FC337">
            <w:pPr>
              <w:pStyle w:val="296"/>
              <w:spacing w:line="280" w:lineRule="exact"/>
              <w:rPr>
                <w:rFonts w:hint="eastAsia"/>
                <w:color w:val="auto"/>
              </w:rPr>
            </w:pPr>
            <w:r>
              <w:rPr>
                <w:rFonts w:hint="eastAsia"/>
                <w:color w:val="auto"/>
              </w:rPr>
              <w:t>生态环境</w:t>
            </w:r>
          </w:p>
        </w:tc>
        <w:tc>
          <w:tcPr>
            <w:tcW w:w="2481" w:type="pct"/>
            <w:vAlign w:val="center"/>
          </w:tcPr>
          <w:p w14:paraId="6590E0F5">
            <w:pPr>
              <w:pStyle w:val="296"/>
              <w:spacing w:line="280" w:lineRule="exact"/>
              <w:rPr>
                <w:rFonts w:hint="eastAsia"/>
                <w:color w:val="auto"/>
              </w:rPr>
            </w:pPr>
            <w:r>
              <w:rPr>
                <w:rFonts w:hint="eastAsia"/>
                <w:color w:val="auto"/>
              </w:rPr>
              <w:t>做好退役期的地表恢复工作，拆卸、迁移设备，恢复地貌</w:t>
            </w:r>
          </w:p>
        </w:tc>
        <w:tc>
          <w:tcPr>
            <w:tcW w:w="649" w:type="pct"/>
            <w:vMerge w:val="restart"/>
            <w:vAlign w:val="center"/>
          </w:tcPr>
          <w:p w14:paraId="0212F7E4">
            <w:pPr>
              <w:pStyle w:val="296"/>
              <w:spacing w:line="280" w:lineRule="exact"/>
              <w:rPr>
                <w:rFonts w:hint="eastAsia"/>
                <w:color w:val="auto"/>
              </w:rPr>
            </w:pPr>
            <w:r>
              <w:rPr>
                <w:rFonts w:hint="eastAsia"/>
                <w:color w:val="auto"/>
              </w:rPr>
              <w:t>中国石油新疆油田分公司石西油田作业区</w:t>
            </w:r>
          </w:p>
        </w:tc>
        <w:tc>
          <w:tcPr>
            <w:tcW w:w="859" w:type="pct"/>
            <w:vMerge w:val="restart"/>
            <w:vAlign w:val="center"/>
          </w:tcPr>
          <w:p w14:paraId="2CBC93FC">
            <w:pPr>
              <w:pStyle w:val="296"/>
              <w:spacing w:line="280" w:lineRule="exact"/>
              <w:rPr>
                <w:rFonts w:hint="eastAsia"/>
                <w:color w:val="auto"/>
              </w:rPr>
            </w:pPr>
            <w:r>
              <w:rPr>
                <w:rFonts w:hint="eastAsia"/>
                <w:color w:val="auto"/>
              </w:rPr>
              <w:t>昌吉回族自治州生态环境局、昌吉回族自治州生态环境局玛纳斯县分局</w:t>
            </w:r>
          </w:p>
        </w:tc>
      </w:tr>
      <w:tr w14:paraId="5F0119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04C239E3">
            <w:pPr>
              <w:pStyle w:val="296"/>
              <w:spacing w:line="280" w:lineRule="exact"/>
              <w:rPr>
                <w:rFonts w:hint="eastAsia"/>
                <w:color w:val="auto"/>
              </w:rPr>
            </w:pPr>
            <w:r>
              <w:rPr>
                <w:rFonts w:hint="eastAsia"/>
                <w:color w:val="auto"/>
              </w:rPr>
              <w:t>2</w:t>
            </w:r>
          </w:p>
        </w:tc>
        <w:tc>
          <w:tcPr>
            <w:tcW w:w="605" w:type="pct"/>
            <w:vAlign w:val="center"/>
          </w:tcPr>
          <w:p w14:paraId="2A336407">
            <w:pPr>
              <w:pStyle w:val="296"/>
              <w:spacing w:line="280" w:lineRule="exact"/>
              <w:rPr>
                <w:rFonts w:hint="eastAsia"/>
                <w:color w:val="auto"/>
              </w:rPr>
            </w:pPr>
            <w:r>
              <w:rPr>
                <w:rFonts w:hint="eastAsia"/>
                <w:color w:val="auto"/>
              </w:rPr>
              <w:t>声环境</w:t>
            </w:r>
          </w:p>
        </w:tc>
        <w:tc>
          <w:tcPr>
            <w:tcW w:w="2481" w:type="pct"/>
            <w:vAlign w:val="center"/>
          </w:tcPr>
          <w:p w14:paraId="10911A9E">
            <w:pPr>
              <w:pStyle w:val="296"/>
              <w:spacing w:line="280" w:lineRule="exact"/>
              <w:rPr>
                <w:rFonts w:hint="eastAsia"/>
                <w:color w:val="auto"/>
              </w:rPr>
            </w:pPr>
            <w:r>
              <w:rPr>
                <w:rFonts w:hint="eastAsia"/>
                <w:color w:val="auto"/>
              </w:rPr>
              <w:t>退役期间加强施工设备维护保养，合理安排施工时间</w:t>
            </w:r>
          </w:p>
        </w:tc>
        <w:tc>
          <w:tcPr>
            <w:tcW w:w="649" w:type="pct"/>
            <w:vMerge w:val="continue"/>
            <w:vAlign w:val="center"/>
          </w:tcPr>
          <w:p w14:paraId="29B6CA1C">
            <w:pPr>
              <w:pStyle w:val="296"/>
              <w:spacing w:line="280" w:lineRule="exact"/>
              <w:rPr>
                <w:rFonts w:hint="eastAsia"/>
                <w:color w:val="auto"/>
              </w:rPr>
            </w:pPr>
          </w:p>
        </w:tc>
        <w:tc>
          <w:tcPr>
            <w:tcW w:w="859" w:type="pct"/>
            <w:vMerge w:val="continue"/>
            <w:vAlign w:val="center"/>
          </w:tcPr>
          <w:p w14:paraId="64745C2D">
            <w:pPr>
              <w:pStyle w:val="296"/>
              <w:spacing w:line="280" w:lineRule="exact"/>
              <w:rPr>
                <w:rFonts w:hint="eastAsia"/>
                <w:color w:val="auto"/>
              </w:rPr>
            </w:pPr>
          </w:p>
        </w:tc>
      </w:tr>
      <w:tr w14:paraId="3CCFD5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483DB240">
            <w:pPr>
              <w:pStyle w:val="296"/>
              <w:spacing w:line="280" w:lineRule="exact"/>
              <w:rPr>
                <w:rFonts w:hint="eastAsia"/>
                <w:color w:val="auto"/>
              </w:rPr>
            </w:pPr>
            <w:r>
              <w:rPr>
                <w:rFonts w:hint="eastAsia"/>
                <w:color w:val="auto"/>
              </w:rPr>
              <w:t>3</w:t>
            </w:r>
          </w:p>
        </w:tc>
        <w:tc>
          <w:tcPr>
            <w:tcW w:w="605" w:type="pct"/>
            <w:vAlign w:val="center"/>
          </w:tcPr>
          <w:p w14:paraId="01EC2968">
            <w:pPr>
              <w:pStyle w:val="296"/>
              <w:spacing w:line="280" w:lineRule="exact"/>
              <w:rPr>
                <w:rFonts w:hint="eastAsia"/>
                <w:color w:val="auto"/>
              </w:rPr>
            </w:pPr>
            <w:r>
              <w:rPr>
                <w:rFonts w:hint="eastAsia"/>
                <w:color w:val="auto"/>
              </w:rPr>
              <w:t>大气环境</w:t>
            </w:r>
          </w:p>
        </w:tc>
        <w:tc>
          <w:tcPr>
            <w:tcW w:w="2481" w:type="pct"/>
            <w:vAlign w:val="center"/>
          </w:tcPr>
          <w:p w14:paraId="5BFD1A53">
            <w:pPr>
              <w:pStyle w:val="296"/>
              <w:spacing w:line="280" w:lineRule="exact"/>
              <w:rPr>
                <w:rFonts w:hint="eastAsia"/>
                <w:color w:val="auto"/>
              </w:rPr>
            </w:pPr>
            <w:r>
              <w:rPr>
                <w:rFonts w:hint="eastAsia"/>
                <w:color w:val="auto"/>
              </w:rPr>
              <w:t>在对原有的设备拆卸、转移过程中会产生一定的扬尘，闭井工作避开大风等恶劣天气，避免对周围空气造成影响</w:t>
            </w:r>
          </w:p>
        </w:tc>
        <w:tc>
          <w:tcPr>
            <w:tcW w:w="649" w:type="pct"/>
            <w:vMerge w:val="continue"/>
            <w:vAlign w:val="center"/>
          </w:tcPr>
          <w:p w14:paraId="17E7CE0E">
            <w:pPr>
              <w:pStyle w:val="296"/>
              <w:spacing w:line="280" w:lineRule="exact"/>
              <w:rPr>
                <w:rFonts w:hint="eastAsia"/>
                <w:color w:val="auto"/>
              </w:rPr>
            </w:pPr>
          </w:p>
        </w:tc>
        <w:tc>
          <w:tcPr>
            <w:tcW w:w="859" w:type="pct"/>
            <w:vMerge w:val="continue"/>
            <w:vAlign w:val="center"/>
          </w:tcPr>
          <w:p w14:paraId="32D8A8C8">
            <w:pPr>
              <w:pStyle w:val="296"/>
              <w:spacing w:line="280" w:lineRule="exact"/>
              <w:rPr>
                <w:rFonts w:hint="eastAsia"/>
                <w:color w:val="auto"/>
              </w:rPr>
            </w:pPr>
          </w:p>
        </w:tc>
      </w:tr>
      <w:tr w14:paraId="0DF503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0C34D4DD">
            <w:pPr>
              <w:pStyle w:val="296"/>
              <w:spacing w:line="280" w:lineRule="exact"/>
              <w:rPr>
                <w:rFonts w:hint="eastAsia"/>
                <w:color w:val="auto"/>
              </w:rPr>
            </w:pPr>
            <w:r>
              <w:rPr>
                <w:rFonts w:hint="eastAsia"/>
                <w:color w:val="auto"/>
              </w:rPr>
              <w:t>4</w:t>
            </w:r>
          </w:p>
        </w:tc>
        <w:tc>
          <w:tcPr>
            <w:tcW w:w="605" w:type="pct"/>
            <w:vAlign w:val="center"/>
          </w:tcPr>
          <w:p w14:paraId="61D6E93E">
            <w:pPr>
              <w:pStyle w:val="296"/>
              <w:spacing w:line="280" w:lineRule="exact"/>
              <w:rPr>
                <w:rFonts w:hint="eastAsia"/>
                <w:color w:val="auto"/>
              </w:rPr>
            </w:pPr>
            <w:r>
              <w:rPr>
                <w:rFonts w:hint="eastAsia"/>
                <w:color w:val="auto"/>
              </w:rPr>
              <w:t>水环境</w:t>
            </w:r>
          </w:p>
        </w:tc>
        <w:tc>
          <w:tcPr>
            <w:tcW w:w="2481" w:type="pct"/>
            <w:vAlign w:val="center"/>
          </w:tcPr>
          <w:p w14:paraId="0CBEC9E4">
            <w:pPr>
              <w:pStyle w:val="296"/>
              <w:spacing w:line="280" w:lineRule="exact"/>
              <w:rPr>
                <w:rFonts w:hint="eastAsia"/>
                <w:color w:val="auto"/>
              </w:rPr>
            </w:pPr>
            <w:r>
              <w:rPr>
                <w:rFonts w:hint="eastAsia"/>
                <w:color w:val="auto"/>
              </w:rPr>
              <w:t>废弃井应封堵，拆除井口装置，截去地下</w:t>
            </w:r>
            <w:r>
              <w:rPr>
                <w:color w:val="auto"/>
              </w:rPr>
              <w:t>1m内管头</w:t>
            </w:r>
            <w:r>
              <w:rPr>
                <w:rFonts w:hint="eastAsia"/>
                <w:color w:val="auto"/>
              </w:rPr>
              <w:t>。管线清扫废水送至莫北转油站处理</w:t>
            </w:r>
          </w:p>
        </w:tc>
        <w:tc>
          <w:tcPr>
            <w:tcW w:w="649" w:type="pct"/>
            <w:vMerge w:val="continue"/>
            <w:vAlign w:val="center"/>
          </w:tcPr>
          <w:p w14:paraId="0E53E58E">
            <w:pPr>
              <w:pStyle w:val="296"/>
              <w:spacing w:line="280" w:lineRule="exact"/>
              <w:rPr>
                <w:rFonts w:hint="eastAsia"/>
                <w:color w:val="auto"/>
              </w:rPr>
            </w:pPr>
          </w:p>
        </w:tc>
        <w:tc>
          <w:tcPr>
            <w:tcW w:w="859" w:type="pct"/>
            <w:vMerge w:val="continue"/>
            <w:vAlign w:val="center"/>
          </w:tcPr>
          <w:p w14:paraId="439A3521">
            <w:pPr>
              <w:pStyle w:val="296"/>
              <w:spacing w:line="280" w:lineRule="exact"/>
              <w:rPr>
                <w:rFonts w:hint="eastAsia"/>
                <w:color w:val="auto"/>
              </w:rPr>
            </w:pPr>
          </w:p>
        </w:tc>
      </w:tr>
      <w:tr w14:paraId="0B9776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pct"/>
            <w:vAlign w:val="center"/>
          </w:tcPr>
          <w:p w14:paraId="0BA10236">
            <w:pPr>
              <w:pStyle w:val="296"/>
              <w:spacing w:line="280" w:lineRule="exact"/>
              <w:rPr>
                <w:rFonts w:hint="eastAsia"/>
                <w:color w:val="auto"/>
              </w:rPr>
            </w:pPr>
            <w:r>
              <w:rPr>
                <w:rFonts w:hint="eastAsia"/>
                <w:color w:val="auto"/>
              </w:rPr>
              <w:t>5</w:t>
            </w:r>
          </w:p>
        </w:tc>
        <w:tc>
          <w:tcPr>
            <w:tcW w:w="605" w:type="pct"/>
            <w:vAlign w:val="center"/>
          </w:tcPr>
          <w:p w14:paraId="3ADE8073">
            <w:pPr>
              <w:pStyle w:val="296"/>
              <w:spacing w:line="280" w:lineRule="exact"/>
              <w:rPr>
                <w:rFonts w:hint="eastAsia"/>
                <w:color w:val="auto"/>
              </w:rPr>
            </w:pPr>
            <w:r>
              <w:rPr>
                <w:rFonts w:hint="eastAsia"/>
                <w:color w:val="auto"/>
              </w:rPr>
              <w:t>固体废物</w:t>
            </w:r>
          </w:p>
        </w:tc>
        <w:tc>
          <w:tcPr>
            <w:tcW w:w="2481" w:type="pct"/>
            <w:vAlign w:val="center"/>
          </w:tcPr>
          <w:p w14:paraId="04F2836A">
            <w:pPr>
              <w:pStyle w:val="296"/>
              <w:spacing w:line="280" w:lineRule="exact"/>
              <w:rPr>
                <w:rFonts w:hint="eastAsia"/>
                <w:color w:val="auto"/>
              </w:rPr>
            </w:pPr>
            <w:r>
              <w:rPr>
                <w:rFonts w:hint="eastAsia"/>
                <w:color w:val="auto"/>
              </w:rPr>
              <w:t>固体废弃物分类收集，及时清运</w:t>
            </w:r>
          </w:p>
        </w:tc>
        <w:tc>
          <w:tcPr>
            <w:tcW w:w="649" w:type="pct"/>
            <w:vMerge w:val="continue"/>
            <w:vAlign w:val="center"/>
          </w:tcPr>
          <w:p w14:paraId="66A81F7F">
            <w:pPr>
              <w:pStyle w:val="296"/>
              <w:spacing w:line="280" w:lineRule="exact"/>
              <w:rPr>
                <w:rFonts w:hint="eastAsia"/>
                <w:color w:val="auto"/>
              </w:rPr>
            </w:pPr>
          </w:p>
        </w:tc>
        <w:tc>
          <w:tcPr>
            <w:tcW w:w="859" w:type="pct"/>
            <w:vMerge w:val="continue"/>
            <w:vAlign w:val="center"/>
          </w:tcPr>
          <w:p w14:paraId="5ACD287F">
            <w:pPr>
              <w:pStyle w:val="296"/>
              <w:spacing w:line="280" w:lineRule="exact"/>
              <w:rPr>
                <w:rFonts w:hint="eastAsia"/>
                <w:color w:val="auto"/>
              </w:rPr>
            </w:pPr>
          </w:p>
        </w:tc>
      </w:tr>
    </w:tbl>
    <w:p w14:paraId="4CA69806">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939" w:name="_Toc224406032"/>
      <w:bookmarkStart w:id="940" w:name="_Toc459026610"/>
      <w:bookmarkStart w:id="941" w:name="_Toc471933679"/>
      <w:bookmarkStart w:id="942" w:name="_Toc468307962"/>
      <w:r>
        <w:rPr>
          <w:rFonts w:hint="eastAsia" w:ascii="黑体" w:hAnsi="黑体" w:eastAsia="黑体" w:cs="Times New Roman"/>
          <w:bCs/>
          <w:color w:val="auto"/>
          <w:sz w:val="28"/>
          <w:szCs w:val="32"/>
          <w14:ligatures w14:val="none"/>
        </w:rPr>
        <w:t>污染物排放的管理要求</w:t>
      </w:r>
      <w:bookmarkEnd w:id="939"/>
    </w:p>
    <w:p w14:paraId="2E22FE04">
      <w:pPr>
        <w:pStyle w:val="86"/>
        <w:ind w:firstLine="480"/>
        <w:jc w:val="left"/>
        <w:rPr>
          <w:rFonts w:hint="eastAsia"/>
          <w:color w:val="auto"/>
        </w:rPr>
      </w:pPr>
      <w:r>
        <w:rPr>
          <w:rFonts w:hint="eastAsia"/>
          <w:color w:val="auto"/>
        </w:rPr>
        <w:t>污染物排放清单及管理要求见表</w:t>
      </w:r>
      <w:r>
        <w:rPr>
          <w:color w:val="auto"/>
        </w:rPr>
        <w:t>7</w:t>
      </w:r>
      <w:r>
        <w:rPr>
          <w:rFonts w:hint="eastAsia"/>
          <w:color w:val="auto"/>
        </w:rPr>
        <w:t>.3-1、表</w:t>
      </w:r>
      <w:r>
        <w:rPr>
          <w:color w:val="auto"/>
        </w:rPr>
        <w:t>7</w:t>
      </w:r>
      <w:r>
        <w:rPr>
          <w:rFonts w:hint="eastAsia"/>
          <w:color w:val="auto"/>
        </w:rPr>
        <w:t>.3-</w:t>
      </w:r>
      <w:r>
        <w:rPr>
          <w:color w:val="auto"/>
        </w:rPr>
        <w:t>2</w:t>
      </w:r>
      <w:r>
        <w:rPr>
          <w:rFonts w:hint="eastAsia"/>
          <w:color w:val="auto"/>
        </w:rPr>
        <w:t>。</w:t>
      </w:r>
    </w:p>
    <w:p w14:paraId="0F779F25">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943" w:name="_Toc224406033"/>
      <w:r>
        <w:rPr>
          <w:rFonts w:hint="eastAsia" w:ascii="黑体" w:hAnsi="黑体" w:eastAsia="黑体" w:cs="Times New Roman"/>
          <w:bCs/>
          <w:color w:val="auto"/>
          <w:sz w:val="28"/>
          <w:szCs w:val="32"/>
          <w14:ligatures w14:val="none"/>
        </w:rPr>
        <w:t>企业环境信息公开</w:t>
      </w:r>
      <w:bookmarkEnd w:id="943"/>
    </w:p>
    <w:p w14:paraId="7B21110D">
      <w:pPr>
        <w:pStyle w:val="86"/>
        <w:ind w:firstLine="480"/>
        <w:rPr>
          <w:rFonts w:hint="eastAsia"/>
          <w:color w:val="auto"/>
        </w:rPr>
      </w:pPr>
      <w:r>
        <w:rPr>
          <w:rFonts w:hint="eastAsia"/>
          <w:color w:val="auto"/>
        </w:rPr>
        <w:t>中国石油新疆油田分公司石西油田作业区应根据《企业环境信息依法披露管理办法》（生态环境部 部令第2</w:t>
      </w:r>
      <w:r>
        <w:rPr>
          <w:color w:val="auto"/>
        </w:rPr>
        <w:t>4</w:t>
      </w:r>
      <w:r>
        <w:rPr>
          <w:rFonts w:hint="eastAsia"/>
          <w:color w:val="auto"/>
        </w:rPr>
        <w:t>号）、《企业环境信息依法披露格式准则》（环办综合〔2</w:t>
      </w:r>
      <w:r>
        <w:rPr>
          <w:color w:val="auto"/>
        </w:rPr>
        <w:t>021</w:t>
      </w:r>
      <w:r>
        <w:rPr>
          <w:rFonts w:hint="eastAsia"/>
          <w:color w:val="auto"/>
        </w:rPr>
        <w:t>〕3</w:t>
      </w:r>
      <w:r>
        <w:rPr>
          <w:color w:val="auto"/>
        </w:rPr>
        <w:t>2</w:t>
      </w:r>
      <w:r>
        <w:rPr>
          <w:rFonts w:hint="eastAsia"/>
          <w:color w:val="auto"/>
        </w:rPr>
        <w:t>号</w:t>
      </w:r>
      <w:r>
        <w:rPr>
          <w:color w:val="auto"/>
        </w:rPr>
        <w:t>）规定，并结合新疆</w:t>
      </w:r>
      <w:r>
        <w:rPr>
          <w:rFonts w:hint="eastAsia"/>
          <w:color w:val="auto"/>
        </w:rPr>
        <w:t>维吾尔自治区</w:t>
      </w:r>
      <w:r>
        <w:rPr>
          <w:color w:val="auto"/>
        </w:rPr>
        <w:t>的相关要求，可通过政府网站、报刊、广播、电视等便于公众知晓的方式公布。公司应公开以下内容：</w:t>
      </w:r>
    </w:p>
    <w:p w14:paraId="3E980BEB">
      <w:pPr>
        <w:pStyle w:val="86"/>
        <w:ind w:firstLine="480"/>
        <w:rPr>
          <w:rFonts w:hint="eastAsia"/>
          <w:color w:val="auto"/>
        </w:rPr>
      </w:pPr>
      <w:r>
        <w:rPr>
          <w:rFonts w:hint="eastAsia"/>
          <w:color w:val="auto"/>
        </w:rPr>
        <w:t>（</w:t>
      </w:r>
      <w:r>
        <w:rPr>
          <w:color w:val="auto"/>
        </w:rPr>
        <w:t>1）</w:t>
      </w:r>
      <w:r>
        <w:rPr>
          <w:rFonts w:hint="eastAsia"/>
          <w:color w:val="auto"/>
        </w:rPr>
        <w:t>企业基本</w:t>
      </w:r>
      <w:r>
        <w:rPr>
          <w:color w:val="auto"/>
        </w:rPr>
        <w:t>信息，包括</w:t>
      </w:r>
      <w:r>
        <w:rPr>
          <w:rFonts w:hint="eastAsia"/>
          <w:color w:val="auto"/>
        </w:rPr>
        <w:t>中文名称、法定代表人、注册地址、生产地址、行业类别、企业联系人及联系方式、企业性质、以及属于重点排污单位、实施强制性清洁生产审核的企业等情况，还包括主要产品与服务、生产工艺的名称，以及生产工艺属于国家、地方等公布的鼓励类、限制类或淘汰类目录（名录）的情况</w:t>
      </w:r>
      <w:r>
        <w:rPr>
          <w:color w:val="auto"/>
        </w:rPr>
        <w:t>；</w:t>
      </w:r>
    </w:p>
    <w:p w14:paraId="6A0E1B4C">
      <w:pPr>
        <w:pStyle w:val="86"/>
        <w:ind w:firstLine="480"/>
        <w:rPr>
          <w:rFonts w:hint="eastAsia"/>
          <w:color w:val="auto"/>
        </w:rPr>
      </w:pPr>
      <w:r>
        <w:rPr>
          <w:rFonts w:hint="eastAsia"/>
          <w:color w:val="auto"/>
        </w:rPr>
        <w:t>（</w:t>
      </w:r>
      <w:r>
        <w:rPr>
          <w:color w:val="auto"/>
        </w:rPr>
        <w:t>2）</w:t>
      </w:r>
      <w:r>
        <w:rPr>
          <w:rFonts w:hint="eastAsia"/>
          <w:color w:val="auto"/>
        </w:rPr>
        <w:t>环境管理</w:t>
      </w:r>
      <w:r>
        <w:rPr>
          <w:color w:val="auto"/>
        </w:rPr>
        <w:t>信息，</w:t>
      </w:r>
      <w:r>
        <w:rPr>
          <w:rFonts w:hint="eastAsia"/>
          <w:color w:val="auto"/>
        </w:rPr>
        <w:t>主要为有效期内或正在申请核发或变更的全部生态环境行政许可（包括但不限于排污许可、建设项目环境影响评价等）的相关信息；还包括环境保护税缴纳信息、依法投保环境污染责任保险信息、环保信用评价等级等情况；</w:t>
      </w:r>
    </w:p>
    <w:p w14:paraId="3A3A2626">
      <w:pPr>
        <w:pStyle w:val="86"/>
        <w:ind w:firstLine="480"/>
        <w:rPr>
          <w:rFonts w:hint="eastAsia"/>
          <w:color w:val="auto"/>
        </w:rPr>
      </w:pPr>
      <w:r>
        <w:rPr>
          <w:rFonts w:hint="eastAsia"/>
          <w:color w:val="auto"/>
        </w:rPr>
        <w:t>（3）污染物产生、治理与排放信息，</w:t>
      </w:r>
      <w:r>
        <w:rPr>
          <w:color w:val="auto"/>
        </w:rPr>
        <w:t>包括主要</w:t>
      </w:r>
      <w:r>
        <w:rPr>
          <w:rFonts w:hint="eastAsia"/>
          <w:color w:val="auto"/>
        </w:rPr>
        <w:t>污染防治设施的名称、对应的产污环节、处理的污染物、对应排污口的名称、编号、年度非正常运行的设施名称、排放的污染物、次数、日期及时长、主要原因；污染防治设施由第三方负责运行维护的应当提供运维方信息。</w:t>
      </w:r>
    </w:p>
    <w:p w14:paraId="63D65D17">
      <w:pPr>
        <w:pStyle w:val="86"/>
        <w:ind w:firstLine="480"/>
        <w:rPr>
          <w:rFonts w:hint="eastAsia"/>
          <w:color w:val="auto"/>
        </w:rPr>
      </w:pPr>
      <w:r>
        <w:rPr>
          <w:rFonts w:hint="eastAsia"/>
          <w:color w:val="auto"/>
        </w:rPr>
        <w:t>（</w:t>
      </w:r>
      <w:r>
        <w:rPr>
          <w:color w:val="auto"/>
        </w:rPr>
        <w:t>4）</w:t>
      </w:r>
      <w:r>
        <w:rPr>
          <w:rFonts w:hint="eastAsia"/>
          <w:color w:val="auto"/>
        </w:rPr>
        <w:t>企业应当就排污许可、建设项目环境影响评价等生态环境行政许可新获得、变更、撤销等情况，披露变更事项、批复机关、批复文件文号、批复时间、批复原文内容等信息；</w:t>
      </w:r>
    </w:p>
    <w:p w14:paraId="31BE1AAA">
      <w:pPr>
        <w:pStyle w:val="86"/>
        <w:ind w:firstLine="480"/>
        <w:rPr>
          <w:rFonts w:hint="eastAsia"/>
          <w:color w:val="auto"/>
        </w:rPr>
      </w:pPr>
      <w:r>
        <w:rPr>
          <w:rFonts w:hint="eastAsia"/>
          <w:color w:val="auto"/>
        </w:rPr>
        <w:t>（</w:t>
      </w:r>
      <w:r>
        <w:rPr>
          <w:color w:val="auto"/>
        </w:rPr>
        <w:t>5）突发环境事件应急预案；</w:t>
      </w:r>
    </w:p>
    <w:p w14:paraId="6511C765">
      <w:pPr>
        <w:pStyle w:val="86"/>
        <w:ind w:firstLine="480"/>
        <w:rPr>
          <w:rFonts w:hint="eastAsia"/>
          <w:color w:val="auto"/>
        </w:rPr>
      </w:pPr>
      <w:r>
        <w:rPr>
          <w:rFonts w:hint="eastAsia"/>
          <w:color w:val="auto"/>
        </w:rPr>
        <w:t>（</w:t>
      </w:r>
      <w:r>
        <w:rPr>
          <w:color w:val="auto"/>
        </w:rPr>
        <w:t>6）其他应当公开的环境信息。</w:t>
      </w:r>
    </w:p>
    <w:p w14:paraId="761B4D26">
      <w:pPr>
        <w:pStyle w:val="86"/>
        <w:ind w:firstLine="480"/>
        <w:jc w:val="left"/>
        <w:rPr>
          <w:rFonts w:hint="eastAsia"/>
          <w:color w:val="auto"/>
        </w:rPr>
        <w:sectPr>
          <w:headerReference r:id="rId28" w:type="default"/>
          <w:footerReference r:id="rId29" w:type="default"/>
          <w:pgSz w:w="11906" w:h="16838"/>
          <w:pgMar w:top="1418" w:right="1588" w:bottom="1418" w:left="1588" w:header="1020" w:footer="1020" w:gutter="0"/>
          <w:cols w:space="720" w:num="1"/>
          <w:docGrid w:type="lines" w:linePitch="312" w:charSpace="0"/>
        </w:sectPr>
      </w:pPr>
    </w:p>
    <w:p w14:paraId="106B9462">
      <w:pPr>
        <w:pStyle w:val="15"/>
        <w:rPr>
          <w:rFonts w:hint="eastAsia"/>
          <w:color w:val="auto"/>
        </w:rPr>
      </w:pPr>
      <w:r>
        <w:rPr>
          <w:rFonts w:hint="eastAsia"/>
          <w:color w:val="auto"/>
        </w:rPr>
        <w:t>表</w:t>
      </w:r>
      <w:r>
        <w:rPr>
          <w:color w:val="auto"/>
        </w:rPr>
        <w:t>7.3</w:t>
      </w:r>
      <w:r>
        <w:rPr>
          <w:rFonts w:hint="eastAsia"/>
          <w:color w:val="auto"/>
        </w:rPr>
        <w:t xml:space="preserve">-1 </w:t>
      </w:r>
      <w:r>
        <w:rPr>
          <w:color w:val="auto"/>
        </w:rPr>
        <w:t xml:space="preserve"> </w:t>
      </w:r>
      <w:r>
        <w:rPr>
          <w:rFonts w:hint="eastAsia"/>
          <w:color w:val="auto"/>
        </w:rPr>
        <w:t>无组织废气污染物排放清单</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2624"/>
        <w:gridCol w:w="1134"/>
        <w:gridCol w:w="1420"/>
        <w:gridCol w:w="3688"/>
        <w:gridCol w:w="2156"/>
        <w:gridCol w:w="2344"/>
      </w:tblGrid>
      <w:tr w14:paraId="593596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 w:type="pct"/>
            <w:tcMar>
              <w:left w:w="0" w:type="dxa"/>
              <w:right w:w="0" w:type="dxa"/>
            </w:tcMar>
            <w:vAlign w:val="center"/>
          </w:tcPr>
          <w:p w14:paraId="0A282489">
            <w:pPr>
              <w:adjustRightInd w:val="0"/>
              <w:snapToGrid w:val="0"/>
              <w:spacing w:line="300" w:lineRule="exact"/>
              <w:jc w:val="center"/>
              <w:rPr>
                <w:rFonts w:hint="eastAsia" w:ascii="宋体" w:hAnsi="宋体"/>
                <w:color w:val="auto"/>
                <w:szCs w:val="21"/>
              </w:rPr>
            </w:pPr>
            <w:bookmarkStart w:id="944" w:name="_Hlk177550200"/>
            <w:r>
              <w:rPr>
                <w:rFonts w:hint="eastAsia" w:ascii="宋体" w:hAnsi="宋体"/>
                <w:color w:val="auto"/>
                <w:szCs w:val="21"/>
              </w:rPr>
              <w:t>序号</w:t>
            </w:r>
          </w:p>
        </w:tc>
        <w:tc>
          <w:tcPr>
            <w:tcW w:w="937" w:type="pct"/>
            <w:vAlign w:val="center"/>
          </w:tcPr>
          <w:p w14:paraId="410E4056">
            <w:pPr>
              <w:adjustRightInd w:val="0"/>
              <w:snapToGrid w:val="0"/>
              <w:spacing w:line="300" w:lineRule="exact"/>
              <w:jc w:val="center"/>
              <w:rPr>
                <w:rFonts w:hint="eastAsia" w:ascii="宋体" w:hAnsi="宋体"/>
                <w:color w:val="auto"/>
                <w:szCs w:val="21"/>
              </w:rPr>
            </w:pPr>
            <w:r>
              <w:rPr>
                <w:rFonts w:hint="eastAsia" w:ascii="宋体" w:hAnsi="宋体"/>
                <w:color w:val="auto"/>
                <w:szCs w:val="21"/>
              </w:rPr>
              <w:t>污染源</w:t>
            </w:r>
          </w:p>
        </w:tc>
        <w:tc>
          <w:tcPr>
            <w:tcW w:w="405" w:type="pct"/>
            <w:tcMar>
              <w:left w:w="0" w:type="dxa"/>
              <w:right w:w="0" w:type="dxa"/>
            </w:tcMar>
            <w:vAlign w:val="center"/>
          </w:tcPr>
          <w:p w14:paraId="5AC6EF4B">
            <w:pPr>
              <w:adjustRightInd w:val="0"/>
              <w:snapToGrid w:val="0"/>
              <w:spacing w:line="300" w:lineRule="exact"/>
              <w:jc w:val="center"/>
              <w:rPr>
                <w:rFonts w:hint="eastAsia" w:ascii="宋体" w:hAnsi="宋体"/>
                <w:color w:val="auto"/>
                <w:szCs w:val="21"/>
              </w:rPr>
            </w:pPr>
            <w:r>
              <w:rPr>
                <w:rFonts w:hint="eastAsia" w:ascii="宋体" w:hAnsi="宋体"/>
                <w:color w:val="auto"/>
                <w:szCs w:val="21"/>
              </w:rPr>
              <w:t>污染物</w:t>
            </w:r>
          </w:p>
        </w:tc>
        <w:tc>
          <w:tcPr>
            <w:tcW w:w="507" w:type="pct"/>
            <w:tcMar>
              <w:left w:w="0" w:type="dxa"/>
              <w:right w:w="0" w:type="dxa"/>
            </w:tcMar>
            <w:vAlign w:val="center"/>
          </w:tcPr>
          <w:p w14:paraId="1CD6F819">
            <w:pPr>
              <w:adjustRightInd w:val="0"/>
              <w:snapToGrid w:val="0"/>
              <w:spacing w:line="300" w:lineRule="exact"/>
              <w:jc w:val="center"/>
              <w:rPr>
                <w:rFonts w:hint="eastAsia" w:ascii="宋体" w:hAnsi="宋体"/>
                <w:color w:val="auto"/>
                <w:szCs w:val="21"/>
              </w:rPr>
            </w:pPr>
            <w:r>
              <w:rPr>
                <w:rFonts w:hint="eastAsia" w:ascii="宋体" w:hAnsi="宋体"/>
                <w:color w:val="auto"/>
                <w:szCs w:val="21"/>
              </w:rPr>
              <w:t>产生量（t</w:t>
            </w:r>
            <w:r>
              <w:rPr>
                <w:rFonts w:ascii="宋体" w:hAnsi="宋体"/>
                <w:color w:val="auto"/>
                <w:szCs w:val="21"/>
              </w:rPr>
              <w:t>/</w:t>
            </w:r>
            <w:r>
              <w:rPr>
                <w:rFonts w:hint="eastAsia" w:ascii="宋体" w:hAnsi="宋体"/>
                <w:color w:val="auto"/>
                <w:szCs w:val="21"/>
              </w:rPr>
              <w:t>a）</w:t>
            </w:r>
          </w:p>
        </w:tc>
        <w:tc>
          <w:tcPr>
            <w:tcW w:w="1317" w:type="pct"/>
            <w:tcMar>
              <w:left w:w="0" w:type="dxa"/>
              <w:right w:w="0" w:type="dxa"/>
            </w:tcMar>
            <w:vAlign w:val="center"/>
          </w:tcPr>
          <w:p w14:paraId="7DF8A77A">
            <w:pPr>
              <w:adjustRightInd w:val="0"/>
              <w:snapToGrid w:val="0"/>
              <w:spacing w:line="300" w:lineRule="exact"/>
              <w:jc w:val="center"/>
              <w:rPr>
                <w:rFonts w:hint="eastAsia" w:ascii="宋体" w:hAnsi="宋体"/>
                <w:color w:val="auto"/>
                <w:szCs w:val="21"/>
              </w:rPr>
            </w:pPr>
            <w:r>
              <w:rPr>
                <w:rFonts w:hint="eastAsia" w:ascii="宋体" w:hAnsi="宋体"/>
                <w:color w:val="auto"/>
                <w:szCs w:val="21"/>
              </w:rPr>
              <w:t>治理措施</w:t>
            </w:r>
          </w:p>
        </w:tc>
        <w:tc>
          <w:tcPr>
            <w:tcW w:w="770" w:type="pct"/>
            <w:tcMar>
              <w:left w:w="0" w:type="dxa"/>
              <w:right w:w="0" w:type="dxa"/>
            </w:tcMar>
            <w:vAlign w:val="center"/>
          </w:tcPr>
          <w:p w14:paraId="473DEFB3">
            <w:pPr>
              <w:adjustRightInd w:val="0"/>
              <w:snapToGrid w:val="0"/>
              <w:spacing w:line="300" w:lineRule="exact"/>
              <w:jc w:val="center"/>
              <w:rPr>
                <w:rFonts w:hint="eastAsia" w:ascii="宋体" w:hAnsi="宋体"/>
                <w:color w:val="auto"/>
                <w:szCs w:val="21"/>
              </w:rPr>
            </w:pPr>
            <w:r>
              <w:rPr>
                <w:rFonts w:hint="eastAsia" w:ascii="宋体" w:hAnsi="宋体"/>
                <w:color w:val="auto"/>
                <w:szCs w:val="21"/>
              </w:rPr>
              <w:t>实际排放量（t</w:t>
            </w:r>
            <w:r>
              <w:rPr>
                <w:rFonts w:ascii="宋体" w:hAnsi="宋体"/>
                <w:color w:val="auto"/>
                <w:szCs w:val="21"/>
              </w:rPr>
              <w:t>/</w:t>
            </w:r>
            <w:r>
              <w:rPr>
                <w:rFonts w:hint="eastAsia" w:ascii="宋体" w:hAnsi="宋体"/>
                <w:color w:val="auto"/>
                <w:szCs w:val="21"/>
              </w:rPr>
              <w:t>a）</w:t>
            </w:r>
          </w:p>
        </w:tc>
        <w:tc>
          <w:tcPr>
            <w:tcW w:w="837" w:type="pct"/>
            <w:tcMar>
              <w:left w:w="0" w:type="dxa"/>
              <w:right w:w="0" w:type="dxa"/>
            </w:tcMar>
            <w:vAlign w:val="center"/>
          </w:tcPr>
          <w:p w14:paraId="2E2193F3">
            <w:pPr>
              <w:adjustRightInd w:val="0"/>
              <w:snapToGrid w:val="0"/>
              <w:spacing w:line="300" w:lineRule="exact"/>
              <w:jc w:val="center"/>
              <w:rPr>
                <w:rFonts w:hint="eastAsia" w:ascii="宋体" w:hAnsi="宋体"/>
                <w:color w:val="auto"/>
                <w:szCs w:val="21"/>
              </w:rPr>
            </w:pPr>
            <w:r>
              <w:rPr>
                <w:rFonts w:hint="eastAsia" w:ascii="宋体" w:hAnsi="宋体"/>
                <w:color w:val="auto"/>
                <w:szCs w:val="21"/>
              </w:rPr>
              <w:t>厂界浓度（mg</w:t>
            </w:r>
            <w:r>
              <w:rPr>
                <w:rFonts w:ascii="宋体" w:hAnsi="宋体"/>
                <w:color w:val="auto"/>
                <w:szCs w:val="21"/>
              </w:rPr>
              <w:t>/</w:t>
            </w:r>
            <w:r>
              <w:rPr>
                <w:rFonts w:hint="eastAsia" w:ascii="宋体" w:hAnsi="宋体"/>
                <w:color w:val="auto"/>
                <w:szCs w:val="21"/>
              </w:rPr>
              <w:t>m</w:t>
            </w:r>
            <w:r>
              <w:rPr>
                <w:rFonts w:ascii="宋体" w:hAnsi="宋体"/>
                <w:color w:val="auto"/>
                <w:szCs w:val="21"/>
                <w:vertAlign w:val="superscript"/>
              </w:rPr>
              <w:t>3</w:t>
            </w:r>
            <w:r>
              <w:rPr>
                <w:rFonts w:hint="eastAsia" w:ascii="宋体" w:hAnsi="宋体"/>
                <w:color w:val="auto"/>
                <w:szCs w:val="21"/>
              </w:rPr>
              <w:t>）</w:t>
            </w:r>
          </w:p>
        </w:tc>
      </w:tr>
      <w:tr w14:paraId="7C2243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 w:type="pct"/>
            <w:tcMar>
              <w:left w:w="0" w:type="dxa"/>
              <w:right w:w="0" w:type="dxa"/>
            </w:tcMar>
            <w:vAlign w:val="center"/>
          </w:tcPr>
          <w:p w14:paraId="77E1B2E0">
            <w:pPr>
              <w:adjustRightInd w:val="0"/>
              <w:snapToGrid w:val="0"/>
              <w:spacing w:line="300" w:lineRule="exact"/>
              <w:jc w:val="center"/>
              <w:rPr>
                <w:rFonts w:hint="eastAsia" w:ascii="宋体" w:hAnsi="宋体"/>
                <w:color w:val="auto"/>
                <w:szCs w:val="21"/>
              </w:rPr>
            </w:pPr>
            <w:r>
              <w:rPr>
                <w:rFonts w:hint="eastAsia" w:ascii="宋体" w:hAnsi="宋体"/>
                <w:color w:val="auto"/>
                <w:szCs w:val="21"/>
              </w:rPr>
              <w:t>1</w:t>
            </w:r>
          </w:p>
        </w:tc>
        <w:tc>
          <w:tcPr>
            <w:tcW w:w="937" w:type="pct"/>
            <w:vAlign w:val="center"/>
          </w:tcPr>
          <w:p w14:paraId="28982147">
            <w:pPr>
              <w:adjustRightInd w:val="0"/>
              <w:snapToGrid w:val="0"/>
              <w:spacing w:line="300" w:lineRule="exact"/>
              <w:jc w:val="center"/>
              <w:rPr>
                <w:rFonts w:hint="eastAsia" w:ascii="宋体" w:hAnsi="宋体"/>
                <w:color w:val="auto"/>
                <w:szCs w:val="21"/>
              </w:rPr>
            </w:pPr>
            <w:r>
              <w:rPr>
                <w:rFonts w:hint="eastAsia" w:ascii="宋体" w:hAnsi="宋体"/>
                <w:color w:val="auto"/>
                <w:szCs w:val="21"/>
              </w:rPr>
              <w:t>莫172H井场（包括CNG撬装天然气浅冷处理装置、充装区）</w:t>
            </w:r>
          </w:p>
        </w:tc>
        <w:tc>
          <w:tcPr>
            <w:tcW w:w="405" w:type="pct"/>
            <w:tcMar>
              <w:left w:w="0" w:type="dxa"/>
              <w:right w:w="0" w:type="dxa"/>
            </w:tcMar>
            <w:vAlign w:val="center"/>
          </w:tcPr>
          <w:p w14:paraId="6F417BD4">
            <w:pPr>
              <w:adjustRightInd w:val="0"/>
              <w:snapToGrid w:val="0"/>
              <w:spacing w:line="300" w:lineRule="exact"/>
              <w:jc w:val="center"/>
              <w:rPr>
                <w:rFonts w:hint="eastAsia" w:ascii="宋体" w:hAnsi="宋体"/>
                <w:color w:val="auto"/>
                <w:szCs w:val="21"/>
              </w:rPr>
            </w:pPr>
            <w:r>
              <w:rPr>
                <w:rFonts w:hint="eastAsia" w:ascii="宋体" w:hAnsi="宋体"/>
                <w:color w:val="auto"/>
                <w:szCs w:val="21"/>
              </w:rPr>
              <w:t>N</w:t>
            </w:r>
            <w:r>
              <w:rPr>
                <w:rFonts w:ascii="宋体" w:hAnsi="宋体"/>
                <w:color w:val="auto"/>
                <w:szCs w:val="21"/>
              </w:rPr>
              <w:t>MHC</w:t>
            </w:r>
          </w:p>
        </w:tc>
        <w:tc>
          <w:tcPr>
            <w:tcW w:w="507" w:type="pct"/>
            <w:tcMar>
              <w:left w:w="0" w:type="dxa"/>
              <w:right w:w="0" w:type="dxa"/>
            </w:tcMar>
            <w:vAlign w:val="center"/>
          </w:tcPr>
          <w:p w14:paraId="3E386874">
            <w:pPr>
              <w:adjustRightInd w:val="0"/>
              <w:snapToGrid w:val="0"/>
              <w:spacing w:line="300" w:lineRule="exact"/>
              <w:jc w:val="center"/>
              <w:rPr>
                <w:rFonts w:hint="eastAsia" w:ascii="宋体" w:hAnsi="宋体"/>
                <w:color w:val="auto"/>
                <w:szCs w:val="21"/>
              </w:rPr>
            </w:pPr>
            <w:r>
              <w:rPr>
                <w:rFonts w:hint="eastAsia" w:ascii="宋体" w:hAnsi="宋体"/>
                <w:color w:val="auto"/>
                <w:szCs w:val="21"/>
              </w:rPr>
              <w:t>0.9903</w:t>
            </w:r>
          </w:p>
        </w:tc>
        <w:tc>
          <w:tcPr>
            <w:tcW w:w="1317" w:type="pct"/>
            <w:vMerge w:val="restart"/>
            <w:tcMar>
              <w:left w:w="0" w:type="dxa"/>
              <w:right w:w="0" w:type="dxa"/>
            </w:tcMar>
            <w:vAlign w:val="center"/>
          </w:tcPr>
          <w:p w14:paraId="150C0E79">
            <w:pPr>
              <w:adjustRightInd w:val="0"/>
              <w:snapToGrid w:val="0"/>
              <w:spacing w:line="300" w:lineRule="exact"/>
              <w:jc w:val="center"/>
              <w:rPr>
                <w:rFonts w:hint="eastAsia" w:ascii="宋体" w:hAnsi="宋体"/>
                <w:color w:val="auto"/>
                <w:szCs w:val="21"/>
              </w:rPr>
            </w:pPr>
            <w:r>
              <w:rPr>
                <w:rFonts w:hint="eastAsia" w:ascii="宋体" w:hAnsi="宋体" w:cs="宋体"/>
                <w:bCs/>
                <w:snapToGrid w:val="0"/>
                <w:color w:val="auto"/>
                <w:szCs w:val="21"/>
              </w:rPr>
              <w:t>选用质量可靠的设备、仪表、阀门等；定期对设备、阀门等检查</w:t>
            </w:r>
          </w:p>
        </w:tc>
        <w:tc>
          <w:tcPr>
            <w:tcW w:w="770" w:type="pct"/>
            <w:tcMar>
              <w:left w:w="0" w:type="dxa"/>
              <w:right w:w="0" w:type="dxa"/>
            </w:tcMar>
            <w:vAlign w:val="center"/>
          </w:tcPr>
          <w:p w14:paraId="0A93F3C1">
            <w:pPr>
              <w:adjustRightInd w:val="0"/>
              <w:snapToGrid w:val="0"/>
              <w:spacing w:line="300" w:lineRule="exact"/>
              <w:jc w:val="center"/>
              <w:rPr>
                <w:rFonts w:hint="eastAsia" w:ascii="宋体" w:hAnsi="宋体"/>
                <w:color w:val="auto"/>
                <w:szCs w:val="21"/>
              </w:rPr>
            </w:pPr>
            <w:r>
              <w:rPr>
                <w:rFonts w:hint="eastAsia" w:ascii="宋体" w:hAnsi="宋体"/>
                <w:color w:val="auto"/>
                <w:szCs w:val="21"/>
              </w:rPr>
              <w:t>0.8844</w:t>
            </w:r>
          </w:p>
        </w:tc>
        <w:tc>
          <w:tcPr>
            <w:tcW w:w="837" w:type="pct"/>
            <w:tcMar>
              <w:left w:w="0" w:type="dxa"/>
              <w:right w:w="0" w:type="dxa"/>
            </w:tcMar>
            <w:vAlign w:val="center"/>
          </w:tcPr>
          <w:p w14:paraId="68FAE4A4">
            <w:pPr>
              <w:adjustRightInd w:val="0"/>
              <w:snapToGrid w:val="0"/>
              <w:spacing w:line="300" w:lineRule="exact"/>
              <w:jc w:val="center"/>
              <w:rPr>
                <w:rFonts w:hint="eastAsia" w:ascii="宋体" w:hAnsi="宋体"/>
                <w:color w:val="auto"/>
                <w:szCs w:val="21"/>
              </w:rPr>
            </w:pPr>
            <w:r>
              <w:rPr>
                <w:rFonts w:hint="eastAsia" w:ascii="宋体" w:hAnsi="宋体"/>
                <w:color w:val="auto"/>
                <w:szCs w:val="21"/>
              </w:rPr>
              <w:t>4</w:t>
            </w:r>
            <w:r>
              <w:rPr>
                <w:rFonts w:ascii="宋体" w:hAnsi="宋体"/>
                <w:color w:val="auto"/>
                <w:szCs w:val="21"/>
              </w:rPr>
              <w:t>.0</w:t>
            </w:r>
          </w:p>
        </w:tc>
      </w:tr>
      <w:tr w14:paraId="390C70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 w:type="pct"/>
            <w:tcMar>
              <w:left w:w="0" w:type="dxa"/>
              <w:right w:w="0" w:type="dxa"/>
            </w:tcMar>
            <w:vAlign w:val="center"/>
          </w:tcPr>
          <w:p w14:paraId="49935346">
            <w:pPr>
              <w:adjustRightInd w:val="0"/>
              <w:snapToGrid w:val="0"/>
              <w:spacing w:line="300" w:lineRule="exact"/>
              <w:jc w:val="center"/>
              <w:rPr>
                <w:rFonts w:hint="eastAsia" w:ascii="宋体" w:hAnsi="宋体"/>
                <w:color w:val="auto"/>
                <w:szCs w:val="21"/>
              </w:rPr>
            </w:pPr>
            <w:r>
              <w:rPr>
                <w:rFonts w:hint="eastAsia" w:ascii="宋体" w:hAnsi="宋体"/>
                <w:color w:val="auto"/>
                <w:szCs w:val="21"/>
              </w:rPr>
              <w:t>2</w:t>
            </w:r>
          </w:p>
        </w:tc>
        <w:tc>
          <w:tcPr>
            <w:tcW w:w="937" w:type="pct"/>
            <w:vAlign w:val="center"/>
          </w:tcPr>
          <w:p w14:paraId="33EE8F5A">
            <w:pPr>
              <w:adjustRightInd w:val="0"/>
              <w:snapToGrid w:val="0"/>
              <w:spacing w:line="300" w:lineRule="exact"/>
              <w:jc w:val="center"/>
              <w:rPr>
                <w:rFonts w:hint="eastAsia" w:ascii="宋体" w:hAnsi="宋体"/>
                <w:color w:val="auto"/>
                <w:szCs w:val="21"/>
              </w:rPr>
            </w:pPr>
            <w:r>
              <w:rPr>
                <w:rFonts w:hint="eastAsia" w:ascii="宋体" w:hAnsi="宋体"/>
                <w:color w:val="auto"/>
                <w:szCs w:val="21"/>
              </w:rPr>
              <w:t>莫174H井场（包括CNG撬装天然气浅冷处理装置）</w:t>
            </w:r>
          </w:p>
        </w:tc>
        <w:tc>
          <w:tcPr>
            <w:tcW w:w="405" w:type="pct"/>
            <w:tcMar>
              <w:left w:w="0" w:type="dxa"/>
              <w:right w:w="0" w:type="dxa"/>
            </w:tcMar>
            <w:vAlign w:val="center"/>
          </w:tcPr>
          <w:p w14:paraId="61FE5140">
            <w:pPr>
              <w:adjustRightInd w:val="0"/>
              <w:snapToGrid w:val="0"/>
              <w:spacing w:line="300" w:lineRule="exact"/>
              <w:jc w:val="center"/>
              <w:rPr>
                <w:rFonts w:hint="eastAsia" w:ascii="宋体" w:hAnsi="宋体"/>
                <w:color w:val="auto"/>
                <w:szCs w:val="21"/>
              </w:rPr>
            </w:pPr>
            <w:r>
              <w:rPr>
                <w:rFonts w:hint="eastAsia" w:ascii="宋体" w:hAnsi="宋体"/>
                <w:color w:val="auto"/>
                <w:szCs w:val="21"/>
              </w:rPr>
              <w:t>N</w:t>
            </w:r>
            <w:r>
              <w:rPr>
                <w:rFonts w:ascii="宋体" w:hAnsi="宋体"/>
                <w:color w:val="auto"/>
                <w:szCs w:val="21"/>
              </w:rPr>
              <w:t>MHC</w:t>
            </w:r>
          </w:p>
        </w:tc>
        <w:tc>
          <w:tcPr>
            <w:tcW w:w="507" w:type="pct"/>
            <w:tcMar>
              <w:left w:w="0" w:type="dxa"/>
              <w:right w:w="0" w:type="dxa"/>
            </w:tcMar>
            <w:vAlign w:val="center"/>
          </w:tcPr>
          <w:p w14:paraId="747FF11E">
            <w:pPr>
              <w:adjustRightInd w:val="0"/>
              <w:snapToGrid w:val="0"/>
              <w:spacing w:line="300" w:lineRule="exact"/>
              <w:jc w:val="center"/>
              <w:rPr>
                <w:rFonts w:hint="eastAsia" w:ascii="宋体" w:hAnsi="宋体"/>
                <w:color w:val="auto"/>
                <w:szCs w:val="21"/>
              </w:rPr>
            </w:pPr>
            <w:r>
              <w:rPr>
                <w:rFonts w:hint="eastAsia" w:ascii="宋体" w:hAnsi="宋体"/>
                <w:color w:val="auto"/>
                <w:szCs w:val="21"/>
              </w:rPr>
              <w:t>0.5598</w:t>
            </w:r>
          </w:p>
        </w:tc>
        <w:tc>
          <w:tcPr>
            <w:tcW w:w="1317" w:type="pct"/>
            <w:vMerge w:val="continue"/>
            <w:tcMar>
              <w:left w:w="0" w:type="dxa"/>
              <w:right w:w="0" w:type="dxa"/>
            </w:tcMar>
            <w:vAlign w:val="center"/>
          </w:tcPr>
          <w:p w14:paraId="6B52092D">
            <w:pPr>
              <w:adjustRightInd w:val="0"/>
              <w:snapToGrid w:val="0"/>
              <w:spacing w:line="300" w:lineRule="exact"/>
              <w:jc w:val="center"/>
              <w:rPr>
                <w:rFonts w:hint="eastAsia" w:ascii="宋体" w:hAnsi="宋体" w:cs="宋体"/>
                <w:bCs/>
                <w:snapToGrid w:val="0"/>
                <w:color w:val="auto"/>
                <w:szCs w:val="21"/>
              </w:rPr>
            </w:pPr>
          </w:p>
        </w:tc>
        <w:tc>
          <w:tcPr>
            <w:tcW w:w="770" w:type="pct"/>
            <w:tcMar>
              <w:left w:w="0" w:type="dxa"/>
              <w:right w:w="0" w:type="dxa"/>
            </w:tcMar>
            <w:vAlign w:val="center"/>
          </w:tcPr>
          <w:p w14:paraId="4536F829">
            <w:pPr>
              <w:adjustRightInd w:val="0"/>
              <w:snapToGrid w:val="0"/>
              <w:spacing w:line="300" w:lineRule="exact"/>
              <w:jc w:val="center"/>
              <w:rPr>
                <w:rFonts w:hint="eastAsia" w:ascii="宋体" w:hAnsi="宋体"/>
                <w:color w:val="auto"/>
                <w:szCs w:val="21"/>
              </w:rPr>
            </w:pPr>
            <w:r>
              <w:rPr>
                <w:rFonts w:hint="eastAsia" w:ascii="宋体" w:hAnsi="宋体"/>
                <w:color w:val="auto"/>
                <w:szCs w:val="21"/>
              </w:rPr>
              <w:t>0.5598</w:t>
            </w:r>
          </w:p>
        </w:tc>
        <w:tc>
          <w:tcPr>
            <w:tcW w:w="837" w:type="pct"/>
            <w:tcMar>
              <w:left w:w="0" w:type="dxa"/>
              <w:right w:w="0" w:type="dxa"/>
            </w:tcMar>
            <w:vAlign w:val="center"/>
          </w:tcPr>
          <w:p w14:paraId="68DB1DA0">
            <w:pPr>
              <w:adjustRightInd w:val="0"/>
              <w:snapToGrid w:val="0"/>
              <w:spacing w:line="300" w:lineRule="exact"/>
              <w:jc w:val="center"/>
              <w:rPr>
                <w:rFonts w:hint="eastAsia" w:ascii="宋体" w:hAnsi="宋体"/>
                <w:color w:val="auto"/>
                <w:szCs w:val="21"/>
              </w:rPr>
            </w:pPr>
            <w:r>
              <w:rPr>
                <w:rFonts w:hint="eastAsia" w:ascii="宋体" w:hAnsi="宋体"/>
                <w:color w:val="auto"/>
                <w:szCs w:val="21"/>
              </w:rPr>
              <w:t>4</w:t>
            </w:r>
            <w:r>
              <w:rPr>
                <w:rFonts w:ascii="宋体" w:hAnsi="宋体"/>
                <w:color w:val="auto"/>
                <w:szCs w:val="21"/>
              </w:rPr>
              <w:t>.0</w:t>
            </w:r>
          </w:p>
        </w:tc>
      </w:tr>
      <w:tr w14:paraId="3CA98A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 w:type="pct"/>
            <w:tcMar>
              <w:left w:w="0" w:type="dxa"/>
              <w:right w:w="0" w:type="dxa"/>
            </w:tcMar>
            <w:vAlign w:val="center"/>
          </w:tcPr>
          <w:p w14:paraId="2D34406D">
            <w:pPr>
              <w:adjustRightInd w:val="0"/>
              <w:snapToGrid w:val="0"/>
              <w:spacing w:line="300" w:lineRule="exact"/>
              <w:jc w:val="center"/>
              <w:rPr>
                <w:rFonts w:hint="eastAsia" w:ascii="宋体" w:hAnsi="宋体"/>
                <w:color w:val="auto"/>
                <w:szCs w:val="21"/>
              </w:rPr>
            </w:pPr>
            <w:r>
              <w:rPr>
                <w:rFonts w:hint="eastAsia" w:ascii="宋体" w:hAnsi="宋体"/>
                <w:color w:val="auto"/>
                <w:szCs w:val="21"/>
              </w:rPr>
              <w:t>3</w:t>
            </w:r>
          </w:p>
        </w:tc>
        <w:tc>
          <w:tcPr>
            <w:tcW w:w="937" w:type="pct"/>
            <w:vAlign w:val="center"/>
          </w:tcPr>
          <w:p w14:paraId="48985FED">
            <w:pPr>
              <w:adjustRightInd w:val="0"/>
              <w:snapToGrid w:val="0"/>
              <w:spacing w:line="300" w:lineRule="exact"/>
              <w:jc w:val="center"/>
              <w:rPr>
                <w:rFonts w:hint="eastAsia" w:ascii="宋体" w:hAnsi="宋体"/>
                <w:color w:val="auto"/>
                <w:szCs w:val="21"/>
              </w:rPr>
            </w:pPr>
            <w:r>
              <w:rPr>
                <w:rFonts w:hint="eastAsia" w:ascii="宋体" w:hAnsi="宋体"/>
                <w:color w:val="auto"/>
                <w:szCs w:val="21"/>
              </w:rPr>
              <w:t>莫27井场</w:t>
            </w:r>
          </w:p>
        </w:tc>
        <w:tc>
          <w:tcPr>
            <w:tcW w:w="405" w:type="pct"/>
            <w:tcMar>
              <w:left w:w="0" w:type="dxa"/>
              <w:right w:w="0" w:type="dxa"/>
            </w:tcMar>
            <w:vAlign w:val="center"/>
          </w:tcPr>
          <w:p w14:paraId="18A4E822">
            <w:pPr>
              <w:adjustRightInd w:val="0"/>
              <w:snapToGrid w:val="0"/>
              <w:spacing w:line="300" w:lineRule="exact"/>
              <w:jc w:val="center"/>
              <w:rPr>
                <w:rFonts w:hint="eastAsia" w:ascii="宋体" w:hAnsi="宋体"/>
                <w:color w:val="auto"/>
                <w:szCs w:val="21"/>
              </w:rPr>
            </w:pPr>
            <w:r>
              <w:rPr>
                <w:rFonts w:hint="eastAsia" w:ascii="宋体" w:hAnsi="宋体"/>
                <w:color w:val="auto"/>
                <w:szCs w:val="21"/>
              </w:rPr>
              <w:t>N</w:t>
            </w:r>
            <w:r>
              <w:rPr>
                <w:rFonts w:ascii="宋体" w:hAnsi="宋体"/>
                <w:color w:val="auto"/>
                <w:szCs w:val="21"/>
              </w:rPr>
              <w:t>MHC</w:t>
            </w:r>
          </w:p>
        </w:tc>
        <w:tc>
          <w:tcPr>
            <w:tcW w:w="507" w:type="pct"/>
            <w:tcMar>
              <w:left w:w="0" w:type="dxa"/>
              <w:right w:w="0" w:type="dxa"/>
            </w:tcMar>
            <w:vAlign w:val="center"/>
          </w:tcPr>
          <w:p w14:paraId="096A1C73">
            <w:pPr>
              <w:adjustRightInd w:val="0"/>
              <w:snapToGrid w:val="0"/>
              <w:spacing w:line="300" w:lineRule="exact"/>
              <w:jc w:val="center"/>
              <w:rPr>
                <w:rFonts w:hint="eastAsia" w:ascii="宋体" w:hAnsi="宋体"/>
                <w:color w:val="auto"/>
                <w:szCs w:val="21"/>
              </w:rPr>
            </w:pPr>
            <w:r>
              <w:rPr>
                <w:rFonts w:hint="eastAsia" w:ascii="宋体" w:hAnsi="宋体"/>
                <w:color w:val="auto"/>
                <w:szCs w:val="21"/>
              </w:rPr>
              <w:t>0.0052</w:t>
            </w:r>
          </w:p>
        </w:tc>
        <w:tc>
          <w:tcPr>
            <w:tcW w:w="1317" w:type="pct"/>
            <w:vMerge w:val="continue"/>
            <w:tcMar>
              <w:left w:w="0" w:type="dxa"/>
              <w:right w:w="0" w:type="dxa"/>
            </w:tcMar>
            <w:vAlign w:val="center"/>
          </w:tcPr>
          <w:p w14:paraId="46D20ED1">
            <w:pPr>
              <w:adjustRightInd w:val="0"/>
              <w:snapToGrid w:val="0"/>
              <w:spacing w:line="300" w:lineRule="exact"/>
              <w:jc w:val="center"/>
              <w:rPr>
                <w:rFonts w:hint="eastAsia" w:ascii="宋体" w:hAnsi="宋体" w:cs="宋体"/>
                <w:bCs/>
                <w:snapToGrid w:val="0"/>
                <w:color w:val="auto"/>
                <w:szCs w:val="21"/>
              </w:rPr>
            </w:pPr>
          </w:p>
        </w:tc>
        <w:tc>
          <w:tcPr>
            <w:tcW w:w="770" w:type="pct"/>
            <w:tcMar>
              <w:left w:w="0" w:type="dxa"/>
              <w:right w:w="0" w:type="dxa"/>
            </w:tcMar>
            <w:vAlign w:val="center"/>
          </w:tcPr>
          <w:p w14:paraId="038F33C2">
            <w:pPr>
              <w:adjustRightInd w:val="0"/>
              <w:snapToGrid w:val="0"/>
              <w:spacing w:line="300" w:lineRule="exact"/>
              <w:jc w:val="center"/>
              <w:rPr>
                <w:rFonts w:hint="eastAsia" w:ascii="宋体" w:hAnsi="宋体"/>
                <w:color w:val="auto"/>
                <w:szCs w:val="21"/>
              </w:rPr>
            </w:pPr>
            <w:r>
              <w:rPr>
                <w:rFonts w:hint="eastAsia" w:ascii="宋体" w:hAnsi="宋体"/>
                <w:color w:val="auto"/>
                <w:szCs w:val="21"/>
              </w:rPr>
              <w:t>0.0052</w:t>
            </w:r>
          </w:p>
        </w:tc>
        <w:tc>
          <w:tcPr>
            <w:tcW w:w="837" w:type="pct"/>
            <w:tcMar>
              <w:left w:w="0" w:type="dxa"/>
              <w:right w:w="0" w:type="dxa"/>
            </w:tcMar>
          </w:tcPr>
          <w:p w14:paraId="27C14610">
            <w:pPr>
              <w:adjustRightInd w:val="0"/>
              <w:snapToGrid w:val="0"/>
              <w:spacing w:line="300" w:lineRule="exact"/>
              <w:jc w:val="center"/>
              <w:rPr>
                <w:rFonts w:hint="eastAsia" w:ascii="宋体" w:hAnsi="宋体"/>
                <w:color w:val="auto"/>
                <w:szCs w:val="21"/>
              </w:rPr>
            </w:pPr>
            <w:r>
              <w:rPr>
                <w:rFonts w:hint="eastAsia" w:ascii="宋体" w:hAnsi="宋体"/>
                <w:color w:val="auto"/>
                <w:szCs w:val="21"/>
              </w:rPr>
              <w:t>4</w:t>
            </w:r>
            <w:r>
              <w:rPr>
                <w:rFonts w:ascii="宋体" w:hAnsi="宋体"/>
                <w:color w:val="auto"/>
                <w:szCs w:val="21"/>
              </w:rPr>
              <w:t>.0</w:t>
            </w:r>
          </w:p>
        </w:tc>
      </w:tr>
      <w:tr w14:paraId="6B6440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 w:type="pct"/>
            <w:tcMar>
              <w:left w:w="0" w:type="dxa"/>
              <w:right w:w="0" w:type="dxa"/>
            </w:tcMar>
            <w:vAlign w:val="center"/>
          </w:tcPr>
          <w:p w14:paraId="3AA52917">
            <w:pPr>
              <w:adjustRightInd w:val="0"/>
              <w:snapToGrid w:val="0"/>
              <w:spacing w:line="300" w:lineRule="exact"/>
              <w:jc w:val="center"/>
              <w:rPr>
                <w:rFonts w:hint="eastAsia" w:ascii="宋体" w:hAnsi="宋体"/>
                <w:color w:val="auto"/>
                <w:szCs w:val="21"/>
              </w:rPr>
            </w:pPr>
            <w:r>
              <w:rPr>
                <w:rFonts w:hint="eastAsia" w:ascii="宋体" w:hAnsi="宋体"/>
                <w:color w:val="auto"/>
                <w:szCs w:val="21"/>
              </w:rPr>
              <w:t>4</w:t>
            </w:r>
          </w:p>
        </w:tc>
        <w:tc>
          <w:tcPr>
            <w:tcW w:w="937" w:type="pct"/>
            <w:vMerge w:val="restart"/>
            <w:vAlign w:val="center"/>
          </w:tcPr>
          <w:p w14:paraId="6D261B3D">
            <w:pPr>
              <w:adjustRightInd w:val="0"/>
              <w:snapToGrid w:val="0"/>
              <w:spacing w:line="300" w:lineRule="exact"/>
              <w:jc w:val="center"/>
              <w:rPr>
                <w:rFonts w:hint="eastAsia" w:ascii="宋体" w:hAnsi="宋体"/>
                <w:color w:val="auto"/>
                <w:szCs w:val="21"/>
              </w:rPr>
            </w:pPr>
            <w:r>
              <w:rPr>
                <w:rFonts w:hint="eastAsia" w:ascii="宋体" w:hAnsi="宋体"/>
                <w:color w:val="auto"/>
                <w:szCs w:val="21"/>
              </w:rPr>
              <w:t>莫172H井场燃气发电机</w:t>
            </w:r>
          </w:p>
        </w:tc>
        <w:tc>
          <w:tcPr>
            <w:tcW w:w="405" w:type="pct"/>
            <w:tcMar>
              <w:left w:w="0" w:type="dxa"/>
              <w:right w:w="0" w:type="dxa"/>
            </w:tcMar>
            <w:vAlign w:val="center"/>
          </w:tcPr>
          <w:p w14:paraId="69EFE2BA">
            <w:pPr>
              <w:adjustRightInd w:val="0"/>
              <w:snapToGrid w:val="0"/>
              <w:spacing w:line="300" w:lineRule="exact"/>
              <w:jc w:val="center"/>
              <w:rPr>
                <w:rFonts w:hint="eastAsia" w:ascii="宋体" w:hAnsi="宋体"/>
                <w:color w:val="auto"/>
                <w:szCs w:val="21"/>
              </w:rPr>
            </w:pPr>
            <w:r>
              <w:rPr>
                <w:rFonts w:hint="eastAsia"/>
                <w:color w:val="auto"/>
                <w:szCs w:val="18"/>
              </w:rPr>
              <w:t>二氧化硫</w:t>
            </w:r>
          </w:p>
        </w:tc>
        <w:tc>
          <w:tcPr>
            <w:tcW w:w="507" w:type="pct"/>
            <w:tcMar>
              <w:left w:w="0" w:type="dxa"/>
              <w:right w:w="0" w:type="dxa"/>
            </w:tcMar>
            <w:vAlign w:val="center"/>
          </w:tcPr>
          <w:p w14:paraId="32D9E53E">
            <w:pPr>
              <w:adjustRightInd w:val="0"/>
              <w:snapToGrid w:val="0"/>
              <w:spacing w:line="300" w:lineRule="exact"/>
              <w:jc w:val="center"/>
              <w:rPr>
                <w:rFonts w:hint="eastAsia" w:ascii="宋体" w:hAnsi="宋体"/>
                <w:color w:val="auto"/>
                <w:szCs w:val="21"/>
              </w:rPr>
            </w:pPr>
            <w:r>
              <w:rPr>
                <w:rFonts w:hint="eastAsia" w:ascii="宋体" w:hAnsi="宋体"/>
                <w:color w:val="auto"/>
                <w:szCs w:val="21"/>
              </w:rPr>
              <w:t>0.10692</w:t>
            </w:r>
          </w:p>
        </w:tc>
        <w:tc>
          <w:tcPr>
            <w:tcW w:w="1317" w:type="pct"/>
            <w:vMerge w:val="restart"/>
            <w:tcMar>
              <w:left w:w="0" w:type="dxa"/>
              <w:right w:w="0" w:type="dxa"/>
            </w:tcMar>
            <w:vAlign w:val="center"/>
          </w:tcPr>
          <w:p w14:paraId="6C3C5609">
            <w:pPr>
              <w:adjustRightInd w:val="0"/>
              <w:snapToGrid w:val="0"/>
              <w:spacing w:line="300" w:lineRule="exact"/>
              <w:jc w:val="center"/>
              <w:rPr>
                <w:rFonts w:hint="eastAsia" w:ascii="宋体" w:hAnsi="宋体" w:cs="宋体"/>
                <w:bCs/>
                <w:snapToGrid w:val="0"/>
                <w:color w:val="auto"/>
                <w:szCs w:val="21"/>
              </w:rPr>
            </w:pPr>
            <w:r>
              <w:rPr>
                <w:rFonts w:hint="eastAsia"/>
                <w:bCs/>
                <w:snapToGrid w:val="0"/>
                <w:color w:val="auto"/>
                <w:szCs w:val="18"/>
              </w:rPr>
              <w:t>采用清洁燃料天然气，加强设备检维修</w:t>
            </w:r>
          </w:p>
        </w:tc>
        <w:tc>
          <w:tcPr>
            <w:tcW w:w="770" w:type="pct"/>
            <w:tcMar>
              <w:left w:w="0" w:type="dxa"/>
              <w:right w:w="0" w:type="dxa"/>
            </w:tcMar>
            <w:vAlign w:val="center"/>
          </w:tcPr>
          <w:p w14:paraId="61BD814B">
            <w:pPr>
              <w:adjustRightInd w:val="0"/>
              <w:snapToGrid w:val="0"/>
              <w:spacing w:line="300" w:lineRule="exact"/>
              <w:jc w:val="center"/>
              <w:rPr>
                <w:rFonts w:hint="eastAsia" w:ascii="宋体" w:hAnsi="宋体"/>
                <w:color w:val="auto"/>
                <w:szCs w:val="21"/>
              </w:rPr>
            </w:pPr>
            <w:r>
              <w:rPr>
                <w:rFonts w:hint="eastAsia" w:ascii="宋体" w:hAnsi="宋体"/>
                <w:color w:val="auto"/>
                <w:szCs w:val="21"/>
              </w:rPr>
              <w:t>1.04544</w:t>
            </w:r>
          </w:p>
        </w:tc>
        <w:tc>
          <w:tcPr>
            <w:tcW w:w="837" w:type="pct"/>
            <w:tcMar>
              <w:left w:w="0" w:type="dxa"/>
              <w:right w:w="0" w:type="dxa"/>
            </w:tcMar>
            <w:vAlign w:val="center"/>
          </w:tcPr>
          <w:p w14:paraId="3E15F4FC">
            <w:pPr>
              <w:adjustRightInd w:val="0"/>
              <w:snapToGrid w:val="0"/>
              <w:spacing w:line="300" w:lineRule="exact"/>
              <w:jc w:val="center"/>
              <w:rPr>
                <w:rFonts w:hint="eastAsia" w:ascii="宋体" w:hAnsi="宋体"/>
                <w:color w:val="auto"/>
                <w:szCs w:val="21"/>
              </w:rPr>
            </w:pPr>
            <w:r>
              <w:rPr>
                <w:rFonts w:hint="eastAsia" w:ascii="宋体" w:hAnsi="宋体"/>
                <w:color w:val="auto"/>
                <w:szCs w:val="21"/>
              </w:rPr>
              <w:t>550</w:t>
            </w:r>
          </w:p>
        </w:tc>
      </w:tr>
      <w:tr w14:paraId="6CFE2C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 w:type="pct"/>
            <w:tcMar>
              <w:left w:w="0" w:type="dxa"/>
              <w:right w:w="0" w:type="dxa"/>
            </w:tcMar>
            <w:vAlign w:val="center"/>
          </w:tcPr>
          <w:p w14:paraId="7FFC66D5">
            <w:pPr>
              <w:adjustRightInd w:val="0"/>
              <w:snapToGrid w:val="0"/>
              <w:spacing w:line="300" w:lineRule="exact"/>
              <w:jc w:val="center"/>
              <w:rPr>
                <w:rFonts w:hint="eastAsia" w:ascii="宋体" w:hAnsi="宋体"/>
                <w:color w:val="auto"/>
                <w:szCs w:val="21"/>
              </w:rPr>
            </w:pPr>
            <w:r>
              <w:rPr>
                <w:rFonts w:hint="eastAsia" w:ascii="宋体" w:hAnsi="宋体"/>
                <w:color w:val="auto"/>
                <w:szCs w:val="21"/>
              </w:rPr>
              <w:t>5</w:t>
            </w:r>
          </w:p>
        </w:tc>
        <w:tc>
          <w:tcPr>
            <w:tcW w:w="937" w:type="pct"/>
            <w:vMerge w:val="continue"/>
            <w:vAlign w:val="center"/>
          </w:tcPr>
          <w:p w14:paraId="1101F28B">
            <w:pPr>
              <w:adjustRightInd w:val="0"/>
              <w:snapToGrid w:val="0"/>
              <w:spacing w:line="300" w:lineRule="exact"/>
              <w:jc w:val="center"/>
              <w:rPr>
                <w:rFonts w:hint="eastAsia" w:ascii="宋体" w:hAnsi="宋体"/>
                <w:color w:val="auto"/>
                <w:szCs w:val="21"/>
              </w:rPr>
            </w:pPr>
          </w:p>
        </w:tc>
        <w:tc>
          <w:tcPr>
            <w:tcW w:w="405" w:type="pct"/>
            <w:tcMar>
              <w:left w:w="0" w:type="dxa"/>
              <w:right w:w="0" w:type="dxa"/>
            </w:tcMar>
            <w:vAlign w:val="center"/>
          </w:tcPr>
          <w:p w14:paraId="12C26709">
            <w:pPr>
              <w:adjustRightInd w:val="0"/>
              <w:snapToGrid w:val="0"/>
              <w:spacing w:line="300" w:lineRule="exact"/>
              <w:jc w:val="center"/>
              <w:rPr>
                <w:rFonts w:hint="eastAsia" w:ascii="宋体" w:hAnsi="宋体"/>
                <w:color w:val="auto"/>
                <w:szCs w:val="21"/>
              </w:rPr>
            </w:pPr>
            <w:r>
              <w:rPr>
                <w:rFonts w:hint="eastAsia"/>
                <w:color w:val="auto"/>
                <w:szCs w:val="18"/>
              </w:rPr>
              <w:t>氮氧化物</w:t>
            </w:r>
          </w:p>
        </w:tc>
        <w:tc>
          <w:tcPr>
            <w:tcW w:w="507" w:type="pct"/>
            <w:tcMar>
              <w:left w:w="0" w:type="dxa"/>
              <w:right w:w="0" w:type="dxa"/>
            </w:tcMar>
            <w:vAlign w:val="center"/>
          </w:tcPr>
          <w:p w14:paraId="46F78203">
            <w:pPr>
              <w:adjustRightInd w:val="0"/>
              <w:snapToGrid w:val="0"/>
              <w:spacing w:line="300" w:lineRule="exact"/>
              <w:jc w:val="center"/>
              <w:rPr>
                <w:rFonts w:hint="eastAsia" w:ascii="宋体" w:hAnsi="宋体"/>
                <w:color w:val="auto"/>
                <w:szCs w:val="21"/>
              </w:rPr>
            </w:pPr>
            <w:r>
              <w:rPr>
                <w:rFonts w:hint="eastAsia" w:ascii="宋体" w:hAnsi="宋体"/>
                <w:color w:val="auto"/>
                <w:szCs w:val="21"/>
              </w:rPr>
              <w:t>1.04544</w:t>
            </w:r>
          </w:p>
        </w:tc>
        <w:tc>
          <w:tcPr>
            <w:tcW w:w="1317" w:type="pct"/>
            <w:vMerge w:val="continue"/>
            <w:tcMar>
              <w:left w:w="0" w:type="dxa"/>
              <w:right w:w="0" w:type="dxa"/>
            </w:tcMar>
            <w:vAlign w:val="center"/>
          </w:tcPr>
          <w:p w14:paraId="20437A58">
            <w:pPr>
              <w:adjustRightInd w:val="0"/>
              <w:snapToGrid w:val="0"/>
              <w:spacing w:line="300" w:lineRule="exact"/>
              <w:jc w:val="center"/>
              <w:rPr>
                <w:rFonts w:hint="eastAsia" w:ascii="宋体" w:hAnsi="宋体" w:cs="宋体"/>
                <w:bCs/>
                <w:snapToGrid w:val="0"/>
                <w:color w:val="auto"/>
                <w:szCs w:val="21"/>
              </w:rPr>
            </w:pPr>
          </w:p>
        </w:tc>
        <w:tc>
          <w:tcPr>
            <w:tcW w:w="770" w:type="pct"/>
            <w:tcMar>
              <w:left w:w="0" w:type="dxa"/>
              <w:right w:w="0" w:type="dxa"/>
            </w:tcMar>
            <w:vAlign w:val="center"/>
          </w:tcPr>
          <w:p w14:paraId="57B93FDC">
            <w:pPr>
              <w:adjustRightInd w:val="0"/>
              <w:snapToGrid w:val="0"/>
              <w:spacing w:line="300" w:lineRule="exact"/>
              <w:jc w:val="center"/>
              <w:rPr>
                <w:rFonts w:hint="eastAsia" w:ascii="宋体" w:hAnsi="宋体"/>
                <w:color w:val="auto"/>
                <w:szCs w:val="21"/>
              </w:rPr>
            </w:pPr>
            <w:r>
              <w:rPr>
                <w:rFonts w:hint="eastAsia" w:ascii="宋体" w:hAnsi="宋体"/>
                <w:color w:val="auto"/>
                <w:szCs w:val="21"/>
              </w:rPr>
              <w:t>0.10692</w:t>
            </w:r>
          </w:p>
        </w:tc>
        <w:tc>
          <w:tcPr>
            <w:tcW w:w="837" w:type="pct"/>
            <w:tcMar>
              <w:left w:w="0" w:type="dxa"/>
              <w:right w:w="0" w:type="dxa"/>
            </w:tcMar>
            <w:vAlign w:val="center"/>
          </w:tcPr>
          <w:p w14:paraId="78D3B61B">
            <w:pPr>
              <w:adjustRightInd w:val="0"/>
              <w:snapToGrid w:val="0"/>
              <w:spacing w:line="300" w:lineRule="exact"/>
              <w:jc w:val="center"/>
              <w:rPr>
                <w:rFonts w:hint="eastAsia" w:ascii="宋体" w:hAnsi="宋体"/>
                <w:color w:val="auto"/>
                <w:szCs w:val="21"/>
              </w:rPr>
            </w:pPr>
            <w:r>
              <w:rPr>
                <w:rFonts w:hint="eastAsia" w:ascii="宋体" w:hAnsi="宋体"/>
                <w:color w:val="auto"/>
                <w:szCs w:val="21"/>
              </w:rPr>
              <w:t>240</w:t>
            </w:r>
          </w:p>
        </w:tc>
      </w:tr>
      <w:tr w14:paraId="72029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 w:type="pct"/>
            <w:tcMar>
              <w:left w:w="0" w:type="dxa"/>
              <w:right w:w="0" w:type="dxa"/>
            </w:tcMar>
            <w:vAlign w:val="center"/>
          </w:tcPr>
          <w:p w14:paraId="6DF1E302">
            <w:pPr>
              <w:adjustRightInd w:val="0"/>
              <w:snapToGrid w:val="0"/>
              <w:spacing w:line="300" w:lineRule="exact"/>
              <w:jc w:val="center"/>
              <w:rPr>
                <w:rFonts w:hint="eastAsia" w:ascii="宋体" w:hAnsi="宋体"/>
                <w:color w:val="auto"/>
                <w:szCs w:val="21"/>
              </w:rPr>
            </w:pPr>
            <w:r>
              <w:rPr>
                <w:rFonts w:hint="eastAsia" w:ascii="宋体" w:hAnsi="宋体"/>
                <w:color w:val="auto"/>
                <w:szCs w:val="21"/>
              </w:rPr>
              <w:t>6</w:t>
            </w:r>
          </w:p>
        </w:tc>
        <w:tc>
          <w:tcPr>
            <w:tcW w:w="937" w:type="pct"/>
            <w:vMerge w:val="continue"/>
            <w:vAlign w:val="center"/>
          </w:tcPr>
          <w:p w14:paraId="739EBF21">
            <w:pPr>
              <w:adjustRightInd w:val="0"/>
              <w:snapToGrid w:val="0"/>
              <w:spacing w:line="300" w:lineRule="exact"/>
              <w:jc w:val="center"/>
              <w:rPr>
                <w:rFonts w:hint="eastAsia" w:ascii="宋体" w:hAnsi="宋体"/>
                <w:color w:val="auto"/>
                <w:szCs w:val="21"/>
              </w:rPr>
            </w:pPr>
          </w:p>
        </w:tc>
        <w:tc>
          <w:tcPr>
            <w:tcW w:w="405" w:type="pct"/>
            <w:tcMar>
              <w:left w:w="0" w:type="dxa"/>
              <w:right w:w="0" w:type="dxa"/>
            </w:tcMar>
            <w:vAlign w:val="center"/>
          </w:tcPr>
          <w:p w14:paraId="2C175B7C">
            <w:pPr>
              <w:adjustRightInd w:val="0"/>
              <w:snapToGrid w:val="0"/>
              <w:spacing w:line="300" w:lineRule="exact"/>
              <w:jc w:val="center"/>
              <w:rPr>
                <w:rFonts w:hint="eastAsia" w:ascii="宋体" w:hAnsi="宋体"/>
                <w:color w:val="auto"/>
                <w:szCs w:val="21"/>
              </w:rPr>
            </w:pPr>
            <w:r>
              <w:rPr>
                <w:rFonts w:hint="eastAsia"/>
                <w:color w:val="auto"/>
                <w:szCs w:val="18"/>
              </w:rPr>
              <w:t>颗粒物</w:t>
            </w:r>
          </w:p>
        </w:tc>
        <w:tc>
          <w:tcPr>
            <w:tcW w:w="507" w:type="pct"/>
            <w:tcMar>
              <w:left w:w="0" w:type="dxa"/>
              <w:right w:w="0" w:type="dxa"/>
            </w:tcMar>
            <w:vAlign w:val="center"/>
          </w:tcPr>
          <w:p w14:paraId="171D7FB0">
            <w:pPr>
              <w:adjustRightInd w:val="0"/>
              <w:snapToGrid w:val="0"/>
              <w:spacing w:line="300" w:lineRule="exact"/>
              <w:jc w:val="center"/>
              <w:rPr>
                <w:rFonts w:hint="eastAsia" w:ascii="宋体" w:hAnsi="宋体"/>
                <w:color w:val="auto"/>
                <w:szCs w:val="21"/>
              </w:rPr>
            </w:pPr>
            <w:r>
              <w:rPr>
                <w:rFonts w:hint="eastAsia" w:ascii="宋体" w:hAnsi="宋体"/>
                <w:color w:val="auto"/>
                <w:szCs w:val="21"/>
              </w:rPr>
              <w:t>0.08316</w:t>
            </w:r>
          </w:p>
        </w:tc>
        <w:tc>
          <w:tcPr>
            <w:tcW w:w="1317" w:type="pct"/>
            <w:vMerge w:val="continue"/>
            <w:tcMar>
              <w:left w:w="0" w:type="dxa"/>
              <w:right w:w="0" w:type="dxa"/>
            </w:tcMar>
            <w:vAlign w:val="center"/>
          </w:tcPr>
          <w:p w14:paraId="61B83C08">
            <w:pPr>
              <w:adjustRightInd w:val="0"/>
              <w:snapToGrid w:val="0"/>
              <w:spacing w:line="300" w:lineRule="exact"/>
              <w:jc w:val="center"/>
              <w:rPr>
                <w:rFonts w:hint="eastAsia" w:ascii="宋体" w:hAnsi="宋体" w:cs="宋体"/>
                <w:bCs/>
                <w:snapToGrid w:val="0"/>
                <w:color w:val="auto"/>
                <w:szCs w:val="21"/>
              </w:rPr>
            </w:pPr>
          </w:p>
        </w:tc>
        <w:tc>
          <w:tcPr>
            <w:tcW w:w="770" w:type="pct"/>
            <w:tcMar>
              <w:left w:w="0" w:type="dxa"/>
              <w:right w:w="0" w:type="dxa"/>
            </w:tcMar>
            <w:vAlign w:val="center"/>
          </w:tcPr>
          <w:p w14:paraId="73E3E87A">
            <w:pPr>
              <w:adjustRightInd w:val="0"/>
              <w:snapToGrid w:val="0"/>
              <w:spacing w:line="300" w:lineRule="exact"/>
              <w:jc w:val="center"/>
              <w:rPr>
                <w:rFonts w:hint="eastAsia" w:ascii="宋体" w:hAnsi="宋体"/>
                <w:color w:val="auto"/>
                <w:szCs w:val="21"/>
              </w:rPr>
            </w:pPr>
            <w:r>
              <w:rPr>
                <w:rFonts w:hint="eastAsia" w:ascii="宋体" w:hAnsi="宋体"/>
                <w:color w:val="auto"/>
                <w:szCs w:val="21"/>
              </w:rPr>
              <w:t>0.08316</w:t>
            </w:r>
          </w:p>
        </w:tc>
        <w:tc>
          <w:tcPr>
            <w:tcW w:w="837" w:type="pct"/>
            <w:tcMar>
              <w:left w:w="0" w:type="dxa"/>
              <w:right w:w="0" w:type="dxa"/>
            </w:tcMar>
            <w:vAlign w:val="center"/>
          </w:tcPr>
          <w:p w14:paraId="095A8DE7">
            <w:pPr>
              <w:adjustRightInd w:val="0"/>
              <w:snapToGrid w:val="0"/>
              <w:spacing w:line="300" w:lineRule="exact"/>
              <w:jc w:val="center"/>
              <w:rPr>
                <w:rFonts w:hint="eastAsia" w:ascii="宋体" w:hAnsi="宋体"/>
                <w:color w:val="auto"/>
                <w:szCs w:val="21"/>
              </w:rPr>
            </w:pPr>
            <w:r>
              <w:rPr>
                <w:rFonts w:hint="eastAsia" w:ascii="宋体" w:hAnsi="宋体"/>
                <w:color w:val="auto"/>
                <w:szCs w:val="21"/>
              </w:rPr>
              <w:t>120</w:t>
            </w:r>
          </w:p>
        </w:tc>
      </w:tr>
      <w:tr w14:paraId="048501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 w:type="pct"/>
            <w:tcMar>
              <w:left w:w="0" w:type="dxa"/>
              <w:right w:w="0" w:type="dxa"/>
            </w:tcMar>
            <w:vAlign w:val="center"/>
          </w:tcPr>
          <w:p w14:paraId="68FC79E9">
            <w:pPr>
              <w:adjustRightInd w:val="0"/>
              <w:snapToGrid w:val="0"/>
              <w:spacing w:line="300" w:lineRule="exact"/>
              <w:jc w:val="center"/>
              <w:rPr>
                <w:rFonts w:hint="eastAsia" w:ascii="宋体" w:hAnsi="宋体"/>
                <w:color w:val="auto"/>
                <w:szCs w:val="21"/>
              </w:rPr>
            </w:pPr>
            <w:r>
              <w:rPr>
                <w:rFonts w:hint="eastAsia" w:ascii="宋体" w:hAnsi="宋体"/>
                <w:color w:val="auto"/>
                <w:szCs w:val="21"/>
              </w:rPr>
              <w:t>7</w:t>
            </w:r>
          </w:p>
        </w:tc>
        <w:tc>
          <w:tcPr>
            <w:tcW w:w="937" w:type="pct"/>
            <w:vMerge w:val="restart"/>
            <w:vAlign w:val="center"/>
          </w:tcPr>
          <w:p w14:paraId="38DDC745">
            <w:pPr>
              <w:adjustRightInd w:val="0"/>
              <w:snapToGrid w:val="0"/>
              <w:spacing w:line="300" w:lineRule="exact"/>
              <w:jc w:val="center"/>
              <w:rPr>
                <w:rFonts w:hint="eastAsia" w:ascii="宋体" w:hAnsi="宋体"/>
                <w:color w:val="auto"/>
                <w:szCs w:val="21"/>
              </w:rPr>
            </w:pPr>
            <w:r>
              <w:rPr>
                <w:rFonts w:hint="eastAsia" w:ascii="宋体" w:hAnsi="宋体"/>
                <w:color w:val="auto"/>
                <w:szCs w:val="21"/>
              </w:rPr>
              <w:t>莫174H井场燃气发电机</w:t>
            </w:r>
          </w:p>
        </w:tc>
        <w:tc>
          <w:tcPr>
            <w:tcW w:w="405" w:type="pct"/>
            <w:tcMar>
              <w:left w:w="0" w:type="dxa"/>
              <w:right w:w="0" w:type="dxa"/>
            </w:tcMar>
            <w:vAlign w:val="center"/>
          </w:tcPr>
          <w:p w14:paraId="2F3283ED">
            <w:pPr>
              <w:adjustRightInd w:val="0"/>
              <w:snapToGrid w:val="0"/>
              <w:spacing w:line="300" w:lineRule="exact"/>
              <w:jc w:val="center"/>
              <w:rPr>
                <w:rFonts w:hint="eastAsia" w:ascii="宋体" w:hAnsi="宋体"/>
                <w:color w:val="auto"/>
                <w:szCs w:val="21"/>
              </w:rPr>
            </w:pPr>
            <w:r>
              <w:rPr>
                <w:rFonts w:hint="eastAsia"/>
                <w:color w:val="auto"/>
                <w:szCs w:val="18"/>
              </w:rPr>
              <w:t>二氧化硫</w:t>
            </w:r>
          </w:p>
        </w:tc>
        <w:tc>
          <w:tcPr>
            <w:tcW w:w="507" w:type="pct"/>
            <w:tcMar>
              <w:left w:w="0" w:type="dxa"/>
              <w:right w:w="0" w:type="dxa"/>
            </w:tcMar>
            <w:vAlign w:val="center"/>
          </w:tcPr>
          <w:p w14:paraId="3FFBD71E">
            <w:pPr>
              <w:adjustRightInd w:val="0"/>
              <w:snapToGrid w:val="0"/>
              <w:spacing w:line="300" w:lineRule="exact"/>
              <w:jc w:val="center"/>
              <w:rPr>
                <w:rFonts w:hint="eastAsia" w:ascii="宋体" w:hAnsi="宋体"/>
                <w:color w:val="auto"/>
                <w:szCs w:val="21"/>
              </w:rPr>
            </w:pPr>
            <w:r>
              <w:rPr>
                <w:rFonts w:ascii="宋体" w:hAnsi="宋体"/>
                <w:color w:val="auto"/>
                <w:szCs w:val="21"/>
              </w:rPr>
              <w:t>0.05346</w:t>
            </w:r>
          </w:p>
        </w:tc>
        <w:tc>
          <w:tcPr>
            <w:tcW w:w="1317" w:type="pct"/>
            <w:vMerge w:val="continue"/>
            <w:tcMar>
              <w:left w:w="0" w:type="dxa"/>
              <w:right w:w="0" w:type="dxa"/>
            </w:tcMar>
            <w:vAlign w:val="center"/>
          </w:tcPr>
          <w:p w14:paraId="3B786055">
            <w:pPr>
              <w:adjustRightInd w:val="0"/>
              <w:snapToGrid w:val="0"/>
              <w:spacing w:line="300" w:lineRule="exact"/>
              <w:jc w:val="center"/>
              <w:rPr>
                <w:rFonts w:hint="eastAsia" w:ascii="宋体" w:hAnsi="宋体" w:cs="宋体"/>
                <w:bCs/>
                <w:snapToGrid w:val="0"/>
                <w:color w:val="auto"/>
                <w:szCs w:val="21"/>
              </w:rPr>
            </w:pPr>
          </w:p>
        </w:tc>
        <w:tc>
          <w:tcPr>
            <w:tcW w:w="770" w:type="pct"/>
            <w:tcMar>
              <w:left w:w="0" w:type="dxa"/>
              <w:right w:w="0" w:type="dxa"/>
            </w:tcMar>
            <w:vAlign w:val="center"/>
          </w:tcPr>
          <w:p w14:paraId="14146CD5">
            <w:pPr>
              <w:adjustRightInd w:val="0"/>
              <w:snapToGrid w:val="0"/>
              <w:spacing w:line="300" w:lineRule="exact"/>
              <w:jc w:val="center"/>
              <w:rPr>
                <w:rFonts w:hint="eastAsia" w:ascii="宋体" w:hAnsi="宋体"/>
                <w:color w:val="auto"/>
                <w:szCs w:val="21"/>
              </w:rPr>
            </w:pPr>
            <w:r>
              <w:rPr>
                <w:rFonts w:hint="eastAsia" w:ascii="宋体" w:hAnsi="宋体"/>
                <w:color w:val="auto"/>
                <w:szCs w:val="21"/>
              </w:rPr>
              <w:t>0.52272</w:t>
            </w:r>
          </w:p>
        </w:tc>
        <w:tc>
          <w:tcPr>
            <w:tcW w:w="837" w:type="pct"/>
            <w:tcMar>
              <w:left w:w="0" w:type="dxa"/>
              <w:right w:w="0" w:type="dxa"/>
            </w:tcMar>
            <w:vAlign w:val="center"/>
          </w:tcPr>
          <w:p w14:paraId="6E9FD396">
            <w:pPr>
              <w:adjustRightInd w:val="0"/>
              <w:snapToGrid w:val="0"/>
              <w:spacing w:line="300" w:lineRule="exact"/>
              <w:jc w:val="center"/>
              <w:rPr>
                <w:rFonts w:hint="eastAsia" w:ascii="宋体" w:hAnsi="宋体"/>
                <w:color w:val="auto"/>
                <w:szCs w:val="21"/>
              </w:rPr>
            </w:pPr>
            <w:r>
              <w:rPr>
                <w:rFonts w:hint="eastAsia" w:ascii="宋体" w:hAnsi="宋体"/>
                <w:color w:val="auto"/>
                <w:szCs w:val="21"/>
              </w:rPr>
              <w:t>550</w:t>
            </w:r>
          </w:p>
        </w:tc>
      </w:tr>
      <w:tr w14:paraId="262CCC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 w:type="pct"/>
            <w:tcMar>
              <w:left w:w="0" w:type="dxa"/>
              <w:right w:w="0" w:type="dxa"/>
            </w:tcMar>
            <w:vAlign w:val="center"/>
          </w:tcPr>
          <w:p w14:paraId="7DA1F280">
            <w:pPr>
              <w:adjustRightInd w:val="0"/>
              <w:snapToGrid w:val="0"/>
              <w:spacing w:line="300" w:lineRule="exact"/>
              <w:jc w:val="center"/>
              <w:rPr>
                <w:rFonts w:hint="eastAsia" w:ascii="宋体" w:hAnsi="宋体"/>
                <w:color w:val="auto"/>
                <w:szCs w:val="21"/>
              </w:rPr>
            </w:pPr>
            <w:r>
              <w:rPr>
                <w:rFonts w:hint="eastAsia" w:ascii="宋体" w:hAnsi="宋体"/>
                <w:color w:val="auto"/>
                <w:szCs w:val="21"/>
              </w:rPr>
              <w:t>8</w:t>
            </w:r>
          </w:p>
        </w:tc>
        <w:tc>
          <w:tcPr>
            <w:tcW w:w="937" w:type="pct"/>
            <w:vMerge w:val="continue"/>
            <w:vAlign w:val="center"/>
          </w:tcPr>
          <w:p w14:paraId="48E11614">
            <w:pPr>
              <w:adjustRightInd w:val="0"/>
              <w:snapToGrid w:val="0"/>
              <w:spacing w:line="300" w:lineRule="exact"/>
              <w:jc w:val="center"/>
              <w:rPr>
                <w:rFonts w:hint="eastAsia" w:ascii="宋体" w:hAnsi="宋体"/>
                <w:color w:val="auto"/>
                <w:szCs w:val="21"/>
              </w:rPr>
            </w:pPr>
          </w:p>
        </w:tc>
        <w:tc>
          <w:tcPr>
            <w:tcW w:w="405" w:type="pct"/>
            <w:tcMar>
              <w:left w:w="0" w:type="dxa"/>
              <w:right w:w="0" w:type="dxa"/>
            </w:tcMar>
            <w:vAlign w:val="center"/>
          </w:tcPr>
          <w:p w14:paraId="7E18E796">
            <w:pPr>
              <w:adjustRightInd w:val="0"/>
              <w:snapToGrid w:val="0"/>
              <w:spacing w:line="300" w:lineRule="exact"/>
              <w:jc w:val="center"/>
              <w:rPr>
                <w:rFonts w:hint="eastAsia" w:ascii="宋体" w:hAnsi="宋体"/>
                <w:color w:val="auto"/>
                <w:szCs w:val="21"/>
              </w:rPr>
            </w:pPr>
            <w:r>
              <w:rPr>
                <w:rFonts w:hint="eastAsia"/>
                <w:color w:val="auto"/>
                <w:szCs w:val="18"/>
              </w:rPr>
              <w:t>氮氧化物</w:t>
            </w:r>
          </w:p>
        </w:tc>
        <w:tc>
          <w:tcPr>
            <w:tcW w:w="507" w:type="pct"/>
            <w:tcMar>
              <w:left w:w="0" w:type="dxa"/>
              <w:right w:w="0" w:type="dxa"/>
            </w:tcMar>
            <w:vAlign w:val="center"/>
          </w:tcPr>
          <w:p w14:paraId="1C795C08">
            <w:pPr>
              <w:adjustRightInd w:val="0"/>
              <w:snapToGrid w:val="0"/>
              <w:spacing w:line="300" w:lineRule="exact"/>
              <w:jc w:val="center"/>
              <w:rPr>
                <w:rFonts w:hint="eastAsia" w:ascii="宋体" w:hAnsi="宋体"/>
                <w:color w:val="auto"/>
                <w:szCs w:val="21"/>
              </w:rPr>
            </w:pPr>
            <w:r>
              <w:rPr>
                <w:rFonts w:hint="eastAsia" w:ascii="宋体" w:hAnsi="宋体"/>
                <w:color w:val="auto"/>
                <w:szCs w:val="21"/>
              </w:rPr>
              <w:t>0.52272</w:t>
            </w:r>
          </w:p>
        </w:tc>
        <w:tc>
          <w:tcPr>
            <w:tcW w:w="1317" w:type="pct"/>
            <w:vMerge w:val="continue"/>
            <w:tcMar>
              <w:left w:w="0" w:type="dxa"/>
              <w:right w:w="0" w:type="dxa"/>
            </w:tcMar>
            <w:vAlign w:val="center"/>
          </w:tcPr>
          <w:p w14:paraId="76CC602A">
            <w:pPr>
              <w:adjustRightInd w:val="0"/>
              <w:snapToGrid w:val="0"/>
              <w:spacing w:line="300" w:lineRule="exact"/>
              <w:jc w:val="center"/>
              <w:rPr>
                <w:rFonts w:hint="eastAsia" w:ascii="宋体" w:hAnsi="宋体" w:cs="宋体"/>
                <w:bCs/>
                <w:snapToGrid w:val="0"/>
                <w:color w:val="auto"/>
                <w:szCs w:val="21"/>
              </w:rPr>
            </w:pPr>
          </w:p>
        </w:tc>
        <w:tc>
          <w:tcPr>
            <w:tcW w:w="770" w:type="pct"/>
            <w:tcMar>
              <w:left w:w="0" w:type="dxa"/>
              <w:right w:w="0" w:type="dxa"/>
            </w:tcMar>
            <w:vAlign w:val="center"/>
          </w:tcPr>
          <w:p w14:paraId="1992337B">
            <w:pPr>
              <w:adjustRightInd w:val="0"/>
              <w:snapToGrid w:val="0"/>
              <w:spacing w:line="300" w:lineRule="exact"/>
              <w:jc w:val="center"/>
              <w:rPr>
                <w:rFonts w:hint="eastAsia" w:ascii="宋体" w:hAnsi="宋体"/>
                <w:color w:val="auto"/>
                <w:szCs w:val="21"/>
              </w:rPr>
            </w:pPr>
            <w:r>
              <w:rPr>
                <w:rFonts w:hint="eastAsia" w:ascii="宋体" w:hAnsi="宋体"/>
                <w:color w:val="auto"/>
                <w:szCs w:val="21"/>
              </w:rPr>
              <w:t>0.10692</w:t>
            </w:r>
          </w:p>
        </w:tc>
        <w:tc>
          <w:tcPr>
            <w:tcW w:w="837" w:type="pct"/>
            <w:tcMar>
              <w:left w:w="0" w:type="dxa"/>
              <w:right w:w="0" w:type="dxa"/>
            </w:tcMar>
            <w:vAlign w:val="center"/>
          </w:tcPr>
          <w:p w14:paraId="18CDB1DB">
            <w:pPr>
              <w:adjustRightInd w:val="0"/>
              <w:snapToGrid w:val="0"/>
              <w:spacing w:line="300" w:lineRule="exact"/>
              <w:jc w:val="center"/>
              <w:rPr>
                <w:rFonts w:hint="eastAsia" w:ascii="宋体" w:hAnsi="宋体"/>
                <w:color w:val="auto"/>
                <w:szCs w:val="21"/>
              </w:rPr>
            </w:pPr>
            <w:r>
              <w:rPr>
                <w:rFonts w:hint="eastAsia" w:ascii="宋体" w:hAnsi="宋体"/>
                <w:color w:val="auto"/>
                <w:szCs w:val="21"/>
              </w:rPr>
              <w:t>240</w:t>
            </w:r>
          </w:p>
        </w:tc>
      </w:tr>
      <w:tr w14:paraId="6B15EC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 w:type="pct"/>
            <w:tcMar>
              <w:left w:w="0" w:type="dxa"/>
              <w:right w:w="0" w:type="dxa"/>
            </w:tcMar>
            <w:vAlign w:val="center"/>
          </w:tcPr>
          <w:p w14:paraId="1FB09E62">
            <w:pPr>
              <w:adjustRightInd w:val="0"/>
              <w:snapToGrid w:val="0"/>
              <w:spacing w:line="300" w:lineRule="exact"/>
              <w:jc w:val="center"/>
              <w:rPr>
                <w:rFonts w:hint="eastAsia" w:ascii="宋体" w:hAnsi="宋体"/>
                <w:color w:val="auto"/>
                <w:szCs w:val="21"/>
              </w:rPr>
            </w:pPr>
            <w:r>
              <w:rPr>
                <w:rFonts w:hint="eastAsia" w:ascii="宋体" w:hAnsi="宋体"/>
                <w:color w:val="auto"/>
                <w:szCs w:val="21"/>
              </w:rPr>
              <w:t>9</w:t>
            </w:r>
          </w:p>
        </w:tc>
        <w:tc>
          <w:tcPr>
            <w:tcW w:w="937" w:type="pct"/>
            <w:vMerge w:val="continue"/>
            <w:vAlign w:val="center"/>
          </w:tcPr>
          <w:p w14:paraId="55B8E8EC">
            <w:pPr>
              <w:adjustRightInd w:val="0"/>
              <w:snapToGrid w:val="0"/>
              <w:spacing w:line="300" w:lineRule="exact"/>
              <w:jc w:val="center"/>
              <w:rPr>
                <w:rFonts w:hint="eastAsia" w:ascii="宋体" w:hAnsi="宋体"/>
                <w:color w:val="auto"/>
                <w:szCs w:val="21"/>
              </w:rPr>
            </w:pPr>
          </w:p>
        </w:tc>
        <w:tc>
          <w:tcPr>
            <w:tcW w:w="405" w:type="pct"/>
            <w:tcMar>
              <w:left w:w="0" w:type="dxa"/>
              <w:right w:w="0" w:type="dxa"/>
            </w:tcMar>
            <w:vAlign w:val="center"/>
          </w:tcPr>
          <w:p w14:paraId="31CC7EFA">
            <w:pPr>
              <w:adjustRightInd w:val="0"/>
              <w:snapToGrid w:val="0"/>
              <w:spacing w:line="300" w:lineRule="exact"/>
              <w:jc w:val="center"/>
              <w:rPr>
                <w:rFonts w:hint="eastAsia" w:ascii="宋体" w:hAnsi="宋体"/>
                <w:color w:val="auto"/>
                <w:szCs w:val="21"/>
              </w:rPr>
            </w:pPr>
            <w:r>
              <w:rPr>
                <w:rFonts w:hint="eastAsia"/>
                <w:color w:val="auto"/>
                <w:szCs w:val="18"/>
              </w:rPr>
              <w:t>颗粒物</w:t>
            </w:r>
          </w:p>
        </w:tc>
        <w:tc>
          <w:tcPr>
            <w:tcW w:w="507" w:type="pct"/>
            <w:tcMar>
              <w:left w:w="0" w:type="dxa"/>
              <w:right w:w="0" w:type="dxa"/>
            </w:tcMar>
            <w:vAlign w:val="center"/>
          </w:tcPr>
          <w:p w14:paraId="0D2FFD1D">
            <w:pPr>
              <w:adjustRightInd w:val="0"/>
              <w:snapToGrid w:val="0"/>
              <w:spacing w:line="300" w:lineRule="exact"/>
              <w:jc w:val="center"/>
              <w:rPr>
                <w:rFonts w:hint="eastAsia" w:ascii="宋体" w:hAnsi="宋体"/>
                <w:color w:val="auto"/>
                <w:szCs w:val="21"/>
              </w:rPr>
            </w:pPr>
            <w:r>
              <w:rPr>
                <w:rFonts w:hint="eastAsia" w:ascii="宋体" w:hAnsi="宋体"/>
                <w:color w:val="auto"/>
                <w:szCs w:val="21"/>
              </w:rPr>
              <w:t>0.04158</w:t>
            </w:r>
          </w:p>
        </w:tc>
        <w:tc>
          <w:tcPr>
            <w:tcW w:w="1317" w:type="pct"/>
            <w:vMerge w:val="continue"/>
            <w:tcMar>
              <w:left w:w="0" w:type="dxa"/>
              <w:right w:w="0" w:type="dxa"/>
            </w:tcMar>
            <w:vAlign w:val="center"/>
          </w:tcPr>
          <w:p w14:paraId="050DEF2C">
            <w:pPr>
              <w:adjustRightInd w:val="0"/>
              <w:snapToGrid w:val="0"/>
              <w:spacing w:line="300" w:lineRule="exact"/>
              <w:jc w:val="center"/>
              <w:rPr>
                <w:rFonts w:hint="eastAsia" w:ascii="宋体" w:hAnsi="宋体" w:cs="宋体"/>
                <w:bCs/>
                <w:snapToGrid w:val="0"/>
                <w:color w:val="auto"/>
                <w:szCs w:val="21"/>
              </w:rPr>
            </w:pPr>
          </w:p>
        </w:tc>
        <w:tc>
          <w:tcPr>
            <w:tcW w:w="770" w:type="pct"/>
            <w:tcMar>
              <w:left w:w="0" w:type="dxa"/>
              <w:right w:w="0" w:type="dxa"/>
            </w:tcMar>
            <w:vAlign w:val="center"/>
          </w:tcPr>
          <w:p w14:paraId="029D0FDA">
            <w:pPr>
              <w:adjustRightInd w:val="0"/>
              <w:snapToGrid w:val="0"/>
              <w:spacing w:line="300" w:lineRule="exact"/>
              <w:jc w:val="center"/>
              <w:rPr>
                <w:rFonts w:hint="eastAsia" w:ascii="宋体" w:hAnsi="宋体"/>
                <w:color w:val="auto"/>
                <w:szCs w:val="21"/>
              </w:rPr>
            </w:pPr>
            <w:r>
              <w:rPr>
                <w:rFonts w:hint="eastAsia" w:ascii="宋体" w:hAnsi="宋体"/>
                <w:color w:val="auto"/>
                <w:szCs w:val="21"/>
              </w:rPr>
              <w:t>0.04158</w:t>
            </w:r>
          </w:p>
        </w:tc>
        <w:tc>
          <w:tcPr>
            <w:tcW w:w="837" w:type="pct"/>
            <w:tcMar>
              <w:left w:w="0" w:type="dxa"/>
              <w:right w:w="0" w:type="dxa"/>
            </w:tcMar>
            <w:vAlign w:val="center"/>
          </w:tcPr>
          <w:p w14:paraId="5E75DFC2">
            <w:pPr>
              <w:adjustRightInd w:val="0"/>
              <w:snapToGrid w:val="0"/>
              <w:spacing w:line="300" w:lineRule="exact"/>
              <w:jc w:val="center"/>
              <w:rPr>
                <w:rFonts w:hint="eastAsia" w:ascii="宋体" w:hAnsi="宋体"/>
                <w:color w:val="auto"/>
                <w:szCs w:val="21"/>
              </w:rPr>
            </w:pPr>
            <w:r>
              <w:rPr>
                <w:rFonts w:hint="eastAsia" w:ascii="宋体" w:hAnsi="宋体"/>
                <w:color w:val="auto"/>
                <w:szCs w:val="21"/>
              </w:rPr>
              <w:t>120</w:t>
            </w:r>
          </w:p>
        </w:tc>
      </w:tr>
      <w:bookmarkEnd w:id="944"/>
    </w:tbl>
    <w:p w14:paraId="432C035E">
      <w:pPr>
        <w:pStyle w:val="15"/>
        <w:rPr>
          <w:rFonts w:hint="eastAsia"/>
          <w:color w:val="auto"/>
        </w:rPr>
      </w:pPr>
      <w:r>
        <w:rPr>
          <w:rFonts w:hint="eastAsia"/>
          <w:color w:val="auto"/>
        </w:rPr>
        <w:t>表</w:t>
      </w:r>
      <w:r>
        <w:rPr>
          <w:color w:val="auto"/>
        </w:rPr>
        <w:t>7</w:t>
      </w:r>
      <w:r>
        <w:rPr>
          <w:rFonts w:hint="eastAsia"/>
          <w:color w:val="auto"/>
        </w:rPr>
        <w:t>.3-2</w:t>
      </w:r>
      <w:r>
        <w:rPr>
          <w:color w:val="auto"/>
        </w:rPr>
        <w:t xml:space="preserve">  </w:t>
      </w:r>
      <w:r>
        <w:rPr>
          <w:rFonts w:hint="eastAsia"/>
          <w:color w:val="auto"/>
        </w:rPr>
        <w:t>噪声、废水及固废等污染物排放清单</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2391"/>
        <w:gridCol w:w="4462"/>
        <w:gridCol w:w="1871"/>
        <w:gridCol w:w="2736"/>
        <w:gridCol w:w="1982"/>
      </w:tblGrid>
      <w:tr w14:paraId="643A5C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14" w:type="pct"/>
            <w:gridSpan w:val="2"/>
            <w:vAlign w:val="center"/>
          </w:tcPr>
          <w:p w14:paraId="0A8A1261">
            <w:pPr>
              <w:pStyle w:val="288"/>
              <w:adjustRightInd w:val="0"/>
              <w:snapToGrid w:val="0"/>
              <w:spacing w:line="300" w:lineRule="exact"/>
              <w:rPr>
                <w:rFonts w:hint="eastAsia" w:eastAsia="宋体"/>
                <w:color w:val="auto"/>
              </w:rPr>
            </w:pPr>
            <w:bookmarkStart w:id="945" w:name="OLE_LINK91"/>
            <w:r>
              <w:rPr>
                <w:rFonts w:hint="eastAsia" w:eastAsia="宋体"/>
                <w:color w:val="auto"/>
              </w:rPr>
              <w:t>类别</w:t>
            </w:r>
          </w:p>
        </w:tc>
        <w:tc>
          <w:tcPr>
            <w:tcW w:w="1569" w:type="pct"/>
            <w:vAlign w:val="center"/>
          </w:tcPr>
          <w:p w14:paraId="6DEFD5EC">
            <w:pPr>
              <w:pStyle w:val="288"/>
              <w:adjustRightInd w:val="0"/>
              <w:snapToGrid w:val="0"/>
              <w:spacing w:line="300" w:lineRule="exact"/>
              <w:rPr>
                <w:rFonts w:hint="eastAsia" w:eastAsia="宋体"/>
                <w:color w:val="auto"/>
              </w:rPr>
            </w:pPr>
            <w:r>
              <w:rPr>
                <w:rFonts w:hint="eastAsia" w:eastAsia="宋体"/>
                <w:color w:val="auto"/>
              </w:rPr>
              <w:t>环保措施</w:t>
            </w:r>
          </w:p>
        </w:tc>
        <w:tc>
          <w:tcPr>
            <w:tcW w:w="658" w:type="pct"/>
            <w:vAlign w:val="center"/>
          </w:tcPr>
          <w:p w14:paraId="24EEB1E7">
            <w:pPr>
              <w:pStyle w:val="288"/>
              <w:adjustRightInd w:val="0"/>
              <w:snapToGrid w:val="0"/>
              <w:spacing w:line="300" w:lineRule="exact"/>
              <w:rPr>
                <w:rFonts w:hint="eastAsia" w:eastAsia="宋体"/>
                <w:color w:val="auto"/>
              </w:rPr>
            </w:pPr>
            <w:r>
              <w:rPr>
                <w:rFonts w:hint="eastAsia" w:eastAsia="宋体"/>
                <w:color w:val="auto"/>
              </w:rPr>
              <w:t>运行参数</w:t>
            </w:r>
          </w:p>
        </w:tc>
        <w:tc>
          <w:tcPr>
            <w:tcW w:w="962" w:type="pct"/>
            <w:vAlign w:val="center"/>
          </w:tcPr>
          <w:p w14:paraId="742BA56F">
            <w:pPr>
              <w:pStyle w:val="288"/>
              <w:adjustRightInd w:val="0"/>
              <w:snapToGrid w:val="0"/>
              <w:spacing w:line="300" w:lineRule="exact"/>
              <w:rPr>
                <w:rFonts w:hint="eastAsia" w:eastAsia="宋体"/>
                <w:color w:val="auto"/>
              </w:rPr>
            </w:pPr>
            <w:r>
              <w:rPr>
                <w:rFonts w:hint="eastAsia" w:eastAsia="宋体"/>
                <w:color w:val="auto"/>
              </w:rPr>
              <w:t>污染物种类</w:t>
            </w:r>
          </w:p>
        </w:tc>
        <w:tc>
          <w:tcPr>
            <w:tcW w:w="697" w:type="pct"/>
            <w:vAlign w:val="center"/>
          </w:tcPr>
          <w:p w14:paraId="49768E35">
            <w:pPr>
              <w:pStyle w:val="288"/>
              <w:adjustRightInd w:val="0"/>
              <w:snapToGrid w:val="0"/>
              <w:spacing w:line="300" w:lineRule="exact"/>
              <w:rPr>
                <w:rFonts w:hint="eastAsia" w:eastAsia="宋体"/>
                <w:color w:val="auto"/>
              </w:rPr>
            </w:pPr>
            <w:r>
              <w:rPr>
                <w:rFonts w:hint="eastAsia" w:eastAsia="宋体"/>
                <w:color w:val="auto"/>
              </w:rPr>
              <w:t>排放标准</w:t>
            </w:r>
          </w:p>
        </w:tc>
      </w:tr>
      <w:tr w14:paraId="0F4878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3" w:type="pct"/>
            <w:vAlign w:val="center"/>
          </w:tcPr>
          <w:p w14:paraId="2E0AAEA2">
            <w:pPr>
              <w:pStyle w:val="288"/>
              <w:adjustRightInd w:val="0"/>
              <w:snapToGrid w:val="0"/>
              <w:spacing w:line="300" w:lineRule="exact"/>
              <w:rPr>
                <w:rFonts w:hint="eastAsia" w:eastAsia="宋体"/>
                <w:color w:val="auto"/>
              </w:rPr>
            </w:pPr>
            <w:r>
              <w:rPr>
                <w:rFonts w:eastAsia="宋体"/>
                <w:color w:val="auto"/>
              </w:rPr>
              <w:t>噪声</w:t>
            </w:r>
          </w:p>
        </w:tc>
        <w:tc>
          <w:tcPr>
            <w:tcW w:w="841" w:type="pct"/>
            <w:vAlign w:val="center"/>
          </w:tcPr>
          <w:p w14:paraId="6ADA56D7">
            <w:pPr>
              <w:pStyle w:val="288"/>
              <w:adjustRightInd w:val="0"/>
              <w:snapToGrid w:val="0"/>
              <w:spacing w:line="300" w:lineRule="exact"/>
              <w:rPr>
                <w:rFonts w:hint="eastAsia" w:eastAsia="宋体"/>
                <w:color w:val="auto"/>
              </w:rPr>
            </w:pPr>
            <w:r>
              <w:rPr>
                <w:rFonts w:eastAsia="宋体"/>
                <w:color w:val="auto"/>
              </w:rPr>
              <w:t>设备噪声</w:t>
            </w:r>
          </w:p>
        </w:tc>
        <w:tc>
          <w:tcPr>
            <w:tcW w:w="1569" w:type="pct"/>
            <w:vAlign w:val="center"/>
          </w:tcPr>
          <w:p w14:paraId="554255B7">
            <w:pPr>
              <w:pStyle w:val="288"/>
              <w:adjustRightInd w:val="0"/>
              <w:snapToGrid w:val="0"/>
              <w:spacing w:line="300" w:lineRule="exact"/>
              <w:rPr>
                <w:rFonts w:hint="eastAsia" w:eastAsia="宋体"/>
                <w:color w:val="auto"/>
              </w:rPr>
            </w:pPr>
            <w:r>
              <w:rPr>
                <w:rFonts w:eastAsia="宋体"/>
                <w:color w:val="auto"/>
              </w:rPr>
              <w:t>选用低噪声设备+</w:t>
            </w:r>
            <w:r>
              <w:rPr>
                <w:rFonts w:hint="eastAsia" w:eastAsia="宋体"/>
                <w:color w:val="auto"/>
              </w:rPr>
              <w:t>加防振垫</w:t>
            </w:r>
            <w:r>
              <w:rPr>
                <w:rFonts w:eastAsia="宋体"/>
                <w:color w:val="auto"/>
              </w:rPr>
              <w:t>+基础减振等</w:t>
            </w:r>
          </w:p>
        </w:tc>
        <w:tc>
          <w:tcPr>
            <w:tcW w:w="658" w:type="pct"/>
            <w:vAlign w:val="center"/>
          </w:tcPr>
          <w:p w14:paraId="6CDF1EA0">
            <w:pPr>
              <w:pStyle w:val="288"/>
              <w:adjustRightInd w:val="0"/>
              <w:snapToGrid w:val="0"/>
              <w:spacing w:line="300" w:lineRule="exact"/>
              <w:rPr>
                <w:rFonts w:hint="eastAsia" w:eastAsia="宋体"/>
                <w:color w:val="auto"/>
              </w:rPr>
            </w:pPr>
            <w:r>
              <w:rPr>
                <w:rFonts w:eastAsia="宋体"/>
                <w:color w:val="auto"/>
              </w:rPr>
              <w:t>85</w:t>
            </w:r>
            <w:r>
              <w:rPr>
                <w:rFonts w:hint="eastAsia" w:eastAsia="宋体"/>
                <w:color w:val="auto"/>
              </w:rPr>
              <w:t>～</w:t>
            </w:r>
            <w:r>
              <w:rPr>
                <w:rFonts w:eastAsia="宋体"/>
                <w:color w:val="auto"/>
              </w:rPr>
              <w:t>9</w:t>
            </w:r>
            <w:r>
              <w:rPr>
                <w:rFonts w:hint="eastAsia" w:eastAsia="宋体"/>
                <w:color w:val="auto"/>
              </w:rPr>
              <w:t>0</w:t>
            </w:r>
            <w:r>
              <w:rPr>
                <w:rFonts w:eastAsia="宋体"/>
                <w:color w:val="auto"/>
              </w:rPr>
              <w:t>dB</w:t>
            </w:r>
            <w:r>
              <w:rPr>
                <w:rFonts w:hint="eastAsia" w:eastAsia="宋体"/>
                <w:color w:val="auto"/>
              </w:rPr>
              <w:t>(</w:t>
            </w:r>
            <w:r>
              <w:rPr>
                <w:rFonts w:eastAsia="宋体"/>
                <w:color w:val="auto"/>
              </w:rPr>
              <w:t>A</w:t>
            </w:r>
            <w:r>
              <w:rPr>
                <w:rFonts w:hint="eastAsia" w:eastAsia="宋体"/>
                <w:color w:val="auto"/>
              </w:rPr>
              <w:t>)</w:t>
            </w:r>
          </w:p>
        </w:tc>
        <w:tc>
          <w:tcPr>
            <w:tcW w:w="962" w:type="pct"/>
            <w:vAlign w:val="center"/>
          </w:tcPr>
          <w:p w14:paraId="46A6D576">
            <w:pPr>
              <w:pStyle w:val="288"/>
              <w:adjustRightInd w:val="0"/>
              <w:snapToGrid w:val="0"/>
              <w:spacing w:line="300" w:lineRule="exact"/>
              <w:rPr>
                <w:rFonts w:hint="eastAsia" w:eastAsia="宋体"/>
                <w:color w:val="auto"/>
              </w:rPr>
            </w:pPr>
            <w:r>
              <w:rPr>
                <w:rFonts w:hint="eastAsia" w:eastAsia="宋体"/>
                <w:color w:val="auto"/>
              </w:rPr>
              <w:t>噪声</w:t>
            </w:r>
          </w:p>
        </w:tc>
        <w:tc>
          <w:tcPr>
            <w:tcW w:w="697" w:type="pct"/>
            <w:vAlign w:val="center"/>
          </w:tcPr>
          <w:p w14:paraId="0957FB18">
            <w:pPr>
              <w:pStyle w:val="288"/>
              <w:adjustRightInd w:val="0"/>
              <w:snapToGrid w:val="0"/>
              <w:spacing w:line="300" w:lineRule="exact"/>
              <w:rPr>
                <w:rFonts w:hint="eastAsia" w:eastAsia="宋体"/>
                <w:color w:val="auto"/>
              </w:rPr>
            </w:pPr>
            <w:r>
              <w:rPr>
                <w:rFonts w:eastAsia="宋体"/>
                <w:color w:val="auto"/>
              </w:rPr>
              <w:t>昼60dB（A</w:t>
            </w:r>
            <w:r>
              <w:rPr>
                <w:rFonts w:hint="eastAsia" w:eastAsia="宋体"/>
                <w:color w:val="auto"/>
              </w:rPr>
              <w:t>）、</w:t>
            </w:r>
            <w:r>
              <w:rPr>
                <w:rFonts w:eastAsia="宋体"/>
                <w:color w:val="auto"/>
              </w:rPr>
              <w:t>夜50dB（A</w:t>
            </w:r>
            <w:r>
              <w:rPr>
                <w:rFonts w:hint="eastAsia" w:eastAsia="宋体"/>
                <w:color w:val="auto"/>
              </w:rPr>
              <w:t>）</w:t>
            </w:r>
          </w:p>
        </w:tc>
      </w:tr>
      <w:tr w14:paraId="3AA598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3" w:type="pct"/>
            <w:vMerge w:val="restart"/>
            <w:vAlign w:val="center"/>
          </w:tcPr>
          <w:p w14:paraId="6A40A39E">
            <w:pPr>
              <w:pStyle w:val="288"/>
              <w:adjustRightInd w:val="0"/>
              <w:snapToGrid w:val="0"/>
              <w:spacing w:line="300" w:lineRule="exact"/>
              <w:rPr>
                <w:rFonts w:hint="eastAsia" w:eastAsia="宋体"/>
                <w:color w:val="auto"/>
              </w:rPr>
            </w:pPr>
            <w:r>
              <w:rPr>
                <w:rFonts w:hint="eastAsia" w:eastAsia="宋体"/>
                <w:color w:val="auto"/>
              </w:rPr>
              <w:t>废水</w:t>
            </w:r>
          </w:p>
        </w:tc>
        <w:tc>
          <w:tcPr>
            <w:tcW w:w="841" w:type="pct"/>
            <w:vAlign w:val="center"/>
          </w:tcPr>
          <w:p w14:paraId="4CD1E32D">
            <w:pPr>
              <w:pStyle w:val="288"/>
              <w:adjustRightInd w:val="0"/>
              <w:snapToGrid w:val="0"/>
              <w:spacing w:line="300" w:lineRule="exact"/>
              <w:rPr>
                <w:rFonts w:hint="eastAsia" w:eastAsia="宋体"/>
                <w:color w:val="auto"/>
              </w:rPr>
            </w:pPr>
            <w:r>
              <w:rPr>
                <w:rFonts w:hint="eastAsia" w:eastAsia="宋体" w:cs="Arial"/>
                <w:color w:val="auto"/>
              </w:rPr>
              <w:t>压裂返排液</w:t>
            </w:r>
          </w:p>
        </w:tc>
        <w:tc>
          <w:tcPr>
            <w:tcW w:w="1569" w:type="pct"/>
            <w:vMerge w:val="restart"/>
            <w:vAlign w:val="center"/>
          </w:tcPr>
          <w:p w14:paraId="2B051C13">
            <w:pPr>
              <w:pStyle w:val="288"/>
              <w:adjustRightInd w:val="0"/>
              <w:snapToGrid w:val="0"/>
              <w:spacing w:line="300" w:lineRule="exact"/>
              <w:rPr>
                <w:rFonts w:hint="eastAsia" w:eastAsia="宋体"/>
                <w:color w:val="auto"/>
              </w:rPr>
            </w:pPr>
            <w:r>
              <w:rPr>
                <w:rFonts w:hint="eastAsia" w:eastAsia="宋体" w:cs="Arial"/>
                <w:color w:val="auto"/>
              </w:rPr>
              <w:t>送至莫北转油站采出水处理系统处理</w:t>
            </w:r>
          </w:p>
        </w:tc>
        <w:tc>
          <w:tcPr>
            <w:tcW w:w="658" w:type="pct"/>
            <w:vAlign w:val="center"/>
          </w:tcPr>
          <w:p w14:paraId="7E12DFDD">
            <w:pPr>
              <w:pStyle w:val="288"/>
              <w:adjustRightInd w:val="0"/>
              <w:snapToGrid w:val="0"/>
              <w:spacing w:line="300" w:lineRule="exact"/>
              <w:rPr>
                <w:rFonts w:hint="eastAsia" w:eastAsia="宋体"/>
                <w:color w:val="auto"/>
              </w:rPr>
            </w:pPr>
            <w:r>
              <w:rPr>
                <w:rFonts w:hint="eastAsia" w:eastAsia="宋体" w:cs="宋体"/>
                <w:color w:val="auto"/>
              </w:rPr>
              <w:t>527.96m</w:t>
            </w:r>
            <w:r>
              <w:rPr>
                <w:rFonts w:hint="eastAsia" w:eastAsia="宋体" w:cs="宋体"/>
                <w:color w:val="auto"/>
                <w:vertAlign w:val="superscript"/>
              </w:rPr>
              <w:t>3</w:t>
            </w:r>
            <w:r>
              <w:rPr>
                <w:rFonts w:hint="eastAsia" w:eastAsia="宋体" w:cs="宋体"/>
                <w:color w:val="auto"/>
              </w:rPr>
              <w:t>/a</w:t>
            </w:r>
          </w:p>
        </w:tc>
        <w:tc>
          <w:tcPr>
            <w:tcW w:w="962" w:type="pct"/>
            <w:vAlign w:val="center"/>
          </w:tcPr>
          <w:p w14:paraId="35230EC2">
            <w:pPr>
              <w:pStyle w:val="288"/>
              <w:adjustRightInd w:val="0"/>
              <w:snapToGrid w:val="0"/>
              <w:spacing w:line="300" w:lineRule="exact"/>
              <w:rPr>
                <w:rFonts w:hint="eastAsia" w:eastAsia="宋体"/>
                <w:color w:val="auto"/>
              </w:rPr>
            </w:pPr>
            <w:r>
              <w:rPr>
                <w:rFonts w:hint="eastAsia" w:eastAsia="宋体"/>
                <w:color w:val="auto"/>
              </w:rPr>
              <w:t>石油类</w:t>
            </w:r>
          </w:p>
        </w:tc>
        <w:tc>
          <w:tcPr>
            <w:tcW w:w="697" w:type="pct"/>
            <w:vAlign w:val="center"/>
          </w:tcPr>
          <w:p w14:paraId="1CF9EA7E">
            <w:pPr>
              <w:pStyle w:val="288"/>
              <w:adjustRightInd w:val="0"/>
              <w:snapToGrid w:val="0"/>
              <w:spacing w:line="300" w:lineRule="exact"/>
              <w:rPr>
                <w:rFonts w:hint="eastAsia" w:eastAsia="宋体"/>
                <w:color w:val="auto"/>
              </w:rPr>
            </w:pPr>
            <w:r>
              <w:rPr>
                <w:rFonts w:eastAsia="宋体"/>
                <w:color w:val="auto"/>
              </w:rPr>
              <w:t>/</w:t>
            </w:r>
          </w:p>
        </w:tc>
      </w:tr>
      <w:tr w14:paraId="0042AC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3" w:type="pct"/>
            <w:vMerge w:val="continue"/>
            <w:vAlign w:val="center"/>
          </w:tcPr>
          <w:p w14:paraId="7DCDA23D">
            <w:pPr>
              <w:pStyle w:val="288"/>
              <w:adjustRightInd w:val="0"/>
              <w:snapToGrid w:val="0"/>
              <w:spacing w:line="300" w:lineRule="exact"/>
              <w:rPr>
                <w:rFonts w:hint="eastAsia" w:eastAsia="宋体"/>
                <w:color w:val="auto"/>
              </w:rPr>
            </w:pPr>
          </w:p>
        </w:tc>
        <w:tc>
          <w:tcPr>
            <w:tcW w:w="841" w:type="pct"/>
            <w:vAlign w:val="center"/>
          </w:tcPr>
          <w:p w14:paraId="54D5EEB4">
            <w:pPr>
              <w:pStyle w:val="288"/>
              <w:adjustRightInd w:val="0"/>
              <w:snapToGrid w:val="0"/>
              <w:spacing w:line="300" w:lineRule="exact"/>
              <w:rPr>
                <w:rFonts w:hint="eastAsia" w:eastAsia="宋体"/>
                <w:color w:val="auto"/>
              </w:rPr>
            </w:pPr>
            <w:r>
              <w:rPr>
                <w:rFonts w:hint="eastAsia" w:eastAsia="宋体"/>
                <w:color w:val="auto"/>
              </w:rPr>
              <w:t>废洗井液</w:t>
            </w:r>
          </w:p>
        </w:tc>
        <w:tc>
          <w:tcPr>
            <w:tcW w:w="1569" w:type="pct"/>
            <w:vMerge w:val="continue"/>
            <w:vAlign w:val="center"/>
          </w:tcPr>
          <w:p w14:paraId="2E3342A3">
            <w:pPr>
              <w:pStyle w:val="288"/>
              <w:adjustRightInd w:val="0"/>
              <w:snapToGrid w:val="0"/>
              <w:spacing w:line="300" w:lineRule="exact"/>
              <w:rPr>
                <w:rFonts w:hint="eastAsia" w:eastAsia="宋体" w:cs="Arial"/>
                <w:color w:val="auto"/>
              </w:rPr>
            </w:pPr>
          </w:p>
        </w:tc>
        <w:tc>
          <w:tcPr>
            <w:tcW w:w="658" w:type="pct"/>
            <w:vAlign w:val="center"/>
          </w:tcPr>
          <w:p w14:paraId="7F90397C">
            <w:pPr>
              <w:pStyle w:val="288"/>
              <w:adjustRightInd w:val="0"/>
              <w:snapToGrid w:val="0"/>
              <w:spacing w:line="300" w:lineRule="exact"/>
              <w:rPr>
                <w:rFonts w:hint="eastAsia" w:eastAsia="宋体" w:cs="宋体"/>
                <w:color w:val="auto"/>
              </w:rPr>
            </w:pPr>
            <w:r>
              <w:rPr>
                <w:rFonts w:hint="eastAsia" w:eastAsia="宋体" w:cs="宋体"/>
                <w:color w:val="auto"/>
              </w:rPr>
              <w:t>50.58m</w:t>
            </w:r>
            <w:r>
              <w:rPr>
                <w:rFonts w:hint="eastAsia" w:eastAsia="宋体" w:cs="宋体"/>
                <w:color w:val="auto"/>
                <w:vertAlign w:val="superscript"/>
              </w:rPr>
              <w:t>3</w:t>
            </w:r>
            <w:r>
              <w:rPr>
                <w:rFonts w:hint="eastAsia" w:eastAsia="宋体" w:cs="宋体"/>
                <w:color w:val="auto"/>
              </w:rPr>
              <w:t>/a</w:t>
            </w:r>
          </w:p>
        </w:tc>
        <w:tc>
          <w:tcPr>
            <w:tcW w:w="962" w:type="pct"/>
            <w:vAlign w:val="center"/>
          </w:tcPr>
          <w:p w14:paraId="5AFA34D2">
            <w:pPr>
              <w:pStyle w:val="288"/>
              <w:adjustRightInd w:val="0"/>
              <w:snapToGrid w:val="0"/>
              <w:spacing w:line="300" w:lineRule="exact"/>
              <w:rPr>
                <w:rFonts w:hint="eastAsia" w:eastAsia="宋体"/>
                <w:color w:val="auto"/>
              </w:rPr>
            </w:pPr>
            <w:r>
              <w:rPr>
                <w:rFonts w:hint="eastAsia" w:eastAsia="宋体"/>
                <w:color w:val="auto"/>
              </w:rPr>
              <w:t>石油类</w:t>
            </w:r>
          </w:p>
        </w:tc>
        <w:tc>
          <w:tcPr>
            <w:tcW w:w="697" w:type="pct"/>
          </w:tcPr>
          <w:p w14:paraId="4BC92FFC">
            <w:pPr>
              <w:pStyle w:val="288"/>
              <w:adjustRightInd w:val="0"/>
              <w:snapToGrid w:val="0"/>
              <w:spacing w:line="300" w:lineRule="exact"/>
              <w:rPr>
                <w:rFonts w:hint="eastAsia" w:eastAsia="宋体"/>
                <w:color w:val="auto"/>
              </w:rPr>
            </w:pPr>
            <w:r>
              <w:rPr>
                <w:rFonts w:eastAsia="宋体"/>
                <w:color w:val="auto"/>
              </w:rPr>
              <w:t>/</w:t>
            </w:r>
          </w:p>
        </w:tc>
      </w:tr>
      <w:tr w14:paraId="37C570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3" w:type="pct"/>
            <w:vMerge w:val="continue"/>
            <w:vAlign w:val="center"/>
          </w:tcPr>
          <w:p w14:paraId="18D77EC1">
            <w:pPr>
              <w:pStyle w:val="288"/>
              <w:adjustRightInd w:val="0"/>
              <w:snapToGrid w:val="0"/>
              <w:spacing w:line="300" w:lineRule="exact"/>
              <w:rPr>
                <w:rFonts w:hint="eastAsia" w:eastAsia="宋体"/>
                <w:color w:val="auto"/>
              </w:rPr>
            </w:pPr>
          </w:p>
        </w:tc>
        <w:tc>
          <w:tcPr>
            <w:tcW w:w="841" w:type="pct"/>
            <w:vAlign w:val="center"/>
          </w:tcPr>
          <w:p w14:paraId="1E26619F">
            <w:pPr>
              <w:pStyle w:val="288"/>
              <w:adjustRightInd w:val="0"/>
              <w:snapToGrid w:val="0"/>
              <w:spacing w:line="300" w:lineRule="exact"/>
              <w:rPr>
                <w:rFonts w:hint="eastAsia" w:eastAsia="宋体"/>
                <w:color w:val="auto"/>
              </w:rPr>
            </w:pPr>
            <w:r>
              <w:rPr>
                <w:rFonts w:hint="eastAsia" w:eastAsia="宋体"/>
                <w:color w:val="auto"/>
              </w:rPr>
              <w:t>采出水</w:t>
            </w:r>
          </w:p>
        </w:tc>
        <w:tc>
          <w:tcPr>
            <w:tcW w:w="1569" w:type="pct"/>
            <w:vMerge w:val="continue"/>
            <w:vAlign w:val="center"/>
          </w:tcPr>
          <w:p w14:paraId="417BD8C0">
            <w:pPr>
              <w:pStyle w:val="288"/>
              <w:adjustRightInd w:val="0"/>
              <w:snapToGrid w:val="0"/>
              <w:spacing w:line="300" w:lineRule="exact"/>
              <w:rPr>
                <w:rFonts w:hint="eastAsia" w:eastAsia="宋体" w:cs="Arial"/>
                <w:color w:val="auto"/>
              </w:rPr>
            </w:pPr>
          </w:p>
        </w:tc>
        <w:tc>
          <w:tcPr>
            <w:tcW w:w="658" w:type="pct"/>
            <w:vAlign w:val="center"/>
          </w:tcPr>
          <w:p w14:paraId="47370E73">
            <w:pPr>
              <w:pStyle w:val="288"/>
              <w:adjustRightInd w:val="0"/>
              <w:snapToGrid w:val="0"/>
              <w:spacing w:line="300" w:lineRule="exact"/>
              <w:rPr>
                <w:rFonts w:hint="eastAsia" w:eastAsia="宋体" w:cs="宋体"/>
                <w:color w:val="auto"/>
              </w:rPr>
            </w:pPr>
            <w:r>
              <w:rPr>
                <w:rFonts w:hint="eastAsia"/>
                <w:color w:val="auto"/>
              </w:rPr>
              <w:t>24420</w:t>
            </w:r>
            <w:r>
              <w:rPr>
                <w:rFonts w:hint="eastAsia" w:eastAsia="宋体" w:cs="宋体"/>
                <w:color w:val="auto"/>
              </w:rPr>
              <w:t>m</w:t>
            </w:r>
            <w:r>
              <w:rPr>
                <w:rFonts w:hint="eastAsia" w:eastAsia="宋体" w:cs="宋体"/>
                <w:color w:val="auto"/>
                <w:vertAlign w:val="superscript"/>
              </w:rPr>
              <w:t>3</w:t>
            </w:r>
            <w:r>
              <w:rPr>
                <w:rFonts w:hint="eastAsia" w:eastAsia="宋体" w:cs="宋体"/>
                <w:color w:val="auto"/>
              </w:rPr>
              <w:t>/a</w:t>
            </w:r>
          </w:p>
        </w:tc>
        <w:tc>
          <w:tcPr>
            <w:tcW w:w="962" w:type="pct"/>
          </w:tcPr>
          <w:p w14:paraId="26321D4F">
            <w:pPr>
              <w:pStyle w:val="288"/>
              <w:adjustRightInd w:val="0"/>
              <w:snapToGrid w:val="0"/>
              <w:spacing w:line="300" w:lineRule="exact"/>
              <w:rPr>
                <w:rFonts w:hint="eastAsia" w:eastAsia="宋体"/>
                <w:color w:val="auto"/>
              </w:rPr>
            </w:pPr>
            <w:r>
              <w:rPr>
                <w:rFonts w:hint="eastAsia" w:eastAsia="宋体"/>
                <w:color w:val="auto"/>
              </w:rPr>
              <w:t>石油类</w:t>
            </w:r>
          </w:p>
        </w:tc>
        <w:tc>
          <w:tcPr>
            <w:tcW w:w="697" w:type="pct"/>
          </w:tcPr>
          <w:p w14:paraId="6B9B16C5">
            <w:pPr>
              <w:pStyle w:val="288"/>
              <w:adjustRightInd w:val="0"/>
              <w:snapToGrid w:val="0"/>
              <w:spacing w:line="300" w:lineRule="exact"/>
              <w:rPr>
                <w:rFonts w:hint="eastAsia" w:eastAsia="宋体"/>
                <w:color w:val="auto"/>
              </w:rPr>
            </w:pPr>
            <w:r>
              <w:rPr>
                <w:rFonts w:eastAsia="宋体"/>
                <w:color w:val="auto"/>
              </w:rPr>
              <w:t>/</w:t>
            </w:r>
          </w:p>
        </w:tc>
      </w:tr>
      <w:tr w14:paraId="17FC42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3" w:type="pct"/>
            <w:vMerge w:val="continue"/>
            <w:vAlign w:val="center"/>
          </w:tcPr>
          <w:p w14:paraId="2C85AF1C">
            <w:pPr>
              <w:pStyle w:val="288"/>
              <w:adjustRightInd w:val="0"/>
              <w:snapToGrid w:val="0"/>
              <w:spacing w:line="300" w:lineRule="exact"/>
              <w:rPr>
                <w:rFonts w:hint="eastAsia" w:eastAsia="宋体"/>
                <w:color w:val="auto"/>
              </w:rPr>
            </w:pPr>
          </w:p>
        </w:tc>
        <w:tc>
          <w:tcPr>
            <w:tcW w:w="841" w:type="pct"/>
            <w:vAlign w:val="center"/>
          </w:tcPr>
          <w:p w14:paraId="1F9B8CF5">
            <w:pPr>
              <w:pStyle w:val="288"/>
              <w:adjustRightInd w:val="0"/>
              <w:snapToGrid w:val="0"/>
              <w:spacing w:line="300" w:lineRule="exact"/>
              <w:rPr>
                <w:rFonts w:hint="eastAsia" w:eastAsia="宋体"/>
                <w:color w:val="auto"/>
              </w:rPr>
            </w:pPr>
            <w:r>
              <w:rPr>
                <w:rFonts w:hint="eastAsia" w:eastAsia="宋体"/>
                <w:color w:val="auto"/>
              </w:rPr>
              <w:t>装置排污水</w:t>
            </w:r>
          </w:p>
        </w:tc>
        <w:tc>
          <w:tcPr>
            <w:tcW w:w="1569" w:type="pct"/>
            <w:vMerge w:val="continue"/>
            <w:vAlign w:val="center"/>
          </w:tcPr>
          <w:p w14:paraId="2D7B46EE">
            <w:pPr>
              <w:pStyle w:val="288"/>
              <w:adjustRightInd w:val="0"/>
              <w:snapToGrid w:val="0"/>
              <w:spacing w:line="300" w:lineRule="exact"/>
              <w:rPr>
                <w:rFonts w:hint="eastAsia" w:eastAsia="宋体" w:cs="Arial"/>
                <w:color w:val="auto"/>
              </w:rPr>
            </w:pPr>
          </w:p>
        </w:tc>
        <w:tc>
          <w:tcPr>
            <w:tcW w:w="658" w:type="pct"/>
            <w:vAlign w:val="center"/>
          </w:tcPr>
          <w:p w14:paraId="6D5CED94">
            <w:pPr>
              <w:pStyle w:val="288"/>
              <w:adjustRightInd w:val="0"/>
              <w:snapToGrid w:val="0"/>
              <w:spacing w:line="300" w:lineRule="exact"/>
              <w:rPr>
                <w:rFonts w:hint="eastAsia" w:eastAsia="宋体" w:cs="宋体"/>
                <w:color w:val="auto"/>
              </w:rPr>
            </w:pPr>
            <w:r>
              <w:rPr>
                <w:rFonts w:hint="eastAsia" w:eastAsia="宋体" w:cs="宋体"/>
                <w:color w:val="auto"/>
              </w:rPr>
              <w:t>100m</w:t>
            </w:r>
            <w:r>
              <w:rPr>
                <w:rFonts w:hint="eastAsia" w:eastAsia="宋体" w:cs="宋体"/>
                <w:color w:val="auto"/>
                <w:vertAlign w:val="superscript"/>
              </w:rPr>
              <w:t>3</w:t>
            </w:r>
            <w:r>
              <w:rPr>
                <w:rFonts w:hint="eastAsia" w:eastAsia="宋体" w:cs="宋体"/>
                <w:color w:val="auto"/>
              </w:rPr>
              <w:t>/a</w:t>
            </w:r>
          </w:p>
        </w:tc>
        <w:tc>
          <w:tcPr>
            <w:tcW w:w="962" w:type="pct"/>
          </w:tcPr>
          <w:p w14:paraId="21132DCB">
            <w:pPr>
              <w:pStyle w:val="288"/>
              <w:adjustRightInd w:val="0"/>
              <w:snapToGrid w:val="0"/>
              <w:spacing w:line="300" w:lineRule="exact"/>
              <w:rPr>
                <w:rFonts w:hint="eastAsia" w:eastAsia="宋体"/>
                <w:color w:val="auto"/>
              </w:rPr>
            </w:pPr>
            <w:r>
              <w:rPr>
                <w:rFonts w:hint="eastAsia" w:eastAsia="宋体"/>
                <w:color w:val="auto"/>
              </w:rPr>
              <w:t>石油类</w:t>
            </w:r>
          </w:p>
        </w:tc>
        <w:tc>
          <w:tcPr>
            <w:tcW w:w="697" w:type="pct"/>
          </w:tcPr>
          <w:p w14:paraId="77D0954A">
            <w:pPr>
              <w:pStyle w:val="288"/>
              <w:adjustRightInd w:val="0"/>
              <w:snapToGrid w:val="0"/>
              <w:spacing w:line="300" w:lineRule="exact"/>
              <w:rPr>
                <w:rFonts w:hint="eastAsia" w:eastAsia="宋体"/>
                <w:color w:val="auto"/>
              </w:rPr>
            </w:pPr>
            <w:r>
              <w:rPr>
                <w:rFonts w:eastAsia="宋体"/>
                <w:color w:val="auto"/>
              </w:rPr>
              <w:t>/</w:t>
            </w:r>
          </w:p>
        </w:tc>
      </w:tr>
      <w:tr w14:paraId="435D42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3" w:type="pct"/>
            <w:vMerge w:val="continue"/>
            <w:vAlign w:val="center"/>
          </w:tcPr>
          <w:p w14:paraId="4384845B">
            <w:pPr>
              <w:pStyle w:val="288"/>
              <w:adjustRightInd w:val="0"/>
              <w:snapToGrid w:val="0"/>
              <w:spacing w:line="300" w:lineRule="exact"/>
              <w:rPr>
                <w:rFonts w:hint="eastAsia" w:eastAsia="宋体"/>
                <w:color w:val="auto"/>
              </w:rPr>
            </w:pPr>
          </w:p>
        </w:tc>
        <w:tc>
          <w:tcPr>
            <w:tcW w:w="841" w:type="pct"/>
            <w:vAlign w:val="center"/>
          </w:tcPr>
          <w:p w14:paraId="4DD66B21">
            <w:pPr>
              <w:pStyle w:val="288"/>
              <w:adjustRightInd w:val="0"/>
              <w:snapToGrid w:val="0"/>
              <w:spacing w:line="300" w:lineRule="exact"/>
              <w:rPr>
                <w:rFonts w:hint="eastAsia" w:eastAsia="宋体"/>
                <w:color w:val="auto"/>
              </w:rPr>
            </w:pPr>
            <w:r>
              <w:rPr>
                <w:rFonts w:hint="eastAsia" w:eastAsia="宋体"/>
                <w:color w:val="auto"/>
              </w:rPr>
              <w:t>生活污水</w:t>
            </w:r>
          </w:p>
        </w:tc>
        <w:tc>
          <w:tcPr>
            <w:tcW w:w="1569" w:type="pct"/>
            <w:vAlign w:val="center"/>
          </w:tcPr>
          <w:p w14:paraId="35D8A330">
            <w:pPr>
              <w:pStyle w:val="288"/>
              <w:adjustRightInd w:val="0"/>
              <w:snapToGrid w:val="0"/>
              <w:spacing w:line="300" w:lineRule="exact"/>
              <w:rPr>
                <w:rFonts w:hint="eastAsia" w:eastAsia="宋体"/>
                <w:color w:val="auto"/>
              </w:rPr>
            </w:pPr>
            <w:r>
              <w:rPr>
                <w:rFonts w:hint="eastAsia" w:eastAsia="宋体"/>
                <w:color w:val="auto"/>
              </w:rPr>
              <w:t>送至玛纳斯县生活污水处理厂处理</w:t>
            </w:r>
          </w:p>
        </w:tc>
        <w:tc>
          <w:tcPr>
            <w:tcW w:w="658" w:type="pct"/>
            <w:vAlign w:val="center"/>
          </w:tcPr>
          <w:p w14:paraId="52F925E1">
            <w:pPr>
              <w:pStyle w:val="288"/>
              <w:adjustRightInd w:val="0"/>
              <w:snapToGrid w:val="0"/>
              <w:spacing w:line="300" w:lineRule="exact"/>
              <w:rPr>
                <w:rFonts w:hint="eastAsia" w:eastAsia="宋体" w:cs="宋体"/>
                <w:color w:val="auto"/>
              </w:rPr>
            </w:pPr>
            <w:r>
              <w:rPr>
                <w:rFonts w:hint="eastAsia" w:eastAsia="宋体" w:cs="宋体"/>
                <w:color w:val="auto"/>
              </w:rPr>
              <w:t>32m</w:t>
            </w:r>
            <w:r>
              <w:rPr>
                <w:rFonts w:hint="eastAsia" w:eastAsia="宋体" w:cs="宋体"/>
                <w:color w:val="auto"/>
                <w:vertAlign w:val="superscript"/>
              </w:rPr>
              <w:t>3</w:t>
            </w:r>
            <w:r>
              <w:rPr>
                <w:rFonts w:hint="eastAsia" w:eastAsia="宋体" w:cs="宋体"/>
                <w:color w:val="auto"/>
              </w:rPr>
              <w:t>/a</w:t>
            </w:r>
          </w:p>
        </w:tc>
        <w:tc>
          <w:tcPr>
            <w:tcW w:w="962" w:type="pct"/>
            <w:vAlign w:val="center"/>
          </w:tcPr>
          <w:p w14:paraId="3B2F007B">
            <w:pPr>
              <w:pStyle w:val="288"/>
              <w:adjustRightInd w:val="0"/>
              <w:snapToGrid w:val="0"/>
              <w:spacing w:line="300" w:lineRule="exact"/>
              <w:rPr>
                <w:rFonts w:hint="eastAsia" w:eastAsia="宋体" w:cs="宋体"/>
                <w:color w:val="auto"/>
              </w:rPr>
            </w:pPr>
            <w:r>
              <w:rPr>
                <w:rFonts w:hint="eastAsia" w:eastAsia="宋体" w:cs="宋体"/>
                <w:color w:val="auto"/>
              </w:rPr>
              <w:t>COD</w:t>
            </w:r>
          </w:p>
        </w:tc>
        <w:tc>
          <w:tcPr>
            <w:tcW w:w="697" w:type="pct"/>
          </w:tcPr>
          <w:p w14:paraId="15323D10">
            <w:pPr>
              <w:pStyle w:val="288"/>
              <w:adjustRightInd w:val="0"/>
              <w:snapToGrid w:val="0"/>
              <w:spacing w:line="300" w:lineRule="exact"/>
              <w:rPr>
                <w:rFonts w:hint="eastAsia" w:eastAsia="宋体"/>
                <w:color w:val="auto"/>
              </w:rPr>
            </w:pPr>
            <w:r>
              <w:rPr>
                <w:rFonts w:eastAsia="宋体"/>
                <w:color w:val="auto"/>
              </w:rPr>
              <w:t>/</w:t>
            </w:r>
          </w:p>
        </w:tc>
      </w:tr>
      <w:tr w14:paraId="034FA6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3" w:type="pct"/>
            <w:vMerge w:val="restart"/>
            <w:vAlign w:val="center"/>
          </w:tcPr>
          <w:p w14:paraId="6BBF22D0">
            <w:pPr>
              <w:pStyle w:val="288"/>
              <w:adjustRightInd w:val="0"/>
              <w:snapToGrid w:val="0"/>
              <w:spacing w:line="300" w:lineRule="exact"/>
              <w:rPr>
                <w:rFonts w:hint="eastAsia" w:eastAsia="宋体"/>
                <w:color w:val="auto"/>
              </w:rPr>
            </w:pPr>
            <w:r>
              <w:rPr>
                <w:rFonts w:eastAsia="宋体"/>
                <w:color w:val="auto"/>
              </w:rPr>
              <w:t>固体</w:t>
            </w:r>
          </w:p>
          <w:p w14:paraId="1EA76732">
            <w:pPr>
              <w:pStyle w:val="288"/>
              <w:adjustRightInd w:val="0"/>
              <w:snapToGrid w:val="0"/>
              <w:spacing w:line="300" w:lineRule="exact"/>
              <w:rPr>
                <w:rFonts w:hint="eastAsia" w:eastAsia="宋体"/>
                <w:color w:val="auto"/>
              </w:rPr>
            </w:pPr>
            <w:r>
              <w:rPr>
                <w:rFonts w:eastAsia="宋体"/>
                <w:color w:val="auto"/>
              </w:rPr>
              <w:t>废物</w:t>
            </w:r>
          </w:p>
        </w:tc>
        <w:tc>
          <w:tcPr>
            <w:tcW w:w="841" w:type="pct"/>
            <w:vAlign w:val="center"/>
          </w:tcPr>
          <w:p w14:paraId="172EB6B8">
            <w:pPr>
              <w:pStyle w:val="288"/>
              <w:adjustRightInd w:val="0"/>
              <w:snapToGrid w:val="0"/>
              <w:spacing w:line="300" w:lineRule="exact"/>
              <w:rPr>
                <w:rFonts w:hint="eastAsia" w:eastAsia="宋体"/>
                <w:color w:val="auto"/>
              </w:rPr>
            </w:pPr>
            <w:r>
              <w:rPr>
                <w:rFonts w:hint="eastAsia" w:eastAsia="宋体"/>
                <w:color w:val="auto"/>
              </w:rPr>
              <w:t>清罐底泥</w:t>
            </w:r>
          </w:p>
        </w:tc>
        <w:tc>
          <w:tcPr>
            <w:tcW w:w="1569" w:type="pct"/>
            <w:vMerge w:val="restart"/>
            <w:vAlign w:val="center"/>
          </w:tcPr>
          <w:p w14:paraId="7624643E">
            <w:pPr>
              <w:pStyle w:val="288"/>
              <w:adjustRightInd w:val="0"/>
              <w:snapToGrid w:val="0"/>
              <w:spacing w:line="300" w:lineRule="exact"/>
              <w:rPr>
                <w:rFonts w:hint="eastAsia" w:eastAsia="宋体"/>
                <w:color w:val="auto"/>
              </w:rPr>
            </w:pPr>
            <w:r>
              <w:rPr>
                <w:rFonts w:hint="eastAsia" w:eastAsia="宋体"/>
                <w:color w:val="auto"/>
              </w:rPr>
              <w:t>集中收集后交由有相应危险废物处理资质的单位回收处置</w:t>
            </w:r>
          </w:p>
        </w:tc>
        <w:tc>
          <w:tcPr>
            <w:tcW w:w="658" w:type="pct"/>
          </w:tcPr>
          <w:p w14:paraId="6D268F96">
            <w:pPr>
              <w:pStyle w:val="288"/>
              <w:adjustRightInd w:val="0"/>
              <w:snapToGrid w:val="0"/>
              <w:spacing w:line="300" w:lineRule="exact"/>
              <w:rPr>
                <w:rFonts w:hint="eastAsia" w:eastAsia="宋体" w:cs="Arial"/>
                <w:color w:val="auto"/>
              </w:rPr>
            </w:pPr>
            <w:r>
              <w:rPr>
                <w:rFonts w:hint="eastAsia" w:eastAsia="宋体"/>
                <w:color w:val="auto"/>
              </w:rPr>
              <w:t>206.7</w:t>
            </w:r>
            <w:r>
              <w:rPr>
                <w:rFonts w:hint="eastAsia" w:eastAsia="宋体" w:cs="Arial"/>
                <w:color w:val="auto"/>
              </w:rPr>
              <w:t>t/</w:t>
            </w:r>
            <w:r>
              <w:rPr>
                <w:rFonts w:eastAsia="宋体" w:cs="Arial"/>
                <w:color w:val="auto"/>
              </w:rPr>
              <w:t>a</w:t>
            </w:r>
          </w:p>
        </w:tc>
        <w:tc>
          <w:tcPr>
            <w:tcW w:w="962" w:type="pct"/>
            <w:vAlign w:val="center"/>
          </w:tcPr>
          <w:p w14:paraId="7B5F7170">
            <w:pPr>
              <w:pStyle w:val="288"/>
              <w:adjustRightInd w:val="0"/>
              <w:snapToGrid w:val="0"/>
              <w:spacing w:line="300" w:lineRule="exact"/>
              <w:rPr>
                <w:rFonts w:hint="eastAsia" w:eastAsia="宋体"/>
                <w:color w:val="auto"/>
              </w:rPr>
            </w:pPr>
            <w:r>
              <w:rPr>
                <w:rFonts w:hint="eastAsia" w:eastAsia="宋体"/>
                <w:color w:val="auto"/>
              </w:rPr>
              <w:t>石油类</w:t>
            </w:r>
          </w:p>
        </w:tc>
        <w:tc>
          <w:tcPr>
            <w:tcW w:w="697" w:type="pct"/>
            <w:vAlign w:val="center"/>
          </w:tcPr>
          <w:p w14:paraId="178FD0F3">
            <w:pPr>
              <w:pStyle w:val="288"/>
              <w:adjustRightInd w:val="0"/>
              <w:snapToGrid w:val="0"/>
              <w:spacing w:line="300" w:lineRule="exact"/>
              <w:rPr>
                <w:rFonts w:hint="eastAsia" w:eastAsia="宋体"/>
                <w:color w:val="auto"/>
              </w:rPr>
            </w:pPr>
            <w:r>
              <w:rPr>
                <w:rFonts w:eastAsia="宋体"/>
                <w:color w:val="auto"/>
              </w:rPr>
              <w:t>/</w:t>
            </w:r>
          </w:p>
        </w:tc>
      </w:tr>
      <w:tr w14:paraId="0A3E3D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3" w:type="pct"/>
            <w:vMerge w:val="continue"/>
            <w:vAlign w:val="center"/>
          </w:tcPr>
          <w:p w14:paraId="21A463FB">
            <w:pPr>
              <w:pStyle w:val="288"/>
              <w:adjustRightInd w:val="0"/>
              <w:snapToGrid w:val="0"/>
              <w:spacing w:line="300" w:lineRule="exact"/>
              <w:rPr>
                <w:rFonts w:hint="eastAsia" w:eastAsia="宋体"/>
                <w:color w:val="auto"/>
              </w:rPr>
            </w:pPr>
          </w:p>
        </w:tc>
        <w:tc>
          <w:tcPr>
            <w:tcW w:w="841" w:type="pct"/>
            <w:vAlign w:val="center"/>
          </w:tcPr>
          <w:p w14:paraId="3A9C4590">
            <w:pPr>
              <w:pStyle w:val="288"/>
              <w:adjustRightInd w:val="0"/>
              <w:snapToGrid w:val="0"/>
              <w:spacing w:line="300" w:lineRule="exact"/>
              <w:rPr>
                <w:rFonts w:hint="eastAsia" w:eastAsia="宋体"/>
                <w:color w:val="auto"/>
              </w:rPr>
            </w:pPr>
            <w:r>
              <w:rPr>
                <w:rFonts w:hint="eastAsia" w:eastAsia="宋体"/>
                <w:color w:val="auto"/>
              </w:rPr>
              <w:t>废分子筛</w:t>
            </w:r>
          </w:p>
        </w:tc>
        <w:tc>
          <w:tcPr>
            <w:tcW w:w="1569" w:type="pct"/>
            <w:vMerge w:val="continue"/>
            <w:vAlign w:val="center"/>
          </w:tcPr>
          <w:p w14:paraId="18258AB1">
            <w:pPr>
              <w:pStyle w:val="288"/>
              <w:adjustRightInd w:val="0"/>
              <w:snapToGrid w:val="0"/>
              <w:spacing w:line="300" w:lineRule="exact"/>
              <w:rPr>
                <w:rFonts w:hint="eastAsia" w:eastAsia="宋体"/>
                <w:color w:val="auto"/>
              </w:rPr>
            </w:pPr>
          </w:p>
        </w:tc>
        <w:tc>
          <w:tcPr>
            <w:tcW w:w="658" w:type="pct"/>
          </w:tcPr>
          <w:p w14:paraId="734678EC">
            <w:pPr>
              <w:pStyle w:val="288"/>
              <w:adjustRightInd w:val="0"/>
              <w:snapToGrid w:val="0"/>
              <w:spacing w:line="300" w:lineRule="exact"/>
              <w:rPr>
                <w:rFonts w:hint="eastAsia" w:eastAsia="宋体" w:cs="Arial"/>
                <w:color w:val="auto"/>
              </w:rPr>
            </w:pPr>
            <w:r>
              <w:rPr>
                <w:rFonts w:hint="eastAsia" w:eastAsia="宋体" w:cs="Arial"/>
                <w:color w:val="auto"/>
              </w:rPr>
              <w:t>0.2t/</w:t>
            </w:r>
            <w:r>
              <w:rPr>
                <w:rFonts w:eastAsia="宋体" w:cs="Arial"/>
                <w:color w:val="auto"/>
              </w:rPr>
              <w:t>a</w:t>
            </w:r>
          </w:p>
        </w:tc>
        <w:tc>
          <w:tcPr>
            <w:tcW w:w="962" w:type="pct"/>
            <w:vAlign w:val="center"/>
          </w:tcPr>
          <w:p w14:paraId="7199E0A8">
            <w:pPr>
              <w:pStyle w:val="288"/>
              <w:adjustRightInd w:val="0"/>
              <w:snapToGrid w:val="0"/>
              <w:spacing w:line="300" w:lineRule="exact"/>
              <w:rPr>
                <w:rFonts w:hint="eastAsia" w:eastAsia="宋体"/>
                <w:color w:val="auto"/>
              </w:rPr>
            </w:pPr>
            <w:r>
              <w:rPr>
                <w:rFonts w:hint="eastAsia" w:eastAsia="宋体"/>
                <w:color w:val="auto"/>
              </w:rPr>
              <w:t>石油类</w:t>
            </w:r>
          </w:p>
        </w:tc>
        <w:tc>
          <w:tcPr>
            <w:tcW w:w="697" w:type="pct"/>
            <w:vAlign w:val="center"/>
          </w:tcPr>
          <w:p w14:paraId="374C6EAA">
            <w:pPr>
              <w:pStyle w:val="288"/>
              <w:adjustRightInd w:val="0"/>
              <w:snapToGrid w:val="0"/>
              <w:spacing w:line="300" w:lineRule="exact"/>
              <w:rPr>
                <w:rFonts w:hint="eastAsia" w:eastAsia="宋体"/>
                <w:color w:val="auto"/>
              </w:rPr>
            </w:pPr>
            <w:r>
              <w:rPr>
                <w:rFonts w:eastAsia="宋体"/>
                <w:color w:val="auto"/>
              </w:rPr>
              <w:t>/</w:t>
            </w:r>
          </w:p>
        </w:tc>
      </w:tr>
      <w:tr w14:paraId="0F7E10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3" w:type="pct"/>
            <w:vMerge w:val="continue"/>
            <w:vAlign w:val="center"/>
          </w:tcPr>
          <w:p w14:paraId="10C2D977">
            <w:pPr>
              <w:pStyle w:val="288"/>
              <w:adjustRightInd w:val="0"/>
              <w:snapToGrid w:val="0"/>
              <w:spacing w:line="300" w:lineRule="exact"/>
              <w:rPr>
                <w:rFonts w:hint="eastAsia" w:eastAsia="宋体"/>
                <w:color w:val="auto"/>
              </w:rPr>
            </w:pPr>
          </w:p>
        </w:tc>
        <w:tc>
          <w:tcPr>
            <w:tcW w:w="841" w:type="pct"/>
            <w:vAlign w:val="center"/>
          </w:tcPr>
          <w:p w14:paraId="1E1D74F0">
            <w:pPr>
              <w:pStyle w:val="288"/>
              <w:adjustRightInd w:val="0"/>
              <w:snapToGrid w:val="0"/>
              <w:spacing w:line="300" w:lineRule="exact"/>
              <w:rPr>
                <w:rFonts w:hint="eastAsia" w:eastAsia="宋体"/>
                <w:color w:val="auto"/>
              </w:rPr>
            </w:pPr>
            <w:r>
              <w:rPr>
                <w:rFonts w:hint="eastAsia" w:eastAsia="宋体"/>
                <w:color w:val="auto"/>
              </w:rPr>
              <w:t>废滤料</w:t>
            </w:r>
          </w:p>
        </w:tc>
        <w:tc>
          <w:tcPr>
            <w:tcW w:w="1569" w:type="pct"/>
            <w:vMerge w:val="continue"/>
            <w:vAlign w:val="center"/>
          </w:tcPr>
          <w:p w14:paraId="6B1BD255">
            <w:pPr>
              <w:pStyle w:val="288"/>
              <w:adjustRightInd w:val="0"/>
              <w:snapToGrid w:val="0"/>
              <w:spacing w:line="300" w:lineRule="exact"/>
              <w:rPr>
                <w:rFonts w:hint="eastAsia" w:eastAsia="宋体"/>
                <w:color w:val="auto"/>
              </w:rPr>
            </w:pPr>
          </w:p>
        </w:tc>
        <w:tc>
          <w:tcPr>
            <w:tcW w:w="658" w:type="pct"/>
          </w:tcPr>
          <w:p w14:paraId="2560FB18">
            <w:pPr>
              <w:pStyle w:val="288"/>
              <w:adjustRightInd w:val="0"/>
              <w:snapToGrid w:val="0"/>
              <w:spacing w:line="300" w:lineRule="exact"/>
              <w:rPr>
                <w:rFonts w:hint="eastAsia" w:eastAsia="宋体"/>
                <w:color w:val="auto"/>
              </w:rPr>
            </w:pPr>
            <w:r>
              <w:rPr>
                <w:rFonts w:hint="eastAsia" w:eastAsia="宋体" w:cs="Arial"/>
                <w:color w:val="auto"/>
              </w:rPr>
              <w:t>0.1t/</w:t>
            </w:r>
            <w:r>
              <w:rPr>
                <w:rFonts w:eastAsia="宋体" w:cs="Arial"/>
                <w:color w:val="auto"/>
              </w:rPr>
              <w:t>a</w:t>
            </w:r>
          </w:p>
        </w:tc>
        <w:tc>
          <w:tcPr>
            <w:tcW w:w="962" w:type="pct"/>
            <w:vAlign w:val="center"/>
          </w:tcPr>
          <w:p w14:paraId="148D9712">
            <w:pPr>
              <w:pStyle w:val="288"/>
              <w:adjustRightInd w:val="0"/>
              <w:snapToGrid w:val="0"/>
              <w:spacing w:line="300" w:lineRule="exact"/>
              <w:rPr>
                <w:rFonts w:hint="eastAsia" w:eastAsia="宋体"/>
                <w:color w:val="auto"/>
              </w:rPr>
            </w:pPr>
            <w:r>
              <w:rPr>
                <w:rFonts w:hint="eastAsia" w:eastAsia="宋体"/>
                <w:color w:val="auto"/>
              </w:rPr>
              <w:t>石油类</w:t>
            </w:r>
          </w:p>
        </w:tc>
        <w:tc>
          <w:tcPr>
            <w:tcW w:w="697" w:type="pct"/>
            <w:vAlign w:val="center"/>
          </w:tcPr>
          <w:p w14:paraId="16E94EBB">
            <w:pPr>
              <w:pStyle w:val="288"/>
              <w:adjustRightInd w:val="0"/>
              <w:snapToGrid w:val="0"/>
              <w:spacing w:line="300" w:lineRule="exact"/>
              <w:rPr>
                <w:rFonts w:hint="eastAsia" w:eastAsia="宋体"/>
                <w:color w:val="auto"/>
              </w:rPr>
            </w:pPr>
            <w:r>
              <w:rPr>
                <w:rFonts w:eastAsia="宋体"/>
                <w:color w:val="auto"/>
              </w:rPr>
              <w:t>/</w:t>
            </w:r>
          </w:p>
        </w:tc>
      </w:tr>
      <w:tr w14:paraId="0991F8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3" w:type="pct"/>
            <w:vMerge w:val="continue"/>
            <w:vAlign w:val="center"/>
          </w:tcPr>
          <w:p w14:paraId="724A3F01">
            <w:pPr>
              <w:pStyle w:val="288"/>
              <w:adjustRightInd w:val="0"/>
              <w:snapToGrid w:val="0"/>
              <w:spacing w:line="300" w:lineRule="exact"/>
              <w:rPr>
                <w:rFonts w:hint="eastAsia" w:eastAsia="宋体"/>
                <w:color w:val="auto"/>
              </w:rPr>
            </w:pPr>
          </w:p>
        </w:tc>
        <w:tc>
          <w:tcPr>
            <w:tcW w:w="841" w:type="pct"/>
            <w:vAlign w:val="center"/>
          </w:tcPr>
          <w:p w14:paraId="255FF5C9">
            <w:pPr>
              <w:pStyle w:val="288"/>
              <w:adjustRightInd w:val="0"/>
              <w:snapToGrid w:val="0"/>
              <w:spacing w:line="300" w:lineRule="exact"/>
              <w:rPr>
                <w:rFonts w:hint="eastAsia" w:eastAsia="宋体"/>
                <w:color w:val="auto"/>
              </w:rPr>
            </w:pPr>
            <w:r>
              <w:rPr>
                <w:rFonts w:hint="eastAsia" w:eastAsia="宋体"/>
                <w:color w:val="auto"/>
              </w:rPr>
              <w:t>废润滑油</w:t>
            </w:r>
          </w:p>
        </w:tc>
        <w:tc>
          <w:tcPr>
            <w:tcW w:w="1569" w:type="pct"/>
            <w:vMerge w:val="continue"/>
            <w:vAlign w:val="center"/>
          </w:tcPr>
          <w:p w14:paraId="6D64F390">
            <w:pPr>
              <w:pStyle w:val="288"/>
              <w:adjustRightInd w:val="0"/>
              <w:snapToGrid w:val="0"/>
              <w:spacing w:line="300" w:lineRule="exact"/>
              <w:rPr>
                <w:rFonts w:hint="eastAsia" w:eastAsia="宋体"/>
                <w:color w:val="auto"/>
              </w:rPr>
            </w:pPr>
          </w:p>
        </w:tc>
        <w:tc>
          <w:tcPr>
            <w:tcW w:w="658" w:type="pct"/>
          </w:tcPr>
          <w:p w14:paraId="54E0C975">
            <w:pPr>
              <w:pStyle w:val="288"/>
              <w:adjustRightInd w:val="0"/>
              <w:snapToGrid w:val="0"/>
              <w:spacing w:line="300" w:lineRule="exact"/>
              <w:rPr>
                <w:rFonts w:hint="eastAsia" w:eastAsia="宋体"/>
                <w:color w:val="auto"/>
              </w:rPr>
            </w:pPr>
            <w:r>
              <w:rPr>
                <w:rFonts w:hint="eastAsia" w:eastAsia="宋体" w:cs="Arial"/>
                <w:color w:val="auto"/>
              </w:rPr>
              <w:t>0.2t/</w:t>
            </w:r>
            <w:r>
              <w:rPr>
                <w:rFonts w:eastAsia="宋体" w:cs="Arial"/>
                <w:color w:val="auto"/>
              </w:rPr>
              <w:t>a</w:t>
            </w:r>
          </w:p>
        </w:tc>
        <w:tc>
          <w:tcPr>
            <w:tcW w:w="962" w:type="pct"/>
            <w:vAlign w:val="center"/>
          </w:tcPr>
          <w:p w14:paraId="4E9D67F1">
            <w:pPr>
              <w:pStyle w:val="288"/>
              <w:adjustRightInd w:val="0"/>
              <w:snapToGrid w:val="0"/>
              <w:spacing w:line="300" w:lineRule="exact"/>
              <w:rPr>
                <w:rFonts w:hint="eastAsia" w:eastAsia="宋体"/>
                <w:color w:val="auto"/>
              </w:rPr>
            </w:pPr>
            <w:r>
              <w:rPr>
                <w:rFonts w:hint="eastAsia" w:eastAsia="宋体"/>
                <w:color w:val="auto"/>
              </w:rPr>
              <w:t>石油类</w:t>
            </w:r>
          </w:p>
        </w:tc>
        <w:tc>
          <w:tcPr>
            <w:tcW w:w="697" w:type="pct"/>
            <w:vAlign w:val="center"/>
          </w:tcPr>
          <w:p w14:paraId="07A96B9C">
            <w:pPr>
              <w:pStyle w:val="288"/>
              <w:adjustRightInd w:val="0"/>
              <w:snapToGrid w:val="0"/>
              <w:spacing w:line="300" w:lineRule="exact"/>
              <w:rPr>
                <w:rFonts w:hint="eastAsia" w:eastAsia="宋体"/>
                <w:color w:val="auto"/>
              </w:rPr>
            </w:pPr>
            <w:r>
              <w:rPr>
                <w:rFonts w:eastAsia="宋体"/>
                <w:color w:val="auto"/>
              </w:rPr>
              <w:t>/</w:t>
            </w:r>
          </w:p>
        </w:tc>
      </w:tr>
      <w:tr w14:paraId="2FFC6E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3" w:type="pct"/>
            <w:vMerge w:val="continue"/>
            <w:vAlign w:val="center"/>
          </w:tcPr>
          <w:p w14:paraId="3FE781F1">
            <w:pPr>
              <w:pStyle w:val="288"/>
              <w:adjustRightInd w:val="0"/>
              <w:snapToGrid w:val="0"/>
              <w:spacing w:line="300" w:lineRule="exact"/>
              <w:rPr>
                <w:rFonts w:hint="eastAsia" w:eastAsia="宋体"/>
                <w:color w:val="auto"/>
              </w:rPr>
            </w:pPr>
          </w:p>
        </w:tc>
        <w:tc>
          <w:tcPr>
            <w:tcW w:w="841" w:type="pct"/>
            <w:vAlign w:val="center"/>
          </w:tcPr>
          <w:p w14:paraId="2F70D07F">
            <w:pPr>
              <w:pStyle w:val="288"/>
              <w:adjustRightInd w:val="0"/>
              <w:snapToGrid w:val="0"/>
              <w:spacing w:line="300" w:lineRule="exact"/>
              <w:rPr>
                <w:rFonts w:hint="eastAsia" w:eastAsia="宋体"/>
                <w:color w:val="auto"/>
              </w:rPr>
            </w:pPr>
            <w:r>
              <w:rPr>
                <w:rFonts w:hint="eastAsia" w:eastAsia="宋体"/>
                <w:color w:val="auto"/>
              </w:rPr>
              <w:t>废润滑油桶</w:t>
            </w:r>
          </w:p>
        </w:tc>
        <w:tc>
          <w:tcPr>
            <w:tcW w:w="1569" w:type="pct"/>
            <w:vMerge w:val="continue"/>
            <w:vAlign w:val="center"/>
          </w:tcPr>
          <w:p w14:paraId="15FB58BA">
            <w:pPr>
              <w:pStyle w:val="288"/>
              <w:adjustRightInd w:val="0"/>
              <w:snapToGrid w:val="0"/>
              <w:spacing w:line="300" w:lineRule="exact"/>
              <w:rPr>
                <w:rFonts w:hint="eastAsia" w:eastAsia="宋体"/>
                <w:color w:val="auto"/>
              </w:rPr>
            </w:pPr>
          </w:p>
        </w:tc>
        <w:tc>
          <w:tcPr>
            <w:tcW w:w="658" w:type="pct"/>
          </w:tcPr>
          <w:p w14:paraId="6687A113">
            <w:pPr>
              <w:pStyle w:val="288"/>
              <w:adjustRightInd w:val="0"/>
              <w:snapToGrid w:val="0"/>
              <w:spacing w:line="300" w:lineRule="exact"/>
              <w:rPr>
                <w:rFonts w:hint="eastAsia" w:eastAsia="宋体"/>
                <w:color w:val="auto"/>
              </w:rPr>
            </w:pPr>
            <w:r>
              <w:rPr>
                <w:rFonts w:hint="eastAsia" w:eastAsia="宋体" w:cs="Arial"/>
                <w:color w:val="auto"/>
              </w:rPr>
              <w:t>0.02t/</w:t>
            </w:r>
            <w:r>
              <w:rPr>
                <w:rFonts w:eastAsia="宋体" w:cs="Arial"/>
                <w:color w:val="auto"/>
              </w:rPr>
              <w:t>a</w:t>
            </w:r>
          </w:p>
        </w:tc>
        <w:tc>
          <w:tcPr>
            <w:tcW w:w="962" w:type="pct"/>
            <w:vAlign w:val="center"/>
          </w:tcPr>
          <w:p w14:paraId="7C3B3702">
            <w:pPr>
              <w:pStyle w:val="288"/>
              <w:adjustRightInd w:val="0"/>
              <w:snapToGrid w:val="0"/>
              <w:spacing w:line="300" w:lineRule="exact"/>
              <w:rPr>
                <w:rFonts w:hint="eastAsia" w:eastAsia="宋体"/>
                <w:color w:val="auto"/>
              </w:rPr>
            </w:pPr>
            <w:r>
              <w:rPr>
                <w:rFonts w:hint="eastAsia" w:eastAsia="宋体"/>
                <w:color w:val="auto"/>
              </w:rPr>
              <w:t>石油类</w:t>
            </w:r>
          </w:p>
        </w:tc>
        <w:tc>
          <w:tcPr>
            <w:tcW w:w="697" w:type="pct"/>
          </w:tcPr>
          <w:p w14:paraId="06BA3128">
            <w:pPr>
              <w:pStyle w:val="288"/>
              <w:adjustRightInd w:val="0"/>
              <w:snapToGrid w:val="0"/>
              <w:spacing w:line="300" w:lineRule="exact"/>
              <w:rPr>
                <w:rFonts w:hint="eastAsia" w:eastAsia="宋体"/>
                <w:color w:val="auto"/>
              </w:rPr>
            </w:pPr>
            <w:r>
              <w:rPr>
                <w:rFonts w:hint="eastAsia" w:eastAsia="宋体"/>
                <w:color w:val="auto"/>
              </w:rPr>
              <w:t>/</w:t>
            </w:r>
          </w:p>
        </w:tc>
      </w:tr>
      <w:tr w14:paraId="6C7683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3" w:type="pct"/>
            <w:vMerge w:val="continue"/>
            <w:vAlign w:val="center"/>
          </w:tcPr>
          <w:p w14:paraId="0228DDDB">
            <w:pPr>
              <w:pStyle w:val="288"/>
              <w:adjustRightInd w:val="0"/>
              <w:snapToGrid w:val="0"/>
              <w:spacing w:line="300" w:lineRule="exact"/>
              <w:rPr>
                <w:rFonts w:hint="eastAsia" w:eastAsia="宋体"/>
                <w:color w:val="auto"/>
              </w:rPr>
            </w:pPr>
          </w:p>
        </w:tc>
        <w:tc>
          <w:tcPr>
            <w:tcW w:w="841" w:type="pct"/>
            <w:vAlign w:val="center"/>
          </w:tcPr>
          <w:p w14:paraId="74D3BF7F">
            <w:pPr>
              <w:pStyle w:val="288"/>
              <w:adjustRightInd w:val="0"/>
              <w:snapToGrid w:val="0"/>
              <w:spacing w:line="300" w:lineRule="exact"/>
              <w:rPr>
                <w:rFonts w:hint="eastAsia" w:eastAsia="宋体"/>
                <w:color w:val="auto"/>
              </w:rPr>
            </w:pPr>
            <w:r>
              <w:rPr>
                <w:rFonts w:hint="eastAsia" w:eastAsia="宋体"/>
                <w:color w:val="auto"/>
              </w:rPr>
              <w:t>沾油废防渗材料</w:t>
            </w:r>
          </w:p>
        </w:tc>
        <w:tc>
          <w:tcPr>
            <w:tcW w:w="1569" w:type="pct"/>
            <w:vMerge w:val="continue"/>
            <w:vAlign w:val="center"/>
          </w:tcPr>
          <w:p w14:paraId="7A665A08">
            <w:pPr>
              <w:pStyle w:val="288"/>
              <w:adjustRightInd w:val="0"/>
              <w:snapToGrid w:val="0"/>
              <w:spacing w:line="300" w:lineRule="exact"/>
              <w:rPr>
                <w:rFonts w:hint="eastAsia" w:eastAsia="宋体"/>
                <w:color w:val="auto"/>
              </w:rPr>
            </w:pPr>
          </w:p>
        </w:tc>
        <w:tc>
          <w:tcPr>
            <w:tcW w:w="658" w:type="pct"/>
          </w:tcPr>
          <w:p w14:paraId="4398CF3B">
            <w:pPr>
              <w:pStyle w:val="288"/>
              <w:adjustRightInd w:val="0"/>
              <w:snapToGrid w:val="0"/>
              <w:spacing w:line="300" w:lineRule="exact"/>
              <w:rPr>
                <w:rFonts w:hint="eastAsia" w:eastAsia="宋体"/>
                <w:color w:val="auto"/>
              </w:rPr>
            </w:pPr>
            <w:r>
              <w:rPr>
                <w:rFonts w:hint="eastAsia" w:eastAsia="宋体" w:cs="Arial"/>
                <w:color w:val="auto"/>
              </w:rPr>
              <w:t>0.14t/</w:t>
            </w:r>
            <w:r>
              <w:rPr>
                <w:rFonts w:eastAsia="宋体" w:cs="Arial"/>
                <w:color w:val="auto"/>
              </w:rPr>
              <w:t>a</w:t>
            </w:r>
          </w:p>
        </w:tc>
        <w:tc>
          <w:tcPr>
            <w:tcW w:w="962" w:type="pct"/>
            <w:vAlign w:val="center"/>
          </w:tcPr>
          <w:p w14:paraId="5852DAAE">
            <w:pPr>
              <w:pStyle w:val="288"/>
              <w:adjustRightInd w:val="0"/>
              <w:snapToGrid w:val="0"/>
              <w:spacing w:line="300" w:lineRule="exact"/>
              <w:rPr>
                <w:rFonts w:hint="eastAsia" w:eastAsia="宋体"/>
                <w:color w:val="auto"/>
              </w:rPr>
            </w:pPr>
            <w:r>
              <w:rPr>
                <w:rFonts w:hint="eastAsia" w:eastAsia="宋体"/>
                <w:color w:val="auto"/>
              </w:rPr>
              <w:t>石油类</w:t>
            </w:r>
          </w:p>
        </w:tc>
        <w:tc>
          <w:tcPr>
            <w:tcW w:w="697" w:type="pct"/>
          </w:tcPr>
          <w:p w14:paraId="7D9C33A7">
            <w:pPr>
              <w:pStyle w:val="288"/>
              <w:adjustRightInd w:val="0"/>
              <w:snapToGrid w:val="0"/>
              <w:spacing w:line="300" w:lineRule="exact"/>
              <w:rPr>
                <w:rFonts w:hint="eastAsia" w:eastAsia="宋体"/>
                <w:color w:val="auto"/>
              </w:rPr>
            </w:pPr>
            <w:r>
              <w:rPr>
                <w:rFonts w:hint="eastAsia" w:eastAsia="宋体"/>
                <w:color w:val="auto"/>
              </w:rPr>
              <w:t>/</w:t>
            </w:r>
          </w:p>
        </w:tc>
      </w:tr>
      <w:tr w14:paraId="14720F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3" w:type="pct"/>
            <w:vMerge w:val="continue"/>
            <w:vAlign w:val="center"/>
          </w:tcPr>
          <w:p w14:paraId="19AC4717">
            <w:pPr>
              <w:pStyle w:val="288"/>
              <w:adjustRightInd w:val="0"/>
              <w:snapToGrid w:val="0"/>
              <w:spacing w:line="300" w:lineRule="exact"/>
              <w:rPr>
                <w:rFonts w:hint="eastAsia" w:eastAsia="宋体"/>
                <w:color w:val="auto"/>
              </w:rPr>
            </w:pPr>
          </w:p>
        </w:tc>
        <w:tc>
          <w:tcPr>
            <w:tcW w:w="841" w:type="pct"/>
            <w:vAlign w:val="center"/>
          </w:tcPr>
          <w:p w14:paraId="01300691">
            <w:pPr>
              <w:pStyle w:val="288"/>
              <w:adjustRightInd w:val="0"/>
              <w:snapToGrid w:val="0"/>
              <w:spacing w:line="300" w:lineRule="exact"/>
              <w:rPr>
                <w:rFonts w:hint="eastAsia" w:eastAsia="宋体"/>
                <w:color w:val="auto"/>
              </w:rPr>
            </w:pPr>
            <w:r>
              <w:rPr>
                <w:rFonts w:hint="eastAsia" w:eastAsia="宋体" w:cs="宋体"/>
                <w:color w:val="auto"/>
                <w:lang w:val="zh-CN"/>
              </w:rPr>
              <w:t>废含油抹布及劳保用品</w:t>
            </w:r>
          </w:p>
        </w:tc>
        <w:tc>
          <w:tcPr>
            <w:tcW w:w="1569" w:type="pct"/>
            <w:vMerge w:val="continue"/>
            <w:vAlign w:val="center"/>
          </w:tcPr>
          <w:p w14:paraId="2A78878C">
            <w:pPr>
              <w:pStyle w:val="288"/>
              <w:adjustRightInd w:val="0"/>
              <w:snapToGrid w:val="0"/>
              <w:spacing w:line="300" w:lineRule="exact"/>
              <w:rPr>
                <w:rFonts w:hint="eastAsia" w:eastAsia="宋体"/>
                <w:color w:val="auto"/>
              </w:rPr>
            </w:pPr>
          </w:p>
        </w:tc>
        <w:tc>
          <w:tcPr>
            <w:tcW w:w="658" w:type="pct"/>
          </w:tcPr>
          <w:p w14:paraId="6CF4D967">
            <w:pPr>
              <w:pStyle w:val="288"/>
              <w:adjustRightInd w:val="0"/>
              <w:snapToGrid w:val="0"/>
              <w:spacing w:line="300" w:lineRule="exact"/>
              <w:rPr>
                <w:rFonts w:hint="eastAsia" w:eastAsia="宋体" w:cs="Arial"/>
                <w:color w:val="auto"/>
              </w:rPr>
            </w:pPr>
            <w:r>
              <w:rPr>
                <w:rFonts w:hint="eastAsia" w:eastAsia="宋体" w:cs="Arial"/>
                <w:color w:val="auto"/>
              </w:rPr>
              <w:t>0.1t/a</w:t>
            </w:r>
          </w:p>
        </w:tc>
        <w:tc>
          <w:tcPr>
            <w:tcW w:w="962" w:type="pct"/>
            <w:vAlign w:val="center"/>
          </w:tcPr>
          <w:p w14:paraId="08453E11">
            <w:pPr>
              <w:pStyle w:val="288"/>
              <w:adjustRightInd w:val="0"/>
              <w:snapToGrid w:val="0"/>
              <w:spacing w:line="300" w:lineRule="exact"/>
              <w:rPr>
                <w:rFonts w:hint="eastAsia" w:eastAsia="宋体"/>
                <w:color w:val="auto"/>
              </w:rPr>
            </w:pPr>
            <w:r>
              <w:rPr>
                <w:rFonts w:hint="eastAsia" w:eastAsia="宋体"/>
                <w:color w:val="auto"/>
              </w:rPr>
              <w:t>石油类</w:t>
            </w:r>
          </w:p>
        </w:tc>
        <w:tc>
          <w:tcPr>
            <w:tcW w:w="697" w:type="pct"/>
          </w:tcPr>
          <w:p w14:paraId="636AD4C9">
            <w:pPr>
              <w:pStyle w:val="288"/>
              <w:adjustRightInd w:val="0"/>
              <w:snapToGrid w:val="0"/>
              <w:spacing w:line="300" w:lineRule="exact"/>
              <w:rPr>
                <w:rFonts w:hint="eastAsia" w:eastAsia="宋体"/>
                <w:color w:val="auto"/>
              </w:rPr>
            </w:pPr>
            <w:r>
              <w:rPr>
                <w:rFonts w:hint="eastAsia" w:eastAsia="宋体"/>
                <w:color w:val="auto"/>
              </w:rPr>
              <w:t>/</w:t>
            </w:r>
          </w:p>
        </w:tc>
      </w:tr>
      <w:tr w14:paraId="4193FC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3" w:type="pct"/>
            <w:vMerge w:val="continue"/>
            <w:vAlign w:val="center"/>
          </w:tcPr>
          <w:p w14:paraId="76BE95E8">
            <w:pPr>
              <w:pStyle w:val="288"/>
              <w:adjustRightInd w:val="0"/>
              <w:snapToGrid w:val="0"/>
              <w:spacing w:line="300" w:lineRule="exact"/>
              <w:rPr>
                <w:rFonts w:hint="eastAsia" w:eastAsia="宋体"/>
                <w:color w:val="auto"/>
              </w:rPr>
            </w:pPr>
          </w:p>
        </w:tc>
        <w:tc>
          <w:tcPr>
            <w:tcW w:w="841" w:type="pct"/>
            <w:vAlign w:val="center"/>
          </w:tcPr>
          <w:p w14:paraId="0889D8D3">
            <w:pPr>
              <w:pStyle w:val="288"/>
              <w:adjustRightInd w:val="0"/>
              <w:snapToGrid w:val="0"/>
              <w:spacing w:line="300" w:lineRule="exact"/>
              <w:rPr>
                <w:rFonts w:hint="eastAsia" w:eastAsia="宋体"/>
                <w:color w:val="auto"/>
              </w:rPr>
            </w:pPr>
            <w:r>
              <w:rPr>
                <w:rFonts w:hint="eastAsia" w:eastAsia="宋体"/>
                <w:color w:val="auto"/>
              </w:rPr>
              <w:t>生活垃圾</w:t>
            </w:r>
          </w:p>
        </w:tc>
        <w:tc>
          <w:tcPr>
            <w:tcW w:w="1569" w:type="pct"/>
            <w:vAlign w:val="center"/>
          </w:tcPr>
          <w:p w14:paraId="2B4FCDBA">
            <w:pPr>
              <w:pStyle w:val="288"/>
              <w:adjustRightInd w:val="0"/>
              <w:snapToGrid w:val="0"/>
              <w:spacing w:line="300" w:lineRule="exact"/>
              <w:rPr>
                <w:rFonts w:hint="eastAsia" w:eastAsia="宋体"/>
                <w:color w:val="auto"/>
              </w:rPr>
            </w:pPr>
            <w:r>
              <w:rPr>
                <w:rFonts w:hint="eastAsia" w:eastAsia="宋体"/>
                <w:color w:val="auto"/>
              </w:rPr>
              <w:t>送至玛纳斯县生活垃圾填埋场处理</w:t>
            </w:r>
          </w:p>
        </w:tc>
        <w:tc>
          <w:tcPr>
            <w:tcW w:w="658" w:type="pct"/>
          </w:tcPr>
          <w:p w14:paraId="2F941F74">
            <w:pPr>
              <w:pStyle w:val="288"/>
              <w:adjustRightInd w:val="0"/>
              <w:snapToGrid w:val="0"/>
              <w:spacing w:line="300" w:lineRule="exact"/>
              <w:rPr>
                <w:rFonts w:hint="eastAsia" w:eastAsia="宋体"/>
                <w:color w:val="auto"/>
              </w:rPr>
            </w:pPr>
            <w:r>
              <w:rPr>
                <w:rFonts w:hint="eastAsia" w:eastAsia="宋体"/>
                <w:color w:val="auto"/>
              </w:rPr>
              <w:t>1.6t/a</w:t>
            </w:r>
          </w:p>
        </w:tc>
        <w:tc>
          <w:tcPr>
            <w:tcW w:w="962" w:type="pct"/>
            <w:vAlign w:val="center"/>
          </w:tcPr>
          <w:p w14:paraId="60877889">
            <w:pPr>
              <w:pStyle w:val="288"/>
              <w:adjustRightInd w:val="0"/>
              <w:snapToGrid w:val="0"/>
              <w:spacing w:line="300" w:lineRule="exact"/>
              <w:rPr>
                <w:rFonts w:hint="eastAsia" w:eastAsia="宋体"/>
                <w:color w:val="auto"/>
              </w:rPr>
            </w:pPr>
            <w:r>
              <w:rPr>
                <w:rFonts w:hint="eastAsia" w:eastAsia="宋体"/>
                <w:color w:val="auto"/>
              </w:rPr>
              <w:t>/</w:t>
            </w:r>
          </w:p>
        </w:tc>
        <w:tc>
          <w:tcPr>
            <w:tcW w:w="697" w:type="pct"/>
          </w:tcPr>
          <w:p w14:paraId="4827FFFA">
            <w:pPr>
              <w:pStyle w:val="288"/>
              <w:adjustRightInd w:val="0"/>
              <w:snapToGrid w:val="0"/>
              <w:spacing w:line="300" w:lineRule="exact"/>
              <w:rPr>
                <w:rFonts w:hint="eastAsia" w:eastAsia="宋体"/>
                <w:color w:val="auto"/>
              </w:rPr>
            </w:pPr>
            <w:r>
              <w:rPr>
                <w:rFonts w:hint="eastAsia" w:eastAsia="宋体"/>
                <w:color w:val="auto"/>
              </w:rPr>
              <w:t>/</w:t>
            </w:r>
          </w:p>
        </w:tc>
      </w:tr>
      <w:bookmarkEnd w:id="945"/>
    </w:tbl>
    <w:p w14:paraId="6544DD10">
      <w:pPr>
        <w:pStyle w:val="86"/>
        <w:ind w:firstLine="199" w:firstLineChars="83"/>
        <w:rPr>
          <w:rFonts w:hint="eastAsia"/>
          <w:color w:val="auto"/>
        </w:rPr>
        <w:sectPr>
          <w:headerReference r:id="rId30" w:type="default"/>
          <w:pgSz w:w="16838" w:h="11906" w:orient="landscape"/>
          <w:pgMar w:top="1588" w:right="1418" w:bottom="1588" w:left="1418" w:header="1020" w:footer="1020" w:gutter="0"/>
          <w:cols w:space="720" w:num="1"/>
          <w:docGrid w:type="lines" w:linePitch="312" w:charSpace="0"/>
        </w:sectPr>
      </w:pPr>
    </w:p>
    <w:p w14:paraId="1DE19CE2">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946" w:name="_Toc224406034"/>
      <w:r>
        <w:rPr>
          <w:rFonts w:hint="eastAsia" w:ascii="黑体" w:hAnsi="黑体" w:eastAsia="黑体" w:cs="Times New Roman"/>
          <w:bCs/>
          <w:color w:val="auto"/>
          <w:sz w:val="28"/>
          <w:szCs w:val="32"/>
          <w14:ligatures w14:val="none"/>
        </w:rPr>
        <w:t>环境监测与监控</w:t>
      </w:r>
      <w:bookmarkEnd w:id="946"/>
    </w:p>
    <w:p w14:paraId="734C5D6B">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施工期</w:t>
      </w:r>
      <w:r>
        <w:rPr>
          <w:rFonts w:ascii="黑体" w:hAnsi="黑体" w:eastAsia="黑体" w:cs="Times New Roman"/>
          <w:color w:val="auto"/>
          <w:sz w:val="24"/>
          <w:szCs w:val="21"/>
          <w:lang w:val="zh-CN"/>
          <w14:ligatures w14:val="none"/>
        </w:rPr>
        <w:t>开展环境工程现场监理</w:t>
      </w:r>
      <w:r>
        <w:rPr>
          <w:rFonts w:hint="eastAsia" w:ascii="黑体" w:hAnsi="黑体" w:eastAsia="黑体" w:cs="Times New Roman"/>
          <w:color w:val="auto"/>
          <w:sz w:val="24"/>
          <w:szCs w:val="21"/>
          <w:lang w:val="zh-CN"/>
          <w14:ligatures w14:val="none"/>
        </w:rPr>
        <w:t>建议</w:t>
      </w:r>
    </w:p>
    <w:p w14:paraId="53A8D179">
      <w:pPr>
        <w:pStyle w:val="86"/>
        <w:ind w:firstLine="480"/>
        <w:rPr>
          <w:rFonts w:hint="eastAsia"/>
          <w:color w:val="auto"/>
        </w:rPr>
      </w:pPr>
      <w:r>
        <w:rPr>
          <w:rFonts w:hint="eastAsia"/>
          <w:color w:val="auto"/>
        </w:rPr>
        <w:t>为减轻</w:t>
      </w:r>
      <w:r>
        <w:rPr>
          <w:color w:val="auto"/>
        </w:rPr>
        <w:t>对环境的影响，将环境管理制度从事后管理转变为全过程管理，建议实施环境监理。</w:t>
      </w:r>
    </w:p>
    <w:p w14:paraId="0E78F5B0">
      <w:pPr>
        <w:pStyle w:val="86"/>
        <w:ind w:firstLine="480"/>
        <w:rPr>
          <w:rFonts w:hint="eastAsia"/>
          <w:color w:val="auto"/>
        </w:rPr>
      </w:pPr>
      <w:r>
        <w:rPr>
          <w:rFonts w:hint="eastAsia"/>
          <w:color w:val="auto"/>
        </w:rPr>
        <w:t>由于建设单位</w:t>
      </w:r>
      <w:r>
        <w:rPr>
          <w:color w:val="auto"/>
        </w:rPr>
        <w:t>聘请相关环境监理</w:t>
      </w:r>
      <w:r>
        <w:rPr>
          <w:rFonts w:hint="eastAsia"/>
          <w:color w:val="auto"/>
        </w:rPr>
        <w:t>机构</w:t>
      </w:r>
      <w:r>
        <w:rPr>
          <w:color w:val="auto"/>
        </w:rPr>
        <w:t>对施工单位</w:t>
      </w:r>
      <w:r>
        <w:rPr>
          <w:rFonts w:hint="eastAsia"/>
          <w:color w:val="auto"/>
        </w:rPr>
        <w:t>、</w:t>
      </w:r>
      <w:r>
        <w:rPr>
          <w:color w:val="auto"/>
        </w:rPr>
        <w:t>承包商、供应商和</w:t>
      </w:r>
      <w:r>
        <w:rPr>
          <w:rFonts w:hint="eastAsia"/>
          <w:color w:val="auto"/>
        </w:rPr>
        <w:t>中国石油新疆油田分公司</w:t>
      </w:r>
      <w:r>
        <w:rPr>
          <w:color w:val="auto"/>
        </w:rPr>
        <w:t>环保法律、法规、制度、标准、规范的情况</w:t>
      </w:r>
      <w:r>
        <w:rPr>
          <w:rFonts w:hint="eastAsia"/>
          <w:color w:val="auto"/>
        </w:rPr>
        <w:t>依法</w:t>
      </w:r>
      <w:r>
        <w:rPr>
          <w:color w:val="auto"/>
        </w:rPr>
        <w:t>进行监督检查，特别是加强施工现场的环境监理检查工作，目的是协助建设单位落实</w:t>
      </w:r>
      <w:r>
        <w:rPr>
          <w:rFonts w:hint="eastAsia"/>
          <w:color w:val="auto"/>
        </w:rPr>
        <w:t>施工</w:t>
      </w:r>
      <w:r>
        <w:rPr>
          <w:color w:val="auto"/>
        </w:rPr>
        <w:t>期间的各项环境保护要求和施工合同中的环保规定，确保</w:t>
      </w:r>
      <w:r>
        <w:rPr>
          <w:rFonts w:hint="eastAsia"/>
          <w:color w:val="auto"/>
        </w:rPr>
        <w:t>项目</w:t>
      </w:r>
      <w:r>
        <w:rPr>
          <w:color w:val="auto"/>
        </w:rPr>
        <w:t>建设符合有关相关要求。因此</w:t>
      </w:r>
      <w:r>
        <w:rPr>
          <w:rFonts w:hint="eastAsia"/>
          <w:color w:val="auto"/>
        </w:rPr>
        <w:t>建议</w:t>
      </w:r>
      <w:r>
        <w:rPr>
          <w:color w:val="auto"/>
        </w:rPr>
        <w:t>建设单位外聘环保专业人员，对</w:t>
      </w:r>
      <w:r>
        <w:rPr>
          <w:rFonts w:hint="eastAsia"/>
          <w:color w:val="auto"/>
        </w:rPr>
        <w:t>各</w:t>
      </w:r>
      <w:r>
        <w:rPr>
          <w:color w:val="auto"/>
        </w:rPr>
        <w:t>作业</w:t>
      </w:r>
      <w:r>
        <w:rPr>
          <w:rFonts w:hint="eastAsia"/>
          <w:color w:val="auto"/>
        </w:rPr>
        <w:t>阶段</w:t>
      </w:r>
      <w:r>
        <w:rPr>
          <w:color w:val="auto"/>
        </w:rPr>
        <w:t>进行环境监理工作。</w:t>
      </w:r>
      <w:bookmarkEnd w:id="940"/>
      <w:bookmarkEnd w:id="941"/>
      <w:bookmarkEnd w:id="942"/>
    </w:p>
    <w:p w14:paraId="51761589">
      <w:pPr>
        <w:pStyle w:val="86"/>
        <w:ind w:firstLine="480"/>
        <w:rPr>
          <w:rFonts w:hint="eastAsia"/>
          <w:color w:val="auto"/>
        </w:rPr>
      </w:pPr>
      <w:r>
        <w:rPr>
          <w:rFonts w:hint="eastAsia"/>
          <w:color w:val="auto"/>
        </w:rPr>
        <w:t>（1</w:t>
      </w:r>
      <w:r>
        <w:rPr>
          <w:color w:val="auto"/>
        </w:rPr>
        <w:t>）</w:t>
      </w:r>
      <w:r>
        <w:rPr>
          <w:rFonts w:hint="eastAsia"/>
          <w:color w:val="auto"/>
        </w:rPr>
        <w:t>环境</w:t>
      </w:r>
      <w:r>
        <w:rPr>
          <w:color w:val="auto"/>
        </w:rPr>
        <w:t>监理人员要求</w:t>
      </w:r>
    </w:p>
    <w:p w14:paraId="3A25163E">
      <w:pPr>
        <w:pStyle w:val="86"/>
        <w:ind w:firstLine="480"/>
        <w:rPr>
          <w:rFonts w:hint="eastAsia"/>
          <w:color w:val="auto"/>
        </w:rPr>
      </w:pPr>
      <w:r>
        <w:rPr>
          <w:rFonts w:hint="eastAsia"/>
          <w:color w:val="auto"/>
        </w:rPr>
        <w:t>①环境</w:t>
      </w:r>
      <w:r>
        <w:rPr>
          <w:color w:val="auto"/>
        </w:rPr>
        <w:t>监理人员必须具备环保专业</w:t>
      </w:r>
      <w:r>
        <w:rPr>
          <w:rFonts w:hint="eastAsia"/>
          <w:color w:val="auto"/>
        </w:rPr>
        <w:t>知识</w:t>
      </w:r>
      <w:r>
        <w:rPr>
          <w:color w:val="auto"/>
        </w:rPr>
        <w:t>，</w:t>
      </w:r>
      <w:bookmarkStart w:id="947" w:name="_Hlk33530010"/>
      <w:r>
        <w:rPr>
          <w:rFonts w:hint="eastAsia"/>
          <w:color w:val="auto"/>
        </w:rPr>
        <w:t>精通</w:t>
      </w:r>
      <w:r>
        <w:rPr>
          <w:color w:val="auto"/>
        </w:rPr>
        <w:t>国家环境</w:t>
      </w:r>
      <w:r>
        <w:rPr>
          <w:rFonts w:hint="eastAsia"/>
          <w:color w:val="auto"/>
        </w:rPr>
        <w:t>保护相关</w:t>
      </w:r>
      <w:r>
        <w:rPr>
          <w:color w:val="auto"/>
        </w:rPr>
        <w:t>法律、法规</w:t>
      </w:r>
      <w:r>
        <w:rPr>
          <w:rFonts w:hint="eastAsia"/>
          <w:color w:val="auto"/>
        </w:rPr>
        <w:t>、标准</w:t>
      </w:r>
      <w:r>
        <w:rPr>
          <w:color w:val="auto"/>
        </w:rPr>
        <w:t>和政策</w:t>
      </w:r>
      <w:r>
        <w:rPr>
          <w:rFonts w:hint="eastAsia"/>
          <w:color w:val="auto"/>
        </w:rPr>
        <w:t>，</w:t>
      </w:r>
      <w:r>
        <w:rPr>
          <w:color w:val="auto"/>
        </w:rPr>
        <w:t>了解当地</w:t>
      </w:r>
      <w:bookmarkStart w:id="948" w:name="_Hlk33529977"/>
      <w:r>
        <w:rPr>
          <w:rFonts w:hint="eastAsia"/>
          <w:color w:val="auto"/>
        </w:rPr>
        <w:t>生态环境行政主管部门</w:t>
      </w:r>
      <w:bookmarkEnd w:id="948"/>
      <w:r>
        <w:rPr>
          <w:color w:val="auto"/>
        </w:rPr>
        <w:t>的</w:t>
      </w:r>
      <w:r>
        <w:rPr>
          <w:rFonts w:hint="eastAsia"/>
          <w:color w:val="auto"/>
        </w:rPr>
        <w:t>环保</w:t>
      </w:r>
      <w:r>
        <w:rPr>
          <w:color w:val="auto"/>
        </w:rPr>
        <w:t>要求</w:t>
      </w:r>
      <w:bookmarkEnd w:id="947"/>
      <w:r>
        <w:rPr>
          <w:color w:val="auto"/>
        </w:rPr>
        <w:t>。</w:t>
      </w:r>
    </w:p>
    <w:p w14:paraId="3BD30A76">
      <w:pPr>
        <w:pStyle w:val="86"/>
        <w:spacing w:line="480" w:lineRule="exact"/>
        <w:ind w:firstLine="480"/>
        <w:rPr>
          <w:rFonts w:hint="eastAsia"/>
          <w:color w:val="auto"/>
        </w:rPr>
      </w:pPr>
      <w:r>
        <w:rPr>
          <w:rFonts w:hint="eastAsia"/>
          <w:color w:val="auto"/>
        </w:rPr>
        <w:t>②必须</w:t>
      </w:r>
      <w:r>
        <w:rPr>
          <w:color w:val="auto"/>
        </w:rPr>
        <w:t>接受</w:t>
      </w:r>
      <w:r>
        <w:rPr>
          <w:rFonts w:hint="eastAsia"/>
          <w:color w:val="auto"/>
        </w:rPr>
        <w:t>过HSE专门</w:t>
      </w:r>
      <w:r>
        <w:rPr>
          <w:color w:val="auto"/>
        </w:rPr>
        <w:t>培训，有较长的从事环保</w:t>
      </w:r>
      <w:r>
        <w:rPr>
          <w:rFonts w:hint="eastAsia"/>
          <w:color w:val="auto"/>
        </w:rPr>
        <w:t>工作经历。</w:t>
      </w:r>
    </w:p>
    <w:p w14:paraId="2A4524B7">
      <w:pPr>
        <w:pStyle w:val="86"/>
        <w:spacing w:line="480" w:lineRule="exact"/>
        <w:ind w:firstLine="480"/>
        <w:rPr>
          <w:rFonts w:hint="eastAsia"/>
          <w:color w:val="auto"/>
        </w:rPr>
      </w:pPr>
      <w:r>
        <w:rPr>
          <w:rFonts w:hint="eastAsia"/>
          <w:color w:val="auto"/>
        </w:rPr>
        <w:t>③具有</w:t>
      </w:r>
      <w:r>
        <w:rPr>
          <w:color w:val="auto"/>
        </w:rPr>
        <w:t>一定的油</w:t>
      </w:r>
      <w:r>
        <w:rPr>
          <w:rFonts w:hint="eastAsia"/>
          <w:color w:val="auto"/>
        </w:rPr>
        <w:t>气</w:t>
      </w:r>
      <w:r>
        <w:rPr>
          <w:color w:val="auto"/>
        </w:rPr>
        <w:t>田开发和输油气管道建设的现场施工经验。</w:t>
      </w:r>
    </w:p>
    <w:p w14:paraId="399E3DC6">
      <w:pPr>
        <w:pStyle w:val="86"/>
        <w:spacing w:line="480" w:lineRule="exact"/>
        <w:ind w:firstLine="480"/>
        <w:rPr>
          <w:rFonts w:hint="eastAsia"/>
          <w:color w:val="auto"/>
        </w:rPr>
      </w:pPr>
      <w:r>
        <w:rPr>
          <w:rFonts w:hint="eastAsia"/>
          <w:color w:val="auto"/>
        </w:rPr>
        <w:t>（2</w:t>
      </w:r>
      <w:r>
        <w:rPr>
          <w:color w:val="auto"/>
        </w:rPr>
        <w:t>）</w:t>
      </w:r>
      <w:r>
        <w:rPr>
          <w:rFonts w:hint="eastAsia"/>
          <w:color w:val="auto"/>
        </w:rPr>
        <w:t>环境监理人员</w:t>
      </w:r>
      <w:r>
        <w:rPr>
          <w:color w:val="auto"/>
        </w:rPr>
        <w:t>主要职责</w:t>
      </w:r>
    </w:p>
    <w:p w14:paraId="06B49EBD">
      <w:pPr>
        <w:pStyle w:val="86"/>
        <w:spacing w:line="480" w:lineRule="exact"/>
        <w:ind w:firstLine="480"/>
        <w:rPr>
          <w:rFonts w:hint="eastAsia"/>
          <w:color w:val="auto"/>
        </w:rPr>
      </w:pPr>
      <w:r>
        <w:rPr>
          <w:rFonts w:hint="eastAsia"/>
          <w:color w:val="auto"/>
        </w:rPr>
        <w:t>①监督</w:t>
      </w:r>
      <w:r>
        <w:rPr>
          <w:color w:val="auto"/>
        </w:rPr>
        <w:t>施工现场对</w:t>
      </w:r>
      <w:r>
        <w:rPr>
          <w:rFonts w:hint="eastAsia"/>
          <w:color w:val="auto"/>
        </w:rPr>
        <w:t>“</w:t>
      </w:r>
      <w:r>
        <w:rPr>
          <w:color w:val="auto"/>
        </w:rPr>
        <w:t>环境管理方案</w:t>
      </w:r>
      <w:r>
        <w:rPr>
          <w:rFonts w:hint="eastAsia"/>
          <w:color w:val="auto"/>
        </w:rPr>
        <w:t>”</w:t>
      </w:r>
      <w:r>
        <w:rPr>
          <w:color w:val="auto"/>
        </w:rPr>
        <w:t>的落实。</w:t>
      </w:r>
    </w:p>
    <w:p w14:paraId="5A3A68EA">
      <w:pPr>
        <w:pStyle w:val="86"/>
        <w:spacing w:line="480" w:lineRule="exact"/>
        <w:ind w:firstLine="480"/>
        <w:rPr>
          <w:rFonts w:hint="eastAsia"/>
          <w:color w:val="auto"/>
        </w:rPr>
      </w:pPr>
      <w:r>
        <w:rPr>
          <w:rFonts w:hint="eastAsia"/>
          <w:color w:val="auto"/>
        </w:rPr>
        <w:t>②协助HSE部门</w:t>
      </w:r>
      <w:r>
        <w:rPr>
          <w:color w:val="auto"/>
        </w:rPr>
        <w:t>负责人汇报环境管理现状，并</w:t>
      </w:r>
      <w:r>
        <w:rPr>
          <w:rFonts w:hint="eastAsia"/>
          <w:color w:val="auto"/>
        </w:rPr>
        <w:t>根据发现</w:t>
      </w:r>
      <w:r>
        <w:rPr>
          <w:color w:val="auto"/>
        </w:rPr>
        <w:t>的问题提出合理</w:t>
      </w:r>
      <w:r>
        <w:rPr>
          <w:rFonts w:hint="eastAsia"/>
          <w:color w:val="auto"/>
        </w:rPr>
        <w:t>化</w:t>
      </w:r>
      <w:r>
        <w:rPr>
          <w:color w:val="auto"/>
        </w:rPr>
        <w:t>建议。</w:t>
      </w:r>
    </w:p>
    <w:p w14:paraId="0DD7B1F3">
      <w:pPr>
        <w:pStyle w:val="86"/>
        <w:spacing w:line="480" w:lineRule="exact"/>
        <w:ind w:firstLine="480"/>
        <w:rPr>
          <w:rFonts w:hint="eastAsia"/>
          <w:color w:val="auto"/>
        </w:rPr>
      </w:pPr>
      <w:r>
        <w:rPr>
          <w:rFonts w:hint="eastAsia"/>
          <w:color w:val="auto"/>
        </w:rPr>
        <w:t>③协助HSE部门</w:t>
      </w:r>
      <w:r>
        <w:rPr>
          <w:color w:val="auto"/>
        </w:rPr>
        <w:t>负责人</w:t>
      </w:r>
      <w:r>
        <w:rPr>
          <w:rFonts w:hint="eastAsia"/>
          <w:color w:val="auto"/>
        </w:rPr>
        <w:t>宣传</w:t>
      </w:r>
      <w:r>
        <w:rPr>
          <w:color w:val="auto"/>
        </w:rPr>
        <w:t>贯彻国家和当地</w:t>
      </w:r>
      <w:r>
        <w:rPr>
          <w:rFonts w:hint="eastAsia"/>
          <w:color w:val="auto"/>
        </w:rPr>
        <w:t>政府</w:t>
      </w:r>
      <w:r>
        <w:rPr>
          <w:color w:val="auto"/>
        </w:rPr>
        <w:t>有关</w:t>
      </w:r>
      <w:r>
        <w:rPr>
          <w:rFonts w:hint="eastAsia"/>
          <w:color w:val="auto"/>
        </w:rPr>
        <w:t>环境</w:t>
      </w:r>
      <w:r>
        <w:rPr>
          <w:color w:val="auto"/>
        </w:rPr>
        <w:t>方面的法律、法规</w:t>
      </w:r>
      <w:r>
        <w:rPr>
          <w:rFonts w:hint="eastAsia"/>
          <w:color w:val="auto"/>
        </w:rPr>
        <w:t>和政策</w:t>
      </w:r>
      <w:r>
        <w:rPr>
          <w:color w:val="auto"/>
        </w:rPr>
        <w:t>。</w:t>
      </w:r>
    </w:p>
    <w:p w14:paraId="26D2820F">
      <w:pPr>
        <w:pStyle w:val="86"/>
        <w:spacing w:line="480" w:lineRule="exact"/>
        <w:ind w:firstLine="480"/>
        <w:rPr>
          <w:rFonts w:hint="eastAsia"/>
          <w:color w:val="auto"/>
        </w:rPr>
      </w:pPr>
      <w:r>
        <w:rPr>
          <w:rFonts w:hint="eastAsia"/>
          <w:color w:val="auto"/>
        </w:rPr>
        <w:t>④对HSE工作</w:t>
      </w:r>
      <w:r>
        <w:rPr>
          <w:color w:val="auto"/>
        </w:rPr>
        <w:t>的真实性、合法性、效益</w:t>
      </w:r>
      <w:r>
        <w:rPr>
          <w:rFonts w:hint="eastAsia"/>
          <w:color w:val="auto"/>
        </w:rPr>
        <w:t>性进行</w:t>
      </w:r>
      <w:r>
        <w:rPr>
          <w:color w:val="auto"/>
        </w:rPr>
        <w:t>审查，评价其责任，并提出</w:t>
      </w:r>
      <w:r>
        <w:rPr>
          <w:rFonts w:hint="eastAsia"/>
          <w:color w:val="auto"/>
        </w:rPr>
        <w:t>改进</w:t>
      </w:r>
      <w:r>
        <w:rPr>
          <w:color w:val="auto"/>
        </w:rPr>
        <w:t>意见</w:t>
      </w:r>
      <w:r>
        <w:rPr>
          <w:rFonts w:hint="eastAsia"/>
          <w:color w:val="auto"/>
        </w:rPr>
        <w:t>。</w:t>
      </w:r>
    </w:p>
    <w:p w14:paraId="74D43790">
      <w:pPr>
        <w:pStyle w:val="86"/>
        <w:spacing w:line="480" w:lineRule="exact"/>
        <w:ind w:firstLine="480"/>
        <w:rPr>
          <w:rFonts w:hint="eastAsia"/>
          <w:color w:val="auto"/>
        </w:rPr>
      </w:pPr>
      <w:r>
        <w:rPr>
          <w:rFonts w:hint="eastAsia"/>
          <w:color w:val="auto"/>
        </w:rPr>
        <w:t>环境</w:t>
      </w:r>
      <w:r>
        <w:rPr>
          <w:color w:val="auto"/>
        </w:rPr>
        <w:t>监理工作计划</w:t>
      </w:r>
      <w:r>
        <w:rPr>
          <w:rFonts w:hint="eastAsia"/>
          <w:color w:val="auto"/>
        </w:rPr>
        <w:t>及</w:t>
      </w:r>
      <w:r>
        <w:rPr>
          <w:color w:val="auto"/>
        </w:rPr>
        <w:t>重点</w:t>
      </w:r>
      <w:r>
        <w:rPr>
          <w:rFonts w:hint="eastAsia"/>
          <w:color w:val="auto"/>
        </w:rPr>
        <w:t>见表</w:t>
      </w:r>
      <w:r>
        <w:rPr>
          <w:color w:val="auto"/>
        </w:rPr>
        <w:t>7.5</w:t>
      </w:r>
      <w:r>
        <w:rPr>
          <w:rFonts w:hint="eastAsia"/>
          <w:color w:val="auto"/>
        </w:rPr>
        <w:t>-</w:t>
      </w:r>
      <w:r>
        <w:rPr>
          <w:color w:val="auto"/>
        </w:rPr>
        <w:t>1</w:t>
      </w:r>
      <w:r>
        <w:rPr>
          <w:rFonts w:hint="eastAsia"/>
          <w:color w:val="auto"/>
        </w:rPr>
        <w:t>。</w:t>
      </w:r>
    </w:p>
    <w:p w14:paraId="0C647F69">
      <w:pPr>
        <w:pStyle w:val="15"/>
        <w:rPr>
          <w:rFonts w:hint="eastAsia"/>
          <w:color w:val="auto"/>
        </w:rPr>
      </w:pPr>
      <w:r>
        <w:rPr>
          <w:rFonts w:hint="eastAsia"/>
          <w:color w:val="auto"/>
        </w:rPr>
        <w:t>表</w:t>
      </w:r>
      <w:r>
        <w:rPr>
          <w:color w:val="auto"/>
        </w:rPr>
        <w:t>7.5</w:t>
      </w:r>
      <w:r>
        <w:rPr>
          <w:rFonts w:hint="eastAsia"/>
          <w:color w:val="auto"/>
        </w:rPr>
        <w:t>-</w:t>
      </w:r>
      <w:r>
        <w:rPr>
          <w:color w:val="auto"/>
        </w:rPr>
        <w:t>1</w:t>
      </w:r>
      <w:r>
        <w:rPr>
          <w:rFonts w:hint="eastAsia"/>
          <w:color w:val="auto"/>
        </w:rPr>
        <w:t xml:space="preserve">  现场</w:t>
      </w:r>
      <w:r>
        <w:rPr>
          <w:color w:val="auto"/>
        </w:rPr>
        <w:t>环境监理工作</w:t>
      </w:r>
      <w:r>
        <w:rPr>
          <w:rFonts w:hint="eastAsia"/>
          <w:color w:val="auto"/>
        </w:rPr>
        <w:t>计划</w:t>
      </w:r>
    </w:p>
    <w:tbl>
      <w:tblPr>
        <w:tblStyle w:val="5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5"/>
        <w:gridCol w:w="851"/>
        <w:gridCol w:w="6095"/>
        <w:gridCol w:w="1109"/>
      </w:tblGrid>
      <w:tr w14:paraId="71AF91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75" w:type="dxa"/>
            <w:vAlign w:val="center"/>
          </w:tcPr>
          <w:p w14:paraId="0678886F">
            <w:pPr>
              <w:pStyle w:val="225"/>
              <w:adjustRightInd w:val="0"/>
              <w:snapToGrid w:val="0"/>
              <w:spacing w:line="300" w:lineRule="exact"/>
              <w:rPr>
                <w:rFonts w:hint="eastAsia"/>
                <w:color w:val="auto"/>
                <w:szCs w:val="21"/>
              </w:rPr>
            </w:pPr>
            <w:r>
              <w:rPr>
                <w:rFonts w:hint="eastAsia"/>
                <w:color w:val="auto"/>
                <w:szCs w:val="21"/>
              </w:rPr>
              <w:t>序号</w:t>
            </w:r>
          </w:p>
        </w:tc>
        <w:tc>
          <w:tcPr>
            <w:tcW w:w="851" w:type="dxa"/>
            <w:vAlign w:val="center"/>
          </w:tcPr>
          <w:p w14:paraId="5916C105">
            <w:pPr>
              <w:pStyle w:val="225"/>
              <w:adjustRightInd w:val="0"/>
              <w:snapToGrid w:val="0"/>
              <w:spacing w:line="300" w:lineRule="exact"/>
              <w:rPr>
                <w:rFonts w:hint="eastAsia"/>
                <w:color w:val="auto"/>
                <w:szCs w:val="21"/>
              </w:rPr>
            </w:pPr>
            <w:r>
              <w:rPr>
                <w:rFonts w:hint="eastAsia"/>
                <w:color w:val="auto"/>
                <w:szCs w:val="21"/>
              </w:rPr>
              <w:t>场地</w:t>
            </w:r>
          </w:p>
        </w:tc>
        <w:tc>
          <w:tcPr>
            <w:tcW w:w="6095" w:type="dxa"/>
            <w:vAlign w:val="center"/>
          </w:tcPr>
          <w:p w14:paraId="58F7CD95">
            <w:pPr>
              <w:pStyle w:val="225"/>
              <w:adjustRightInd w:val="0"/>
              <w:snapToGrid w:val="0"/>
              <w:spacing w:line="300" w:lineRule="exact"/>
              <w:rPr>
                <w:rFonts w:hint="eastAsia"/>
                <w:color w:val="auto"/>
                <w:szCs w:val="21"/>
              </w:rPr>
            </w:pPr>
            <w:r>
              <w:rPr>
                <w:rFonts w:hint="eastAsia"/>
                <w:color w:val="auto"/>
                <w:szCs w:val="21"/>
              </w:rPr>
              <w:t>监督内容</w:t>
            </w:r>
          </w:p>
        </w:tc>
        <w:tc>
          <w:tcPr>
            <w:tcW w:w="1109" w:type="dxa"/>
            <w:vAlign w:val="center"/>
          </w:tcPr>
          <w:p w14:paraId="3596B521">
            <w:pPr>
              <w:pStyle w:val="225"/>
              <w:adjustRightInd w:val="0"/>
              <w:snapToGrid w:val="0"/>
              <w:spacing w:line="300" w:lineRule="exact"/>
              <w:rPr>
                <w:rFonts w:hint="eastAsia"/>
                <w:color w:val="auto"/>
                <w:szCs w:val="21"/>
              </w:rPr>
            </w:pPr>
            <w:r>
              <w:rPr>
                <w:rFonts w:hint="eastAsia"/>
                <w:color w:val="auto"/>
                <w:szCs w:val="21"/>
              </w:rPr>
              <w:t>监理要求</w:t>
            </w:r>
          </w:p>
        </w:tc>
      </w:tr>
      <w:tr w14:paraId="4372DF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vAlign w:val="center"/>
          </w:tcPr>
          <w:p w14:paraId="7766EAED">
            <w:pPr>
              <w:pStyle w:val="225"/>
              <w:adjustRightInd w:val="0"/>
              <w:snapToGrid w:val="0"/>
              <w:spacing w:line="300" w:lineRule="exact"/>
              <w:rPr>
                <w:rFonts w:hint="eastAsia"/>
                <w:color w:val="auto"/>
                <w:szCs w:val="21"/>
              </w:rPr>
            </w:pPr>
            <w:r>
              <w:rPr>
                <w:color w:val="auto"/>
                <w:szCs w:val="21"/>
              </w:rPr>
              <w:t>1</w:t>
            </w:r>
          </w:p>
        </w:tc>
        <w:tc>
          <w:tcPr>
            <w:tcW w:w="851" w:type="dxa"/>
            <w:vAlign w:val="center"/>
          </w:tcPr>
          <w:p w14:paraId="424F74EB">
            <w:pPr>
              <w:pStyle w:val="225"/>
              <w:adjustRightInd w:val="0"/>
              <w:snapToGrid w:val="0"/>
              <w:spacing w:line="300" w:lineRule="exact"/>
              <w:rPr>
                <w:rFonts w:hint="eastAsia" w:cs="宋体"/>
                <w:color w:val="auto"/>
                <w:szCs w:val="21"/>
              </w:rPr>
            </w:pPr>
            <w:r>
              <w:rPr>
                <w:rFonts w:hint="eastAsia" w:cs="宋体"/>
                <w:color w:val="auto"/>
                <w:szCs w:val="21"/>
                <w:lang w:bidi="ar"/>
              </w:rPr>
              <w:t>各站场建设现场</w:t>
            </w:r>
          </w:p>
        </w:tc>
        <w:tc>
          <w:tcPr>
            <w:tcW w:w="6095" w:type="dxa"/>
            <w:vAlign w:val="center"/>
          </w:tcPr>
          <w:p w14:paraId="7D4527B8">
            <w:pPr>
              <w:pStyle w:val="225"/>
              <w:adjustRightInd w:val="0"/>
              <w:snapToGrid w:val="0"/>
              <w:spacing w:line="300" w:lineRule="exact"/>
              <w:jc w:val="left"/>
              <w:rPr>
                <w:rFonts w:hint="eastAsia" w:cs="宋体"/>
                <w:color w:val="auto"/>
                <w:szCs w:val="21"/>
              </w:rPr>
            </w:pPr>
            <w:r>
              <w:rPr>
                <w:rFonts w:hint="eastAsia" w:cs="宋体"/>
                <w:color w:val="auto"/>
                <w:szCs w:val="21"/>
                <w:lang w:bidi="ar"/>
              </w:rPr>
              <w:t>1）施工作业是否超越了限定范围，施工结束后，施工现场是否进行了及时清理；</w:t>
            </w:r>
          </w:p>
          <w:p w14:paraId="6111C191">
            <w:pPr>
              <w:pStyle w:val="225"/>
              <w:adjustRightInd w:val="0"/>
              <w:snapToGrid w:val="0"/>
              <w:spacing w:line="300" w:lineRule="exact"/>
              <w:jc w:val="left"/>
              <w:rPr>
                <w:rFonts w:hint="eastAsia" w:cs="宋体"/>
                <w:color w:val="auto"/>
                <w:szCs w:val="21"/>
                <w:lang w:bidi="ar"/>
              </w:rPr>
            </w:pPr>
            <w:r>
              <w:rPr>
                <w:rFonts w:hint="eastAsia" w:cs="宋体"/>
                <w:color w:val="auto"/>
                <w:szCs w:val="21"/>
                <w:lang w:bidi="ar"/>
              </w:rPr>
              <w:t>2）废气、噪声是否达标排放，废水、固体废物是否妥善处理；</w:t>
            </w:r>
          </w:p>
          <w:p w14:paraId="013BBE1B">
            <w:pPr>
              <w:pStyle w:val="225"/>
              <w:adjustRightInd w:val="0"/>
              <w:snapToGrid w:val="0"/>
              <w:spacing w:line="300" w:lineRule="exact"/>
              <w:jc w:val="left"/>
              <w:rPr>
                <w:rFonts w:hint="eastAsia" w:cs="宋体"/>
                <w:color w:val="auto"/>
                <w:szCs w:val="21"/>
              </w:rPr>
            </w:pPr>
            <w:r>
              <w:rPr>
                <w:rFonts w:cs="宋体"/>
                <w:color w:val="auto"/>
                <w:szCs w:val="21"/>
                <w:lang w:bidi="ar"/>
              </w:rPr>
              <w:t>3</w:t>
            </w:r>
            <w:r>
              <w:rPr>
                <w:rFonts w:hint="eastAsia" w:cs="宋体"/>
                <w:color w:val="auto"/>
                <w:szCs w:val="21"/>
                <w:lang w:bidi="ar"/>
              </w:rPr>
              <w:t>）防渗措施是否满足要求</w:t>
            </w:r>
          </w:p>
        </w:tc>
        <w:tc>
          <w:tcPr>
            <w:tcW w:w="1109" w:type="dxa"/>
            <w:vMerge w:val="restart"/>
            <w:vAlign w:val="center"/>
          </w:tcPr>
          <w:p w14:paraId="6BF8D0E5">
            <w:pPr>
              <w:pStyle w:val="225"/>
              <w:adjustRightInd w:val="0"/>
              <w:snapToGrid w:val="0"/>
              <w:spacing w:line="300" w:lineRule="exact"/>
              <w:rPr>
                <w:rFonts w:hint="eastAsia"/>
                <w:color w:val="auto"/>
                <w:szCs w:val="21"/>
              </w:rPr>
            </w:pPr>
            <w:r>
              <w:rPr>
                <w:rFonts w:hint="eastAsia"/>
                <w:color w:val="auto"/>
                <w:szCs w:val="21"/>
              </w:rPr>
              <w:t>环评中环保措施落实到位</w:t>
            </w:r>
          </w:p>
        </w:tc>
      </w:tr>
      <w:tr w14:paraId="1AEAD7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vAlign w:val="center"/>
          </w:tcPr>
          <w:p w14:paraId="28E780DC">
            <w:pPr>
              <w:pStyle w:val="225"/>
              <w:adjustRightInd w:val="0"/>
              <w:snapToGrid w:val="0"/>
              <w:spacing w:line="300" w:lineRule="exact"/>
              <w:rPr>
                <w:rFonts w:hint="eastAsia"/>
                <w:color w:val="auto"/>
                <w:szCs w:val="21"/>
              </w:rPr>
            </w:pPr>
            <w:r>
              <w:rPr>
                <w:rFonts w:hint="eastAsia"/>
                <w:color w:val="auto"/>
                <w:szCs w:val="21"/>
              </w:rPr>
              <w:t>2</w:t>
            </w:r>
          </w:p>
        </w:tc>
        <w:tc>
          <w:tcPr>
            <w:tcW w:w="851" w:type="dxa"/>
            <w:vAlign w:val="center"/>
          </w:tcPr>
          <w:p w14:paraId="54473969">
            <w:pPr>
              <w:pStyle w:val="225"/>
              <w:adjustRightInd w:val="0"/>
              <w:snapToGrid w:val="0"/>
              <w:spacing w:line="300" w:lineRule="exact"/>
              <w:rPr>
                <w:rFonts w:hint="eastAsia" w:cs="宋体"/>
                <w:color w:val="auto"/>
                <w:szCs w:val="21"/>
              </w:rPr>
            </w:pPr>
            <w:r>
              <w:rPr>
                <w:rFonts w:hint="eastAsia" w:cs="宋体"/>
                <w:color w:val="auto"/>
                <w:szCs w:val="21"/>
                <w:lang w:bidi="ar"/>
              </w:rPr>
              <w:t>管线敷设建设现场</w:t>
            </w:r>
          </w:p>
        </w:tc>
        <w:tc>
          <w:tcPr>
            <w:tcW w:w="6095" w:type="dxa"/>
            <w:vAlign w:val="center"/>
          </w:tcPr>
          <w:p w14:paraId="4B72418B">
            <w:pPr>
              <w:pStyle w:val="225"/>
              <w:adjustRightInd w:val="0"/>
              <w:snapToGrid w:val="0"/>
              <w:spacing w:line="300" w:lineRule="exact"/>
              <w:jc w:val="left"/>
              <w:rPr>
                <w:rFonts w:hint="eastAsia" w:cs="宋体"/>
                <w:color w:val="auto"/>
                <w:szCs w:val="21"/>
                <w:lang w:bidi="ar"/>
              </w:rPr>
            </w:pPr>
            <w:r>
              <w:rPr>
                <w:rFonts w:hint="eastAsia" w:cs="宋体"/>
                <w:color w:val="auto"/>
                <w:szCs w:val="21"/>
                <w:lang w:bidi="ar"/>
              </w:rPr>
              <w:t>1）管线选线是否满足环评要求。</w:t>
            </w:r>
          </w:p>
          <w:p w14:paraId="79494783">
            <w:pPr>
              <w:pStyle w:val="225"/>
              <w:adjustRightInd w:val="0"/>
              <w:snapToGrid w:val="0"/>
              <w:spacing w:line="300" w:lineRule="exact"/>
              <w:jc w:val="left"/>
              <w:rPr>
                <w:rFonts w:hint="eastAsia" w:cs="宋体"/>
                <w:color w:val="auto"/>
                <w:szCs w:val="21"/>
              </w:rPr>
            </w:pPr>
            <w:r>
              <w:rPr>
                <w:rFonts w:hint="eastAsia" w:cs="宋体"/>
                <w:color w:val="auto"/>
                <w:szCs w:val="21"/>
                <w:lang w:bidi="ar"/>
              </w:rPr>
              <w:t>2）管线施工作业是否超越了施工宽度；</w:t>
            </w:r>
          </w:p>
          <w:p w14:paraId="0B495A83">
            <w:pPr>
              <w:pStyle w:val="225"/>
              <w:adjustRightInd w:val="0"/>
              <w:snapToGrid w:val="0"/>
              <w:spacing w:line="300" w:lineRule="exact"/>
              <w:jc w:val="left"/>
              <w:rPr>
                <w:rFonts w:hint="eastAsia" w:cs="宋体"/>
                <w:color w:val="auto"/>
                <w:szCs w:val="21"/>
              </w:rPr>
            </w:pPr>
            <w:r>
              <w:rPr>
                <w:rFonts w:hint="eastAsia" w:cs="宋体"/>
                <w:color w:val="auto"/>
                <w:szCs w:val="21"/>
                <w:lang w:bidi="ar"/>
              </w:rPr>
              <w:t>3）施工人员是否按操作规程及相关规定作业；</w:t>
            </w:r>
          </w:p>
          <w:p w14:paraId="1822190D">
            <w:pPr>
              <w:pStyle w:val="225"/>
              <w:adjustRightInd w:val="0"/>
              <w:snapToGrid w:val="0"/>
              <w:spacing w:line="300" w:lineRule="exact"/>
              <w:jc w:val="left"/>
              <w:rPr>
                <w:rFonts w:hint="eastAsia" w:cs="Arial"/>
                <w:color w:val="auto"/>
                <w:szCs w:val="21"/>
              </w:rPr>
            </w:pPr>
            <w:r>
              <w:rPr>
                <w:rFonts w:cs="Arial"/>
                <w:color w:val="auto"/>
                <w:szCs w:val="21"/>
              </w:rPr>
              <w:t>4</w:t>
            </w:r>
            <w:r>
              <w:rPr>
                <w:rFonts w:hint="eastAsia" w:cs="Arial"/>
                <w:color w:val="auto"/>
                <w:szCs w:val="21"/>
              </w:rPr>
              <w:t>）施工完成后是否进行了清理、临时占地是否恢复植被；</w:t>
            </w:r>
          </w:p>
          <w:p w14:paraId="6F27C9CF">
            <w:pPr>
              <w:pStyle w:val="225"/>
              <w:adjustRightInd w:val="0"/>
              <w:snapToGrid w:val="0"/>
              <w:spacing w:line="300" w:lineRule="exact"/>
              <w:jc w:val="left"/>
              <w:rPr>
                <w:rFonts w:hint="eastAsia" w:cs="Arial"/>
                <w:color w:val="auto"/>
                <w:szCs w:val="21"/>
              </w:rPr>
            </w:pPr>
            <w:r>
              <w:rPr>
                <w:rFonts w:hint="eastAsia" w:cs="Arial"/>
                <w:color w:val="auto"/>
                <w:szCs w:val="21"/>
              </w:rPr>
              <w:t>5）管线沿线草方格铺设情况</w:t>
            </w:r>
          </w:p>
        </w:tc>
        <w:tc>
          <w:tcPr>
            <w:tcW w:w="1109" w:type="dxa"/>
            <w:vMerge w:val="continue"/>
            <w:vAlign w:val="center"/>
          </w:tcPr>
          <w:p w14:paraId="6475EBFB">
            <w:pPr>
              <w:pStyle w:val="225"/>
              <w:adjustRightInd w:val="0"/>
              <w:snapToGrid w:val="0"/>
              <w:spacing w:line="300" w:lineRule="exact"/>
              <w:rPr>
                <w:rFonts w:hint="eastAsia"/>
                <w:color w:val="auto"/>
                <w:szCs w:val="21"/>
              </w:rPr>
            </w:pPr>
          </w:p>
        </w:tc>
      </w:tr>
      <w:tr w14:paraId="739872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vAlign w:val="center"/>
          </w:tcPr>
          <w:p w14:paraId="3E60B302">
            <w:pPr>
              <w:pStyle w:val="225"/>
              <w:adjustRightInd w:val="0"/>
              <w:snapToGrid w:val="0"/>
              <w:spacing w:line="300" w:lineRule="exact"/>
              <w:rPr>
                <w:rFonts w:hint="eastAsia"/>
                <w:color w:val="auto"/>
                <w:szCs w:val="21"/>
              </w:rPr>
            </w:pPr>
            <w:r>
              <w:rPr>
                <w:rFonts w:hint="eastAsia"/>
                <w:color w:val="auto"/>
                <w:szCs w:val="21"/>
              </w:rPr>
              <w:t>3</w:t>
            </w:r>
          </w:p>
        </w:tc>
        <w:tc>
          <w:tcPr>
            <w:tcW w:w="851" w:type="dxa"/>
            <w:vAlign w:val="center"/>
          </w:tcPr>
          <w:p w14:paraId="1EC01F2F">
            <w:pPr>
              <w:pStyle w:val="225"/>
              <w:adjustRightInd w:val="0"/>
              <w:snapToGrid w:val="0"/>
              <w:spacing w:line="300" w:lineRule="exact"/>
              <w:rPr>
                <w:rFonts w:hint="eastAsia"/>
                <w:color w:val="auto"/>
                <w:szCs w:val="21"/>
              </w:rPr>
            </w:pPr>
            <w:r>
              <w:rPr>
                <w:rFonts w:hint="eastAsia"/>
                <w:color w:val="auto"/>
                <w:szCs w:val="21"/>
              </w:rPr>
              <w:t>其它</w:t>
            </w:r>
          </w:p>
        </w:tc>
        <w:tc>
          <w:tcPr>
            <w:tcW w:w="6095" w:type="dxa"/>
            <w:vAlign w:val="center"/>
          </w:tcPr>
          <w:p w14:paraId="4B78FE2E">
            <w:pPr>
              <w:pStyle w:val="225"/>
              <w:adjustRightInd w:val="0"/>
              <w:snapToGrid w:val="0"/>
              <w:spacing w:line="300" w:lineRule="exact"/>
              <w:jc w:val="left"/>
              <w:rPr>
                <w:rFonts w:hint="eastAsia"/>
                <w:color w:val="auto"/>
                <w:szCs w:val="21"/>
              </w:rPr>
            </w:pPr>
            <w:r>
              <w:rPr>
                <w:rFonts w:hint="eastAsia"/>
                <w:color w:val="auto"/>
                <w:szCs w:val="21"/>
              </w:rPr>
              <w:t>1）施工结束后是否及时清理现场、恢复地貌，是否及时采取了生态恢复和水土保持措施；</w:t>
            </w:r>
          </w:p>
          <w:p w14:paraId="7BBBF5B6">
            <w:pPr>
              <w:pStyle w:val="225"/>
              <w:adjustRightInd w:val="0"/>
              <w:snapToGrid w:val="0"/>
              <w:spacing w:line="300" w:lineRule="exact"/>
              <w:jc w:val="left"/>
              <w:rPr>
                <w:rFonts w:hint="eastAsia"/>
                <w:color w:val="auto"/>
                <w:szCs w:val="21"/>
              </w:rPr>
            </w:pPr>
            <w:r>
              <w:rPr>
                <w:rFonts w:hint="eastAsia"/>
                <w:color w:val="auto"/>
                <w:szCs w:val="21"/>
              </w:rPr>
              <w:t>2）有无砍伐、破坏施工区以外的植被，有无伤害野生动物等行为；</w:t>
            </w:r>
          </w:p>
          <w:p w14:paraId="74CE4080">
            <w:pPr>
              <w:pStyle w:val="225"/>
              <w:adjustRightInd w:val="0"/>
              <w:snapToGrid w:val="0"/>
              <w:spacing w:line="300" w:lineRule="exact"/>
              <w:jc w:val="left"/>
              <w:rPr>
                <w:rFonts w:hint="eastAsia"/>
                <w:color w:val="auto"/>
                <w:szCs w:val="21"/>
              </w:rPr>
            </w:pPr>
            <w:r>
              <w:rPr>
                <w:rFonts w:hint="eastAsia"/>
                <w:color w:val="auto"/>
                <w:szCs w:val="21"/>
              </w:rPr>
              <w:t>3）电杆底部草方格铺设情况。</w:t>
            </w:r>
          </w:p>
        </w:tc>
        <w:tc>
          <w:tcPr>
            <w:tcW w:w="1109" w:type="dxa"/>
            <w:vMerge w:val="continue"/>
            <w:vAlign w:val="center"/>
          </w:tcPr>
          <w:p w14:paraId="278D523B">
            <w:pPr>
              <w:pStyle w:val="225"/>
              <w:adjustRightInd w:val="0"/>
              <w:snapToGrid w:val="0"/>
              <w:spacing w:line="300" w:lineRule="exact"/>
              <w:rPr>
                <w:rFonts w:hint="eastAsia"/>
                <w:color w:val="auto"/>
                <w:szCs w:val="21"/>
              </w:rPr>
            </w:pPr>
          </w:p>
        </w:tc>
      </w:tr>
    </w:tbl>
    <w:p w14:paraId="3A650D9F">
      <w:pPr>
        <w:pStyle w:val="86"/>
        <w:adjustRightInd w:val="0"/>
        <w:snapToGrid w:val="0"/>
        <w:spacing w:line="480" w:lineRule="exact"/>
        <w:ind w:firstLine="480"/>
        <w:rPr>
          <w:rFonts w:hint="eastAsia"/>
          <w:color w:val="auto"/>
        </w:rPr>
      </w:pPr>
      <w:bookmarkStart w:id="949" w:name="_Hlk92205417"/>
      <w:r>
        <w:rPr>
          <w:rFonts w:hint="eastAsia"/>
          <w:color w:val="auto"/>
        </w:rPr>
        <w:t>（3）开展施工期监测</w:t>
      </w:r>
    </w:p>
    <w:p w14:paraId="51C8621B">
      <w:pPr>
        <w:pStyle w:val="86"/>
        <w:adjustRightInd w:val="0"/>
        <w:snapToGrid w:val="0"/>
        <w:spacing w:line="480" w:lineRule="exact"/>
        <w:ind w:firstLine="480"/>
        <w:rPr>
          <w:rFonts w:hint="eastAsia"/>
          <w:color w:val="auto"/>
        </w:rPr>
      </w:pPr>
      <w:r>
        <w:rPr>
          <w:rFonts w:hint="eastAsia"/>
          <w:color w:val="auto"/>
        </w:rPr>
        <w:t>施工期重点监测施工活动干扰下生态保护目标的受影响状况，如植物群落变化、重要物种的活动、分布变化、生境质量变化等。</w:t>
      </w:r>
    </w:p>
    <w:p w14:paraId="0F687B61">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运营期</w:t>
      </w:r>
      <w:r>
        <w:rPr>
          <w:rFonts w:ascii="黑体" w:hAnsi="黑体" w:eastAsia="黑体" w:cs="Times New Roman"/>
          <w:color w:val="auto"/>
          <w:sz w:val="24"/>
          <w:szCs w:val="21"/>
          <w:lang w:val="zh-CN"/>
          <w14:ligatures w14:val="none"/>
        </w:rPr>
        <w:t>环境监测计划</w:t>
      </w:r>
    </w:p>
    <w:bookmarkEnd w:id="949"/>
    <w:p w14:paraId="3651FC59">
      <w:pPr>
        <w:pStyle w:val="86"/>
        <w:adjustRightInd w:val="0"/>
        <w:snapToGrid w:val="0"/>
        <w:spacing w:line="480" w:lineRule="exact"/>
        <w:ind w:firstLine="480"/>
        <w:rPr>
          <w:rFonts w:hint="eastAsia"/>
          <w:color w:val="auto"/>
        </w:rPr>
      </w:pPr>
      <w:bookmarkStart w:id="950" w:name="_Hlk165554941"/>
      <w:bookmarkStart w:id="951" w:name="_Hlk147587863"/>
      <w:r>
        <w:rPr>
          <w:rFonts w:hint="eastAsia"/>
          <w:color w:val="auto"/>
        </w:rPr>
        <w:t>根据《</w:t>
      </w:r>
      <w:bookmarkStart w:id="952" w:name="OLE_LINK119"/>
      <w:r>
        <w:rPr>
          <w:rFonts w:hint="eastAsia"/>
          <w:color w:val="auto"/>
        </w:rPr>
        <w:t>排污单位自行监测技术指南 总则</w:t>
      </w:r>
      <w:bookmarkEnd w:id="952"/>
      <w:r>
        <w:rPr>
          <w:rFonts w:hint="eastAsia"/>
          <w:color w:val="auto"/>
        </w:rPr>
        <w:t>》（HJ819-2017）</w:t>
      </w:r>
      <w:r>
        <w:rPr>
          <w:rFonts w:hint="eastAsia" w:ascii="Times New Roman" w:hAnsi="Times New Roman"/>
          <w:color w:val="auto"/>
          <w:kern w:val="0"/>
        </w:rPr>
        <w:t>、</w:t>
      </w:r>
      <w:r>
        <w:rPr>
          <w:rFonts w:hint="eastAsia"/>
          <w:color w:val="auto"/>
        </w:rPr>
        <w:t xml:space="preserve">《排污单位自行监测技术指南 </w:t>
      </w:r>
      <w:r>
        <w:rPr>
          <w:color w:val="auto"/>
        </w:rPr>
        <w:t xml:space="preserve"> </w:t>
      </w:r>
      <w:r>
        <w:rPr>
          <w:rFonts w:hint="eastAsia"/>
          <w:color w:val="auto"/>
        </w:rPr>
        <w:t>陆上石油天然气开采工业</w:t>
      </w:r>
      <w:r>
        <w:rPr>
          <w:color w:val="auto"/>
        </w:rPr>
        <w:t>》</w:t>
      </w:r>
      <w:r>
        <w:rPr>
          <w:rFonts w:hint="eastAsia"/>
          <w:color w:val="auto"/>
        </w:rPr>
        <w:t>（</w:t>
      </w:r>
      <w:r>
        <w:rPr>
          <w:color w:val="auto"/>
        </w:rPr>
        <w:t>HJ1248-2022</w:t>
      </w:r>
      <w:r>
        <w:rPr>
          <w:rFonts w:hint="eastAsia"/>
          <w:color w:val="auto"/>
        </w:rPr>
        <w:t>）相关要求，项目周围2km范围内无声环境敏感目标，本次运营不开展采油井场的噪声监测，</w:t>
      </w:r>
      <w:bookmarkStart w:id="953" w:name="_Hlk160374412"/>
      <w:r>
        <w:rPr>
          <w:rFonts w:hint="eastAsia"/>
          <w:color w:val="auto"/>
        </w:rPr>
        <w:t>对井场的有组织废气、无组织废气、土壤、地下水和生态环境监测制定监测计划，具体见表</w:t>
      </w:r>
      <w:r>
        <w:rPr>
          <w:color w:val="auto"/>
        </w:rPr>
        <w:t>7.5</w:t>
      </w:r>
      <w:r>
        <w:rPr>
          <w:rFonts w:hint="eastAsia"/>
          <w:color w:val="auto"/>
        </w:rPr>
        <w:t>-2。</w:t>
      </w:r>
    </w:p>
    <w:p w14:paraId="024AC072">
      <w:pPr>
        <w:pStyle w:val="15"/>
        <w:rPr>
          <w:rFonts w:hint="eastAsia"/>
          <w:color w:val="auto"/>
        </w:rPr>
      </w:pPr>
      <w:r>
        <w:rPr>
          <w:rFonts w:hint="eastAsia"/>
          <w:color w:val="auto"/>
        </w:rPr>
        <w:t>表7</w:t>
      </w:r>
      <w:r>
        <w:rPr>
          <w:color w:val="auto"/>
        </w:rPr>
        <w:t>.5</w:t>
      </w:r>
      <w:r>
        <w:rPr>
          <w:rFonts w:hint="eastAsia"/>
          <w:color w:val="auto"/>
        </w:rPr>
        <w:t>-2</w:t>
      </w:r>
      <w:r>
        <w:rPr>
          <w:color w:val="auto"/>
        </w:rPr>
        <w:t xml:space="preserve">  </w:t>
      </w:r>
      <w:r>
        <w:rPr>
          <w:rFonts w:hint="eastAsia"/>
          <w:color w:val="auto"/>
        </w:rPr>
        <w:t>生态环境监测计划一览表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462"/>
        <w:gridCol w:w="916"/>
        <w:gridCol w:w="2382"/>
        <w:gridCol w:w="2563"/>
        <w:gridCol w:w="1463"/>
      </w:tblGrid>
      <w:tr w14:paraId="0A6162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2" w:type="pct"/>
            <w:vAlign w:val="center"/>
          </w:tcPr>
          <w:p w14:paraId="08C58E4A">
            <w:pPr>
              <w:kinsoku w:val="0"/>
              <w:overflowPunct w:val="0"/>
              <w:adjustRightInd w:val="0"/>
              <w:snapToGrid w:val="0"/>
              <w:spacing w:line="300" w:lineRule="exact"/>
              <w:jc w:val="center"/>
              <w:rPr>
                <w:rFonts w:hint="eastAsia" w:ascii="宋体" w:hAnsi="宋体" w:cs="宋体"/>
                <w:color w:val="auto"/>
                <w:szCs w:val="21"/>
                <w:lang w:bidi="ar"/>
              </w:rPr>
            </w:pPr>
            <w:r>
              <w:rPr>
                <w:rFonts w:hint="eastAsia" w:ascii="宋体" w:hAnsi="宋体" w:cs="宋体"/>
                <w:smallCaps/>
                <w:color w:val="auto"/>
                <w:szCs w:val="21"/>
                <w:lang w:bidi="ar"/>
              </w:rPr>
              <w:t>监测对象</w:t>
            </w:r>
          </w:p>
        </w:tc>
        <w:tc>
          <w:tcPr>
            <w:tcW w:w="521" w:type="pct"/>
            <w:vAlign w:val="center"/>
          </w:tcPr>
          <w:p w14:paraId="1DF05B31">
            <w:pPr>
              <w:kinsoku w:val="0"/>
              <w:overflowPunct w:val="0"/>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类别</w:t>
            </w:r>
          </w:p>
        </w:tc>
        <w:tc>
          <w:tcPr>
            <w:tcW w:w="1355" w:type="pct"/>
            <w:vAlign w:val="center"/>
          </w:tcPr>
          <w:p w14:paraId="28E73B03">
            <w:pPr>
              <w:kinsoku w:val="0"/>
              <w:overflowPunct w:val="0"/>
              <w:adjustRightInd w:val="0"/>
              <w:snapToGrid w:val="0"/>
              <w:spacing w:line="300" w:lineRule="exact"/>
              <w:jc w:val="center"/>
              <w:rPr>
                <w:rFonts w:hint="eastAsia" w:ascii="宋体" w:hAnsi="宋体" w:cs="宋体"/>
                <w:color w:val="auto"/>
                <w:szCs w:val="21"/>
                <w:lang w:bidi="ar"/>
              </w:rPr>
            </w:pPr>
            <w:r>
              <w:rPr>
                <w:rFonts w:hint="eastAsia" w:ascii="宋体" w:hAnsi="宋体" w:cs="宋体"/>
                <w:color w:val="auto"/>
                <w:szCs w:val="21"/>
                <w:lang w:bidi="ar"/>
              </w:rPr>
              <w:t>监测点</w:t>
            </w:r>
          </w:p>
        </w:tc>
        <w:tc>
          <w:tcPr>
            <w:tcW w:w="1458" w:type="pct"/>
            <w:vAlign w:val="center"/>
          </w:tcPr>
          <w:p w14:paraId="49CFB2FA">
            <w:pPr>
              <w:kinsoku w:val="0"/>
              <w:overflowPunct w:val="0"/>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lang w:bidi="ar"/>
              </w:rPr>
              <w:t>监测因子</w:t>
            </w:r>
          </w:p>
        </w:tc>
        <w:tc>
          <w:tcPr>
            <w:tcW w:w="832" w:type="pct"/>
            <w:vAlign w:val="center"/>
          </w:tcPr>
          <w:p w14:paraId="4011EA96">
            <w:pPr>
              <w:kinsoku w:val="0"/>
              <w:overflowPunct w:val="0"/>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lang w:bidi="ar"/>
              </w:rPr>
              <w:t>监测频率</w:t>
            </w:r>
          </w:p>
        </w:tc>
      </w:tr>
      <w:tr w14:paraId="262BE0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2" w:type="pct"/>
            <w:vAlign w:val="center"/>
          </w:tcPr>
          <w:p w14:paraId="5519D6F4">
            <w:pPr>
              <w:kinsoku w:val="0"/>
              <w:overflowPunct w:val="0"/>
              <w:adjustRightInd w:val="0"/>
              <w:snapToGrid w:val="0"/>
              <w:spacing w:line="300" w:lineRule="exact"/>
              <w:jc w:val="center"/>
              <w:rPr>
                <w:rFonts w:hint="eastAsia" w:ascii="宋体" w:hAnsi="宋体" w:cs="宋体"/>
                <w:smallCaps/>
                <w:color w:val="auto"/>
                <w:szCs w:val="21"/>
                <w:lang w:bidi="ar"/>
              </w:rPr>
            </w:pPr>
            <w:r>
              <w:rPr>
                <w:rFonts w:hint="eastAsia" w:ascii="宋体" w:hAnsi="宋体" w:cs="宋体"/>
                <w:smallCaps/>
                <w:color w:val="auto"/>
                <w:szCs w:val="21"/>
                <w:lang w:bidi="ar"/>
              </w:rPr>
              <w:t>废气</w:t>
            </w:r>
          </w:p>
        </w:tc>
        <w:tc>
          <w:tcPr>
            <w:tcW w:w="521" w:type="pct"/>
            <w:vAlign w:val="center"/>
          </w:tcPr>
          <w:p w14:paraId="5B582A5A">
            <w:pPr>
              <w:kinsoku w:val="0"/>
              <w:overflowPunct w:val="0"/>
              <w:adjustRightInd w:val="0"/>
              <w:snapToGrid w:val="0"/>
              <w:spacing w:line="300" w:lineRule="exact"/>
              <w:jc w:val="center"/>
              <w:rPr>
                <w:rFonts w:hint="eastAsia" w:ascii="宋体" w:hAnsi="宋体" w:cs="宋体"/>
                <w:color w:val="auto"/>
                <w:szCs w:val="21"/>
              </w:rPr>
            </w:pPr>
            <w:r>
              <w:rPr>
                <w:rFonts w:hint="eastAsia" w:ascii="宋体" w:hAnsi="宋体" w:cs="宋体"/>
                <w:color w:val="auto"/>
                <w:szCs w:val="21"/>
              </w:rPr>
              <w:t>污染源</w:t>
            </w:r>
          </w:p>
        </w:tc>
        <w:tc>
          <w:tcPr>
            <w:tcW w:w="1355" w:type="pct"/>
            <w:vAlign w:val="center"/>
          </w:tcPr>
          <w:p w14:paraId="605DA51F">
            <w:pPr>
              <w:kinsoku w:val="0"/>
              <w:overflowPunct w:val="0"/>
              <w:adjustRightInd w:val="0"/>
              <w:snapToGrid w:val="0"/>
              <w:spacing w:line="300" w:lineRule="exact"/>
              <w:jc w:val="center"/>
              <w:rPr>
                <w:rFonts w:hint="eastAsia" w:ascii="宋体" w:hAnsi="宋体" w:cs="宋体"/>
                <w:color w:val="auto"/>
                <w:szCs w:val="21"/>
                <w:lang w:bidi="ar"/>
              </w:rPr>
            </w:pPr>
            <w:r>
              <w:rPr>
                <w:rFonts w:hint="eastAsia" w:ascii="宋体" w:hAnsi="宋体" w:cs="宋体"/>
                <w:color w:val="auto"/>
                <w:szCs w:val="21"/>
                <w:lang w:bidi="ar"/>
              </w:rPr>
              <w:t>莫172H井场、莫174H井场厂界四周</w:t>
            </w:r>
          </w:p>
        </w:tc>
        <w:tc>
          <w:tcPr>
            <w:tcW w:w="1458" w:type="pct"/>
            <w:vAlign w:val="center"/>
          </w:tcPr>
          <w:p w14:paraId="03947BB8">
            <w:pPr>
              <w:kinsoku w:val="0"/>
              <w:overflowPunct w:val="0"/>
              <w:adjustRightInd w:val="0"/>
              <w:snapToGrid w:val="0"/>
              <w:spacing w:line="300" w:lineRule="exact"/>
              <w:jc w:val="center"/>
              <w:rPr>
                <w:rFonts w:hint="eastAsia" w:ascii="宋体" w:hAnsi="宋体" w:cs="宋体"/>
                <w:color w:val="auto"/>
                <w:szCs w:val="21"/>
                <w:lang w:bidi="ar"/>
              </w:rPr>
            </w:pPr>
            <w:r>
              <w:rPr>
                <w:rFonts w:hint="eastAsia" w:ascii="宋体" w:hAnsi="宋体" w:cs="宋体"/>
                <w:color w:val="auto"/>
                <w:szCs w:val="21"/>
                <w:lang w:bidi="ar"/>
              </w:rPr>
              <w:t>非甲烷总烃、氮氧化物、颗粒物和二氧化硫</w:t>
            </w:r>
          </w:p>
        </w:tc>
        <w:tc>
          <w:tcPr>
            <w:tcW w:w="832" w:type="pct"/>
            <w:vAlign w:val="center"/>
          </w:tcPr>
          <w:p w14:paraId="725AF312">
            <w:pPr>
              <w:kinsoku w:val="0"/>
              <w:overflowPunct w:val="0"/>
              <w:adjustRightInd w:val="0"/>
              <w:snapToGrid w:val="0"/>
              <w:spacing w:line="300" w:lineRule="exact"/>
              <w:jc w:val="center"/>
              <w:rPr>
                <w:rFonts w:hint="eastAsia" w:ascii="宋体" w:hAnsi="宋体" w:cs="Arial"/>
                <w:color w:val="auto"/>
                <w:szCs w:val="21"/>
              </w:rPr>
            </w:pPr>
            <w:r>
              <w:rPr>
                <w:rFonts w:hint="eastAsia" w:ascii="宋体" w:hAnsi="宋体" w:cs="Arial"/>
                <w:color w:val="auto"/>
                <w:szCs w:val="21"/>
              </w:rPr>
              <w:t>1次/年</w:t>
            </w:r>
          </w:p>
        </w:tc>
      </w:tr>
      <w:tr w14:paraId="52DCF7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2" w:type="pct"/>
            <w:vMerge w:val="restart"/>
            <w:vAlign w:val="center"/>
          </w:tcPr>
          <w:p w14:paraId="7C4A4B89">
            <w:pPr>
              <w:adjustRightInd w:val="0"/>
              <w:snapToGrid w:val="0"/>
              <w:spacing w:line="300" w:lineRule="exact"/>
              <w:jc w:val="center"/>
              <w:rPr>
                <w:rFonts w:hint="eastAsia" w:ascii="宋体" w:hAnsi="宋体" w:cs="Arial"/>
                <w:color w:val="auto"/>
                <w:szCs w:val="21"/>
              </w:rPr>
            </w:pPr>
            <w:r>
              <w:rPr>
                <w:rFonts w:hint="eastAsia" w:ascii="宋体" w:hAnsi="宋体" w:cs="Arial"/>
                <w:color w:val="auto"/>
                <w:szCs w:val="21"/>
              </w:rPr>
              <w:t>生态环境</w:t>
            </w:r>
          </w:p>
        </w:tc>
        <w:tc>
          <w:tcPr>
            <w:tcW w:w="521" w:type="pct"/>
            <w:vAlign w:val="center"/>
          </w:tcPr>
          <w:p w14:paraId="4940B01E">
            <w:pPr>
              <w:adjustRightInd w:val="0"/>
              <w:snapToGrid w:val="0"/>
              <w:spacing w:line="300" w:lineRule="exact"/>
              <w:jc w:val="center"/>
              <w:rPr>
                <w:rFonts w:hint="eastAsia" w:ascii="宋体" w:hAnsi="宋体" w:cs="Arial"/>
                <w:color w:val="auto"/>
                <w:szCs w:val="21"/>
              </w:rPr>
            </w:pPr>
            <w:r>
              <w:rPr>
                <w:rFonts w:hint="eastAsia" w:ascii="宋体" w:hAnsi="宋体" w:cs="Arial"/>
                <w:color w:val="auto"/>
                <w:szCs w:val="21"/>
              </w:rPr>
              <w:t>污染源</w:t>
            </w:r>
          </w:p>
        </w:tc>
        <w:tc>
          <w:tcPr>
            <w:tcW w:w="1355" w:type="pct"/>
            <w:vAlign w:val="center"/>
          </w:tcPr>
          <w:p w14:paraId="51B157B9">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临时占地范围内</w:t>
            </w:r>
          </w:p>
        </w:tc>
        <w:tc>
          <w:tcPr>
            <w:tcW w:w="1458" w:type="pct"/>
            <w:vAlign w:val="center"/>
          </w:tcPr>
          <w:p w14:paraId="1B7F3278">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植被覆盖率、植物多样性组成</w:t>
            </w:r>
          </w:p>
        </w:tc>
        <w:tc>
          <w:tcPr>
            <w:tcW w:w="832" w:type="pct"/>
            <w:vAlign w:val="center"/>
          </w:tcPr>
          <w:p w14:paraId="79BFEC66">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1次/3年</w:t>
            </w:r>
          </w:p>
        </w:tc>
      </w:tr>
      <w:tr w14:paraId="59E6CC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2" w:type="pct"/>
            <w:vMerge w:val="continue"/>
            <w:vAlign w:val="center"/>
          </w:tcPr>
          <w:p w14:paraId="021CFDCD">
            <w:pPr>
              <w:adjustRightInd w:val="0"/>
              <w:snapToGrid w:val="0"/>
              <w:spacing w:line="300" w:lineRule="exact"/>
              <w:jc w:val="center"/>
              <w:rPr>
                <w:rFonts w:hint="eastAsia" w:ascii="宋体" w:hAnsi="宋体" w:cs="Arial"/>
                <w:color w:val="auto"/>
                <w:szCs w:val="21"/>
              </w:rPr>
            </w:pPr>
          </w:p>
        </w:tc>
        <w:tc>
          <w:tcPr>
            <w:tcW w:w="521" w:type="pct"/>
            <w:vAlign w:val="center"/>
          </w:tcPr>
          <w:p w14:paraId="2D415D44">
            <w:pPr>
              <w:adjustRightInd w:val="0"/>
              <w:snapToGrid w:val="0"/>
              <w:spacing w:line="300" w:lineRule="exact"/>
              <w:jc w:val="center"/>
              <w:rPr>
                <w:rFonts w:hint="eastAsia" w:ascii="宋体" w:hAnsi="宋体" w:cs="Arial"/>
                <w:color w:val="auto"/>
                <w:szCs w:val="21"/>
              </w:rPr>
            </w:pPr>
            <w:r>
              <w:rPr>
                <w:rFonts w:hint="eastAsia" w:ascii="宋体" w:hAnsi="宋体" w:cs="Arial"/>
                <w:color w:val="auto"/>
                <w:szCs w:val="21"/>
              </w:rPr>
              <w:t>环境质量</w:t>
            </w:r>
          </w:p>
        </w:tc>
        <w:tc>
          <w:tcPr>
            <w:tcW w:w="1355" w:type="pct"/>
            <w:vAlign w:val="center"/>
          </w:tcPr>
          <w:p w14:paraId="3FA3D199">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临时占地范围外3</w:t>
            </w:r>
            <w:r>
              <w:rPr>
                <w:rFonts w:ascii="宋体" w:hAnsi="宋体" w:cs="宋体"/>
                <w:color w:val="auto"/>
                <w:kern w:val="0"/>
                <w:szCs w:val="21"/>
                <w:lang w:bidi="ar"/>
              </w:rPr>
              <w:t>00</w:t>
            </w:r>
            <w:r>
              <w:rPr>
                <w:rFonts w:hint="eastAsia" w:ascii="宋体" w:hAnsi="宋体" w:cs="宋体"/>
                <w:color w:val="auto"/>
                <w:kern w:val="0"/>
                <w:szCs w:val="21"/>
                <w:lang w:bidi="ar"/>
              </w:rPr>
              <w:t>m范围内</w:t>
            </w:r>
          </w:p>
        </w:tc>
        <w:tc>
          <w:tcPr>
            <w:tcW w:w="1458" w:type="pct"/>
            <w:vAlign w:val="center"/>
          </w:tcPr>
          <w:p w14:paraId="0AACA789">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植被覆盖率、植物多样性组成</w:t>
            </w:r>
          </w:p>
        </w:tc>
        <w:tc>
          <w:tcPr>
            <w:tcW w:w="832" w:type="pct"/>
            <w:vAlign w:val="center"/>
          </w:tcPr>
          <w:p w14:paraId="1CA3FB27">
            <w:pPr>
              <w:adjustRightInd w:val="0"/>
              <w:snapToGrid w:val="0"/>
              <w:spacing w:line="300" w:lineRule="exact"/>
              <w:jc w:val="center"/>
              <w:rPr>
                <w:rFonts w:hint="eastAsia" w:ascii="宋体" w:hAnsi="宋体" w:cs="宋体"/>
                <w:color w:val="auto"/>
                <w:kern w:val="0"/>
                <w:szCs w:val="21"/>
                <w:lang w:bidi="ar"/>
              </w:rPr>
            </w:pPr>
            <w:bookmarkStart w:id="954" w:name="OLE_LINK40"/>
            <w:r>
              <w:rPr>
                <w:rFonts w:hint="eastAsia" w:ascii="宋体" w:hAnsi="宋体" w:cs="宋体"/>
                <w:color w:val="auto"/>
                <w:kern w:val="0"/>
                <w:szCs w:val="21"/>
                <w:lang w:bidi="ar"/>
              </w:rPr>
              <w:t>1次/3年</w:t>
            </w:r>
            <w:bookmarkEnd w:id="954"/>
          </w:p>
        </w:tc>
      </w:tr>
      <w:tr w14:paraId="19401F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2" w:type="pct"/>
            <w:vAlign w:val="center"/>
          </w:tcPr>
          <w:p w14:paraId="063F3ED6">
            <w:pPr>
              <w:adjustRightInd w:val="0"/>
              <w:snapToGrid w:val="0"/>
              <w:spacing w:line="300" w:lineRule="exact"/>
              <w:jc w:val="center"/>
              <w:rPr>
                <w:rFonts w:hint="eastAsia" w:ascii="宋体" w:hAnsi="宋体" w:cs="Arial"/>
                <w:color w:val="auto"/>
                <w:szCs w:val="21"/>
              </w:rPr>
            </w:pPr>
            <w:r>
              <w:rPr>
                <w:rFonts w:hint="eastAsia" w:ascii="宋体" w:hAnsi="宋体" w:cs="Arial"/>
                <w:color w:val="auto"/>
                <w:szCs w:val="21"/>
              </w:rPr>
              <w:t>土壤环境</w:t>
            </w:r>
          </w:p>
        </w:tc>
        <w:tc>
          <w:tcPr>
            <w:tcW w:w="1876" w:type="pct"/>
            <w:gridSpan w:val="2"/>
            <w:vAlign w:val="center"/>
          </w:tcPr>
          <w:p w14:paraId="435A5B67">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采油井场、橇装天然气处理装置</w:t>
            </w:r>
          </w:p>
        </w:tc>
        <w:tc>
          <w:tcPr>
            <w:tcW w:w="1458" w:type="pct"/>
            <w:vAlign w:val="center"/>
          </w:tcPr>
          <w:p w14:paraId="7C715914">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砷、六价铬、石油烃（C</w:t>
            </w:r>
            <w:r>
              <w:rPr>
                <w:rFonts w:ascii="宋体" w:hAnsi="宋体" w:cs="宋体"/>
                <w:color w:val="auto"/>
                <w:kern w:val="0"/>
                <w:szCs w:val="21"/>
                <w:vertAlign w:val="subscript"/>
                <w:lang w:bidi="ar"/>
              </w:rPr>
              <w:t>10</w:t>
            </w:r>
            <w:r>
              <w:rPr>
                <w:rFonts w:hint="eastAsia" w:ascii="宋体" w:hAnsi="宋体" w:cs="宋体"/>
                <w:color w:val="auto"/>
                <w:kern w:val="0"/>
                <w:szCs w:val="21"/>
                <w:lang w:bidi="ar"/>
              </w:rPr>
              <w:t>～C</w:t>
            </w:r>
            <w:r>
              <w:rPr>
                <w:rFonts w:ascii="宋体" w:hAnsi="宋体" w:cs="宋体"/>
                <w:color w:val="auto"/>
                <w:kern w:val="0"/>
                <w:szCs w:val="21"/>
                <w:vertAlign w:val="subscript"/>
                <w:lang w:bidi="ar"/>
              </w:rPr>
              <w:t>40</w:t>
            </w:r>
            <w:r>
              <w:rPr>
                <w:rFonts w:hint="eastAsia" w:ascii="宋体" w:hAnsi="宋体" w:cs="宋体"/>
                <w:color w:val="auto"/>
                <w:kern w:val="0"/>
                <w:szCs w:val="21"/>
                <w:lang w:bidi="ar"/>
              </w:rPr>
              <w:t>）</w:t>
            </w:r>
          </w:p>
        </w:tc>
        <w:tc>
          <w:tcPr>
            <w:tcW w:w="832" w:type="pct"/>
            <w:vAlign w:val="center"/>
          </w:tcPr>
          <w:p w14:paraId="23734C3A">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Arial"/>
                <w:color w:val="auto"/>
                <w:szCs w:val="21"/>
              </w:rPr>
              <w:t>1次/年</w:t>
            </w:r>
          </w:p>
        </w:tc>
      </w:tr>
      <w:tr w14:paraId="3E8B79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2" w:type="pct"/>
            <w:vAlign w:val="center"/>
          </w:tcPr>
          <w:p w14:paraId="4C07D6FD">
            <w:pPr>
              <w:adjustRightInd w:val="0"/>
              <w:snapToGrid w:val="0"/>
              <w:spacing w:line="300" w:lineRule="exact"/>
              <w:jc w:val="center"/>
              <w:rPr>
                <w:rFonts w:hint="eastAsia" w:ascii="宋体" w:hAnsi="宋体" w:cs="Arial"/>
                <w:color w:val="auto"/>
                <w:szCs w:val="21"/>
              </w:rPr>
            </w:pPr>
            <w:r>
              <w:rPr>
                <w:rFonts w:hint="eastAsia" w:ascii="宋体" w:hAnsi="宋体" w:cs="Arial"/>
                <w:color w:val="auto"/>
                <w:szCs w:val="21"/>
              </w:rPr>
              <w:t>地下水</w:t>
            </w:r>
          </w:p>
        </w:tc>
        <w:tc>
          <w:tcPr>
            <w:tcW w:w="1876" w:type="pct"/>
            <w:gridSpan w:val="2"/>
            <w:vAlign w:val="center"/>
          </w:tcPr>
          <w:p w14:paraId="63CF9587">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现有地下水井，不少于1个监测点，本次利用地下水环境质量现状中的W4作为地下水跟踪监测点</w:t>
            </w:r>
          </w:p>
        </w:tc>
        <w:tc>
          <w:tcPr>
            <w:tcW w:w="1458" w:type="pct"/>
            <w:vAlign w:val="center"/>
          </w:tcPr>
          <w:p w14:paraId="2DA85248">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宋体"/>
                <w:color w:val="auto"/>
                <w:kern w:val="0"/>
                <w:szCs w:val="21"/>
                <w:lang w:bidi="ar"/>
              </w:rPr>
              <w:t>pH、石油类、砷、六价铬</w:t>
            </w:r>
          </w:p>
        </w:tc>
        <w:tc>
          <w:tcPr>
            <w:tcW w:w="832" w:type="pct"/>
            <w:vAlign w:val="center"/>
          </w:tcPr>
          <w:p w14:paraId="2D695FC3">
            <w:pPr>
              <w:adjustRightInd w:val="0"/>
              <w:snapToGrid w:val="0"/>
              <w:spacing w:line="300" w:lineRule="exact"/>
              <w:jc w:val="center"/>
              <w:rPr>
                <w:rFonts w:hint="eastAsia" w:ascii="宋体" w:hAnsi="宋体" w:cs="宋体"/>
                <w:color w:val="auto"/>
                <w:kern w:val="0"/>
                <w:szCs w:val="21"/>
                <w:lang w:bidi="ar"/>
              </w:rPr>
            </w:pPr>
            <w:r>
              <w:rPr>
                <w:rFonts w:hint="eastAsia" w:ascii="宋体" w:hAnsi="宋体" w:cs="Arial"/>
                <w:color w:val="auto"/>
                <w:szCs w:val="21"/>
              </w:rPr>
              <w:t>1次/年</w:t>
            </w:r>
          </w:p>
        </w:tc>
      </w:tr>
      <w:bookmarkEnd w:id="950"/>
      <w:bookmarkEnd w:id="951"/>
      <w:bookmarkEnd w:id="953"/>
    </w:tbl>
    <w:p w14:paraId="07CF95DE">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环境设施验收</w:t>
      </w:r>
      <w:r>
        <w:rPr>
          <w:rFonts w:ascii="黑体" w:hAnsi="黑体" w:eastAsia="黑体" w:cs="Times New Roman"/>
          <w:color w:val="auto"/>
          <w:sz w:val="24"/>
          <w:szCs w:val="21"/>
          <w:lang w:val="zh-CN"/>
          <w14:ligatures w14:val="none"/>
        </w:rPr>
        <w:t>建议</w:t>
      </w:r>
    </w:p>
    <w:p w14:paraId="41B5130E">
      <w:pPr>
        <w:pStyle w:val="86"/>
        <w:adjustRightInd w:val="0"/>
        <w:snapToGrid w:val="0"/>
        <w:spacing w:line="480" w:lineRule="exact"/>
        <w:ind w:firstLine="480"/>
        <w:rPr>
          <w:rFonts w:hint="eastAsia"/>
          <w:color w:val="auto"/>
        </w:rPr>
      </w:pPr>
      <w:r>
        <w:rPr>
          <w:rFonts w:hint="eastAsia"/>
          <w:color w:val="auto"/>
        </w:rPr>
        <w:t>（1</w:t>
      </w:r>
      <w:r>
        <w:rPr>
          <w:color w:val="auto"/>
        </w:rPr>
        <w:t>）</w:t>
      </w:r>
      <w:r>
        <w:rPr>
          <w:rFonts w:hint="eastAsia"/>
          <w:color w:val="auto"/>
        </w:rPr>
        <w:t>验收</w:t>
      </w:r>
      <w:r>
        <w:rPr>
          <w:color w:val="auto"/>
        </w:rPr>
        <w:t>范围</w:t>
      </w:r>
    </w:p>
    <w:p w14:paraId="5AA8DCC5">
      <w:pPr>
        <w:pStyle w:val="86"/>
        <w:adjustRightInd w:val="0"/>
        <w:snapToGrid w:val="0"/>
        <w:spacing w:line="480" w:lineRule="exact"/>
        <w:ind w:firstLine="480"/>
        <w:rPr>
          <w:rFonts w:hint="eastAsia"/>
          <w:color w:val="auto"/>
        </w:rPr>
      </w:pPr>
      <w:r>
        <w:rPr>
          <w:rFonts w:hint="eastAsia"/>
          <w:color w:val="auto"/>
        </w:rPr>
        <w:t>①</w:t>
      </w:r>
      <w:r>
        <w:rPr>
          <w:color w:val="auto"/>
        </w:rPr>
        <w:t>与项目有关的各项环保设施，包括为防治污染和保护环境所配套建成的治理工程、设备、装置和监测手段，以及各项生态保护设施等</w:t>
      </w:r>
      <w:r>
        <w:rPr>
          <w:rFonts w:hint="eastAsia"/>
          <w:color w:val="auto"/>
        </w:rPr>
        <w:t>。</w:t>
      </w:r>
    </w:p>
    <w:p w14:paraId="1B2A65DC">
      <w:pPr>
        <w:pStyle w:val="86"/>
        <w:adjustRightInd w:val="0"/>
        <w:snapToGrid w:val="0"/>
        <w:spacing w:line="480" w:lineRule="exact"/>
        <w:ind w:firstLine="480"/>
        <w:rPr>
          <w:rFonts w:hint="eastAsia"/>
          <w:color w:val="auto"/>
        </w:rPr>
      </w:pPr>
      <w:r>
        <w:rPr>
          <w:rFonts w:hint="eastAsia"/>
          <w:color w:val="auto"/>
        </w:rPr>
        <w:t>②</w:t>
      </w:r>
      <w:r>
        <w:rPr>
          <w:color w:val="auto"/>
        </w:rPr>
        <w:t>环境影响报告书及批复文件和有关设计文件规定应采取的环保措施。</w:t>
      </w:r>
    </w:p>
    <w:p w14:paraId="449258CD">
      <w:pPr>
        <w:pStyle w:val="86"/>
        <w:adjustRightInd w:val="0"/>
        <w:snapToGrid w:val="0"/>
        <w:spacing w:line="480" w:lineRule="exact"/>
        <w:ind w:firstLine="480"/>
        <w:rPr>
          <w:rFonts w:hint="eastAsia"/>
          <w:color w:val="auto"/>
        </w:rPr>
      </w:pPr>
      <w:r>
        <w:rPr>
          <w:rFonts w:hint="eastAsia"/>
          <w:color w:val="auto"/>
        </w:rPr>
        <w:t>（2）验收内容</w:t>
      </w:r>
    </w:p>
    <w:p w14:paraId="3D658CEF">
      <w:pPr>
        <w:pStyle w:val="86"/>
        <w:adjustRightInd w:val="0"/>
        <w:snapToGrid w:val="0"/>
        <w:spacing w:line="480" w:lineRule="exact"/>
        <w:ind w:firstLine="480"/>
        <w:jc w:val="left"/>
        <w:rPr>
          <w:rFonts w:hint="eastAsia"/>
          <w:color w:val="auto"/>
        </w:rPr>
      </w:pPr>
      <w:r>
        <w:rPr>
          <w:color w:val="auto"/>
        </w:rPr>
        <w:t>按照《建设项目竣工环境保护验收技术规范  石油天然气开采》</w:t>
      </w:r>
      <w:r>
        <w:rPr>
          <w:rFonts w:hint="eastAsia"/>
          <w:color w:val="auto"/>
        </w:rPr>
        <w:t>中有关规定开展验收，根据建设进度分期开展自主环保竣工验收并应当依法向社会公开验收报告。环保验收建议清单见表</w:t>
      </w:r>
      <w:r>
        <w:rPr>
          <w:color w:val="auto"/>
        </w:rPr>
        <w:t>7.5-</w:t>
      </w:r>
      <w:r>
        <w:rPr>
          <w:rFonts w:hint="eastAsia"/>
          <w:color w:val="auto"/>
        </w:rPr>
        <w:t>3。</w:t>
      </w:r>
      <w:bookmarkStart w:id="955" w:name="_Hlk37704697"/>
      <w:bookmarkStart w:id="956" w:name="_Hlk512504272"/>
    </w:p>
    <w:p w14:paraId="7BDC8C34">
      <w:pPr>
        <w:pStyle w:val="86"/>
        <w:adjustRightInd w:val="0"/>
        <w:snapToGrid w:val="0"/>
        <w:spacing w:line="480" w:lineRule="exact"/>
        <w:ind w:firstLine="480"/>
        <w:jc w:val="left"/>
        <w:rPr>
          <w:rFonts w:hint="eastAsia"/>
          <w:color w:val="auto"/>
        </w:rPr>
        <w:sectPr>
          <w:headerReference r:id="rId31" w:type="default"/>
          <w:pgSz w:w="11906" w:h="16838"/>
          <w:pgMar w:top="1418" w:right="1588" w:bottom="1418" w:left="1588" w:header="1020" w:footer="1020" w:gutter="0"/>
          <w:cols w:space="720" w:num="1"/>
          <w:docGrid w:type="lines" w:linePitch="312" w:charSpace="0"/>
        </w:sectPr>
      </w:pPr>
    </w:p>
    <w:p w14:paraId="56FBAFDC">
      <w:pPr>
        <w:pStyle w:val="86"/>
        <w:ind w:firstLine="0" w:firstLineChars="0"/>
        <w:jc w:val="center"/>
        <w:rPr>
          <w:rFonts w:hint="eastAsia" w:ascii="黑体" w:hAnsi="黑体" w:eastAsia="黑体"/>
          <w:color w:val="auto"/>
          <w:sz w:val="21"/>
          <w:szCs w:val="21"/>
        </w:rPr>
      </w:pPr>
      <w:bookmarkStart w:id="957" w:name="_Hlk147588209"/>
      <w:r>
        <w:rPr>
          <w:rFonts w:hint="eastAsia" w:ascii="黑体" w:hAnsi="黑体" w:eastAsia="黑体"/>
          <w:color w:val="auto"/>
          <w:sz w:val="21"/>
          <w:szCs w:val="21"/>
        </w:rPr>
        <w:t>表</w:t>
      </w:r>
      <w:r>
        <w:rPr>
          <w:rFonts w:ascii="黑体" w:hAnsi="黑体" w:eastAsia="黑体"/>
          <w:color w:val="auto"/>
          <w:sz w:val="21"/>
          <w:szCs w:val="21"/>
        </w:rPr>
        <w:t>7.5-</w:t>
      </w:r>
      <w:r>
        <w:rPr>
          <w:rFonts w:hint="eastAsia" w:ascii="黑体" w:hAnsi="黑体" w:eastAsia="黑体"/>
          <w:color w:val="auto"/>
          <w:sz w:val="21"/>
          <w:szCs w:val="21"/>
        </w:rPr>
        <w:t>3</w:t>
      </w:r>
      <w:r>
        <w:rPr>
          <w:rFonts w:ascii="黑体" w:hAnsi="黑体" w:eastAsia="黑体"/>
          <w:color w:val="auto"/>
          <w:sz w:val="21"/>
          <w:szCs w:val="21"/>
        </w:rPr>
        <w:t xml:space="preserve">  </w:t>
      </w:r>
      <w:r>
        <w:rPr>
          <w:rFonts w:hint="eastAsia" w:ascii="黑体" w:hAnsi="黑体" w:eastAsia="黑体"/>
          <w:color w:val="auto"/>
          <w:sz w:val="21"/>
          <w:szCs w:val="21"/>
        </w:rPr>
        <w:t>工程“三同时”竣工验收调查建议</w:t>
      </w:r>
      <w:r>
        <w:rPr>
          <w:rFonts w:ascii="黑体" w:hAnsi="黑体" w:eastAsia="黑体"/>
          <w:color w:val="auto"/>
          <w:sz w:val="21"/>
          <w:szCs w:val="21"/>
        </w:rPr>
        <w:t>清单</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96"/>
        <w:gridCol w:w="1282"/>
        <w:gridCol w:w="993"/>
        <w:gridCol w:w="2275"/>
        <w:gridCol w:w="3273"/>
        <w:gridCol w:w="1991"/>
        <w:gridCol w:w="3248"/>
      </w:tblGrid>
      <w:tr w14:paraId="48E20C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284" w:hRule="atLeast"/>
          <w:jc w:val="center"/>
        </w:trPr>
        <w:tc>
          <w:tcPr>
            <w:tcW w:w="810" w:type="pct"/>
            <w:gridSpan w:val="2"/>
            <w:tcMar>
              <w:left w:w="28" w:type="dxa"/>
              <w:right w:w="28" w:type="dxa"/>
            </w:tcMar>
            <w:vAlign w:val="center"/>
          </w:tcPr>
          <w:p w14:paraId="10966643">
            <w:pPr>
              <w:pStyle w:val="288"/>
              <w:adjustRightInd w:val="0"/>
              <w:snapToGrid w:val="0"/>
              <w:spacing w:line="280" w:lineRule="exact"/>
              <w:rPr>
                <w:rFonts w:hint="eastAsia" w:eastAsia="宋体"/>
                <w:color w:val="auto"/>
              </w:rPr>
            </w:pPr>
            <w:r>
              <w:rPr>
                <w:rFonts w:hint="eastAsia" w:eastAsia="宋体"/>
                <w:color w:val="auto"/>
              </w:rPr>
              <w:t>污染源</w:t>
            </w:r>
          </w:p>
        </w:tc>
        <w:tc>
          <w:tcPr>
            <w:tcW w:w="353" w:type="pct"/>
            <w:tcMar>
              <w:left w:w="28" w:type="dxa"/>
              <w:right w:w="28" w:type="dxa"/>
            </w:tcMar>
            <w:vAlign w:val="center"/>
          </w:tcPr>
          <w:p w14:paraId="74DDDBEC">
            <w:pPr>
              <w:pStyle w:val="288"/>
              <w:adjustRightInd w:val="0"/>
              <w:snapToGrid w:val="0"/>
              <w:spacing w:line="280" w:lineRule="exact"/>
              <w:rPr>
                <w:rFonts w:hint="eastAsia" w:eastAsia="宋体"/>
                <w:color w:val="auto"/>
              </w:rPr>
            </w:pPr>
            <w:r>
              <w:rPr>
                <w:rFonts w:hint="eastAsia" w:eastAsia="宋体"/>
                <w:color w:val="auto"/>
              </w:rPr>
              <w:t>污染因子</w:t>
            </w:r>
          </w:p>
        </w:tc>
        <w:tc>
          <w:tcPr>
            <w:tcW w:w="809" w:type="pct"/>
            <w:tcMar>
              <w:left w:w="28" w:type="dxa"/>
              <w:right w:w="28" w:type="dxa"/>
            </w:tcMar>
            <w:vAlign w:val="center"/>
          </w:tcPr>
          <w:p w14:paraId="7E4AE6CA">
            <w:pPr>
              <w:pStyle w:val="288"/>
              <w:adjustRightInd w:val="0"/>
              <w:snapToGrid w:val="0"/>
              <w:spacing w:line="280" w:lineRule="exact"/>
              <w:rPr>
                <w:rFonts w:hint="eastAsia" w:eastAsia="宋体"/>
                <w:color w:val="auto"/>
              </w:rPr>
            </w:pPr>
            <w:r>
              <w:rPr>
                <w:rFonts w:hint="eastAsia" w:eastAsia="宋体"/>
                <w:color w:val="auto"/>
              </w:rPr>
              <w:t>位置</w:t>
            </w:r>
          </w:p>
        </w:tc>
        <w:tc>
          <w:tcPr>
            <w:tcW w:w="1164" w:type="pct"/>
            <w:tcMar>
              <w:left w:w="28" w:type="dxa"/>
              <w:right w:w="28" w:type="dxa"/>
            </w:tcMar>
            <w:vAlign w:val="center"/>
          </w:tcPr>
          <w:p w14:paraId="1A84CF8B">
            <w:pPr>
              <w:pStyle w:val="288"/>
              <w:adjustRightInd w:val="0"/>
              <w:snapToGrid w:val="0"/>
              <w:spacing w:line="280" w:lineRule="exact"/>
              <w:rPr>
                <w:rFonts w:hint="eastAsia" w:eastAsia="宋体"/>
                <w:color w:val="auto"/>
              </w:rPr>
            </w:pPr>
            <w:r>
              <w:rPr>
                <w:rFonts w:hint="eastAsia" w:eastAsia="宋体"/>
                <w:color w:val="auto"/>
              </w:rPr>
              <w:t>防治措施</w:t>
            </w:r>
          </w:p>
        </w:tc>
        <w:tc>
          <w:tcPr>
            <w:tcW w:w="708" w:type="pct"/>
            <w:tcBorders>
              <w:bottom w:val="single" w:color="000000" w:sz="4" w:space="0"/>
            </w:tcBorders>
            <w:tcMar>
              <w:left w:w="28" w:type="dxa"/>
              <w:right w:w="28" w:type="dxa"/>
            </w:tcMar>
            <w:vAlign w:val="center"/>
          </w:tcPr>
          <w:p w14:paraId="741ABA38">
            <w:pPr>
              <w:pStyle w:val="288"/>
              <w:adjustRightInd w:val="0"/>
              <w:snapToGrid w:val="0"/>
              <w:spacing w:line="280" w:lineRule="exact"/>
              <w:rPr>
                <w:rFonts w:hint="eastAsia" w:eastAsia="宋体"/>
                <w:color w:val="auto"/>
              </w:rPr>
            </w:pPr>
            <w:r>
              <w:rPr>
                <w:rFonts w:hint="eastAsia" w:eastAsia="宋体"/>
                <w:color w:val="auto"/>
              </w:rPr>
              <w:t>治理要求</w:t>
            </w:r>
          </w:p>
        </w:tc>
        <w:tc>
          <w:tcPr>
            <w:tcW w:w="1152" w:type="pct"/>
            <w:tcBorders>
              <w:bottom w:val="single" w:color="000000" w:sz="4" w:space="0"/>
            </w:tcBorders>
            <w:tcMar>
              <w:left w:w="28" w:type="dxa"/>
              <w:right w:w="28" w:type="dxa"/>
            </w:tcMar>
            <w:vAlign w:val="center"/>
          </w:tcPr>
          <w:p w14:paraId="4066F56C">
            <w:pPr>
              <w:pStyle w:val="288"/>
              <w:adjustRightInd w:val="0"/>
              <w:snapToGrid w:val="0"/>
              <w:spacing w:line="280" w:lineRule="exact"/>
              <w:rPr>
                <w:rFonts w:hint="eastAsia" w:eastAsia="宋体"/>
                <w:color w:val="auto"/>
              </w:rPr>
            </w:pPr>
            <w:r>
              <w:rPr>
                <w:rFonts w:hint="eastAsia" w:eastAsia="宋体"/>
                <w:color w:val="auto"/>
              </w:rPr>
              <w:t>验收标准</w:t>
            </w:r>
          </w:p>
        </w:tc>
      </w:tr>
      <w:tr w14:paraId="37F03E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vMerge w:val="restart"/>
            <w:tcBorders>
              <w:right w:val="single" w:color="000000" w:sz="4" w:space="0"/>
            </w:tcBorders>
            <w:tcMar>
              <w:left w:w="28" w:type="dxa"/>
              <w:right w:w="28" w:type="dxa"/>
            </w:tcMar>
            <w:vAlign w:val="center"/>
          </w:tcPr>
          <w:p w14:paraId="23054870">
            <w:pPr>
              <w:pStyle w:val="288"/>
              <w:adjustRightInd w:val="0"/>
              <w:snapToGrid w:val="0"/>
              <w:spacing w:line="280" w:lineRule="exact"/>
              <w:rPr>
                <w:rFonts w:hint="eastAsia" w:eastAsia="宋体"/>
                <w:color w:val="auto"/>
              </w:rPr>
            </w:pPr>
            <w:r>
              <w:rPr>
                <w:rFonts w:hint="eastAsia" w:eastAsia="宋体"/>
                <w:color w:val="auto"/>
              </w:rPr>
              <w:t>废气</w:t>
            </w:r>
          </w:p>
        </w:tc>
        <w:tc>
          <w:tcPr>
            <w:tcW w:w="455" w:type="pct"/>
            <w:vMerge w:val="restart"/>
            <w:tcBorders>
              <w:left w:val="single" w:color="000000" w:sz="4" w:space="0"/>
            </w:tcBorders>
            <w:vAlign w:val="center"/>
          </w:tcPr>
          <w:p w14:paraId="1CB8B94C">
            <w:pPr>
              <w:pStyle w:val="288"/>
              <w:adjustRightInd w:val="0"/>
              <w:snapToGrid w:val="0"/>
              <w:spacing w:line="280" w:lineRule="exact"/>
              <w:rPr>
                <w:rFonts w:hint="eastAsia" w:eastAsia="宋体"/>
                <w:color w:val="auto"/>
              </w:rPr>
            </w:pPr>
            <w:r>
              <w:rPr>
                <w:rFonts w:hint="eastAsia" w:eastAsia="宋体"/>
                <w:color w:val="auto"/>
              </w:rPr>
              <w:t>无组织</w:t>
            </w:r>
          </w:p>
          <w:p w14:paraId="75A94C75">
            <w:pPr>
              <w:pStyle w:val="288"/>
              <w:adjustRightInd w:val="0"/>
              <w:snapToGrid w:val="0"/>
              <w:spacing w:line="280" w:lineRule="exact"/>
              <w:rPr>
                <w:rFonts w:hint="eastAsia" w:eastAsia="宋体"/>
                <w:color w:val="auto"/>
              </w:rPr>
            </w:pPr>
            <w:r>
              <w:rPr>
                <w:rFonts w:hint="eastAsia" w:eastAsia="宋体"/>
                <w:color w:val="auto"/>
              </w:rPr>
              <w:t>挥发性废气</w:t>
            </w:r>
          </w:p>
        </w:tc>
        <w:tc>
          <w:tcPr>
            <w:tcW w:w="353" w:type="pct"/>
            <w:vMerge w:val="restart"/>
            <w:tcMar>
              <w:left w:w="28" w:type="dxa"/>
              <w:right w:w="28" w:type="dxa"/>
            </w:tcMar>
            <w:vAlign w:val="center"/>
          </w:tcPr>
          <w:p w14:paraId="7AE71904">
            <w:pPr>
              <w:pStyle w:val="288"/>
              <w:adjustRightInd w:val="0"/>
              <w:snapToGrid w:val="0"/>
              <w:spacing w:line="280" w:lineRule="exact"/>
              <w:rPr>
                <w:rFonts w:hint="eastAsia" w:eastAsia="宋体"/>
                <w:color w:val="auto"/>
              </w:rPr>
            </w:pPr>
            <w:r>
              <w:rPr>
                <w:rFonts w:hint="eastAsia" w:eastAsia="宋体"/>
                <w:color w:val="auto"/>
              </w:rPr>
              <w:t>N</w:t>
            </w:r>
            <w:r>
              <w:rPr>
                <w:rFonts w:eastAsia="宋体"/>
                <w:color w:val="auto"/>
              </w:rPr>
              <w:t>MHC</w:t>
            </w:r>
          </w:p>
        </w:tc>
        <w:tc>
          <w:tcPr>
            <w:tcW w:w="809" w:type="pct"/>
            <w:tcMar>
              <w:left w:w="28" w:type="dxa"/>
              <w:right w:w="28" w:type="dxa"/>
            </w:tcMar>
            <w:vAlign w:val="center"/>
          </w:tcPr>
          <w:p w14:paraId="0EB799AE">
            <w:pPr>
              <w:pStyle w:val="288"/>
              <w:adjustRightInd w:val="0"/>
              <w:snapToGrid w:val="0"/>
              <w:spacing w:line="280" w:lineRule="exact"/>
              <w:rPr>
                <w:rFonts w:hint="eastAsia" w:eastAsia="宋体"/>
                <w:color w:val="auto"/>
              </w:rPr>
            </w:pPr>
            <w:bookmarkStart w:id="958" w:name="OLE_LINK73"/>
            <w:r>
              <w:rPr>
                <w:rFonts w:hint="eastAsia" w:eastAsia="宋体"/>
                <w:color w:val="auto"/>
              </w:rPr>
              <w:t>莫172H井场</w:t>
            </w:r>
            <w:bookmarkEnd w:id="958"/>
            <w:r>
              <w:rPr>
                <w:rFonts w:hint="eastAsia" w:eastAsia="宋体"/>
                <w:color w:val="auto"/>
              </w:rPr>
              <w:t>（包括CNG撬装天然气浅冷处理装置）</w:t>
            </w:r>
          </w:p>
        </w:tc>
        <w:tc>
          <w:tcPr>
            <w:tcW w:w="1164" w:type="pct"/>
            <w:vMerge w:val="restart"/>
            <w:tcMar>
              <w:left w:w="28" w:type="dxa"/>
              <w:right w:w="28" w:type="dxa"/>
            </w:tcMar>
            <w:vAlign w:val="center"/>
          </w:tcPr>
          <w:p w14:paraId="348F58FE">
            <w:pPr>
              <w:pStyle w:val="288"/>
              <w:adjustRightInd w:val="0"/>
              <w:snapToGrid w:val="0"/>
              <w:spacing w:line="280" w:lineRule="exact"/>
              <w:rPr>
                <w:rFonts w:hint="eastAsia" w:eastAsia="宋体"/>
                <w:color w:val="auto"/>
              </w:rPr>
            </w:pPr>
            <w:r>
              <w:rPr>
                <w:rFonts w:hint="eastAsia" w:eastAsia="宋体"/>
                <w:color w:val="auto"/>
              </w:rPr>
              <w:t>采用密闭集输工艺，选用质量可靠的设备、仪表、阀门等；定期对站场内各设备、阀门等</w:t>
            </w:r>
          </w:p>
        </w:tc>
        <w:tc>
          <w:tcPr>
            <w:tcW w:w="708" w:type="pct"/>
            <w:vMerge w:val="restart"/>
            <w:tcMar>
              <w:left w:w="28" w:type="dxa"/>
              <w:right w:w="28" w:type="dxa"/>
            </w:tcMar>
            <w:vAlign w:val="center"/>
          </w:tcPr>
          <w:p w14:paraId="7A55C543">
            <w:pPr>
              <w:pStyle w:val="288"/>
              <w:adjustRightInd w:val="0"/>
              <w:snapToGrid w:val="0"/>
              <w:spacing w:line="280" w:lineRule="exact"/>
              <w:rPr>
                <w:rFonts w:hint="eastAsia" w:eastAsia="宋体"/>
                <w:color w:val="auto"/>
              </w:rPr>
            </w:pPr>
            <w:bookmarkStart w:id="959" w:name="OLE_LINK70"/>
            <w:r>
              <w:rPr>
                <w:rFonts w:hint="eastAsia" w:eastAsia="宋体"/>
                <w:color w:val="auto"/>
              </w:rPr>
              <w:t>达标排放</w:t>
            </w:r>
            <w:bookmarkEnd w:id="959"/>
          </w:p>
        </w:tc>
        <w:tc>
          <w:tcPr>
            <w:tcW w:w="1152" w:type="pct"/>
            <w:vMerge w:val="restart"/>
            <w:tcMar>
              <w:left w:w="28" w:type="dxa"/>
              <w:right w:w="28" w:type="dxa"/>
            </w:tcMar>
            <w:vAlign w:val="center"/>
          </w:tcPr>
          <w:p w14:paraId="477D95FF">
            <w:pPr>
              <w:pStyle w:val="288"/>
              <w:adjustRightInd w:val="0"/>
              <w:snapToGrid w:val="0"/>
              <w:spacing w:line="280" w:lineRule="exact"/>
              <w:rPr>
                <w:rFonts w:hint="eastAsia" w:eastAsia="宋体"/>
                <w:color w:val="auto"/>
              </w:rPr>
            </w:pPr>
            <w:r>
              <w:rPr>
                <w:rFonts w:hint="eastAsia" w:eastAsia="宋体"/>
                <w:color w:val="auto"/>
              </w:rPr>
              <w:t>《</w:t>
            </w:r>
            <w:r>
              <w:rPr>
                <w:color w:val="auto"/>
              </w:rPr>
              <w:fldChar w:fldCharType="begin"/>
            </w:r>
            <w:r>
              <w:rPr>
                <w:color w:val="auto"/>
              </w:rPr>
              <w:instrText xml:space="preserve"> HYPERLINK "http://www.mee.gov.cn/ywgz/fgbz/bz/bzwb/dqhjbh/dqgdwrywrwpfbz/202012/W020201225551948738018.pdf" </w:instrText>
            </w:r>
            <w:r>
              <w:rPr>
                <w:color w:val="auto"/>
              </w:rPr>
              <w:fldChar w:fldCharType="separate"/>
            </w:r>
            <w:r>
              <w:rPr>
                <w:rFonts w:hint="eastAsia" w:eastAsia="宋体"/>
                <w:color w:val="auto"/>
              </w:rPr>
              <w:t>陆上石油天然气开采工业大气污染物排放标准》（GB39728—2020）</w:t>
            </w:r>
            <w:r>
              <w:rPr>
                <w:rFonts w:hint="eastAsia" w:eastAsia="宋体"/>
                <w:color w:val="auto"/>
              </w:rPr>
              <w:fldChar w:fldCharType="end"/>
            </w:r>
          </w:p>
        </w:tc>
      </w:tr>
      <w:tr w14:paraId="2FDD7A0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vMerge w:val="continue"/>
            <w:tcBorders>
              <w:right w:val="single" w:color="000000" w:sz="4" w:space="0"/>
            </w:tcBorders>
            <w:tcMar>
              <w:left w:w="28" w:type="dxa"/>
              <w:right w:w="28" w:type="dxa"/>
            </w:tcMar>
            <w:vAlign w:val="center"/>
          </w:tcPr>
          <w:p w14:paraId="16A68FFA">
            <w:pPr>
              <w:pStyle w:val="288"/>
              <w:adjustRightInd w:val="0"/>
              <w:snapToGrid w:val="0"/>
              <w:spacing w:line="280" w:lineRule="exact"/>
              <w:rPr>
                <w:rFonts w:hint="eastAsia" w:eastAsia="宋体"/>
                <w:color w:val="auto"/>
              </w:rPr>
            </w:pPr>
          </w:p>
        </w:tc>
        <w:tc>
          <w:tcPr>
            <w:tcW w:w="455" w:type="pct"/>
            <w:vMerge w:val="continue"/>
            <w:tcBorders>
              <w:left w:val="single" w:color="000000" w:sz="4" w:space="0"/>
            </w:tcBorders>
            <w:vAlign w:val="center"/>
          </w:tcPr>
          <w:p w14:paraId="0EEE1834">
            <w:pPr>
              <w:pStyle w:val="288"/>
              <w:adjustRightInd w:val="0"/>
              <w:snapToGrid w:val="0"/>
              <w:spacing w:line="280" w:lineRule="exact"/>
              <w:rPr>
                <w:rFonts w:hint="eastAsia" w:eastAsia="宋体"/>
                <w:color w:val="auto"/>
              </w:rPr>
            </w:pPr>
          </w:p>
        </w:tc>
        <w:tc>
          <w:tcPr>
            <w:tcW w:w="353" w:type="pct"/>
            <w:vMerge w:val="continue"/>
            <w:tcMar>
              <w:left w:w="28" w:type="dxa"/>
              <w:right w:w="28" w:type="dxa"/>
            </w:tcMar>
            <w:vAlign w:val="center"/>
          </w:tcPr>
          <w:p w14:paraId="5F234713">
            <w:pPr>
              <w:pStyle w:val="288"/>
              <w:adjustRightInd w:val="0"/>
              <w:snapToGrid w:val="0"/>
              <w:spacing w:line="280" w:lineRule="exact"/>
              <w:rPr>
                <w:rFonts w:hint="eastAsia" w:eastAsia="宋体"/>
                <w:color w:val="auto"/>
              </w:rPr>
            </w:pPr>
          </w:p>
        </w:tc>
        <w:tc>
          <w:tcPr>
            <w:tcW w:w="809" w:type="pct"/>
            <w:tcMar>
              <w:left w:w="28" w:type="dxa"/>
              <w:right w:w="28" w:type="dxa"/>
            </w:tcMar>
            <w:vAlign w:val="center"/>
          </w:tcPr>
          <w:p w14:paraId="676A88FB">
            <w:pPr>
              <w:pStyle w:val="288"/>
              <w:adjustRightInd w:val="0"/>
              <w:snapToGrid w:val="0"/>
              <w:spacing w:line="280" w:lineRule="exact"/>
              <w:rPr>
                <w:rFonts w:hint="eastAsia" w:eastAsia="宋体"/>
                <w:color w:val="auto"/>
              </w:rPr>
            </w:pPr>
            <w:r>
              <w:rPr>
                <w:rFonts w:hint="eastAsia" w:eastAsia="宋体"/>
                <w:color w:val="auto"/>
              </w:rPr>
              <w:t>莫174H井场（包括CNG撬装天然气浅冷处理装置）</w:t>
            </w:r>
          </w:p>
        </w:tc>
        <w:tc>
          <w:tcPr>
            <w:tcW w:w="1164" w:type="pct"/>
            <w:vMerge w:val="continue"/>
            <w:tcMar>
              <w:left w:w="28" w:type="dxa"/>
              <w:right w:w="28" w:type="dxa"/>
            </w:tcMar>
            <w:vAlign w:val="center"/>
          </w:tcPr>
          <w:p w14:paraId="7D15E04B">
            <w:pPr>
              <w:pStyle w:val="288"/>
              <w:adjustRightInd w:val="0"/>
              <w:snapToGrid w:val="0"/>
              <w:spacing w:line="280" w:lineRule="exact"/>
              <w:rPr>
                <w:rFonts w:hint="eastAsia" w:eastAsia="宋体"/>
                <w:color w:val="auto"/>
              </w:rPr>
            </w:pPr>
          </w:p>
        </w:tc>
        <w:tc>
          <w:tcPr>
            <w:tcW w:w="708" w:type="pct"/>
            <w:vMerge w:val="continue"/>
            <w:tcMar>
              <w:left w:w="28" w:type="dxa"/>
              <w:right w:w="28" w:type="dxa"/>
            </w:tcMar>
            <w:vAlign w:val="center"/>
          </w:tcPr>
          <w:p w14:paraId="4B4A98A7">
            <w:pPr>
              <w:pStyle w:val="288"/>
              <w:adjustRightInd w:val="0"/>
              <w:snapToGrid w:val="0"/>
              <w:spacing w:line="280" w:lineRule="exact"/>
              <w:rPr>
                <w:rFonts w:hint="eastAsia" w:eastAsia="宋体"/>
                <w:color w:val="auto"/>
              </w:rPr>
            </w:pPr>
          </w:p>
        </w:tc>
        <w:tc>
          <w:tcPr>
            <w:tcW w:w="1152" w:type="pct"/>
            <w:vMerge w:val="continue"/>
            <w:tcMar>
              <w:left w:w="28" w:type="dxa"/>
              <w:right w:w="28" w:type="dxa"/>
            </w:tcMar>
            <w:vAlign w:val="center"/>
          </w:tcPr>
          <w:p w14:paraId="07CF1ECE">
            <w:pPr>
              <w:pStyle w:val="288"/>
              <w:adjustRightInd w:val="0"/>
              <w:snapToGrid w:val="0"/>
              <w:spacing w:line="280" w:lineRule="exact"/>
              <w:rPr>
                <w:rFonts w:hint="eastAsia" w:eastAsia="宋体"/>
                <w:color w:val="auto"/>
              </w:rPr>
            </w:pPr>
          </w:p>
        </w:tc>
      </w:tr>
      <w:tr w14:paraId="3936A2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vMerge w:val="continue"/>
            <w:tcBorders>
              <w:right w:val="single" w:color="000000" w:sz="4" w:space="0"/>
            </w:tcBorders>
            <w:tcMar>
              <w:left w:w="28" w:type="dxa"/>
              <w:right w:w="28" w:type="dxa"/>
            </w:tcMar>
            <w:vAlign w:val="center"/>
          </w:tcPr>
          <w:p w14:paraId="5E9F83C2">
            <w:pPr>
              <w:pStyle w:val="288"/>
              <w:adjustRightInd w:val="0"/>
              <w:snapToGrid w:val="0"/>
              <w:spacing w:line="280" w:lineRule="exact"/>
              <w:rPr>
                <w:rFonts w:hint="eastAsia" w:eastAsia="宋体"/>
                <w:color w:val="auto"/>
              </w:rPr>
            </w:pPr>
          </w:p>
        </w:tc>
        <w:tc>
          <w:tcPr>
            <w:tcW w:w="455" w:type="pct"/>
            <w:vMerge w:val="continue"/>
            <w:tcBorders>
              <w:left w:val="single" w:color="000000" w:sz="4" w:space="0"/>
            </w:tcBorders>
            <w:vAlign w:val="center"/>
          </w:tcPr>
          <w:p w14:paraId="288E972C">
            <w:pPr>
              <w:pStyle w:val="288"/>
              <w:adjustRightInd w:val="0"/>
              <w:snapToGrid w:val="0"/>
              <w:spacing w:line="280" w:lineRule="exact"/>
              <w:rPr>
                <w:rFonts w:hint="eastAsia" w:eastAsia="宋体"/>
                <w:color w:val="auto"/>
              </w:rPr>
            </w:pPr>
          </w:p>
        </w:tc>
        <w:tc>
          <w:tcPr>
            <w:tcW w:w="353" w:type="pct"/>
            <w:vMerge w:val="continue"/>
            <w:tcMar>
              <w:left w:w="28" w:type="dxa"/>
              <w:right w:w="28" w:type="dxa"/>
            </w:tcMar>
            <w:vAlign w:val="center"/>
          </w:tcPr>
          <w:p w14:paraId="014A49D5">
            <w:pPr>
              <w:pStyle w:val="288"/>
              <w:adjustRightInd w:val="0"/>
              <w:snapToGrid w:val="0"/>
              <w:spacing w:line="280" w:lineRule="exact"/>
              <w:rPr>
                <w:rFonts w:hint="eastAsia" w:eastAsia="宋体"/>
                <w:color w:val="auto"/>
              </w:rPr>
            </w:pPr>
          </w:p>
        </w:tc>
        <w:tc>
          <w:tcPr>
            <w:tcW w:w="809" w:type="pct"/>
            <w:tcMar>
              <w:left w:w="28" w:type="dxa"/>
              <w:right w:w="28" w:type="dxa"/>
            </w:tcMar>
            <w:vAlign w:val="center"/>
          </w:tcPr>
          <w:p w14:paraId="19FF1180">
            <w:pPr>
              <w:pStyle w:val="288"/>
              <w:adjustRightInd w:val="0"/>
              <w:snapToGrid w:val="0"/>
              <w:spacing w:line="280" w:lineRule="exact"/>
              <w:rPr>
                <w:rFonts w:hint="eastAsia" w:eastAsia="宋体"/>
                <w:color w:val="auto"/>
              </w:rPr>
            </w:pPr>
            <w:r>
              <w:rPr>
                <w:rFonts w:hint="eastAsia" w:eastAsia="宋体"/>
                <w:color w:val="auto"/>
              </w:rPr>
              <w:t>莫27井场</w:t>
            </w:r>
          </w:p>
        </w:tc>
        <w:tc>
          <w:tcPr>
            <w:tcW w:w="1164" w:type="pct"/>
            <w:vMerge w:val="continue"/>
            <w:tcMar>
              <w:left w:w="28" w:type="dxa"/>
              <w:right w:w="28" w:type="dxa"/>
            </w:tcMar>
            <w:vAlign w:val="center"/>
          </w:tcPr>
          <w:p w14:paraId="694F19EA">
            <w:pPr>
              <w:pStyle w:val="288"/>
              <w:adjustRightInd w:val="0"/>
              <w:snapToGrid w:val="0"/>
              <w:spacing w:line="280" w:lineRule="exact"/>
              <w:rPr>
                <w:rFonts w:hint="eastAsia" w:eastAsia="宋体"/>
                <w:color w:val="auto"/>
              </w:rPr>
            </w:pPr>
          </w:p>
        </w:tc>
        <w:tc>
          <w:tcPr>
            <w:tcW w:w="708" w:type="pct"/>
            <w:vMerge w:val="continue"/>
            <w:tcMar>
              <w:left w:w="28" w:type="dxa"/>
              <w:right w:w="28" w:type="dxa"/>
            </w:tcMar>
            <w:vAlign w:val="center"/>
          </w:tcPr>
          <w:p w14:paraId="1AA2171D">
            <w:pPr>
              <w:pStyle w:val="288"/>
              <w:adjustRightInd w:val="0"/>
              <w:snapToGrid w:val="0"/>
              <w:spacing w:line="280" w:lineRule="exact"/>
              <w:rPr>
                <w:rFonts w:hint="eastAsia" w:eastAsia="宋体"/>
                <w:color w:val="auto"/>
              </w:rPr>
            </w:pPr>
          </w:p>
        </w:tc>
        <w:tc>
          <w:tcPr>
            <w:tcW w:w="1152" w:type="pct"/>
            <w:vMerge w:val="continue"/>
            <w:tcMar>
              <w:left w:w="28" w:type="dxa"/>
              <w:right w:w="28" w:type="dxa"/>
            </w:tcMar>
            <w:vAlign w:val="center"/>
          </w:tcPr>
          <w:p w14:paraId="575D814F">
            <w:pPr>
              <w:pStyle w:val="288"/>
              <w:adjustRightInd w:val="0"/>
              <w:snapToGrid w:val="0"/>
              <w:spacing w:line="280" w:lineRule="exact"/>
              <w:rPr>
                <w:rFonts w:hint="eastAsia" w:eastAsia="宋体"/>
                <w:color w:val="auto"/>
              </w:rPr>
            </w:pPr>
          </w:p>
        </w:tc>
      </w:tr>
      <w:tr w14:paraId="190806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vMerge w:val="continue"/>
            <w:tcBorders>
              <w:right w:val="single" w:color="000000" w:sz="4" w:space="0"/>
            </w:tcBorders>
            <w:tcMar>
              <w:left w:w="28" w:type="dxa"/>
              <w:right w:w="28" w:type="dxa"/>
            </w:tcMar>
            <w:vAlign w:val="center"/>
          </w:tcPr>
          <w:p w14:paraId="7FFFD4D9">
            <w:pPr>
              <w:pStyle w:val="288"/>
              <w:adjustRightInd w:val="0"/>
              <w:snapToGrid w:val="0"/>
              <w:spacing w:line="280" w:lineRule="exact"/>
              <w:rPr>
                <w:rFonts w:hint="eastAsia" w:eastAsia="宋体"/>
                <w:color w:val="auto"/>
              </w:rPr>
            </w:pPr>
          </w:p>
        </w:tc>
        <w:tc>
          <w:tcPr>
            <w:tcW w:w="455" w:type="pct"/>
            <w:vMerge w:val="continue"/>
            <w:tcBorders>
              <w:left w:val="single" w:color="000000" w:sz="4" w:space="0"/>
            </w:tcBorders>
            <w:vAlign w:val="center"/>
          </w:tcPr>
          <w:p w14:paraId="14958DD5">
            <w:pPr>
              <w:pStyle w:val="288"/>
              <w:adjustRightInd w:val="0"/>
              <w:snapToGrid w:val="0"/>
              <w:spacing w:line="280" w:lineRule="exact"/>
              <w:rPr>
                <w:rFonts w:hint="eastAsia" w:eastAsia="宋体"/>
                <w:color w:val="auto"/>
              </w:rPr>
            </w:pPr>
          </w:p>
        </w:tc>
        <w:tc>
          <w:tcPr>
            <w:tcW w:w="353" w:type="pct"/>
            <w:vMerge w:val="continue"/>
            <w:tcMar>
              <w:left w:w="28" w:type="dxa"/>
              <w:right w:w="28" w:type="dxa"/>
            </w:tcMar>
            <w:vAlign w:val="center"/>
          </w:tcPr>
          <w:p w14:paraId="486EE7BD">
            <w:pPr>
              <w:pStyle w:val="288"/>
              <w:adjustRightInd w:val="0"/>
              <w:snapToGrid w:val="0"/>
              <w:spacing w:line="280" w:lineRule="exact"/>
              <w:rPr>
                <w:rFonts w:hint="eastAsia" w:eastAsia="宋体"/>
                <w:color w:val="auto"/>
              </w:rPr>
            </w:pPr>
          </w:p>
        </w:tc>
        <w:tc>
          <w:tcPr>
            <w:tcW w:w="809" w:type="pct"/>
            <w:tcMar>
              <w:left w:w="28" w:type="dxa"/>
              <w:right w:w="28" w:type="dxa"/>
            </w:tcMar>
            <w:vAlign w:val="center"/>
          </w:tcPr>
          <w:p w14:paraId="61BD22D0">
            <w:pPr>
              <w:pStyle w:val="288"/>
              <w:adjustRightInd w:val="0"/>
              <w:snapToGrid w:val="0"/>
              <w:spacing w:line="280" w:lineRule="exact"/>
              <w:rPr>
                <w:rFonts w:hint="eastAsia" w:eastAsia="宋体"/>
                <w:color w:val="auto"/>
              </w:rPr>
            </w:pPr>
            <w:r>
              <w:rPr>
                <w:rFonts w:hint="eastAsia" w:eastAsia="宋体"/>
                <w:color w:val="auto"/>
              </w:rPr>
              <w:t>充装区</w:t>
            </w:r>
          </w:p>
        </w:tc>
        <w:tc>
          <w:tcPr>
            <w:tcW w:w="1164" w:type="pct"/>
            <w:vMerge w:val="continue"/>
            <w:tcMar>
              <w:left w:w="28" w:type="dxa"/>
              <w:right w:w="28" w:type="dxa"/>
            </w:tcMar>
            <w:vAlign w:val="center"/>
          </w:tcPr>
          <w:p w14:paraId="2FED67A5">
            <w:pPr>
              <w:pStyle w:val="288"/>
              <w:adjustRightInd w:val="0"/>
              <w:snapToGrid w:val="0"/>
              <w:spacing w:line="280" w:lineRule="exact"/>
              <w:rPr>
                <w:rFonts w:hint="eastAsia" w:eastAsia="宋体"/>
                <w:color w:val="auto"/>
              </w:rPr>
            </w:pPr>
          </w:p>
        </w:tc>
        <w:tc>
          <w:tcPr>
            <w:tcW w:w="708" w:type="pct"/>
            <w:vMerge w:val="continue"/>
            <w:tcMar>
              <w:left w:w="28" w:type="dxa"/>
              <w:right w:w="28" w:type="dxa"/>
            </w:tcMar>
            <w:vAlign w:val="center"/>
          </w:tcPr>
          <w:p w14:paraId="41ADF5DD">
            <w:pPr>
              <w:pStyle w:val="288"/>
              <w:adjustRightInd w:val="0"/>
              <w:snapToGrid w:val="0"/>
              <w:spacing w:line="280" w:lineRule="exact"/>
              <w:rPr>
                <w:rFonts w:hint="eastAsia" w:eastAsia="宋体"/>
                <w:color w:val="auto"/>
              </w:rPr>
            </w:pPr>
          </w:p>
        </w:tc>
        <w:tc>
          <w:tcPr>
            <w:tcW w:w="1152" w:type="pct"/>
            <w:vMerge w:val="continue"/>
            <w:tcMar>
              <w:left w:w="28" w:type="dxa"/>
              <w:right w:w="28" w:type="dxa"/>
            </w:tcMar>
            <w:vAlign w:val="center"/>
          </w:tcPr>
          <w:p w14:paraId="49BDFFB8">
            <w:pPr>
              <w:pStyle w:val="288"/>
              <w:adjustRightInd w:val="0"/>
              <w:snapToGrid w:val="0"/>
              <w:spacing w:line="280" w:lineRule="exact"/>
              <w:rPr>
                <w:rFonts w:hint="eastAsia" w:eastAsia="宋体"/>
                <w:color w:val="auto"/>
              </w:rPr>
            </w:pPr>
          </w:p>
        </w:tc>
      </w:tr>
      <w:tr w14:paraId="6A038CE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vMerge w:val="continue"/>
            <w:tcBorders>
              <w:right w:val="single" w:color="000000" w:sz="4" w:space="0"/>
            </w:tcBorders>
            <w:tcMar>
              <w:left w:w="28" w:type="dxa"/>
              <w:right w:w="28" w:type="dxa"/>
            </w:tcMar>
            <w:vAlign w:val="center"/>
          </w:tcPr>
          <w:p w14:paraId="63FE2D60">
            <w:pPr>
              <w:pStyle w:val="288"/>
              <w:adjustRightInd w:val="0"/>
              <w:snapToGrid w:val="0"/>
              <w:spacing w:line="280" w:lineRule="exact"/>
              <w:rPr>
                <w:rFonts w:hint="eastAsia" w:eastAsia="宋体"/>
                <w:color w:val="auto"/>
              </w:rPr>
            </w:pPr>
          </w:p>
        </w:tc>
        <w:tc>
          <w:tcPr>
            <w:tcW w:w="455" w:type="pct"/>
            <w:vMerge w:val="restart"/>
            <w:tcBorders>
              <w:left w:val="single" w:color="000000" w:sz="4" w:space="0"/>
            </w:tcBorders>
            <w:vAlign w:val="center"/>
          </w:tcPr>
          <w:p w14:paraId="291FAB12">
            <w:pPr>
              <w:pStyle w:val="288"/>
              <w:adjustRightInd w:val="0"/>
              <w:snapToGrid w:val="0"/>
              <w:spacing w:line="280" w:lineRule="exact"/>
              <w:rPr>
                <w:rFonts w:hint="eastAsia" w:eastAsia="宋体"/>
                <w:color w:val="auto"/>
              </w:rPr>
            </w:pPr>
            <w:r>
              <w:rPr>
                <w:rFonts w:hint="eastAsia" w:eastAsia="宋体"/>
                <w:color w:val="auto"/>
              </w:rPr>
              <w:t>燃气发电机燃烧烟气</w:t>
            </w:r>
          </w:p>
        </w:tc>
        <w:tc>
          <w:tcPr>
            <w:tcW w:w="353" w:type="pct"/>
            <w:tcMar>
              <w:left w:w="28" w:type="dxa"/>
              <w:right w:w="28" w:type="dxa"/>
            </w:tcMar>
            <w:vAlign w:val="center"/>
          </w:tcPr>
          <w:p w14:paraId="3EF29A4B">
            <w:pPr>
              <w:pStyle w:val="288"/>
              <w:adjustRightInd w:val="0"/>
              <w:snapToGrid w:val="0"/>
              <w:spacing w:line="280" w:lineRule="exact"/>
              <w:rPr>
                <w:rFonts w:hint="eastAsia" w:eastAsia="宋体"/>
                <w:color w:val="auto"/>
              </w:rPr>
            </w:pPr>
            <w:r>
              <w:rPr>
                <w:rFonts w:eastAsia="宋体"/>
                <w:color w:val="auto"/>
              </w:rPr>
              <w:t>氮氧化物</w:t>
            </w:r>
          </w:p>
        </w:tc>
        <w:tc>
          <w:tcPr>
            <w:tcW w:w="809" w:type="pct"/>
            <w:vMerge w:val="restart"/>
            <w:tcMar>
              <w:left w:w="28" w:type="dxa"/>
              <w:right w:w="28" w:type="dxa"/>
            </w:tcMar>
            <w:vAlign w:val="center"/>
          </w:tcPr>
          <w:p w14:paraId="7C161765">
            <w:pPr>
              <w:pStyle w:val="288"/>
              <w:adjustRightInd w:val="0"/>
              <w:snapToGrid w:val="0"/>
              <w:spacing w:line="280" w:lineRule="exact"/>
              <w:rPr>
                <w:rFonts w:hint="eastAsia" w:eastAsia="宋体"/>
                <w:color w:val="auto"/>
              </w:rPr>
            </w:pPr>
            <w:r>
              <w:rPr>
                <w:rFonts w:hint="eastAsia" w:eastAsia="宋体"/>
                <w:color w:val="auto"/>
              </w:rPr>
              <w:t>莫172H井场、莫174H井场</w:t>
            </w:r>
          </w:p>
        </w:tc>
        <w:tc>
          <w:tcPr>
            <w:tcW w:w="1164" w:type="pct"/>
            <w:vMerge w:val="restart"/>
            <w:tcMar>
              <w:left w:w="28" w:type="dxa"/>
              <w:right w:w="28" w:type="dxa"/>
            </w:tcMar>
            <w:vAlign w:val="center"/>
          </w:tcPr>
          <w:p w14:paraId="768C69F6">
            <w:pPr>
              <w:pStyle w:val="288"/>
              <w:adjustRightInd w:val="0"/>
              <w:snapToGrid w:val="0"/>
              <w:spacing w:line="280" w:lineRule="exact"/>
              <w:rPr>
                <w:rFonts w:hint="eastAsia" w:eastAsia="宋体"/>
                <w:color w:val="auto"/>
              </w:rPr>
            </w:pPr>
            <w:r>
              <w:rPr>
                <w:rFonts w:hint="eastAsia" w:eastAsia="宋体"/>
                <w:color w:val="auto"/>
              </w:rPr>
              <w:t>采用清洁燃料</w:t>
            </w:r>
          </w:p>
        </w:tc>
        <w:tc>
          <w:tcPr>
            <w:tcW w:w="708" w:type="pct"/>
            <w:vMerge w:val="restart"/>
            <w:tcMar>
              <w:left w:w="28" w:type="dxa"/>
              <w:right w:w="28" w:type="dxa"/>
            </w:tcMar>
            <w:vAlign w:val="center"/>
          </w:tcPr>
          <w:p w14:paraId="03C9EE58">
            <w:pPr>
              <w:pStyle w:val="288"/>
              <w:adjustRightInd w:val="0"/>
              <w:snapToGrid w:val="0"/>
              <w:spacing w:line="280" w:lineRule="exact"/>
              <w:rPr>
                <w:rFonts w:hint="eastAsia" w:eastAsia="宋体"/>
                <w:color w:val="auto"/>
              </w:rPr>
            </w:pPr>
            <w:r>
              <w:rPr>
                <w:rFonts w:hint="eastAsia" w:eastAsia="宋体"/>
                <w:color w:val="auto"/>
              </w:rPr>
              <w:t>达标排放</w:t>
            </w:r>
          </w:p>
        </w:tc>
        <w:tc>
          <w:tcPr>
            <w:tcW w:w="1152" w:type="pct"/>
            <w:vMerge w:val="restart"/>
            <w:tcMar>
              <w:left w:w="28" w:type="dxa"/>
              <w:right w:w="28" w:type="dxa"/>
            </w:tcMar>
            <w:vAlign w:val="center"/>
          </w:tcPr>
          <w:p w14:paraId="74C94FB3">
            <w:pPr>
              <w:pStyle w:val="288"/>
              <w:adjustRightInd w:val="0"/>
              <w:snapToGrid w:val="0"/>
              <w:spacing w:line="280" w:lineRule="exact"/>
              <w:rPr>
                <w:rFonts w:hint="eastAsia" w:eastAsia="宋体"/>
                <w:color w:val="auto"/>
              </w:rPr>
            </w:pPr>
            <w:r>
              <w:rPr>
                <w:rFonts w:hint="eastAsia" w:eastAsia="宋体"/>
                <w:color w:val="auto"/>
              </w:rPr>
              <w:t>《大气污染物综合排放标准》（GB16297-1996）</w:t>
            </w:r>
          </w:p>
        </w:tc>
      </w:tr>
      <w:tr w14:paraId="5B589B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vMerge w:val="continue"/>
            <w:tcBorders>
              <w:right w:val="single" w:color="000000" w:sz="4" w:space="0"/>
            </w:tcBorders>
            <w:tcMar>
              <w:left w:w="28" w:type="dxa"/>
              <w:right w:w="28" w:type="dxa"/>
            </w:tcMar>
            <w:vAlign w:val="center"/>
          </w:tcPr>
          <w:p w14:paraId="25412B99">
            <w:pPr>
              <w:pStyle w:val="288"/>
              <w:adjustRightInd w:val="0"/>
              <w:snapToGrid w:val="0"/>
              <w:spacing w:line="280" w:lineRule="exact"/>
              <w:rPr>
                <w:rFonts w:hint="eastAsia" w:eastAsia="宋体"/>
                <w:color w:val="auto"/>
              </w:rPr>
            </w:pPr>
          </w:p>
        </w:tc>
        <w:tc>
          <w:tcPr>
            <w:tcW w:w="455" w:type="pct"/>
            <w:vMerge w:val="continue"/>
            <w:tcBorders>
              <w:left w:val="single" w:color="000000" w:sz="4" w:space="0"/>
            </w:tcBorders>
            <w:vAlign w:val="center"/>
          </w:tcPr>
          <w:p w14:paraId="50325077">
            <w:pPr>
              <w:pStyle w:val="288"/>
              <w:adjustRightInd w:val="0"/>
              <w:snapToGrid w:val="0"/>
              <w:spacing w:line="280" w:lineRule="exact"/>
              <w:rPr>
                <w:rFonts w:hint="eastAsia" w:eastAsia="宋体"/>
                <w:color w:val="auto"/>
              </w:rPr>
            </w:pPr>
          </w:p>
        </w:tc>
        <w:tc>
          <w:tcPr>
            <w:tcW w:w="353" w:type="pct"/>
            <w:tcMar>
              <w:left w:w="28" w:type="dxa"/>
              <w:right w:w="28" w:type="dxa"/>
            </w:tcMar>
            <w:vAlign w:val="center"/>
          </w:tcPr>
          <w:p w14:paraId="3545D4CD">
            <w:pPr>
              <w:pStyle w:val="288"/>
              <w:adjustRightInd w:val="0"/>
              <w:snapToGrid w:val="0"/>
              <w:spacing w:line="280" w:lineRule="exact"/>
              <w:rPr>
                <w:rFonts w:hint="eastAsia" w:eastAsia="宋体"/>
                <w:color w:val="auto"/>
              </w:rPr>
            </w:pPr>
            <w:r>
              <w:rPr>
                <w:rFonts w:eastAsia="宋体"/>
                <w:color w:val="auto"/>
              </w:rPr>
              <w:t>颗粒物</w:t>
            </w:r>
          </w:p>
        </w:tc>
        <w:tc>
          <w:tcPr>
            <w:tcW w:w="809" w:type="pct"/>
            <w:vMerge w:val="continue"/>
            <w:tcMar>
              <w:left w:w="28" w:type="dxa"/>
              <w:right w:w="28" w:type="dxa"/>
            </w:tcMar>
            <w:vAlign w:val="center"/>
          </w:tcPr>
          <w:p w14:paraId="530181B5">
            <w:pPr>
              <w:pStyle w:val="288"/>
              <w:adjustRightInd w:val="0"/>
              <w:snapToGrid w:val="0"/>
              <w:spacing w:line="280" w:lineRule="exact"/>
              <w:rPr>
                <w:rFonts w:hint="eastAsia" w:eastAsia="宋体"/>
                <w:color w:val="auto"/>
              </w:rPr>
            </w:pPr>
          </w:p>
        </w:tc>
        <w:tc>
          <w:tcPr>
            <w:tcW w:w="1164" w:type="pct"/>
            <w:vMerge w:val="continue"/>
            <w:tcMar>
              <w:left w:w="28" w:type="dxa"/>
              <w:right w:w="28" w:type="dxa"/>
            </w:tcMar>
            <w:vAlign w:val="center"/>
          </w:tcPr>
          <w:p w14:paraId="7BD9D04C">
            <w:pPr>
              <w:pStyle w:val="288"/>
              <w:adjustRightInd w:val="0"/>
              <w:snapToGrid w:val="0"/>
              <w:spacing w:line="280" w:lineRule="exact"/>
              <w:rPr>
                <w:rFonts w:hint="eastAsia" w:eastAsia="宋体"/>
                <w:color w:val="auto"/>
              </w:rPr>
            </w:pPr>
          </w:p>
        </w:tc>
        <w:tc>
          <w:tcPr>
            <w:tcW w:w="708" w:type="pct"/>
            <w:vMerge w:val="continue"/>
            <w:tcMar>
              <w:left w:w="28" w:type="dxa"/>
              <w:right w:w="28" w:type="dxa"/>
            </w:tcMar>
            <w:vAlign w:val="center"/>
          </w:tcPr>
          <w:p w14:paraId="6E18E1C0">
            <w:pPr>
              <w:pStyle w:val="288"/>
              <w:adjustRightInd w:val="0"/>
              <w:snapToGrid w:val="0"/>
              <w:spacing w:line="280" w:lineRule="exact"/>
              <w:rPr>
                <w:rFonts w:hint="eastAsia" w:eastAsia="宋体"/>
                <w:color w:val="auto"/>
              </w:rPr>
            </w:pPr>
          </w:p>
        </w:tc>
        <w:tc>
          <w:tcPr>
            <w:tcW w:w="1152" w:type="pct"/>
            <w:vMerge w:val="continue"/>
            <w:tcMar>
              <w:left w:w="28" w:type="dxa"/>
              <w:right w:w="28" w:type="dxa"/>
            </w:tcMar>
            <w:vAlign w:val="center"/>
          </w:tcPr>
          <w:p w14:paraId="4B99838D">
            <w:pPr>
              <w:pStyle w:val="288"/>
              <w:adjustRightInd w:val="0"/>
              <w:snapToGrid w:val="0"/>
              <w:spacing w:line="280" w:lineRule="exact"/>
              <w:rPr>
                <w:rFonts w:hint="eastAsia" w:eastAsia="宋体"/>
                <w:color w:val="auto"/>
              </w:rPr>
            </w:pPr>
          </w:p>
        </w:tc>
      </w:tr>
      <w:tr w14:paraId="68F1B2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vMerge w:val="continue"/>
            <w:tcBorders>
              <w:right w:val="single" w:color="000000" w:sz="4" w:space="0"/>
            </w:tcBorders>
            <w:tcMar>
              <w:left w:w="28" w:type="dxa"/>
              <w:right w:w="28" w:type="dxa"/>
            </w:tcMar>
            <w:vAlign w:val="center"/>
          </w:tcPr>
          <w:p w14:paraId="714CB172">
            <w:pPr>
              <w:pStyle w:val="288"/>
              <w:adjustRightInd w:val="0"/>
              <w:snapToGrid w:val="0"/>
              <w:spacing w:line="280" w:lineRule="exact"/>
              <w:rPr>
                <w:rFonts w:hint="eastAsia" w:eastAsia="宋体"/>
                <w:color w:val="auto"/>
              </w:rPr>
            </w:pPr>
          </w:p>
        </w:tc>
        <w:tc>
          <w:tcPr>
            <w:tcW w:w="455" w:type="pct"/>
            <w:vMerge w:val="continue"/>
            <w:tcBorders>
              <w:left w:val="single" w:color="000000" w:sz="4" w:space="0"/>
            </w:tcBorders>
            <w:vAlign w:val="center"/>
          </w:tcPr>
          <w:p w14:paraId="264055E1">
            <w:pPr>
              <w:pStyle w:val="288"/>
              <w:adjustRightInd w:val="0"/>
              <w:snapToGrid w:val="0"/>
              <w:spacing w:line="280" w:lineRule="exact"/>
              <w:rPr>
                <w:rFonts w:hint="eastAsia" w:eastAsia="宋体"/>
                <w:color w:val="auto"/>
              </w:rPr>
            </w:pPr>
          </w:p>
        </w:tc>
        <w:tc>
          <w:tcPr>
            <w:tcW w:w="353" w:type="pct"/>
            <w:tcMar>
              <w:left w:w="28" w:type="dxa"/>
              <w:right w:w="28" w:type="dxa"/>
            </w:tcMar>
            <w:vAlign w:val="center"/>
          </w:tcPr>
          <w:p w14:paraId="0D2B6F22">
            <w:pPr>
              <w:pStyle w:val="288"/>
              <w:adjustRightInd w:val="0"/>
              <w:snapToGrid w:val="0"/>
              <w:spacing w:line="280" w:lineRule="exact"/>
              <w:rPr>
                <w:rFonts w:hint="eastAsia" w:eastAsia="宋体"/>
                <w:color w:val="auto"/>
              </w:rPr>
            </w:pPr>
            <w:r>
              <w:rPr>
                <w:rFonts w:eastAsia="宋体"/>
                <w:color w:val="auto"/>
              </w:rPr>
              <w:t>二氧化硫</w:t>
            </w:r>
          </w:p>
        </w:tc>
        <w:tc>
          <w:tcPr>
            <w:tcW w:w="809" w:type="pct"/>
            <w:vMerge w:val="continue"/>
            <w:tcMar>
              <w:left w:w="28" w:type="dxa"/>
              <w:right w:w="28" w:type="dxa"/>
            </w:tcMar>
            <w:vAlign w:val="center"/>
          </w:tcPr>
          <w:p w14:paraId="56532F63">
            <w:pPr>
              <w:pStyle w:val="288"/>
              <w:adjustRightInd w:val="0"/>
              <w:snapToGrid w:val="0"/>
              <w:spacing w:line="280" w:lineRule="exact"/>
              <w:rPr>
                <w:rFonts w:hint="eastAsia" w:eastAsia="宋体"/>
                <w:color w:val="auto"/>
              </w:rPr>
            </w:pPr>
          </w:p>
        </w:tc>
        <w:tc>
          <w:tcPr>
            <w:tcW w:w="1164" w:type="pct"/>
            <w:vMerge w:val="continue"/>
            <w:tcMar>
              <w:left w:w="28" w:type="dxa"/>
              <w:right w:w="28" w:type="dxa"/>
            </w:tcMar>
            <w:vAlign w:val="center"/>
          </w:tcPr>
          <w:p w14:paraId="504DC01B">
            <w:pPr>
              <w:pStyle w:val="288"/>
              <w:adjustRightInd w:val="0"/>
              <w:snapToGrid w:val="0"/>
              <w:spacing w:line="280" w:lineRule="exact"/>
              <w:rPr>
                <w:rFonts w:hint="eastAsia" w:eastAsia="宋体"/>
                <w:color w:val="auto"/>
              </w:rPr>
            </w:pPr>
          </w:p>
        </w:tc>
        <w:tc>
          <w:tcPr>
            <w:tcW w:w="708" w:type="pct"/>
            <w:vMerge w:val="continue"/>
            <w:tcMar>
              <w:left w:w="28" w:type="dxa"/>
              <w:right w:w="28" w:type="dxa"/>
            </w:tcMar>
            <w:vAlign w:val="center"/>
          </w:tcPr>
          <w:p w14:paraId="51CFAF2A">
            <w:pPr>
              <w:pStyle w:val="288"/>
              <w:adjustRightInd w:val="0"/>
              <w:snapToGrid w:val="0"/>
              <w:spacing w:line="280" w:lineRule="exact"/>
              <w:rPr>
                <w:rFonts w:hint="eastAsia" w:eastAsia="宋体"/>
                <w:color w:val="auto"/>
              </w:rPr>
            </w:pPr>
          </w:p>
        </w:tc>
        <w:tc>
          <w:tcPr>
            <w:tcW w:w="1152" w:type="pct"/>
            <w:vMerge w:val="continue"/>
            <w:tcMar>
              <w:left w:w="28" w:type="dxa"/>
              <w:right w:w="28" w:type="dxa"/>
            </w:tcMar>
            <w:vAlign w:val="center"/>
          </w:tcPr>
          <w:p w14:paraId="277FB28E">
            <w:pPr>
              <w:pStyle w:val="288"/>
              <w:adjustRightInd w:val="0"/>
              <w:snapToGrid w:val="0"/>
              <w:spacing w:line="280" w:lineRule="exact"/>
              <w:rPr>
                <w:rFonts w:hint="eastAsia" w:eastAsia="宋体"/>
                <w:color w:val="auto"/>
              </w:rPr>
            </w:pPr>
          </w:p>
        </w:tc>
      </w:tr>
      <w:tr w14:paraId="7C13F5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tcMar>
              <w:left w:w="28" w:type="dxa"/>
              <w:right w:w="28" w:type="dxa"/>
            </w:tcMar>
            <w:vAlign w:val="center"/>
          </w:tcPr>
          <w:p w14:paraId="1B52F199">
            <w:pPr>
              <w:pStyle w:val="288"/>
              <w:adjustRightInd w:val="0"/>
              <w:snapToGrid w:val="0"/>
              <w:spacing w:line="280" w:lineRule="exact"/>
              <w:rPr>
                <w:rFonts w:hint="eastAsia" w:eastAsia="宋体"/>
                <w:color w:val="auto"/>
              </w:rPr>
            </w:pPr>
            <w:r>
              <w:rPr>
                <w:rFonts w:hint="eastAsia" w:eastAsia="宋体"/>
                <w:color w:val="auto"/>
              </w:rPr>
              <w:t>废水</w:t>
            </w:r>
          </w:p>
        </w:tc>
        <w:tc>
          <w:tcPr>
            <w:tcW w:w="455" w:type="pct"/>
            <w:tcBorders>
              <w:left w:val="single" w:color="auto" w:sz="4" w:space="0"/>
            </w:tcBorders>
            <w:vAlign w:val="center"/>
          </w:tcPr>
          <w:p w14:paraId="580B2D15">
            <w:pPr>
              <w:pStyle w:val="288"/>
              <w:adjustRightInd w:val="0"/>
              <w:snapToGrid w:val="0"/>
              <w:spacing w:line="280" w:lineRule="exact"/>
              <w:rPr>
                <w:rFonts w:hint="eastAsia" w:eastAsia="宋体"/>
                <w:color w:val="auto"/>
              </w:rPr>
            </w:pPr>
            <w:r>
              <w:rPr>
                <w:rFonts w:hint="eastAsia" w:eastAsia="宋体"/>
                <w:color w:val="auto"/>
              </w:rPr>
              <w:t>井下作业废液</w:t>
            </w:r>
          </w:p>
        </w:tc>
        <w:tc>
          <w:tcPr>
            <w:tcW w:w="353" w:type="pct"/>
            <w:tcMar>
              <w:left w:w="28" w:type="dxa"/>
              <w:right w:w="28" w:type="dxa"/>
            </w:tcMar>
            <w:vAlign w:val="center"/>
          </w:tcPr>
          <w:p w14:paraId="3FCD68CD">
            <w:pPr>
              <w:pStyle w:val="288"/>
              <w:adjustRightInd w:val="0"/>
              <w:snapToGrid w:val="0"/>
              <w:spacing w:line="280" w:lineRule="exact"/>
              <w:rPr>
                <w:rFonts w:hint="eastAsia" w:eastAsia="宋体"/>
                <w:color w:val="auto"/>
              </w:rPr>
            </w:pPr>
            <w:r>
              <w:rPr>
                <w:rFonts w:hint="eastAsia" w:eastAsia="宋体"/>
                <w:color w:val="auto"/>
              </w:rPr>
              <w:t>石油类、悬浮物</w:t>
            </w:r>
          </w:p>
        </w:tc>
        <w:tc>
          <w:tcPr>
            <w:tcW w:w="809" w:type="pct"/>
            <w:tcMar>
              <w:left w:w="28" w:type="dxa"/>
              <w:right w:w="28" w:type="dxa"/>
            </w:tcMar>
            <w:vAlign w:val="center"/>
          </w:tcPr>
          <w:p w14:paraId="463A6913">
            <w:pPr>
              <w:pStyle w:val="288"/>
              <w:adjustRightInd w:val="0"/>
              <w:snapToGrid w:val="0"/>
              <w:spacing w:line="280" w:lineRule="exact"/>
              <w:rPr>
                <w:rFonts w:hint="eastAsia" w:eastAsia="宋体"/>
                <w:color w:val="auto"/>
              </w:rPr>
            </w:pPr>
            <w:r>
              <w:rPr>
                <w:rFonts w:hint="eastAsia" w:eastAsia="宋体"/>
                <w:color w:val="auto"/>
              </w:rPr>
              <w:t>莫27井场、莫172H井和莫174H井</w:t>
            </w:r>
          </w:p>
        </w:tc>
        <w:tc>
          <w:tcPr>
            <w:tcW w:w="1164" w:type="pct"/>
            <w:tcMar>
              <w:left w:w="28" w:type="dxa"/>
              <w:right w:w="28" w:type="dxa"/>
            </w:tcMar>
            <w:vAlign w:val="center"/>
          </w:tcPr>
          <w:p w14:paraId="49DDC742">
            <w:pPr>
              <w:pStyle w:val="288"/>
              <w:adjustRightInd w:val="0"/>
              <w:snapToGrid w:val="0"/>
              <w:spacing w:line="280" w:lineRule="exact"/>
              <w:rPr>
                <w:rFonts w:hint="eastAsia" w:eastAsia="宋体"/>
                <w:color w:val="auto"/>
              </w:rPr>
            </w:pPr>
            <w:r>
              <w:rPr>
                <w:rFonts w:hint="eastAsia" w:eastAsia="宋体"/>
                <w:color w:val="auto"/>
              </w:rPr>
              <w:t>送至莫北转油站采出水处理系统处理</w:t>
            </w:r>
          </w:p>
        </w:tc>
        <w:tc>
          <w:tcPr>
            <w:tcW w:w="708" w:type="pct"/>
            <w:tcMar>
              <w:left w:w="28" w:type="dxa"/>
              <w:right w:w="28" w:type="dxa"/>
            </w:tcMar>
            <w:vAlign w:val="center"/>
          </w:tcPr>
          <w:p w14:paraId="5C320225">
            <w:pPr>
              <w:pStyle w:val="288"/>
              <w:adjustRightInd w:val="0"/>
              <w:snapToGrid w:val="0"/>
              <w:spacing w:line="280" w:lineRule="exact"/>
              <w:rPr>
                <w:rFonts w:hint="eastAsia" w:eastAsia="宋体"/>
                <w:color w:val="auto"/>
              </w:rPr>
            </w:pPr>
            <w:r>
              <w:rPr>
                <w:rFonts w:hint="eastAsia" w:eastAsia="宋体"/>
                <w:color w:val="auto"/>
              </w:rPr>
              <w:t>处理达标后回注地层</w:t>
            </w:r>
          </w:p>
        </w:tc>
        <w:tc>
          <w:tcPr>
            <w:tcW w:w="1152" w:type="pct"/>
            <w:tcMar>
              <w:left w:w="28" w:type="dxa"/>
              <w:right w:w="28" w:type="dxa"/>
            </w:tcMar>
            <w:vAlign w:val="center"/>
          </w:tcPr>
          <w:p w14:paraId="0589371D">
            <w:pPr>
              <w:pStyle w:val="288"/>
              <w:adjustRightInd w:val="0"/>
              <w:snapToGrid w:val="0"/>
              <w:spacing w:line="280" w:lineRule="exact"/>
              <w:rPr>
                <w:rFonts w:hint="eastAsia" w:eastAsia="宋体"/>
                <w:color w:val="auto"/>
              </w:rPr>
            </w:pPr>
            <w:r>
              <w:rPr>
                <w:rFonts w:hint="eastAsia" w:eastAsia="宋体"/>
                <w:color w:val="auto"/>
              </w:rPr>
              <w:t>出水水质满足《碎屑岩油藏注水水质指标技术要求及分析方法》（SY</w:t>
            </w:r>
            <w:r>
              <w:rPr>
                <w:rFonts w:eastAsia="宋体"/>
                <w:color w:val="auto"/>
              </w:rPr>
              <w:t>/</w:t>
            </w:r>
            <w:r>
              <w:rPr>
                <w:rFonts w:hint="eastAsia" w:eastAsia="宋体"/>
                <w:color w:val="auto"/>
              </w:rPr>
              <w:t>T5329-2022）Ⅲ级标准要求</w:t>
            </w:r>
          </w:p>
        </w:tc>
      </w:tr>
      <w:tr w14:paraId="28DA1A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tcMar>
              <w:left w:w="28" w:type="dxa"/>
              <w:right w:w="28" w:type="dxa"/>
            </w:tcMar>
            <w:vAlign w:val="center"/>
          </w:tcPr>
          <w:p w14:paraId="24C5CDA3">
            <w:pPr>
              <w:pStyle w:val="288"/>
              <w:adjustRightInd w:val="0"/>
              <w:snapToGrid w:val="0"/>
              <w:spacing w:line="280" w:lineRule="exact"/>
              <w:rPr>
                <w:rFonts w:hint="eastAsia" w:eastAsia="宋体"/>
                <w:color w:val="auto"/>
              </w:rPr>
            </w:pPr>
            <w:r>
              <w:rPr>
                <w:rFonts w:hint="eastAsia" w:eastAsia="宋体"/>
                <w:color w:val="auto"/>
              </w:rPr>
              <w:t>噪声</w:t>
            </w:r>
          </w:p>
        </w:tc>
        <w:tc>
          <w:tcPr>
            <w:tcW w:w="455" w:type="pct"/>
            <w:tcBorders>
              <w:left w:val="single" w:color="auto" w:sz="4" w:space="0"/>
            </w:tcBorders>
            <w:vAlign w:val="center"/>
          </w:tcPr>
          <w:p w14:paraId="536EB88F">
            <w:pPr>
              <w:pStyle w:val="288"/>
              <w:adjustRightInd w:val="0"/>
              <w:snapToGrid w:val="0"/>
              <w:spacing w:line="280" w:lineRule="exact"/>
              <w:rPr>
                <w:rFonts w:hint="eastAsia" w:eastAsia="宋体"/>
                <w:color w:val="auto"/>
              </w:rPr>
            </w:pPr>
            <w:r>
              <w:rPr>
                <w:rFonts w:hint="eastAsia" w:eastAsia="宋体"/>
                <w:color w:val="auto"/>
              </w:rPr>
              <w:t>各类机泵</w:t>
            </w:r>
          </w:p>
        </w:tc>
        <w:tc>
          <w:tcPr>
            <w:tcW w:w="353" w:type="pct"/>
            <w:tcMar>
              <w:left w:w="28" w:type="dxa"/>
              <w:right w:w="28" w:type="dxa"/>
            </w:tcMar>
            <w:vAlign w:val="center"/>
          </w:tcPr>
          <w:p w14:paraId="59AB37B0">
            <w:pPr>
              <w:pStyle w:val="288"/>
              <w:adjustRightInd w:val="0"/>
              <w:snapToGrid w:val="0"/>
              <w:spacing w:line="280" w:lineRule="exact"/>
              <w:rPr>
                <w:rFonts w:hint="eastAsia" w:eastAsia="宋体"/>
                <w:color w:val="auto"/>
              </w:rPr>
            </w:pPr>
            <w:r>
              <w:rPr>
                <w:rFonts w:hint="eastAsia" w:eastAsia="宋体"/>
                <w:color w:val="auto"/>
              </w:rPr>
              <w:t>噪声</w:t>
            </w:r>
          </w:p>
        </w:tc>
        <w:tc>
          <w:tcPr>
            <w:tcW w:w="809" w:type="pct"/>
            <w:tcMar>
              <w:left w:w="28" w:type="dxa"/>
              <w:right w:w="28" w:type="dxa"/>
            </w:tcMar>
            <w:vAlign w:val="center"/>
          </w:tcPr>
          <w:p w14:paraId="188450CD">
            <w:pPr>
              <w:pStyle w:val="288"/>
              <w:adjustRightInd w:val="0"/>
              <w:snapToGrid w:val="0"/>
              <w:spacing w:line="280" w:lineRule="exact"/>
              <w:rPr>
                <w:rFonts w:hint="eastAsia" w:eastAsia="宋体"/>
                <w:color w:val="auto"/>
              </w:rPr>
            </w:pPr>
            <w:r>
              <w:rPr>
                <w:rFonts w:hint="eastAsia" w:eastAsia="宋体"/>
                <w:color w:val="auto"/>
              </w:rPr>
              <w:t>莫27井场、莫172H井和莫174H井</w:t>
            </w:r>
          </w:p>
        </w:tc>
        <w:tc>
          <w:tcPr>
            <w:tcW w:w="1164" w:type="pct"/>
            <w:tcBorders>
              <w:right w:val="single" w:color="auto" w:sz="4" w:space="0"/>
            </w:tcBorders>
            <w:tcMar>
              <w:left w:w="28" w:type="dxa"/>
              <w:right w:w="28" w:type="dxa"/>
            </w:tcMar>
            <w:vAlign w:val="center"/>
          </w:tcPr>
          <w:p w14:paraId="271C9799">
            <w:pPr>
              <w:pStyle w:val="288"/>
              <w:adjustRightInd w:val="0"/>
              <w:snapToGrid w:val="0"/>
              <w:spacing w:line="280" w:lineRule="exact"/>
              <w:rPr>
                <w:rFonts w:hint="eastAsia" w:eastAsia="宋体"/>
                <w:color w:val="auto"/>
              </w:rPr>
            </w:pPr>
            <w:r>
              <w:rPr>
                <w:rFonts w:hint="eastAsia" w:eastAsia="宋体"/>
                <w:color w:val="auto"/>
              </w:rPr>
              <w:t>隔声、基础减振，采用低噪声设备</w:t>
            </w:r>
          </w:p>
        </w:tc>
        <w:tc>
          <w:tcPr>
            <w:tcW w:w="708" w:type="pct"/>
            <w:tcBorders>
              <w:left w:val="single" w:color="auto" w:sz="4" w:space="0"/>
            </w:tcBorders>
            <w:vAlign w:val="center"/>
          </w:tcPr>
          <w:p w14:paraId="0EF09B3B">
            <w:pPr>
              <w:pStyle w:val="288"/>
              <w:adjustRightInd w:val="0"/>
              <w:snapToGrid w:val="0"/>
              <w:spacing w:line="280" w:lineRule="exact"/>
              <w:rPr>
                <w:rFonts w:hint="eastAsia" w:eastAsia="宋体"/>
                <w:color w:val="auto"/>
              </w:rPr>
            </w:pPr>
            <w:r>
              <w:rPr>
                <w:rFonts w:hint="eastAsia" w:eastAsia="宋体"/>
                <w:color w:val="auto"/>
              </w:rPr>
              <w:t>厂界噪声达标排放</w:t>
            </w:r>
          </w:p>
        </w:tc>
        <w:tc>
          <w:tcPr>
            <w:tcW w:w="1152" w:type="pct"/>
            <w:tcMar>
              <w:left w:w="28" w:type="dxa"/>
              <w:right w:w="28" w:type="dxa"/>
            </w:tcMar>
            <w:vAlign w:val="center"/>
          </w:tcPr>
          <w:p w14:paraId="3F7FE752">
            <w:pPr>
              <w:pStyle w:val="288"/>
              <w:adjustRightInd w:val="0"/>
              <w:snapToGrid w:val="0"/>
              <w:spacing w:line="280" w:lineRule="exact"/>
              <w:rPr>
                <w:rFonts w:hint="eastAsia" w:eastAsia="宋体"/>
                <w:color w:val="auto"/>
              </w:rPr>
            </w:pPr>
            <w:r>
              <w:rPr>
                <w:rFonts w:hint="eastAsia" w:eastAsia="宋体"/>
                <w:color w:val="auto"/>
              </w:rPr>
              <w:t>《工业企业厂界环境噪声排放标准》（GB12348-</w:t>
            </w:r>
            <w:r>
              <w:rPr>
                <w:rFonts w:eastAsia="宋体"/>
                <w:color w:val="auto"/>
              </w:rPr>
              <w:t>2008</w:t>
            </w:r>
            <w:r>
              <w:rPr>
                <w:rFonts w:hint="eastAsia" w:eastAsia="宋体"/>
                <w:color w:val="auto"/>
              </w:rPr>
              <w:t>）</w:t>
            </w:r>
            <w:r>
              <w:rPr>
                <w:rFonts w:eastAsia="宋体"/>
                <w:color w:val="auto"/>
              </w:rPr>
              <w:t>2</w:t>
            </w:r>
            <w:r>
              <w:rPr>
                <w:rFonts w:hint="eastAsia" w:eastAsia="宋体"/>
                <w:color w:val="auto"/>
              </w:rPr>
              <w:t>类</w:t>
            </w:r>
          </w:p>
        </w:tc>
      </w:tr>
      <w:tr w14:paraId="4521DD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tcMar>
              <w:left w:w="28" w:type="dxa"/>
              <w:right w:w="28" w:type="dxa"/>
            </w:tcMar>
            <w:vAlign w:val="center"/>
          </w:tcPr>
          <w:p w14:paraId="522AB43E">
            <w:pPr>
              <w:pStyle w:val="288"/>
              <w:adjustRightInd w:val="0"/>
              <w:snapToGrid w:val="0"/>
              <w:spacing w:line="280" w:lineRule="exact"/>
              <w:rPr>
                <w:rFonts w:hint="eastAsia" w:eastAsia="宋体"/>
                <w:color w:val="auto"/>
              </w:rPr>
            </w:pPr>
            <w:r>
              <w:rPr>
                <w:rFonts w:hint="eastAsia" w:eastAsia="宋体"/>
                <w:color w:val="auto"/>
              </w:rPr>
              <w:t>固体废物</w:t>
            </w:r>
          </w:p>
        </w:tc>
        <w:tc>
          <w:tcPr>
            <w:tcW w:w="809" w:type="pct"/>
            <w:gridSpan w:val="2"/>
            <w:tcBorders>
              <w:left w:val="single" w:color="auto" w:sz="4" w:space="0"/>
            </w:tcBorders>
            <w:vAlign w:val="center"/>
          </w:tcPr>
          <w:p w14:paraId="4B519972">
            <w:pPr>
              <w:pStyle w:val="288"/>
              <w:adjustRightInd w:val="0"/>
              <w:snapToGrid w:val="0"/>
              <w:spacing w:line="280" w:lineRule="exact"/>
              <w:rPr>
                <w:rFonts w:hint="eastAsia" w:eastAsia="宋体"/>
                <w:color w:val="auto"/>
              </w:rPr>
            </w:pPr>
            <w:r>
              <w:rPr>
                <w:rFonts w:hint="eastAsia" w:eastAsia="宋体"/>
                <w:color w:val="auto"/>
              </w:rPr>
              <w:t>清罐底泥、废分子筛、废滤料、废润滑油、废润滑油桶、沾油废防渗材料</w:t>
            </w:r>
            <w:r>
              <w:rPr>
                <w:rFonts w:hint="eastAsia" w:eastAsia="宋体" w:cs="宋体"/>
                <w:color w:val="auto"/>
              </w:rPr>
              <w:t>、</w:t>
            </w:r>
            <w:r>
              <w:rPr>
                <w:rFonts w:hint="eastAsia" w:eastAsia="宋体" w:cs="宋体"/>
                <w:color w:val="auto"/>
                <w:lang w:val="zh-CN"/>
              </w:rPr>
              <w:t>废含油抹布及劳保用品</w:t>
            </w:r>
          </w:p>
        </w:tc>
        <w:tc>
          <w:tcPr>
            <w:tcW w:w="809" w:type="pct"/>
            <w:tcMar>
              <w:left w:w="28" w:type="dxa"/>
              <w:right w:w="28" w:type="dxa"/>
            </w:tcMar>
            <w:vAlign w:val="center"/>
          </w:tcPr>
          <w:p w14:paraId="14788BF9">
            <w:pPr>
              <w:pStyle w:val="288"/>
              <w:adjustRightInd w:val="0"/>
              <w:snapToGrid w:val="0"/>
              <w:spacing w:line="280" w:lineRule="exact"/>
              <w:rPr>
                <w:rFonts w:hint="eastAsia" w:eastAsia="宋体"/>
                <w:color w:val="auto"/>
              </w:rPr>
            </w:pPr>
            <w:r>
              <w:rPr>
                <w:rFonts w:hint="eastAsia" w:eastAsia="宋体"/>
                <w:color w:val="auto"/>
              </w:rPr>
              <w:t>莫27井场、莫172H井（包括CNG撬装天然气浅冷处理装置）和莫174H井（包括CNG撬装天然气浅冷处理装置）</w:t>
            </w:r>
          </w:p>
        </w:tc>
        <w:tc>
          <w:tcPr>
            <w:tcW w:w="1872" w:type="pct"/>
            <w:gridSpan w:val="2"/>
            <w:tcMar>
              <w:left w:w="28" w:type="dxa"/>
              <w:right w:w="28" w:type="dxa"/>
            </w:tcMar>
            <w:vAlign w:val="center"/>
          </w:tcPr>
          <w:p w14:paraId="6F9E95F6">
            <w:pPr>
              <w:pStyle w:val="288"/>
              <w:adjustRightInd w:val="0"/>
              <w:snapToGrid w:val="0"/>
              <w:spacing w:line="280" w:lineRule="exact"/>
              <w:rPr>
                <w:rFonts w:hint="eastAsia" w:eastAsia="宋体"/>
                <w:color w:val="auto"/>
              </w:rPr>
            </w:pPr>
            <w:r>
              <w:rPr>
                <w:rFonts w:hint="eastAsia" w:eastAsia="宋体"/>
                <w:color w:val="auto"/>
              </w:rPr>
              <w:t>集中收集后交由有相应危险废物处理资质的单位进行回收处置</w:t>
            </w:r>
          </w:p>
        </w:tc>
        <w:tc>
          <w:tcPr>
            <w:tcW w:w="1152" w:type="pct"/>
            <w:tcMar>
              <w:left w:w="28" w:type="dxa"/>
              <w:right w:w="28" w:type="dxa"/>
            </w:tcMar>
            <w:vAlign w:val="center"/>
          </w:tcPr>
          <w:p w14:paraId="31EBFBA6">
            <w:pPr>
              <w:pStyle w:val="288"/>
              <w:adjustRightInd w:val="0"/>
              <w:snapToGrid w:val="0"/>
              <w:spacing w:line="280" w:lineRule="exact"/>
              <w:rPr>
                <w:rFonts w:hint="eastAsia" w:eastAsia="宋体"/>
                <w:color w:val="auto"/>
              </w:rPr>
            </w:pPr>
            <w:r>
              <w:rPr>
                <w:rFonts w:hint="eastAsia" w:eastAsia="宋体"/>
                <w:color w:val="auto"/>
              </w:rPr>
              <w:t>签订处置协议，落实危险废物转移联单</w:t>
            </w:r>
          </w:p>
        </w:tc>
      </w:tr>
      <w:tr w14:paraId="11546BD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vMerge w:val="restart"/>
            <w:tcMar>
              <w:left w:w="28" w:type="dxa"/>
              <w:right w:w="28" w:type="dxa"/>
            </w:tcMar>
            <w:vAlign w:val="center"/>
          </w:tcPr>
          <w:p w14:paraId="3F4515C5">
            <w:pPr>
              <w:pStyle w:val="288"/>
              <w:adjustRightInd w:val="0"/>
              <w:snapToGrid w:val="0"/>
              <w:spacing w:line="280" w:lineRule="exact"/>
              <w:rPr>
                <w:rFonts w:hint="eastAsia" w:eastAsia="宋体"/>
                <w:color w:val="auto"/>
              </w:rPr>
            </w:pPr>
            <w:r>
              <w:rPr>
                <w:rFonts w:hint="eastAsia" w:eastAsia="宋体"/>
                <w:color w:val="auto"/>
              </w:rPr>
              <w:t>生态环境</w:t>
            </w:r>
          </w:p>
        </w:tc>
        <w:tc>
          <w:tcPr>
            <w:tcW w:w="455" w:type="pct"/>
            <w:vMerge w:val="restart"/>
            <w:tcBorders>
              <w:left w:val="single" w:color="auto" w:sz="4" w:space="0"/>
            </w:tcBorders>
            <w:vAlign w:val="center"/>
          </w:tcPr>
          <w:p w14:paraId="58610C8B">
            <w:pPr>
              <w:pStyle w:val="288"/>
              <w:adjustRightInd w:val="0"/>
              <w:snapToGrid w:val="0"/>
              <w:spacing w:line="280" w:lineRule="exact"/>
              <w:rPr>
                <w:rFonts w:hint="eastAsia" w:eastAsia="宋体"/>
                <w:color w:val="auto"/>
              </w:rPr>
            </w:pPr>
            <w:r>
              <w:rPr>
                <w:rFonts w:hint="eastAsia" w:eastAsia="宋体"/>
                <w:color w:val="auto"/>
              </w:rPr>
              <w:t>工程占地</w:t>
            </w:r>
          </w:p>
        </w:tc>
        <w:tc>
          <w:tcPr>
            <w:tcW w:w="353" w:type="pct"/>
            <w:vMerge w:val="restart"/>
            <w:tcMar>
              <w:left w:w="28" w:type="dxa"/>
              <w:right w:w="28" w:type="dxa"/>
            </w:tcMar>
            <w:vAlign w:val="center"/>
          </w:tcPr>
          <w:p w14:paraId="1E2B1281">
            <w:pPr>
              <w:pStyle w:val="288"/>
              <w:adjustRightInd w:val="0"/>
              <w:snapToGrid w:val="0"/>
              <w:spacing w:line="280" w:lineRule="exact"/>
              <w:rPr>
                <w:rFonts w:hint="eastAsia" w:eastAsia="宋体"/>
                <w:color w:val="auto"/>
              </w:rPr>
            </w:pPr>
            <w:r>
              <w:rPr>
                <w:rFonts w:hint="eastAsia" w:eastAsia="宋体"/>
                <w:color w:val="auto"/>
              </w:rPr>
              <w:t>植被破坏</w:t>
            </w:r>
          </w:p>
          <w:p w14:paraId="7571A8D1">
            <w:pPr>
              <w:pStyle w:val="288"/>
              <w:adjustRightInd w:val="0"/>
              <w:snapToGrid w:val="0"/>
              <w:spacing w:line="280" w:lineRule="exact"/>
              <w:rPr>
                <w:rFonts w:hint="eastAsia" w:eastAsia="宋体"/>
                <w:color w:val="auto"/>
              </w:rPr>
            </w:pPr>
            <w:r>
              <w:rPr>
                <w:rFonts w:hint="eastAsia" w:eastAsia="宋体"/>
                <w:color w:val="auto"/>
              </w:rPr>
              <w:t>土壤压覆</w:t>
            </w:r>
          </w:p>
          <w:p w14:paraId="24663E7B">
            <w:pPr>
              <w:pStyle w:val="288"/>
              <w:adjustRightInd w:val="0"/>
              <w:snapToGrid w:val="0"/>
              <w:spacing w:line="280" w:lineRule="exact"/>
              <w:rPr>
                <w:rFonts w:hint="eastAsia" w:eastAsia="宋体"/>
                <w:color w:val="auto"/>
              </w:rPr>
            </w:pPr>
            <w:r>
              <w:rPr>
                <w:rFonts w:hint="eastAsia" w:eastAsia="宋体"/>
                <w:color w:val="auto"/>
              </w:rPr>
              <w:t>地表扰动</w:t>
            </w:r>
          </w:p>
          <w:p w14:paraId="0177C589">
            <w:pPr>
              <w:pStyle w:val="288"/>
              <w:adjustRightInd w:val="0"/>
              <w:snapToGrid w:val="0"/>
              <w:spacing w:line="280" w:lineRule="exact"/>
              <w:rPr>
                <w:rFonts w:hint="eastAsia" w:eastAsia="宋体"/>
                <w:color w:val="auto"/>
              </w:rPr>
            </w:pPr>
            <w:r>
              <w:rPr>
                <w:rFonts w:hint="eastAsia" w:eastAsia="宋体"/>
                <w:color w:val="auto"/>
              </w:rPr>
              <w:t>水土流失</w:t>
            </w:r>
          </w:p>
        </w:tc>
        <w:tc>
          <w:tcPr>
            <w:tcW w:w="809" w:type="pct"/>
            <w:vMerge w:val="restart"/>
            <w:tcMar>
              <w:left w:w="28" w:type="dxa"/>
              <w:right w:w="28" w:type="dxa"/>
            </w:tcMar>
            <w:vAlign w:val="center"/>
          </w:tcPr>
          <w:p w14:paraId="6AE1CBDE">
            <w:pPr>
              <w:pStyle w:val="288"/>
              <w:adjustRightInd w:val="0"/>
              <w:snapToGrid w:val="0"/>
              <w:spacing w:line="280" w:lineRule="exact"/>
              <w:rPr>
                <w:rFonts w:hint="eastAsia" w:eastAsia="宋体"/>
                <w:color w:val="auto"/>
              </w:rPr>
            </w:pPr>
            <w:r>
              <w:rPr>
                <w:rFonts w:hint="eastAsia" w:eastAsia="宋体"/>
                <w:color w:val="auto"/>
              </w:rPr>
              <w:t>采油井场、单井采油管线</w:t>
            </w:r>
          </w:p>
        </w:tc>
        <w:tc>
          <w:tcPr>
            <w:tcW w:w="1872" w:type="pct"/>
            <w:gridSpan w:val="2"/>
            <w:tcMar>
              <w:left w:w="28" w:type="dxa"/>
              <w:right w:w="28" w:type="dxa"/>
            </w:tcMar>
            <w:vAlign w:val="center"/>
          </w:tcPr>
          <w:p w14:paraId="7356FF34">
            <w:pPr>
              <w:pStyle w:val="288"/>
              <w:adjustRightInd w:val="0"/>
              <w:snapToGrid w:val="0"/>
              <w:spacing w:line="280" w:lineRule="exact"/>
              <w:rPr>
                <w:rFonts w:hint="eastAsia" w:eastAsia="宋体"/>
                <w:color w:val="auto"/>
              </w:rPr>
            </w:pPr>
            <w:r>
              <w:rPr>
                <w:rFonts w:hint="eastAsia" w:eastAsia="宋体"/>
                <w:color w:val="auto"/>
              </w:rPr>
              <w:t>严格控制占地范围，井场砾石铺垫或地面硬化</w:t>
            </w:r>
          </w:p>
        </w:tc>
        <w:tc>
          <w:tcPr>
            <w:tcW w:w="1152" w:type="pct"/>
            <w:tcMar>
              <w:left w:w="28" w:type="dxa"/>
              <w:right w:w="28" w:type="dxa"/>
            </w:tcMar>
            <w:vAlign w:val="center"/>
          </w:tcPr>
          <w:p w14:paraId="6B89677F">
            <w:pPr>
              <w:pStyle w:val="288"/>
              <w:adjustRightInd w:val="0"/>
              <w:snapToGrid w:val="0"/>
              <w:spacing w:line="280" w:lineRule="exact"/>
              <w:rPr>
                <w:rFonts w:hint="eastAsia" w:eastAsia="宋体"/>
                <w:color w:val="auto"/>
              </w:rPr>
            </w:pPr>
            <w:r>
              <w:rPr>
                <w:rFonts w:hint="eastAsia" w:eastAsia="宋体"/>
                <w:color w:val="auto"/>
              </w:rPr>
              <w:t>砾石铺垫或地面硬化</w:t>
            </w:r>
          </w:p>
        </w:tc>
      </w:tr>
      <w:tr w14:paraId="17C1F9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vMerge w:val="continue"/>
            <w:tcMar>
              <w:left w:w="28" w:type="dxa"/>
              <w:right w:w="28" w:type="dxa"/>
            </w:tcMar>
            <w:vAlign w:val="center"/>
          </w:tcPr>
          <w:p w14:paraId="6EBA2F48">
            <w:pPr>
              <w:pStyle w:val="288"/>
              <w:adjustRightInd w:val="0"/>
              <w:snapToGrid w:val="0"/>
              <w:spacing w:line="280" w:lineRule="exact"/>
              <w:rPr>
                <w:rFonts w:hint="eastAsia" w:eastAsia="宋体"/>
                <w:color w:val="auto"/>
              </w:rPr>
            </w:pPr>
          </w:p>
        </w:tc>
        <w:tc>
          <w:tcPr>
            <w:tcW w:w="455" w:type="pct"/>
            <w:vMerge w:val="continue"/>
            <w:tcBorders>
              <w:left w:val="single" w:color="auto" w:sz="4" w:space="0"/>
            </w:tcBorders>
            <w:vAlign w:val="center"/>
          </w:tcPr>
          <w:p w14:paraId="77B4D9FC">
            <w:pPr>
              <w:pStyle w:val="288"/>
              <w:adjustRightInd w:val="0"/>
              <w:snapToGrid w:val="0"/>
              <w:spacing w:line="280" w:lineRule="exact"/>
              <w:rPr>
                <w:rFonts w:hint="eastAsia" w:eastAsia="宋体"/>
                <w:color w:val="auto"/>
              </w:rPr>
            </w:pPr>
          </w:p>
        </w:tc>
        <w:tc>
          <w:tcPr>
            <w:tcW w:w="353" w:type="pct"/>
            <w:vMerge w:val="continue"/>
            <w:tcMar>
              <w:left w:w="28" w:type="dxa"/>
              <w:right w:w="28" w:type="dxa"/>
            </w:tcMar>
            <w:vAlign w:val="center"/>
          </w:tcPr>
          <w:p w14:paraId="701B8A10">
            <w:pPr>
              <w:pStyle w:val="288"/>
              <w:adjustRightInd w:val="0"/>
              <w:snapToGrid w:val="0"/>
              <w:spacing w:line="280" w:lineRule="exact"/>
              <w:rPr>
                <w:rFonts w:hint="eastAsia" w:eastAsia="宋体"/>
                <w:color w:val="auto"/>
              </w:rPr>
            </w:pPr>
          </w:p>
        </w:tc>
        <w:tc>
          <w:tcPr>
            <w:tcW w:w="809" w:type="pct"/>
            <w:vMerge w:val="continue"/>
            <w:tcMar>
              <w:left w:w="28" w:type="dxa"/>
              <w:right w:w="28" w:type="dxa"/>
            </w:tcMar>
            <w:vAlign w:val="center"/>
          </w:tcPr>
          <w:p w14:paraId="6B8C68D8">
            <w:pPr>
              <w:pStyle w:val="288"/>
              <w:adjustRightInd w:val="0"/>
              <w:snapToGrid w:val="0"/>
              <w:spacing w:line="280" w:lineRule="exact"/>
              <w:rPr>
                <w:rFonts w:hint="eastAsia" w:eastAsia="宋体"/>
                <w:color w:val="auto"/>
              </w:rPr>
            </w:pPr>
          </w:p>
        </w:tc>
        <w:tc>
          <w:tcPr>
            <w:tcW w:w="1872" w:type="pct"/>
            <w:gridSpan w:val="2"/>
            <w:tcMar>
              <w:left w:w="28" w:type="dxa"/>
              <w:right w:w="28" w:type="dxa"/>
            </w:tcMar>
            <w:vAlign w:val="center"/>
          </w:tcPr>
          <w:p w14:paraId="049F0901">
            <w:pPr>
              <w:pStyle w:val="288"/>
              <w:adjustRightInd w:val="0"/>
              <w:snapToGrid w:val="0"/>
              <w:spacing w:line="280" w:lineRule="exact"/>
              <w:rPr>
                <w:rFonts w:hint="eastAsia" w:eastAsia="宋体"/>
                <w:color w:val="auto"/>
              </w:rPr>
            </w:pPr>
            <w:r>
              <w:rPr>
                <w:rFonts w:hint="eastAsia" w:eastAsia="宋体"/>
                <w:color w:val="auto"/>
              </w:rPr>
              <w:t>管线管沟开挖时</w:t>
            </w:r>
            <w:r>
              <w:rPr>
                <w:rFonts w:hint="eastAsia" w:eastAsia="宋体"/>
                <w:color w:val="auto"/>
                <w:spacing w:val="-6"/>
              </w:rPr>
              <w:t>产生的土方</w:t>
            </w:r>
            <w:r>
              <w:rPr>
                <w:rFonts w:eastAsia="宋体"/>
                <w:color w:val="auto"/>
              </w:rPr>
              <w:t>，</w:t>
            </w:r>
            <w:r>
              <w:rPr>
                <w:rFonts w:hint="eastAsia" w:eastAsia="宋体"/>
                <w:color w:val="auto"/>
                <w:spacing w:val="-6"/>
              </w:rPr>
              <w:t>采用</w:t>
            </w:r>
            <w:r>
              <w:rPr>
                <w:rFonts w:hint="eastAsia" w:eastAsia="宋体"/>
                <w:color w:val="auto"/>
              </w:rPr>
              <w:t>防尘布（或网）进行苫盖。</w:t>
            </w:r>
          </w:p>
        </w:tc>
        <w:tc>
          <w:tcPr>
            <w:tcW w:w="1152" w:type="pct"/>
            <w:tcMar>
              <w:left w:w="28" w:type="dxa"/>
              <w:right w:w="28" w:type="dxa"/>
            </w:tcMar>
            <w:vAlign w:val="center"/>
          </w:tcPr>
          <w:p w14:paraId="64291971">
            <w:pPr>
              <w:pStyle w:val="288"/>
              <w:adjustRightInd w:val="0"/>
              <w:snapToGrid w:val="0"/>
              <w:spacing w:line="280" w:lineRule="exact"/>
              <w:rPr>
                <w:rFonts w:hint="eastAsia" w:eastAsia="宋体"/>
                <w:color w:val="auto"/>
              </w:rPr>
            </w:pPr>
            <w:r>
              <w:rPr>
                <w:rFonts w:hint="eastAsia" w:eastAsia="宋体"/>
                <w:color w:val="auto"/>
              </w:rPr>
              <w:t>临时土方苫盖情况</w:t>
            </w:r>
          </w:p>
        </w:tc>
      </w:tr>
      <w:tr w14:paraId="0C4C98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vMerge w:val="continue"/>
            <w:tcMar>
              <w:left w:w="28" w:type="dxa"/>
              <w:right w:w="28" w:type="dxa"/>
            </w:tcMar>
            <w:vAlign w:val="center"/>
          </w:tcPr>
          <w:p w14:paraId="077DB68F">
            <w:pPr>
              <w:pStyle w:val="288"/>
              <w:adjustRightInd w:val="0"/>
              <w:snapToGrid w:val="0"/>
              <w:spacing w:line="280" w:lineRule="exact"/>
              <w:rPr>
                <w:rFonts w:hint="eastAsia" w:eastAsia="宋体"/>
                <w:color w:val="auto"/>
              </w:rPr>
            </w:pPr>
          </w:p>
        </w:tc>
        <w:tc>
          <w:tcPr>
            <w:tcW w:w="455" w:type="pct"/>
            <w:vMerge w:val="continue"/>
            <w:tcBorders>
              <w:left w:val="single" w:color="auto" w:sz="4" w:space="0"/>
            </w:tcBorders>
            <w:vAlign w:val="center"/>
          </w:tcPr>
          <w:p w14:paraId="7CD13F32">
            <w:pPr>
              <w:pStyle w:val="288"/>
              <w:adjustRightInd w:val="0"/>
              <w:snapToGrid w:val="0"/>
              <w:spacing w:line="280" w:lineRule="exact"/>
              <w:rPr>
                <w:rFonts w:hint="eastAsia" w:eastAsia="宋体"/>
                <w:color w:val="auto"/>
              </w:rPr>
            </w:pPr>
          </w:p>
        </w:tc>
        <w:tc>
          <w:tcPr>
            <w:tcW w:w="353" w:type="pct"/>
            <w:vMerge w:val="continue"/>
            <w:tcMar>
              <w:left w:w="28" w:type="dxa"/>
              <w:right w:w="28" w:type="dxa"/>
            </w:tcMar>
            <w:vAlign w:val="center"/>
          </w:tcPr>
          <w:p w14:paraId="02726AA9">
            <w:pPr>
              <w:pStyle w:val="288"/>
              <w:adjustRightInd w:val="0"/>
              <w:snapToGrid w:val="0"/>
              <w:spacing w:line="280" w:lineRule="exact"/>
              <w:rPr>
                <w:rFonts w:hint="eastAsia" w:eastAsia="宋体"/>
                <w:color w:val="auto"/>
              </w:rPr>
            </w:pPr>
          </w:p>
        </w:tc>
        <w:tc>
          <w:tcPr>
            <w:tcW w:w="809" w:type="pct"/>
            <w:vMerge w:val="continue"/>
            <w:tcMar>
              <w:left w:w="28" w:type="dxa"/>
              <w:right w:w="28" w:type="dxa"/>
            </w:tcMar>
            <w:vAlign w:val="center"/>
          </w:tcPr>
          <w:p w14:paraId="7A7294DB">
            <w:pPr>
              <w:pStyle w:val="288"/>
              <w:adjustRightInd w:val="0"/>
              <w:snapToGrid w:val="0"/>
              <w:spacing w:line="280" w:lineRule="exact"/>
              <w:rPr>
                <w:rFonts w:hint="eastAsia" w:eastAsia="宋体"/>
                <w:color w:val="auto"/>
              </w:rPr>
            </w:pPr>
          </w:p>
        </w:tc>
        <w:tc>
          <w:tcPr>
            <w:tcW w:w="1872" w:type="pct"/>
            <w:gridSpan w:val="2"/>
            <w:tcMar>
              <w:left w:w="28" w:type="dxa"/>
              <w:right w:w="28" w:type="dxa"/>
            </w:tcMar>
            <w:vAlign w:val="center"/>
          </w:tcPr>
          <w:p w14:paraId="18C58FFF">
            <w:pPr>
              <w:pStyle w:val="288"/>
              <w:adjustRightInd w:val="0"/>
              <w:snapToGrid w:val="0"/>
              <w:spacing w:line="280" w:lineRule="exact"/>
              <w:rPr>
                <w:rFonts w:hint="eastAsia" w:eastAsia="宋体"/>
                <w:color w:val="auto"/>
              </w:rPr>
            </w:pPr>
            <w:r>
              <w:rPr>
                <w:rFonts w:hint="eastAsia" w:eastAsia="宋体"/>
                <w:color w:val="auto"/>
              </w:rPr>
              <w:t>施工结束后对场地进行清理、平整</w:t>
            </w:r>
          </w:p>
        </w:tc>
        <w:tc>
          <w:tcPr>
            <w:tcW w:w="1152" w:type="pct"/>
            <w:tcMar>
              <w:left w:w="28" w:type="dxa"/>
              <w:right w:w="28" w:type="dxa"/>
            </w:tcMar>
            <w:vAlign w:val="center"/>
          </w:tcPr>
          <w:p w14:paraId="6E31EC8C">
            <w:pPr>
              <w:pStyle w:val="288"/>
              <w:adjustRightInd w:val="0"/>
              <w:snapToGrid w:val="0"/>
              <w:spacing w:line="280" w:lineRule="exact"/>
              <w:rPr>
                <w:rFonts w:hint="eastAsia" w:eastAsia="宋体"/>
                <w:color w:val="auto"/>
              </w:rPr>
            </w:pPr>
            <w:r>
              <w:rPr>
                <w:rFonts w:hint="eastAsia" w:eastAsia="宋体"/>
                <w:color w:val="auto"/>
              </w:rPr>
              <w:t>管线沿线平整情况</w:t>
            </w:r>
          </w:p>
        </w:tc>
      </w:tr>
      <w:tr w14:paraId="580EE4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vMerge w:val="continue"/>
            <w:tcMar>
              <w:left w:w="28" w:type="dxa"/>
              <w:right w:w="28" w:type="dxa"/>
            </w:tcMar>
            <w:vAlign w:val="center"/>
          </w:tcPr>
          <w:p w14:paraId="7185C71E">
            <w:pPr>
              <w:pStyle w:val="288"/>
              <w:adjustRightInd w:val="0"/>
              <w:snapToGrid w:val="0"/>
              <w:spacing w:line="280" w:lineRule="exact"/>
              <w:rPr>
                <w:rFonts w:hint="eastAsia" w:eastAsia="宋体"/>
                <w:color w:val="auto"/>
              </w:rPr>
            </w:pPr>
          </w:p>
        </w:tc>
        <w:tc>
          <w:tcPr>
            <w:tcW w:w="455" w:type="pct"/>
            <w:vMerge w:val="continue"/>
            <w:tcBorders>
              <w:left w:val="single" w:color="auto" w:sz="4" w:space="0"/>
            </w:tcBorders>
            <w:vAlign w:val="center"/>
          </w:tcPr>
          <w:p w14:paraId="3434BEF0">
            <w:pPr>
              <w:pStyle w:val="288"/>
              <w:adjustRightInd w:val="0"/>
              <w:snapToGrid w:val="0"/>
              <w:spacing w:line="280" w:lineRule="exact"/>
              <w:rPr>
                <w:rFonts w:hint="eastAsia" w:eastAsia="宋体"/>
                <w:color w:val="auto"/>
              </w:rPr>
            </w:pPr>
          </w:p>
        </w:tc>
        <w:tc>
          <w:tcPr>
            <w:tcW w:w="353" w:type="pct"/>
            <w:vMerge w:val="continue"/>
            <w:tcMar>
              <w:left w:w="28" w:type="dxa"/>
              <w:right w:w="28" w:type="dxa"/>
            </w:tcMar>
            <w:vAlign w:val="center"/>
          </w:tcPr>
          <w:p w14:paraId="668DCC89">
            <w:pPr>
              <w:pStyle w:val="288"/>
              <w:adjustRightInd w:val="0"/>
              <w:snapToGrid w:val="0"/>
              <w:spacing w:line="280" w:lineRule="exact"/>
              <w:rPr>
                <w:rFonts w:hint="eastAsia" w:eastAsia="宋体"/>
                <w:color w:val="auto"/>
              </w:rPr>
            </w:pPr>
          </w:p>
        </w:tc>
        <w:tc>
          <w:tcPr>
            <w:tcW w:w="809" w:type="pct"/>
            <w:vMerge w:val="continue"/>
            <w:tcMar>
              <w:left w:w="28" w:type="dxa"/>
              <w:right w:w="28" w:type="dxa"/>
            </w:tcMar>
            <w:vAlign w:val="center"/>
          </w:tcPr>
          <w:p w14:paraId="68EC8B51">
            <w:pPr>
              <w:pStyle w:val="288"/>
              <w:adjustRightInd w:val="0"/>
              <w:snapToGrid w:val="0"/>
              <w:spacing w:line="280" w:lineRule="exact"/>
              <w:rPr>
                <w:rFonts w:hint="eastAsia" w:eastAsia="宋体"/>
                <w:color w:val="auto"/>
              </w:rPr>
            </w:pPr>
          </w:p>
        </w:tc>
        <w:tc>
          <w:tcPr>
            <w:tcW w:w="1872" w:type="pct"/>
            <w:gridSpan w:val="2"/>
            <w:tcMar>
              <w:left w:w="28" w:type="dxa"/>
              <w:right w:w="28" w:type="dxa"/>
            </w:tcMar>
            <w:vAlign w:val="center"/>
          </w:tcPr>
          <w:p w14:paraId="55A9A3AD">
            <w:pPr>
              <w:pStyle w:val="288"/>
              <w:adjustRightInd w:val="0"/>
              <w:snapToGrid w:val="0"/>
              <w:spacing w:line="280" w:lineRule="exact"/>
              <w:rPr>
                <w:rFonts w:hint="eastAsia" w:eastAsia="宋体"/>
                <w:color w:val="auto"/>
              </w:rPr>
            </w:pPr>
            <w:r>
              <w:rPr>
                <w:rFonts w:hint="eastAsia" w:eastAsia="宋体"/>
                <w:color w:val="auto"/>
              </w:rPr>
              <w:t>按正式征地文件进行经济补偿</w:t>
            </w:r>
          </w:p>
        </w:tc>
        <w:tc>
          <w:tcPr>
            <w:tcW w:w="1152" w:type="pct"/>
            <w:tcMar>
              <w:left w:w="28" w:type="dxa"/>
              <w:right w:w="28" w:type="dxa"/>
            </w:tcMar>
            <w:vAlign w:val="center"/>
          </w:tcPr>
          <w:p w14:paraId="67F90A59">
            <w:pPr>
              <w:pStyle w:val="288"/>
              <w:adjustRightInd w:val="0"/>
              <w:snapToGrid w:val="0"/>
              <w:spacing w:line="280" w:lineRule="exact"/>
              <w:rPr>
                <w:rFonts w:hint="eastAsia" w:eastAsia="宋体"/>
                <w:color w:val="auto"/>
              </w:rPr>
            </w:pPr>
            <w:r>
              <w:rPr>
                <w:rFonts w:hint="eastAsia" w:eastAsia="宋体"/>
                <w:color w:val="auto"/>
              </w:rPr>
              <w:t>是否按征地文件进行经济补偿</w:t>
            </w:r>
          </w:p>
        </w:tc>
      </w:tr>
      <w:tr w14:paraId="7F3284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vMerge w:val="continue"/>
            <w:tcMar>
              <w:left w:w="28" w:type="dxa"/>
              <w:right w:w="28" w:type="dxa"/>
            </w:tcMar>
            <w:vAlign w:val="center"/>
          </w:tcPr>
          <w:p w14:paraId="4E6A9395">
            <w:pPr>
              <w:pStyle w:val="288"/>
              <w:adjustRightInd w:val="0"/>
              <w:snapToGrid w:val="0"/>
              <w:spacing w:line="280" w:lineRule="exact"/>
              <w:rPr>
                <w:rFonts w:hint="eastAsia" w:eastAsia="宋体"/>
                <w:color w:val="auto"/>
              </w:rPr>
            </w:pPr>
          </w:p>
        </w:tc>
        <w:tc>
          <w:tcPr>
            <w:tcW w:w="455" w:type="pct"/>
            <w:vMerge w:val="continue"/>
            <w:tcBorders>
              <w:left w:val="single" w:color="auto" w:sz="4" w:space="0"/>
            </w:tcBorders>
            <w:vAlign w:val="center"/>
          </w:tcPr>
          <w:p w14:paraId="69ACA24E">
            <w:pPr>
              <w:pStyle w:val="288"/>
              <w:adjustRightInd w:val="0"/>
              <w:snapToGrid w:val="0"/>
              <w:spacing w:line="280" w:lineRule="exact"/>
              <w:rPr>
                <w:rFonts w:hint="eastAsia" w:eastAsia="宋体"/>
                <w:color w:val="auto"/>
              </w:rPr>
            </w:pPr>
          </w:p>
        </w:tc>
        <w:tc>
          <w:tcPr>
            <w:tcW w:w="353" w:type="pct"/>
            <w:vMerge w:val="continue"/>
            <w:tcMar>
              <w:left w:w="28" w:type="dxa"/>
              <w:right w:w="28" w:type="dxa"/>
            </w:tcMar>
            <w:vAlign w:val="center"/>
          </w:tcPr>
          <w:p w14:paraId="1EDB68BF">
            <w:pPr>
              <w:pStyle w:val="288"/>
              <w:adjustRightInd w:val="0"/>
              <w:snapToGrid w:val="0"/>
              <w:spacing w:line="280" w:lineRule="exact"/>
              <w:rPr>
                <w:rFonts w:hint="eastAsia" w:eastAsia="宋体"/>
                <w:color w:val="auto"/>
              </w:rPr>
            </w:pPr>
          </w:p>
        </w:tc>
        <w:tc>
          <w:tcPr>
            <w:tcW w:w="809" w:type="pct"/>
            <w:vMerge w:val="continue"/>
            <w:tcMar>
              <w:left w:w="28" w:type="dxa"/>
              <w:right w:w="28" w:type="dxa"/>
            </w:tcMar>
            <w:vAlign w:val="center"/>
          </w:tcPr>
          <w:p w14:paraId="624E3C21">
            <w:pPr>
              <w:pStyle w:val="288"/>
              <w:adjustRightInd w:val="0"/>
              <w:snapToGrid w:val="0"/>
              <w:spacing w:line="280" w:lineRule="exact"/>
              <w:rPr>
                <w:rFonts w:hint="eastAsia" w:eastAsia="宋体"/>
                <w:color w:val="auto"/>
              </w:rPr>
            </w:pPr>
          </w:p>
        </w:tc>
        <w:tc>
          <w:tcPr>
            <w:tcW w:w="1872" w:type="pct"/>
            <w:gridSpan w:val="2"/>
            <w:tcMar>
              <w:left w:w="28" w:type="dxa"/>
              <w:right w:w="28" w:type="dxa"/>
            </w:tcMar>
            <w:vAlign w:val="center"/>
          </w:tcPr>
          <w:p w14:paraId="6E65A889">
            <w:pPr>
              <w:pStyle w:val="288"/>
              <w:adjustRightInd w:val="0"/>
              <w:snapToGrid w:val="0"/>
              <w:spacing w:line="280" w:lineRule="exact"/>
              <w:rPr>
                <w:rFonts w:hint="eastAsia" w:eastAsia="宋体"/>
                <w:color w:val="auto"/>
              </w:rPr>
            </w:pPr>
            <w:r>
              <w:rPr>
                <w:rFonts w:hint="eastAsia" w:eastAsia="宋体"/>
                <w:color w:val="auto"/>
              </w:rPr>
              <w:t>临时占地范围的植被主要依靠自然恢复</w:t>
            </w:r>
          </w:p>
        </w:tc>
        <w:tc>
          <w:tcPr>
            <w:tcW w:w="1152" w:type="pct"/>
            <w:tcMar>
              <w:left w:w="28" w:type="dxa"/>
              <w:right w:w="28" w:type="dxa"/>
            </w:tcMar>
            <w:vAlign w:val="center"/>
          </w:tcPr>
          <w:p w14:paraId="4CFF74D9">
            <w:pPr>
              <w:pStyle w:val="288"/>
              <w:adjustRightInd w:val="0"/>
              <w:snapToGrid w:val="0"/>
              <w:spacing w:line="280" w:lineRule="exact"/>
              <w:rPr>
                <w:rFonts w:hint="eastAsia" w:eastAsia="宋体"/>
                <w:color w:val="auto"/>
              </w:rPr>
            </w:pPr>
            <w:r>
              <w:rPr>
                <w:rFonts w:hint="eastAsia" w:eastAsia="宋体"/>
                <w:color w:val="auto"/>
              </w:rPr>
              <w:t>管线等临时占地范围内及周边自然植被恢复情况</w:t>
            </w:r>
          </w:p>
        </w:tc>
      </w:tr>
      <w:tr w14:paraId="4761CC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tcMar>
              <w:left w:w="28" w:type="dxa"/>
              <w:right w:w="28" w:type="dxa"/>
            </w:tcMar>
            <w:vAlign w:val="center"/>
          </w:tcPr>
          <w:p w14:paraId="4FFF8FD4">
            <w:pPr>
              <w:pStyle w:val="288"/>
              <w:adjustRightInd w:val="0"/>
              <w:snapToGrid w:val="0"/>
              <w:spacing w:line="280" w:lineRule="exact"/>
              <w:rPr>
                <w:rFonts w:hint="eastAsia" w:eastAsia="宋体"/>
                <w:color w:val="auto"/>
              </w:rPr>
            </w:pPr>
            <w:r>
              <w:rPr>
                <w:rFonts w:hint="eastAsia" w:eastAsia="宋体"/>
                <w:color w:val="auto"/>
              </w:rPr>
              <w:t>防渗措施</w:t>
            </w:r>
          </w:p>
        </w:tc>
        <w:tc>
          <w:tcPr>
            <w:tcW w:w="4645" w:type="pct"/>
            <w:gridSpan w:val="6"/>
            <w:tcBorders>
              <w:left w:val="single" w:color="auto" w:sz="4" w:space="0"/>
            </w:tcBorders>
            <w:vAlign w:val="center"/>
          </w:tcPr>
          <w:p w14:paraId="1A3D93F5">
            <w:pPr>
              <w:pStyle w:val="288"/>
              <w:adjustRightInd w:val="0"/>
              <w:snapToGrid w:val="0"/>
              <w:spacing w:line="280" w:lineRule="exact"/>
              <w:rPr>
                <w:rFonts w:hint="eastAsia" w:eastAsia="宋体"/>
                <w:color w:val="auto"/>
              </w:rPr>
            </w:pPr>
            <w:r>
              <w:rPr>
                <w:rFonts w:hint="eastAsia" w:eastAsia="宋体"/>
                <w:color w:val="auto"/>
              </w:rPr>
              <w:t>井场的防渗措施</w:t>
            </w:r>
          </w:p>
        </w:tc>
      </w:tr>
      <w:tr w14:paraId="3CBF0D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54" w:type="pct"/>
            <w:tcBorders>
              <w:right w:val="single" w:color="auto" w:sz="4" w:space="0"/>
            </w:tcBorders>
            <w:tcMar>
              <w:left w:w="28" w:type="dxa"/>
              <w:right w:w="28" w:type="dxa"/>
            </w:tcMar>
            <w:vAlign w:val="center"/>
          </w:tcPr>
          <w:p w14:paraId="0DF355C4">
            <w:pPr>
              <w:pStyle w:val="288"/>
              <w:adjustRightInd w:val="0"/>
              <w:snapToGrid w:val="0"/>
              <w:spacing w:line="280" w:lineRule="exact"/>
              <w:rPr>
                <w:rFonts w:hint="eastAsia" w:eastAsia="宋体"/>
                <w:color w:val="auto"/>
              </w:rPr>
            </w:pPr>
            <w:r>
              <w:rPr>
                <w:rFonts w:hint="eastAsia" w:eastAsia="宋体"/>
                <w:color w:val="auto"/>
              </w:rPr>
              <w:t>环境管理</w:t>
            </w:r>
          </w:p>
        </w:tc>
        <w:tc>
          <w:tcPr>
            <w:tcW w:w="4645" w:type="pct"/>
            <w:gridSpan w:val="6"/>
            <w:tcBorders>
              <w:left w:val="single" w:color="auto" w:sz="4" w:space="0"/>
            </w:tcBorders>
            <w:vAlign w:val="center"/>
          </w:tcPr>
          <w:p w14:paraId="4B2DF28E">
            <w:pPr>
              <w:pStyle w:val="288"/>
              <w:adjustRightInd w:val="0"/>
              <w:snapToGrid w:val="0"/>
              <w:spacing w:line="280" w:lineRule="exact"/>
              <w:rPr>
                <w:rFonts w:hint="eastAsia" w:eastAsia="宋体"/>
                <w:color w:val="auto"/>
                <w:spacing w:val="-4"/>
              </w:rPr>
            </w:pPr>
            <w:r>
              <w:rPr>
                <w:rFonts w:hint="eastAsia" w:eastAsia="宋体"/>
                <w:color w:val="auto"/>
                <w:spacing w:val="-4"/>
              </w:rPr>
              <w:t>环境管理制度是否建立并完善，环保机构及人员是否设置到位；施工期是否有环境监理报告或施工环保检查记录，是否保留必要的影像资料</w:t>
            </w:r>
          </w:p>
        </w:tc>
      </w:tr>
      <w:bookmarkEnd w:id="955"/>
      <w:bookmarkEnd w:id="956"/>
      <w:bookmarkEnd w:id="957"/>
    </w:tbl>
    <w:p w14:paraId="08822223">
      <w:pPr>
        <w:pStyle w:val="86"/>
        <w:ind w:firstLine="0" w:firstLineChars="0"/>
        <w:rPr>
          <w:rFonts w:hint="eastAsia"/>
          <w:color w:val="auto"/>
        </w:rPr>
        <w:sectPr>
          <w:headerReference r:id="rId32" w:type="default"/>
          <w:pgSz w:w="16838" w:h="11906" w:orient="landscape"/>
          <w:pgMar w:top="1588" w:right="1418" w:bottom="1588" w:left="1418" w:header="1020" w:footer="1020" w:gutter="0"/>
          <w:cols w:space="720" w:num="1"/>
          <w:docGrid w:type="lines" w:linePitch="312" w:charSpace="0"/>
        </w:sectPr>
      </w:pPr>
    </w:p>
    <w:p w14:paraId="03643AF6">
      <w:pPr>
        <w:pStyle w:val="2"/>
        <w:keepLines w:val="0"/>
        <w:widowControl/>
        <w:numPr>
          <w:ilvl w:val="0"/>
          <w:numId w:val="2"/>
        </w:numPr>
        <w:spacing w:before="200" w:after="200" w:line="360" w:lineRule="auto"/>
        <w:ind w:hanging="567"/>
        <w:jc w:val="left"/>
        <w:rPr>
          <w:rFonts w:hint="eastAsia" w:ascii="黑体" w:hAnsi="黑体" w:eastAsia="黑体"/>
          <w:b w:val="0"/>
          <w:bCs w:val="0"/>
          <w:color w:val="auto"/>
          <w:kern w:val="2"/>
          <w:sz w:val="32"/>
          <w:szCs w:val="20"/>
          <w14:ligatures w14:val="none"/>
        </w:rPr>
      </w:pPr>
      <w:bookmarkStart w:id="960" w:name="_Toc224406035"/>
      <w:r>
        <w:rPr>
          <w:rFonts w:ascii="黑体" w:hAnsi="黑体" w:eastAsia="黑体"/>
          <w:b w:val="0"/>
          <w:bCs w:val="0"/>
          <w:color w:val="auto"/>
          <w:kern w:val="2"/>
          <w:sz w:val="32"/>
          <w:szCs w:val="20"/>
          <w14:ligatures w14:val="none"/>
        </w:rPr>
        <w:t>环境影响经济损益分析</w:t>
      </w:r>
      <w:bookmarkEnd w:id="960"/>
    </w:p>
    <w:p w14:paraId="3736A338">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961" w:name="_Toc224406036"/>
      <w:r>
        <w:rPr>
          <w:rFonts w:hint="eastAsia" w:ascii="黑体" w:hAnsi="黑体" w:eastAsia="黑体" w:cs="Times New Roman"/>
          <w:bCs/>
          <w:color w:val="auto"/>
          <w:sz w:val="28"/>
          <w:szCs w:val="32"/>
          <w14:ligatures w14:val="none"/>
        </w:rPr>
        <w:t>环境社会效益分析</w:t>
      </w:r>
      <w:bookmarkEnd w:id="961"/>
    </w:p>
    <w:p w14:paraId="4620697E">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962" w:name="_Toc26611"/>
      <w:bookmarkStart w:id="963" w:name="_Toc445996515"/>
      <w:bookmarkStart w:id="964" w:name="_Toc445842208"/>
      <w:r>
        <w:rPr>
          <w:rFonts w:ascii="黑体" w:hAnsi="黑体" w:eastAsia="黑体" w:cs="Times New Roman"/>
          <w:color w:val="auto"/>
          <w:sz w:val="24"/>
          <w:szCs w:val="21"/>
          <w:lang w:val="zh-CN"/>
          <w14:ligatures w14:val="none"/>
        </w:rPr>
        <w:t>环境效益分析</w:t>
      </w:r>
      <w:bookmarkEnd w:id="962"/>
      <w:bookmarkEnd w:id="963"/>
      <w:bookmarkEnd w:id="964"/>
    </w:p>
    <w:p w14:paraId="647BF1EB">
      <w:pPr>
        <w:pStyle w:val="86"/>
        <w:ind w:firstLine="480"/>
        <w:rPr>
          <w:rFonts w:hint="eastAsia"/>
          <w:color w:val="auto"/>
        </w:rPr>
      </w:pPr>
      <w:r>
        <w:rPr>
          <w:rFonts w:hint="eastAsia"/>
          <w:color w:val="auto"/>
        </w:rPr>
        <w:t>项目开发建设对环境造成的损失主要表现在：工程占地造成的环境损失，突发事故污染造成的环境损失和其他环境损失。</w:t>
      </w:r>
    </w:p>
    <w:p w14:paraId="01FCBAD6">
      <w:pPr>
        <w:pStyle w:val="86"/>
        <w:ind w:firstLine="480"/>
        <w:rPr>
          <w:rFonts w:hint="eastAsia"/>
          <w:color w:val="auto"/>
        </w:rPr>
      </w:pPr>
      <w:r>
        <w:rPr>
          <w:rFonts w:hint="eastAsia"/>
          <w:color w:val="auto"/>
        </w:rPr>
        <w:t>占地主要为采油井场、单井采油管线和橇装天然气浅冷处理装置等工程占地，对生态环境的影响包括破坏原有地表构造，使地表裸露，加剧水土流失。但在加强施工管理和采取生态恢复措施后，对生态环境的影响是可以接受的。</w:t>
      </w:r>
    </w:p>
    <w:p w14:paraId="57985DE3">
      <w:pPr>
        <w:pStyle w:val="86"/>
        <w:ind w:firstLine="480"/>
        <w:rPr>
          <w:rFonts w:hint="eastAsia"/>
          <w:color w:val="auto"/>
        </w:rPr>
      </w:pPr>
      <w:r>
        <w:rPr>
          <w:rFonts w:hint="eastAsia"/>
          <w:color w:val="auto"/>
        </w:rPr>
        <w:t>本项目施工期较短，施工“三废”和噪声影响较小；</w:t>
      </w:r>
      <w:r>
        <w:rPr>
          <w:color w:val="auto"/>
        </w:rPr>
        <w:t>在初期的3～5年内，植被破坏后不易恢复</w:t>
      </w:r>
      <w:r>
        <w:rPr>
          <w:rFonts w:hint="eastAsia"/>
          <w:color w:val="auto"/>
        </w:rPr>
        <w:t>，</w:t>
      </w:r>
      <w:r>
        <w:rPr>
          <w:color w:val="auto"/>
        </w:rPr>
        <w:t>当临时性占地的植被得到初步恢复后，这种损失将会逐渐减少</w:t>
      </w:r>
      <w:r>
        <w:rPr>
          <w:rFonts w:hint="eastAsia"/>
          <w:color w:val="auto"/>
        </w:rPr>
        <w:t>；</w:t>
      </w:r>
      <w:r>
        <w:rPr>
          <w:color w:val="auto"/>
        </w:rPr>
        <w:t>施工期的各种污染物排放均属于短期污染，会随着施工期的结束而消失</w:t>
      </w:r>
      <w:r>
        <w:rPr>
          <w:rFonts w:hint="eastAsia"/>
          <w:color w:val="auto"/>
        </w:rPr>
        <w:t>，</w:t>
      </w:r>
      <w:r>
        <w:rPr>
          <w:color w:val="auto"/>
        </w:rPr>
        <w:t>不会对周边环境产生影响。</w:t>
      </w:r>
    </w:p>
    <w:p w14:paraId="0B56A583">
      <w:pPr>
        <w:pStyle w:val="86"/>
        <w:ind w:firstLine="480"/>
        <w:rPr>
          <w:rFonts w:hint="eastAsia"/>
          <w:color w:val="auto"/>
        </w:rPr>
      </w:pPr>
      <w:r>
        <w:rPr>
          <w:rFonts w:hint="eastAsia"/>
          <w:color w:val="auto"/>
        </w:rPr>
        <w:t>运营期废气、噪声均可实现达标排放，废水及固体废物均可实现妥善处置，正常情况下不会对周围环境产生明显影响。</w:t>
      </w:r>
      <w:r>
        <w:rPr>
          <w:color w:val="auto"/>
        </w:rPr>
        <w:t>但在事故状态下，由于自然因素及人为因素的影响，引起</w:t>
      </w:r>
      <w:r>
        <w:rPr>
          <w:rFonts w:hint="eastAsia"/>
          <w:color w:val="auto"/>
        </w:rPr>
        <w:t>设备和管线</w:t>
      </w:r>
      <w:r>
        <w:rPr>
          <w:color w:val="auto"/>
        </w:rPr>
        <w:t>泄漏事故，将对周围环境造成</w:t>
      </w:r>
      <w:r>
        <w:rPr>
          <w:rFonts w:hint="eastAsia"/>
          <w:color w:val="auto"/>
        </w:rPr>
        <w:t>一定</w:t>
      </w:r>
      <w:r>
        <w:rPr>
          <w:color w:val="auto"/>
        </w:rPr>
        <w:t>的影响。由于事故程度不同，对环境造成的损失也不同，损失量的估算只能在事故发</w:t>
      </w:r>
      <w:r>
        <w:rPr>
          <w:rFonts w:hint="eastAsia"/>
          <w:color w:val="auto"/>
        </w:rPr>
        <w:t>生后通过各种补偿费用来体现。</w:t>
      </w:r>
    </w:p>
    <w:p w14:paraId="1618471E">
      <w:pPr>
        <w:pStyle w:val="86"/>
        <w:ind w:firstLine="480"/>
        <w:rPr>
          <w:rFonts w:hint="eastAsia"/>
          <w:color w:val="auto"/>
        </w:rPr>
      </w:pPr>
      <w:r>
        <w:rPr>
          <w:rFonts w:hint="eastAsia"/>
          <w:color w:val="auto"/>
        </w:rPr>
        <w:t>本项目建成投产后，对该地区的资源开发、经济结构的优化及其它相关产业的带动发展都具有非常重要的意义。</w:t>
      </w:r>
    </w:p>
    <w:p w14:paraId="3C6D0A0A">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965" w:name="_Toc445996516"/>
      <w:bookmarkStart w:id="966" w:name="_Toc445842209"/>
      <w:bookmarkStart w:id="967" w:name="_Toc116"/>
      <w:r>
        <w:rPr>
          <w:rFonts w:ascii="黑体" w:hAnsi="黑体" w:eastAsia="黑体" w:cs="Times New Roman"/>
          <w:color w:val="auto"/>
          <w:sz w:val="24"/>
          <w:szCs w:val="21"/>
          <w:lang w:val="zh-CN"/>
          <w14:ligatures w14:val="none"/>
        </w:rPr>
        <w:t>社会效益分析</w:t>
      </w:r>
      <w:bookmarkEnd w:id="965"/>
      <w:bookmarkEnd w:id="966"/>
      <w:bookmarkEnd w:id="967"/>
    </w:p>
    <w:p w14:paraId="3E26E7B1">
      <w:pPr>
        <w:pStyle w:val="86"/>
        <w:ind w:firstLine="480"/>
        <w:rPr>
          <w:rFonts w:hint="eastAsia"/>
          <w:color w:val="auto"/>
        </w:rPr>
      </w:pPr>
      <w:r>
        <w:rPr>
          <w:color w:val="auto"/>
        </w:rPr>
        <w:t>本项目开发的社会效益主要体现在</w:t>
      </w:r>
      <w:r>
        <w:rPr>
          <w:rFonts w:hint="eastAsia"/>
          <w:color w:val="auto"/>
        </w:rPr>
        <w:t>项目</w:t>
      </w:r>
      <w:r>
        <w:rPr>
          <w:color w:val="auto"/>
        </w:rPr>
        <w:t>开发对当地工业和经济的发展</w:t>
      </w:r>
      <w:r>
        <w:rPr>
          <w:rFonts w:hint="eastAsia"/>
          <w:color w:val="auto"/>
        </w:rPr>
        <w:t>以及人民生活水平的提高</w:t>
      </w:r>
      <w:r>
        <w:rPr>
          <w:color w:val="auto"/>
        </w:rPr>
        <w:t>具有明显的促进作用，能够带动一批相关工业、第三产业的发展，给当地经济发展注入新的活力。</w:t>
      </w:r>
      <w:r>
        <w:rPr>
          <w:rFonts w:hint="eastAsia"/>
          <w:color w:val="auto"/>
        </w:rPr>
        <w:t>油气田开发</w:t>
      </w:r>
      <w:r>
        <w:rPr>
          <w:color w:val="auto"/>
        </w:rPr>
        <w:t>是支持</w:t>
      </w:r>
      <w:r>
        <w:rPr>
          <w:rFonts w:hint="eastAsia"/>
          <w:color w:val="auto"/>
        </w:rPr>
        <w:t>当地</w:t>
      </w:r>
      <w:r>
        <w:rPr>
          <w:color w:val="auto"/>
        </w:rPr>
        <w:t>经济发展的一项重大举措</w:t>
      </w:r>
      <w:r>
        <w:rPr>
          <w:rFonts w:hint="eastAsia"/>
          <w:color w:val="auto"/>
        </w:rPr>
        <w:t>，</w:t>
      </w:r>
      <w:r>
        <w:rPr>
          <w:color w:val="auto"/>
        </w:rPr>
        <w:t>对于提供就业机会，增加部分人员收入，</w:t>
      </w:r>
      <w:r>
        <w:rPr>
          <w:rFonts w:hint="eastAsia"/>
          <w:color w:val="auto"/>
        </w:rPr>
        <w:t>提高当地的GDP，</w:t>
      </w:r>
      <w:r>
        <w:rPr>
          <w:color w:val="auto"/>
        </w:rPr>
        <w:t>提高当地</w:t>
      </w:r>
      <w:r>
        <w:rPr>
          <w:rFonts w:hint="eastAsia"/>
          <w:color w:val="auto"/>
        </w:rPr>
        <w:t>税收</w:t>
      </w:r>
      <w:r>
        <w:rPr>
          <w:color w:val="auto"/>
        </w:rPr>
        <w:t>有着积极的作用。</w:t>
      </w:r>
    </w:p>
    <w:p w14:paraId="759344C5">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968" w:name="_Toc445829836"/>
      <w:bookmarkStart w:id="969" w:name="_Toc224406037"/>
      <w:bookmarkStart w:id="970" w:name="_Toc5988"/>
      <w:bookmarkStart w:id="971" w:name="_Toc459026614"/>
      <w:bookmarkStart w:id="972" w:name="_Toc1312"/>
      <w:bookmarkStart w:id="973" w:name="_Toc468307966"/>
      <w:bookmarkStart w:id="974" w:name="_Toc16528"/>
      <w:bookmarkStart w:id="975" w:name="_Toc445842210"/>
      <w:bookmarkStart w:id="976" w:name="_Toc448413638"/>
      <w:bookmarkStart w:id="977" w:name="_Toc445840446"/>
      <w:bookmarkStart w:id="978" w:name="_Toc445996517"/>
      <w:bookmarkStart w:id="979" w:name="_Toc471933683"/>
      <w:r>
        <w:rPr>
          <w:rFonts w:ascii="黑体" w:hAnsi="黑体" w:eastAsia="黑体" w:cs="Times New Roman"/>
          <w:bCs/>
          <w:color w:val="auto"/>
          <w:sz w:val="28"/>
          <w:szCs w:val="32"/>
          <w14:ligatures w14:val="none"/>
        </w:rPr>
        <w:t>环境经济损益分析结论</w:t>
      </w:r>
      <w:bookmarkEnd w:id="968"/>
      <w:bookmarkEnd w:id="969"/>
      <w:bookmarkEnd w:id="970"/>
      <w:bookmarkEnd w:id="971"/>
      <w:bookmarkEnd w:id="972"/>
      <w:bookmarkEnd w:id="973"/>
      <w:bookmarkEnd w:id="974"/>
      <w:bookmarkEnd w:id="975"/>
      <w:bookmarkEnd w:id="976"/>
      <w:bookmarkEnd w:id="977"/>
      <w:bookmarkEnd w:id="978"/>
      <w:bookmarkEnd w:id="979"/>
    </w:p>
    <w:p w14:paraId="2DC220BE">
      <w:pPr>
        <w:pStyle w:val="86"/>
        <w:ind w:firstLine="480"/>
        <w:rPr>
          <w:rFonts w:hint="eastAsia"/>
          <w:color w:val="auto"/>
        </w:rPr>
      </w:pPr>
      <w:r>
        <w:rPr>
          <w:rFonts w:hint="eastAsia"/>
          <w:color w:val="auto"/>
        </w:rPr>
        <w:t>综上所述，</w:t>
      </w:r>
      <w:bookmarkStart w:id="980" w:name="_Hlk482045515"/>
      <w:r>
        <w:rPr>
          <w:rFonts w:hint="eastAsia"/>
          <w:color w:val="auto"/>
        </w:rPr>
        <w:t>在建设过程中，由于工程占地会带来一定的环境损失。因而在气田开发过程中，需要投入必要的资金用于污染防治和生态恢复等，实施相应的环保措施后，不但能够起到保护环境的效果，同时节约经济开支，为企业带来双赢。</w:t>
      </w:r>
      <w:bookmarkEnd w:id="980"/>
    </w:p>
    <w:p w14:paraId="0B6EF783">
      <w:pPr>
        <w:pStyle w:val="2"/>
        <w:keepLines w:val="0"/>
        <w:widowControl/>
        <w:numPr>
          <w:ilvl w:val="0"/>
          <w:numId w:val="2"/>
        </w:numPr>
        <w:spacing w:before="200" w:after="200" w:line="360" w:lineRule="auto"/>
        <w:ind w:hanging="567"/>
        <w:jc w:val="left"/>
        <w:rPr>
          <w:color w:val="auto"/>
        </w:rPr>
      </w:pPr>
      <w:r>
        <w:rPr>
          <w:color w:val="auto"/>
        </w:rPr>
        <w:br w:type="page"/>
      </w:r>
      <w:bookmarkStart w:id="981" w:name="_Toc224406038"/>
      <w:r>
        <w:rPr>
          <w:rFonts w:hint="eastAsia" w:ascii="黑体" w:hAnsi="黑体" w:eastAsia="黑体"/>
          <w:b w:val="0"/>
          <w:bCs w:val="0"/>
          <w:color w:val="auto"/>
          <w:kern w:val="2"/>
          <w:sz w:val="32"/>
          <w:szCs w:val="20"/>
          <w14:ligatures w14:val="none"/>
        </w:rPr>
        <w:t>环境影响评价结论</w:t>
      </w:r>
      <w:bookmarkEnd w:id="981"/>
    </w:p>
    <w:p w14:paraId="3B1A11F0">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982" w:name="_Toc224406039"/>
      <w:r>
        <w:rPr>
          <w:rFonts w:hint="eastAsia" w:ascii="黑体" w:hAnsi="黑体" w:eastAsia="黑体" w:cs="Times New Roman"/>
          <w:bCs/>
          <w:color w:val="auto"/>
          <w:sz w:val="28"/>
          <w:szCs w:val="32"/>
          <w14:ligatures w14:val="none"/>
        </w:rPr>
        <w:t>建设项目概况</w:t>
      </w:r>
      <w:bookmarkEnd w:id="982"/>
    </w:p>
    <w:p w14:paraId="722F0A9D">
      <w:pPr>
        <w:pStyle w:val="86"/>
        <w:ind w:firstLine="480"/>
        <w:rPr>
          <w:rFonts w:hint="eastAsia"/>
          <w:color w:val="auto"/>
        </w:rPr>
      </w:pPr>
      <w:bookmarkStart w:id="983" w:name="_Hlk481486445"/>
      <w:r>
        <w:rPr>
          <w:rFonts w:hint="eastAsia"/>
          <w:color w:val="auto"/>
          <w:kern w:val="0"/>
        </w:rPr>
        <w:t>本次拟将</w:t>
      </w:r>
      <w:bookmarkStart w:id="984" w:name="OLE_LINK74"/>
      <w:r>
        <w:rPr>
          <w:rFonts w:hint="eastAsia"/>
          <w:color w:val="auto"/>
          <w:kern w:val="0"/>
        </w:rPr>
        <w:t>莫27井、莫172H井</w:t>
      </w:r>
      <w:bookmarkEnd w:id="984"/>
      <w:r>
        <w:rPr>
          <w:rFonts w:hint="eastAsia"/>
          <w:color w:val="auto"/>
          <w:kern w:val="0"/>
        </w:rPr>
        <w:t>和莫174H井转为生产井，建设内容为：新建3座采油井场、1.09km单井采油管线、2座橇装天然气浅冷处理装置；配套建设供配电、仪表自动化、道路、消防、给排水等公辅工程。</w:t>
      </w:r>
      <w:r>
        <w:rPr>
          <w:rFonts w:hint="eastAsia"/>
          <w:color w:val="auto"/>
        </w:rPr>
        <w:t>项目总投资5500万元，</w:t>
      </w:r>
      <w:r>
        <w:rPr>
          <w:color w:val="auto"/>
        </w:rPr>
        <w:t>环保投资约</w:t>
      </w:r>
      <w:r>
        <w:rPr>
          <w:rFonts w:hint="eastAsia"/>
          <w:color w:val="auto"/>
        </w:rPr>
        <w:t>145万</w:t>
      </w:r>
      <w:r>
        <w:rPr>
          <w:color w:val="auto"/>
        </w:rPr>
        <w:t>元，占总投资的</w:t>
      </w:r>
      <w:r>
        <w:rPr>
          <w:rFonts w:hint="eastAsia"/>
          <w:color w:val="auto"/>
        </w:rPr>
        <w:t>2.64</w:t>
      </w:r>
      <w:r>
        <w:rPr>
          <w:color w:val="auto"/>
        </w:rPr>
        <w:t>%</w:t>
      </w:r>
      <w:r>
        <w:rPr>
          <w:rFonts w:hint="eastAsia"/>
          <w:color w:val="auto"/>
        </w:rPr>
        <w:t>。</w:t>
      </w:r>
    </w:p>
    <w:bookmarkEnd w:id="983"/>
    <w:p w14:paraId="11B70E7E">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985" w:name="_Toc224406040"/>
      <w:bookmarkStart w:id="986" w:name="_Toc445996539"/>
      <w:bookmarkStart w:id="987" w:name="_Toc1709"/>
      <w:bookmarkStart w:id="988" w:name="_Toc445842227"/>
      <w:r>
        <w:rPr>
          <w:rFonts w:ascii="黑体" w:hAnsi="黑体" w:eastAsia="黑体" w:cs="Times New Roman"/>
          <w:bCs/>
          <w:color w:val="auto"/>
          <w:sz w:val="28"/>
          <w:szCs w:val="32"/>
          <w14:ligatures w14:val="none"/>
        </w:rPr>
        <w:t>环境质量现状</w:t>
      </w:r>
      <w:bookmarkEnd w:id="985"/>
      <w:bookmarkEnd w:id="986"/>
      <w:bookmarkEnd w:id="987"/>
      <w:bookmarkEnd w:id="988"/>
    </w:p>
    <w:p w14:paraId="36B3A927">
      <w:pPr>
        <w:pStyle w:val="86"/>
        <w:ind w:firstLine="480"/>
        <w:rPr>
          <w:rFonts w:hint="eastAsia"/>
          <w:color w:val="auto"/>
        </w:rPr>
      </w:pPr>
      <w:r>
        <w:rPr>
          <w:color w:val="auto"/>
        </w:rPr>
        <w:t>（1）环境空气</w:t>
      </w:r>
    </w:p>
    <w:p w14:paraId="256D0B8B">
      <w:pPr>
        <w:spacing w:line="480" w:lineRule="exact"/>
        <w:ind w:firstLine="480" w:firstLineChars="200"/>
        <w:contextualSpacing/>
        <w:jc w:val="left"/>
        <w:rPr>
          <w:rFonts w:hint="eastAsia" w:ascii="宋体" w:hAnsi="宋体"/>
          <w:color w:val="auto"/>
          <w:sz w:val="24"/>
          <w:szCs w:val="24"/>
        </w:rPr>
      </w:pPr>
      <w:r>
        <w:rPr>
          <w:rFonts w:hint="eastAsia" w:ascii="宋体" w:hAnsi="宋体"/>
          <w:color w:val="auto"/>
          <w:sz w:val="24"/>
          <w:szCs w:val="24"/>
        </w:rPr>
        <w:t>项目所在地玛纳斯县环境空气质量基本污染物中除了PM</w:t>
      </w:r>
      <w:r>
        <w:rPr>
          <w:rFonts w:hint="eastAsia" w:ascii="宋体" w:hAnsi="宋体"/>
          <w:color w:val="auto"/>
          <w:sz w:val="24"/>
          <w:szCs w:val="24"/>
          <w:vertAlign w:val="subscript"/>
        </w:rPr>
        <w:t>10</w:t>
      </w:r>
      <w:r>
        <w:rPr>
          <w:rFonts w:hint="eastAsia" w:ascii="宋体" w:hAnsi="宋体"/>
          <w:color w:val="auto"/>
          <w:sz w:val="24"/>
          <w:szCs w:val="24"/>
        </w:rPr>
        <w:t>、</w:t>
      </w:r>
      <w:r>
        <w:rPr>
          <w:rFonts w:ascii="宋体" w:hAnsi="宋体"/>
          <w:color w:val="auto"/>
          <w:sz w:val="24"/>
          <w:szCs w:val="24"/>
        </w:rPr>
        <w:t>PM</w:t>
      </w:r>
      <w:r>
        <w:rPr>
          <w:rFonts w:ascii="宋体" w:hAnsi="宋体"/>
          <w:color w:val="auto"/>
          <w:sz w:val="24"/>
          <w:szCs w:val="24"/>
          <w:vertAlign w:val="subscript"/>
        </w:rPr>
        <w:t>2.5</w:t>
      </w:r>
      <w:r>
        <w:rPr>
          <w:rFonts w:hint="eastAsia" w:ascii="宋体" w:hAnsi="宋体"/>
          <w:color w:val="auto"/>
          <w:sz w:val="24"/>
          <w:szCs w:val="24"/>
        </w:rPr>
        <w:t>超标外，其余监测因子均满足《环境空气质量标准》（G</w:t>
      </w:r>
      <w:r>
        <w:rPr>
          <w:rFonts w:ascii="宋体" w:hAnsi="宋体"/>
          <w:color w:val="auto"/>
          <w:sz w:val="24"/>
          <w:szCs w:val="24"/>
        </w:rPr>
        <w:t>B3095-20</w:t>
      </w:r>
      <w:r>
        <w:rPr>
          <w:rFonts w:hint="eastAsia" w:ascii="宋体" w:hAnsi="宋体"/>
          <w:color w:val="auto"/>
          <w:sz w:val="24"/>
          <w:szCs w:val="24"/>
        </w:rPr>
        <w:t>26</w:t>
      </w:r>
      <w:r>
        <w:rPr>
          <w:rFonts w:ascii="宋体" w:hAnsi="宋体"/>
          <w:color w:val="auto"/>
          <w:sz w:val="24"/>
          <w:szCs w:val="24"/>
        </w:rPr>
        <w:t>）</w:t>
      </w:r>
      <w:r>
        <w:rPr>
          <w:rFonts w:hint="eastAsia" w:ascii="宋体" w:hAnsi="宋体"/>
          <w:color w:val="auto"/>
          <w:sz w:val="24"/>
          <w:szCs w:val="24"/>
        </w:rPr>
        <w:t>中的过渡阶段二级标准限值要求，属于环境空气质量不达标区，超标原因主要与当地风沙季有一定的原因；NMHC满足《〈大气污染物综合排放标准〉详解》中推荐值2.0mg/m</w:t>
      </w:r>
      <w:r>
        <w:rPr>
          <w:rFonts w:hint="eastAsia" w:ascii="宋体" w:hAnsi="宋体"/>
          <w:color w:val="auto"/>
          <w:sz w:val="24"/>
          <w:szCs w:val="24"/>
          <w:vertAlign w:val="superscript"/>
        </w:rPr>
        <w:t>3</w:t>
      </w:r>
      <w:r>
        <w:rPr>
          <w:rFonts w:hint="eastAsia" w:ascii="宋体" w:hAnsi="宋体"/>
          <w:color w:val="auto"/>
          <w:sz w:val="24"/>
          <w:szCs w:val="24"/>
        </w:rPr>
        <w:t>要求，H</w:t>
      </w:r>
      <w:r>
        <w:rPr>
          <w:rFonts w:hint="eastAsia" w:ascii="宋体" w:hAnsi="宋体"/>
          <w:color w:val="auto"/>
          <w:sz w:val="24"/>
          <w:szCs w:val="24"/>
          <w:vertAlign w:val="subscript"/>
        </w:rPr>
        <w:t>2</w:t>
      </w:r>
      <w:r>
        <w:rPr>
          <w:rFonts w:hint="eastAsia" w:ascii="宋体" w:hAnsi="宋体"/>
          <w:color w:val="auto"/>
          <w:sz w:val="24"/>
          <w:szCs w:val="24"/>
        </w:rPr>
        <w:t>S监测浓度满足《环境影响评价技术导则大气环境》（</w:t>
      </w:r>
      <w:r>
        <w:rPr>
          <w:rFonts w:ascii="宋体" w:hAnsi="宋体"/>
          <w:color w:val="auto"/>
          <w:sz w:val="24"/>
          <w:szCs w:val="24"/>
        </w:rPr>
        <w:t>HJ2.2-2018）附录D中</w:t>
      </w:r>
      <w:r>
        <w:rPr>
          <w:rFonts w:hint="eastAsia" w:ascii="宋体" w:hAnsi="宋体"/>
          <w:color w:val="auto"/>
          <w:sz w:val="24"/>
          <w:szCs w:val="24"/>
        </w:rPr>
        <w:t>推荐值要求。</w:t>
      </w:r>
    </w:p>
    <w:p w14:paraId="6360AD2F">
      <w:pPr>
        <w:pStyle w:val="86"/>
        <w:ind w:firstLine="480"/>
        <w:rPr>
          <w:rFonts w:hint="eastAsia"/>
          <w:color w:val="auto"/>
        </w:rPr>
      </w:pPr>
      <w:r>
        <w:rPr>
          <w:rFonts w:hint="eastAsia"/>
          <w:color w:val="auto"/>
        </w:rPr>
        <w:t>（</w:t>
      </w:r>
      <w:r>
        <w:rPr>
          <w:color w:val="auto"/>
        </w:rPr>
        <w:t>2</w:t>
      </w:r>
      <w:r>
        <w:rPr>
          <w:rFonts w:hint="eastAsia"/>
          <w:color w:val="auto"/>
        </w:rPr>
        <w:t>）</w:t>
      </w:r>
      <w:r>
        <w:rPr>
          <w:color w:val="auto"/>
        </w:rPr>
        <w:t>地下水</w:t>
      </w:r>
    </w:p>
    <w:p w14:paraId="0EE0CE2D">
      <w:pPr>
        <w:adjustRightInd w:val="0"/>
        <w:snapToGrid w:val="0"/>
        <w:spacing w:line="500" w:lineRule="exact"/>
        <w:ind w:firstLine="480" w:firstLineChars="200"/>
        <w:rPr>
          <w:rFonts w:hint="eastAsia" w:ascii="宋体" w:hAnsi="宋体" w:cs="宋体"/>
          <w:color w:val="auto"/>
          <w:sz w:val="24"/>
          <w:szCs w:val="24"/>
          <w:lang w:bidi="ar"/>
        </w:rPr>
      </w:pPr>
      <w:r>
        <w:rPr>
          <w:rFonts w:hint="eastAsia" w:ascii="宋体" w:hAnsi="宋体" w:cs="宋体"/>
          <w:color w:val="auto"/>
          <w:sz w:val="24"/>
          <w:szCs w:val="24"/>
          <w:lang w:bidi="ar"/>
        </w:rPr>
        <w:t>地下水各监测因子中石油类满足《地表水环境质量标准》（GB3838-2002）中的Ⅲ类标准要求，其余监测因子中除了溶解性总固体、氯化物、硫酸盐、总硬度、钠超标外，其余各监测因子均满足</w:t>
      </w:r>
      <w:r>
        <w:rPr>
          <w:rFonts w:ascii="宋体" w:hAnsi="宋体" w:cs="宋体"/>
          <w:color w:val="auto"/>
          <w:sz w:val="24"/>
          <w:szCs w:val="24"/>
          <w:lang w:bidi="ar"/>
        </w:rPr>
        <w:t>《地下水质量标准》（GB/T14848-</w:t>
      </w:r>
      <w:r>
        <w:rPr>
          <w:rFonts w:hint="eastAsia" w:ascii="宋体" w:hAnsi="宋体" w:cs="宋体"/>
          <w:color w:val="auto"/>
          <w:sz w:val="24"/>
          <w:szCs w:val="24"/>
          <w:lang w:bidi="ar"/>
        </w:rPr>
        <w:t>2017</w:t>
      </w:r>
      <w:r>
        <w:rPr>
          <w:rFonts w:ascii="宋体" w:hAnsi="宋体" w:cs="宋体"/>
          <w:color w:val="auto"/>
          <w:sz w:val="24"/>
          <w:szCs w:val="24"/>
          <w:lang w:bidi="ar"/>
        </w:rPr>
        <w:t>）</w:t>
      </w:r>
      <w:r>
        <w:rPr>
          <w:rFonts w:hint="eastAsia" w:ascii="宋体" w:hAnsi="宋体" w:cs="宋体"/>
          <w:color w:val="auto"/>
          <w:sz w:val="24"/>
          <w:szCs w:val="24"/>
          <w:lang w:bidi="ar"/>
        </w:rPr>
        <w:t>Ⅲ</w:t>
      </w:r>
      <w:r>
        <w:rPr>
          <w:rFonts w:ascii="宋体" w:hAnsi="宋体" w:cs="宋体"/>
          <w:color w:val="auto"/>
          <w:sz w:val="24"/>
          <w:szCs w:val="24"/>
          <w:lang w:bidi="ar"/>
        </w:rPr>
        <w:t>类标准</w:t>
      </w:r>
      <w:r>
        <w:rPr>
          <w:rFonts w:hint="eastAsia" w:ascii="宋体" w:hAnsi="宋体" w:cs="宋体"/>
          <w:color w:val="auto"/>
          <w:sz w:val="24"/>
          <w:szCs w:val="24"/>
          <w:lang w:bidi="ar"/>
        </w:rPr>
        <w:t>，超标原因是天然背景值偏高。</w:t>
      </w:r>
    </w:p>
    <w:p w14:paraId="61524F9D">
      <w:pPr>
        <w:pStyle w:val="86"/>
        <w:ind w:firstLine="480"/>
        <w:rPr>
          <w:rFonts w:hint="eastAsia"/>
          <w:color w:val="auto"/>
        </w:rPr>
      </w:pPr>
      <w:r>
        <w:rPr>
          <w:color w:val="auto"/>
        </w:rPr>
        <w:t>（3）声环境</w:t>
      </w:r>
    </w:p>
    <w:p w14:paraId="2DC52DE0">
      <w:pPr>
        <w:pStyle w:val="86"/>
        <w:ind w:firstLine="480"/>
        <w:rPr>
          <w:rFonts w:hint="eastAsia"/>
          <w:color w:val="auto"/>
        </w:rPr>
      </w:pPr>
      <w:r>
        <w:rPr>
          <w:color w:val="auto"/>
        </w:rPr>
        <w:t>各噪声监测点位均满足《声环境质量标准》（GB3096-2008）2类声功能区标准限值。</w:t>
      </w:r>
    </w:p>
    <w:p w14:paraId="007DBD2D">
      <w:pPr>
        <w:pStyle w:val="86"/>
        <w:ind w:firstLine="480"/>
        <w:rPr>
          <w:rFonts w:hint="eastAsia"/>
          <w:bCs/>
          <w:color w:val="auto"/>
        </w:rPr>
      </w:pPr>
      <w:r>
        <w:rPr>
          <w:rFonts w:hint="eastAsia"/>
          <w:bCs/>
          <w:color w:val="auto"/>
        </w:rPr>
        <w:t>（</w:t>
      </w:r>
      <w:r>
        <w:rPr>
          <w:bCs/>
          <w:color w:val="auto"/>
        </w:rPr>
        <w:t>4</w:t>
      </w:r>
      <w:r>
        <w:rPr>
          <w:rFonts w:hint="eastAsia"/>
          <w:bCs/>
          <w:color w:val="auto"/>
        </w:rPr>
        <w:t>）土壤</w:t>
      </w:r>
    </w:p>
    <w:p w14:paraId="72CF0FCE">
      <w:pPr>
        <w:pStyle w:val="86"/>
        <w:ind w:firstLine="480"/>
        <w:rPr>
          <w:rFonts w:hint="eastAsia"/>
          <w:color w:val="auto"/>
        </w:rPr>
      </w:pPr>
      <w:r>
        <w:rPr>
          <w:rFonts w:hint="eastAsia"/>
          <w:color w:val="auto"/>
        </w:rPr>
        <w:t xml:space="preserve">土壤环境各监测因子监测值均可满足《土壤环境质量 </w:t>
      </w:r>
      <w:r>
        <w:rPr>
          <w:color w:val="auto"/>
        </w:rPr>
        <w:t xml:space="preserve"> </w:t>
      </w:r>
      <w:r>
        <w:rPr>
          <w:rFonts w:hint="eastAsia"/>
          <w:color w:val="auto"/>
        </w:rPr>
        <w:t>建设用地土壤污染风险管控标准（试行）》（GB</w:t>
      </w:r>
      <w:r>
        <w:rPr>
          <w:color w:val="auto"/>
        </w:rPr>
        <w:t>36600</w:t>
      </w:r>
      <w:r>
        <w:rPr>
          <w:rFonts w:hint="eastAsia"/>
          <w:color w:val="auto"/>
        </w:rPr>
        <w:t>-</w:t>
      </w:r>
      <w:r>
        <w:rPr>
          <w:color w:val="auto"/>
        </w:rPr>
        <w:t>2018</w:t>
      </w:r>
      <w:r>
        <w:rPr>
          <w:rFonts w:hint="eastAsia"/>
          <w:color w:val="auto"/>
        </w:rPr>
        <w:t>）中第二类用地筛选值。</w:t>
      </w:r>
    </w:p>
    <w:p w14:paraId="0C9E5557">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989" w:name="_Toc224406041"/>
      <w:bookmarkStart w:id="990" w:name="_Toc13052"/>
      <w:bookmarkStart w:id="991" w:name="_Toc445996540"/>
      <w:bookmarkStart w:id="992" w:name="_Toc445842228"/>
      <w:r>
        <w:rPr>
          <w:rFonts w:hint="eastAsia" w:ascii="黑体" w:hAnsi="黑体" w:eastAsia="黑体" w:cs="Times New Roman"/>
          <w:bCs/>
          <w:color w:val="auto"/>
          <w:sz w:val="28"/>
          <w:szCs w:val="32"/>
          <w14:ligatures w14:val="none"/>
        </w:rPr>
        <w:t>主要环境影响及环保措施</w:t>
      </w:r>
      <w:bookmarkEnd w:id="989"/>
    </w:p>
    <w:p w14:paraId="313CA13B">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r>
        <w:rPr>
          <w:rFonts w:hint="eastAsia" w:ascii="黑体" w:hAnsi="黑体" w:eastAsia="黑体" w:cs="Times New Roman"/>
          <w:color w:val="auto"/>
          <w:sz w:val="24"/>
          <w:szCs w:val="21"/>
          <w:lang w:val="zh-CN"/>
          <w14:ligatures w14:val="none"/>
        </w:rPr>
        <w:t>主要环境影响</w:t>
      </w:r>
    </w:p>
    <w:p w14:paraId="7E0217DE">
      <w:pPr>
        <w:pStyle w:val="86"/>
        <w:ind w:firstLine="480"/>
        <w:rPr>
          <w:rFonts w:hint="eastAsia"/>
          <w:color w:val="auto"/>
        </w:rPr>
      </w:pPr>
      <w:r>
        <w:rPr>
          <w:color w:val="auto"/>
        </w:rPr>
        <w:t>（1）生态环境</w:t>
      </w:r>
    </w:p>
    <w:p w14:paraId="315A8BC5">
      <w:pPr>
        <w:pStyle w:val="86"/>
        <w:ind w:firstLine="480"/>
        <w:rPr>
          <w:rFonts w:hint="eastAsia"/>
          <w:color w:val="auto"/>
        </w:rPr>
      </w:pPr>
      <w:r>
        <w:rPr>
          <w:rFonts w:hint="eastAsia"/>
          <w:color w:val="auto"/>
        </w:rPr>
        <w:t>对生态环境的影响主要表现在工程占地，</w:t>
      </w:r>
      <w:r>
        <w:rPr>
          <w:color w:val="auto"/>
        </w:rPr>
        <w:t>施工活动和工程占地对植物、野生动物</w:t>
      </w:r>
      <w:r>
        <w:rPr>
          <w:rFonts w:hint="eastAsia"/>
          <w:color w:val="auto"/>
        </w:rPr>
        <w:t>、生态系统功能和结构</w:t>
      </w:r>
      <w:r>
        <w:rPr>
          <w:color w:val="auto"/>
        </w:rPr>
        <w:t>等各生态要素产生不同程度的影响，同时也对原有景观结构和生态系统产生一定程度影响。</w:t>
      </w:r>
      <w:r>
        <w:rPr>
          <w:rFonts w:hint="eastAsia"/>
          <w:color w:val="auto"/>
        </w:rPr>
        <w:t>项目</w:t>
      </w:r>
      <w:r>
        <w:rPr>
          <w:color w:val="auto"/>
        </w:rPr>
        <w:t>开发的大部分区域地表植被稀疏，由工程造成的生物量损失较小，不会造成区域的生物多样性下降。由于本区域的野生动物种类少，项目</w:t>
      </w:r>
      <w:r>
        <w:rPr>
          <w:rFonts w:hint="eastAsia"/>
          <w:color w:val="auto"/>
        </w:rPr>
        <w:t>建设</w:t>
      </w:r>
      <w:r>
        <w:rPr>
          <w:color w:val="auto"/>
        </w:rPr>
        <w:t>对野生动物的影响较小。因此总体上对生态环境影响较小。</w:t>
      </w:r>
    </w:p>
    <w:p w14:paraId="79B0E299">
      <w:pPr>
        <w:pStyle w:val="86"/>
        <w:ind w:firstLine="480"/>
        <w:rPr>
          <w:rFonts w:hint="eastAsia"/>
          <w:color w:val="auto"/>
        </w:rPr>
      </w:pPr>
      <w:r>
        <w:rPr>
          <w:color w:val="auto"/>
        </w:rPr>
        <w:t>（2）大气环境</w:t>
      </w:r>
    </w:p>
    <w:p w14:paraId="11F20637">
      <w:pPr>
        <w:pStyle w:val="86"/>
        <w:ind w:firstLine="480"/>
        <w:rPr>
          <w:rFonts w:hint="eastAsia"/>
          <w:color w:val="auto"/>
        </w:rPr>
      </w:pPr>
      <w:r>
        <w:rPr>
          <w:color w:val="auto"/>
        </w:rPr>
        <w:t>工期废气主要为扬尘、施工机械及车辆尾气、焊接废气等，施工期短暂，施工期的废气污染随施工的结束而消失</w:t>
      </w:r>
      <w:r>
        <w:rPr>
          <w:color w:val="auto"/>
        </w:rPr>
        <w:t>。</w:t>
      </w:r>
      <w:r>
        <w:rPr>
          <w:rStyle w:val="208"/>
          <w:rFonts w:hint="eastAsia"/>
          <w:color w:val="auto"/>
        </w:rPr>
        <w:t>运营期废气主要为无组织挥发烃类和燃气发电机燃烧烟气，</w:t>
      </w:r>
      <w:bookmarkStart w:id="993" w:name="_Hlk80532764"/>
      <w:r>
        <w:rPr>
          <w:rStyle w:val="208"/>
          <w:rFonts w:hint="eastAsia"/>
          <w:color w:val="auto"/>
        </w:rPr>
        <w:t>采取相应的污染防治措施后，采油</w:t>
      </w:r>
      <w:r>
        <w:rPr>
          <w:rFonts w:hint="eastAsia"/>
          <w:color w:val="auto"/>
        </w:rPr>
        <w:t>井场</w:t>
      </w:r>
      <w:r>
        <w:rPr>
          <w:rStyle w:val="208"/>
          <w:rFonts w:hint="eastAsia"/>
          <w:color w:val="auto"/>
        </w:rPr>
        <w:t>厂界浓度可满足《</w:t>
      </w:r>
      <w:r>
        <w:rPr>
          <w:color w:val="auto"/>
        </w:rPr>
        <w:fldChar w:fldCharType="begin"/>
      </w:r>
      <w:r>
        <w:rPr>
          <w:color w:val="auto"/>
        </w:rPr>
        <w:instrText xml:space="preserve"> HYPERLINK "http://www.mee.gov.cn/ywgz/fgbz/bz/bzwb/dqhjbh/dqgdwrywrwpfbz/202012/W020201225551948738018.pdf" </w:instrText>
      </w:r>
      <w:r>
        <w:rPr>
          <w:color w:val="auto"/>
        </w:rPr>
        <w:fldChar w:fldCharType="separate"/>
      </w:r>
      <w:r>
        <w:rPr>
          <w:rStyle w:val="208"/>
          <w:rFonts w:hint="eastAsia"/>
          <w:color w:val="auto"/>
        </w:rPr>
        <w:t>陆上石油天然气开采工业大气污染物排放标准》（GB39728—2020）</w:t>
      </w:r>
      <w:r>
        <w:rPr>
          <w:rStyle w:val="208"/>
          <w:rFonts w:hint="eastAsia"/>
          <w:color w:val="auto"/>
        </w:rPr>
        <w:fldChar w:fldCharType="end"/>
      </w:r>
      <w:r>
        <w:rPr>
          <w:rStyle w:val="208"/>
          <w:rFonts w:hint="eastAsia"/>
          <w:color w:val="auto"/>
        </w:rPr>
        <w:t>中企业边界污染物控制要求</w:t>
      </w:r>
      <w:bookmarkEnd w:id="993"/>
      <w:r>
        <w:rPr>
          <w:rStyle w:val="208"/>
          <w:rFonts w:hint="eastAsia"/>
          <w:color w:val="auto"/>
        </w:rPr>
        <w:t>，燃气发电机燃烧烟气中各污染物均满足《大气污染物综合排放标准》（GB16297-1996）表2限值要求</w:t>
      </w:r>
      <w:r>
        <w:rPr>
          <w:color w:val="auto"/>
        </w:rPr>
        <w:t>；</w:t>
      </w:r>
      <w:r>
        <w:rPr>
          <w:color w:val="auto"/>
        </w:rPr>
        <w:t>项目区地域空旷，各污染物预测贡献值较低，运营期对区域大气环境的影响可以保持在环境可接受的范围之内。</w:t>
      </w:r>
    </w:p>
    <w:p w14:paraId="0CE51E8F">
      <w:pPr>
        <w:pStyle w:val="86"/>
        <w:ind w:firstLine="480"/>
        <w:rPr>
          <w:rFonts w:hint="eastAsia"/>
          <w:color w:val="auto"/>
        </w:rPr>
      </w:pPr>
      <w:r>
        <w:rPr>
          <w:color w:val="auto"/>
        </w:rPr>
        <w:t>（</w:t>
      </w:r>
      <w:r>
        <w:rPr>
          <w:rFonts w:hint="eastAsia"/>
          <w:color w:val="auto"/>
        </w:rPr>
        <w:t>3</w:t>
      </w:r>
      <w:r>
        <w:rPr>
          <w:color w:val="auto"/>
        </w:rPr>
        <w:t>）水环境</w:t>
      </w:r>
    </w:p>
    <w:p w14:paraId="4CD21EBA">
      <w:pPr>
        <w:pStyle w:val="86"/>
        <w:ind w:firstLine="480"/>
        <w:rPr>
          <w:rFonts w:hint="eastAsia"/>
          <w:color w:val="auto"/>
        </w:rPr>
      </w:pPr>
      <w:r>
        <w:rPr>
          <w:rFonts w:hint="eastAsia"/>
          <w:color w:val="auto"/>
        </w:rPr>
        <w:t>施工期废水主要为管道试压废水、混凝土养护废水。管道试压采用清水试压，管道试压废水产生量较小，主要污染物为悬浮物，</w:t>
      </w:r>
      <w:r>
        <w:rPr>
          <w:rFonts w:hint="eastAsia"/>
          <w:color w:val="auto"/>
          <w:szCs w:val="22"/>
          <w:lang w:bidi="ar"/>
        </w:rPr>
        <w:t>试压结束后，用于项目区洒水抑尘，混凝土养护废水主要靠自然蒸发处理</w:t>
      </w:r>
      <w:r>
        <w:rPr>
          <w:rFonts w:hint="eastAsia"/>
          <w:color w:val="auto"/>
        </w:rPr>
        <w:t>；运营期</w:t>
      </w:r>
      <w:r>
        <w:rPr>
          <w:rFonts w:hint="eastAsia" w:cs="宋体"/>
          <w:color w:val="auto"/>
          <w:kern w:val="0"/>
          <w:lang w:bidi="ar"/>
        </w:rPr>
        <w:t>井下作业时带罐作业，井下作业废液（压裂返排液和废洗井液）排至罐内，橇装天然气处理装置含油污水排至罐内，均由罐车拉运至莫北转油站采出水处理系统处理，</w:t>
      </w:r>
      <w:r>
        <w:rPr>
          <w:rFonts w:hint="eastAsia"/>
          <w:color w:val="auto"/>
        </w:rPr>
        <w:t>出水水质满足</w:t>
      </w:r>
      <w:r>
        <w:rPr>
          <w:rFonts w:hint="eastAsia"/>
          <w:color w:val="auto"/>
          <w:lang w:val="zh-CN"/>
        </w:rPr>
        <w:t>《碎屑岩油藏注水水质指标技术要求及分析方法》（SY</w:t>
      </w:r>
      <w:r>
        <w:rPr>
          <w:color w:val="auto"/>
          <w:lang w:val="zh-CN"/>
        </w:rPr>
        <w:t>/</w:t>
      </w:r>
      <w:r>
        <w:rPr>
          <w:rFonts w:hint="eastAsia"/>
          <w:color w:val="auto"/>
          <w:lang w:val="zh-CN"/>
        </w:rPr>
        <w:t>T5329-2022）</w:t>
      </w:r>
      <w:r>
        <w:rPr>
          <w:rFonts w:hint="eastAsia"/>
          <w:color w:val="auto"/>
        </w:rPr>
        <w:t>Ⅲ级标准</w:t>
      </w:r>
      <w:r>
        <w:rPr>
          <w:rFonts w:hint="eastAsia"/>
          <w:color w:val="auto"/>
          <w:lang w:val="zh-CN"/>
        </w:rPr>
        <w:t>后回注地层</w:t>
      </w:r>
      <w:r>
        <w:rPr>
          <w:rFonts w:hint="eastAsia" w:cs="宋体"/>
          <w:color w:val="auto"/>
          <w:kern w:val="0"/>
          <w:lang w:bidi="ar"/>
        </w:rPr>
        <w:t>；生活污水送至玛纳斯县生活污水处理厂处理，</w:t>
      </w:r>
      <w:r>
        <w:rPr>
          <w:rFonts w:hint="eastAsia"/>
          <w:color w:val="auto"/>
        </w:rPr>
        <w:t>各类废水均得到妥善处置，</w:t>
      </w:r>
      <w:r>
        <w:rPr>
          <w:rFonts w:hint="eastAsia" w:cs="宋体"/>
          <w:color w:val="auto"/>
          <w:lang w:bidi="ar"/>
        </w:rPr>
        <w:t>正常情况下不会对周围水环境产生明显影响。</w:t>
      </w:r>
    </w:p>
    <w:p w14:paraId="33F1AA0D">
      <w:pPr>
        <w:pStyle w:val="86"/>
        <w:ind w:firstLine="480"/>
        <w:rPr>
          <w:rFonts w:hint="eastAsia"/>
          <w:color w:val="auto"/>
        </w:rPr>
      </w:pPr>
      <w:r>
        <w:rPr>
          <w:rFonts w:hint="eastAsia"/>
          <w:color w:val="auto"/>
        </w:rPr>
        <w:t>事故状态下对地下水的污染主要为单井采油管线发生泄漏，泄漏以点源形式污染地下水，其污染迁移途径为地表以下的包气带和含水层。事故发生后，及时采取相应的措施，不会对地下水环境产生明显影响。</w:t>
      </w:r>
    </w:p>
    <w:p w14:paraId="59157E73">
      <w:pPr>
        <w:pStyle w:val="86"/>
        <w:ind w:firstLine="480"/>
        <w:rPr>
          <w:rFonts w:hint="eastAsia"/>
          <w:color w:val="auto"/>
        </w:rPr>
      </w:pPr>
      <w:r>
        <w:rPr>
          <w:color w:val="auto"/>
        </w:rPr>
        <w:t>（</w:t>
      </w:r>
      <w:r>
        <w:rPr>
          <w:rFonts w:hint="eastAsia"/>
          <w:color w:val="auto"/>
        </w:rPr>
        <w:t>4</w:t>
      </w:r>
      <w:r>
        <w:rPr>
          <w:color w:val="auto"/>
        </w:rPr>
        <w:t>）</w:t>
      </w:r>
      <w:r>
        <w:rPr>
          <w:rFonts w:hint="eastAsia"/>
          <w:color w:val="auto"/>
        </w:rPr>
        <w:t>噪声</w:t>
      </w:r>
    </w:p>
    <w:p w14:paraId="28A0F7CB">
      <w:pPr>
        <w:pStyle w:val="86"/>
        <w:ind w:firstLine="480"/>
        <w:rPr>
          <w:rFonts w:hint="eastAsia"/>
          <w:color w:val="auto"/>
        </w:rPr>
      </w:pPr>
      <w:r>
        <w:rPr>
          <w:rFonts w:hint="eastAsia"/>
          <w:color w:val="auto"/>
        </w:rPr>
        <w:t>施工期</w:t>
      </w:r>
      <w:r>
        <w:rPr>
          <w:color w:val="auto"/>
        </w:rPr>
        <w:t>噪声</w:t>
      </w:r>
      <w:r>
        <w:rPr>
          <w:rFonts w:hint="eastAsia"/>
          <w:color w:val="auto"/>
        </w:rPr>
        <w:t>源主要为施工机械和施工车辆，施工短暂</w:t>
      </w:r>
      <w:r>
        <w:rPr>
          <w:color w:val="auto"/>
        </w:rPr>
        <w:t>，只对局部环境造成影响，待施工结束后这种影响也随之消失，施工期噪声</w:t>
      </w:r>
      <w:r>
        <w:rPr>
          <w:rFonts w:hint="eastAsia"/>
          <w:color w:val="auto"/>
        </w:rPr>
        <w:t>仅</w:t>
      </w:r>
      <w:r>
        <w:rPr>
          <w:color w:val="auto"/>
        </w:rPr>
        <w:t>对施工人员产生影响</w:t>
      </w:r>
      <w:r>
        <w:rPr>
          <w:rFonts w:hint="eastAsia"/>
          <w:color w:val="auto"/>
        </w:rPr>
        <w:t>；运营期噪声主要为井场井下作业时的各类机泵、巡检车辆及橇装天然气处理装置中的压缩机等</w:t>
      </w:r>
      <w:r>
        <w:rPr>
          <w:rFonts w:hint="eastAsia" w:cs="宋体"/>
          <w:color w:val="auto"/>
        </w:rPr>
        <w:t>，源强</w:t>
      </w:r>
      <w:r>
        <w:rPr>
          <w:rFonts w:cs="宋体"/>
          <w:color w:val="auto"/>
        </w:rPr>
        <w:t>80</w:t>
      </w:r>
      <w:r>
        <w:rPr>
          <w:rFonts w:hint="eastAsia" w:cs="宋体"/>
          <w:color w:val="auto"/>
        </w:rPr>
        <w:t>～</w:t>
      </w:r>
      <w:r>
        <w:rPr>
          <w:rFonts w:cs="宋体"/>
          <w:color w:val="auto"/>
        </w:rPr>
        <w:t>95dB</w:t>
      </w:r>
      <w:r>
        <w:rPr>
          <w:rFonts w:hint="eastAsia" w:cs="宋体"/>
          <w:color w:val="auto"/>
        </w:rPr>
        <w:t>（A）</w:t>
      </w:r>
      <w:r>
        <w:rPr>
          <w:rFonts w:hint="eastAsia"/>
          <w:color w:val="auto"/>
        </w:rPr>
        <w:t>，根据预测采油井场、充装区厂界</w:t>
      </w:r>
      <w:r>
        <w:rPr>
          <w:color w:val="auto"/>
        </w:rPr>
        <w:t>昼</w:t>
      </w:r>
      <w:r>
        <w:rPr>
          <w:rFonts w:hint="eastAsia"/>
          <w:color w:val="auto"/>
        </w:rPr>
        <w:t>、</w:t>
      </w:r>
      <w:r>
        <w:rPr>
          <w:color w:val="auto"/>
        </w:rPr>
        <w:t>夜</w:t>
      </w:r>
      <w:r>
        <w:rPr>
          <w:rFonts w:hint="eastAsia"/>
          <w:color w:val="auto"/>
        </w:rPr>
        <w:t>间</w:t>
      </w:r>
      <w:r>
        <w:rPr>
          <w:color w:val="auto"/>
        </w:rPr>
        <w:t>噪声均能满足《工业企业厂界环境噪声排放标准》（GB12348-2008）中的2类区标准</w:t>
      </w:r>
      <w:r>
        <w:rPr>
          <w:rFonts w:hint="eastAsia"/>
          <w:color w:val="auto"/>
        </w:rPr>
        <w:t>要求</w:t>
      </w:r>
      <w:r>
        <w:rPr>
          <w:color w:val="auto"/>
        </w:rPr>
        <w:t>。</w:t>
      </w:r>
      <w:r>
        <w:rPr>
          <w:rFonts w:hint="eastAsia"/>
          <w:color w:val="auto"/>
        </w:rPr>
        <w:t>评价范围内</w:t>
      </w:r>
      <w:r>
        <w:rPr>
          <w:color w:val="auto"/>
        </w:rPr>
        <w:t>无</w:t>
      </w:r>
      <w:r>
        <w:rPr>
          <w:rFonts w:hint="eastAsia"/>
          <w:color w:val="auto"/>
        </w:rPr>
        <w:t>声环境敏感目标</w:t>
      </w:r>
      <w:r>
        <w:rPr>
          <w:color w:val="auto"/>
        </w:rPr>
        <w:t>，</w:t>
      </w:r>
      <w:r>
        <w:rPr>
          <w:rFonts w:hint="eastAsia"/>
          <w:color w:val="auto"/>
        </w:rPr>
        <w:t>不会出现扰民影响，对声</w:t>
      </w:r>
      <w:r>
        <w:rPr>
          <w:color w:val="auto"/>
        </w:rPr>
        <w:t>环境</w:t>
      </w:r>
      <w:r>
        <w:rPr>
          <w:rFonts w:hint="eastAsia"/>
          <w:color w:val="auto"/>
        </w:rPr>
        <w:t>质量影响不大</w:t>
      </w:r>
      <w:r>
        <w:rPr>
          <w:color w:val="auto"/>
        </w:rPr>
        <w:t>。</w:t>
      </w:r>
    </w:p>
    <w:p w14:paraId="424EDD72">
      <w:pPr>
        <w:pStyle w:val="86"/>
        <w:ind w:firstLine="480"/>
        <w:rPr>
          <w:rFonts w:hint="eastAsia"/>
          <w:color w:val="auto"/>
        </w:rPr>
      </w:pPr>
      <w:r>
        <w:rPr>
          <w:color w:val="auto"/>
        </w:rPr>
        <w:t>（5）固体废物</w:t>
      </w:r>
    </w:p>
    <w:p w14:paraId="669228D1">
      <w:pPr>
        <w:pStyle w:val="86"/>
        <w:ind w:firstLine="480" w:firstLineChars="0"/>
        <w:rPr>
          <w:rFonts w:hint="eastAsia"/>
          <w:color w:val="auto"/>
        </w:rPr>
      </w:pPr>
      <w:r>
        <w:rPr>
          <w:rFonts w:hint="eastAsia"/>
          <w:color w:val="auto"/>
        </w:rPr>
        <w:t>施工期固体废物主要为建筑垃圾，施工过程中使用材料产生的废边角料等尽量由施工单位统一回收利用，废包装物、废砖块等无法再利用的集中堆放，定期送至当地建筑垃圾填埋场填埋处理。运营期</w:t>
      </w:r>
      <w:r>
        <w:rPr>
          <w:rFonts w:hint="eastAsia" w:cs="宋体"/>
          <w:color w:val="auto"/>
        </w:rPr>
        <w:t>固体废物主要为清罐底泥、废分子筛、废滤料、废润滑油、废润滑油桶、沾油废防渗材料、</w:t>
      </w:r>
      <w:r>
        <w:rPr>
          <w:rFonts w:hint="eastAsia" w:cs="宋体"/>
          <w:color w:val="auto"/>
          <w:lang w:val="zh-CN"/>
        </w:rPr>
        <w:t>废含油抹布及劳保用品</w:t>
      </w:r>
      <w:r>
        <w:rPr>
          <w:rFonts w:hint="eastAsia" w:cs="宋体"/>
          <w:color w:val="auto"/>
        </w:rPr>
        <w:t>和生活垃圾，废分子筛、废滤料、</w:t>
      </w:r>
      <w:r>
        <w:rPr>
          <w:rFonts w:hint="eastAsia" w:cs="宋体"/>
          <w:color w:val="auto"/>
          <w:lang w:val="zh-CN"/>
        </w:rPr>
        <w:t>废含油抹布及劳保用品</w:t>
      </w:r>
      <w:r>
        <w:rPr>
          <w:rFonts w:hint="eastAsia" w:cs="宋体"/>
          <w:color w:val="auto"/>
        </w:rPr>
        <w:t>属于《国家危险废物名录（</w:t>
      </w:r>
      <w:r>
        <w:rPr>
          <w:rFonts w:cs="宋体"/>
          <w:color w:val="auto"/>
        </w:rPr>
        <w:t>20</w:t>
      </w:r>
      <w:r>
        <w:rPr>
          <w:rFonts w:hint="eastAsia" w:cs="宋体"/>
          <w:color w:val="auto"/>
        </w:rPr>
        <w:t>25年版</w:t>
      </w:r>
      <w:r>
        <w:rPr>
          <w:rFonts w:cs="宋体"/>
          <w:color w:val="auto"/>
        </w:rPr>
        <w:t>）</w:t>
      </w:r>
      <w:r>
        <w:rPr>
          <w:rFonts w:hint="eastAsia" w:cs="宋体"/>
          <w:color w:val="auto"/>
        </w:rPr>
        <w:t>》H</w:t>
      </w:r>
      <w:r>
        <w:rPr>
          <w:rFonts w:cs="宋体"/>
          <w:color w:val="auto"/>
        </w:rPr>
        <w:t>W49</w:t>
      </w:r>
      <w:r>
        <w:rPr>
          <w:rFonts w:hint="eastAsia" w:cs="宋体"/>
          <w:color w:val="auto"/>
        </w:rPr>
        <w:t>其他废物，清罐底泥、废润滑油、废润滑油桶和沾油废防渗材料</w:t>
      </w:r>
      <w:r>
        <w:rPr>
          <w:rFonts w:hint="eastAsia"/>
          <w:color w:val="auto"/>
        </w:rPr>
        <w:t>属于</w:t>
      </w:r>
      <w:r>
        <w:rPr>
          <w:rFonts w:hint="eastAsia" w:cs="宋体"/>
          <w:color w:val="auto"/>
        </w:rPr>
        <w:t>《国家危险废物名录（</w:t>
      </w:r>
      <w:r>
        <w:rPr>
          <w:rFonts w:cs="宋体"/>
          <w:color w:val="auto"/>
        </w:rPr>
        <w:t>20</w:t>
      </w:r>
      <w:r>
        <w:rPr>
          <w:rFonts w:hint="eastAsia" w:cs="宋体"/>
          <w:color w:val="auto"/>
        </w:rPr>
        <w:t>25年版</w:t>
      </w:r>
      <w:r>
        <w:rPr>
          <w:rFonts w:cs="宋体"/>
          <w:color w:val="auto"/>
        </w:rPr>
        <w:t>）</w:t>
      </w:r>
      <w:r>
        <w:rPr>
          <w:rFonts w:hint="eastAsia" w:cs="宋体"/>
          <w:color w:val="auto"/>
        </w:rPr>
        <w:t>》</w:t>
      </w:r>
      <w:r>
        <w:rPr>
          <w:rFonts w:cs="宋体"/>
          <w:color w:val="auto"/>
        </w:rPr>
        <w:t>HW08废矿物油与含矿物油类危险废物</w:t>
      </w:r>
      <w:r>
        <w:rPr>
          <w:rFonts w:hint="eastAsia" w:cs="宋体"/>
          <w:color w:val="auto"/>
        </w:rPr>
        <w:t>，废分子筛、废滤料、废润滑油桶、沾油废防渗材料、</w:t>
      </w:r>
      <w:r>
        <w:rPr>
          <w:rFonts w:hint="eastAsia" w:cs="宋体"/>
          <w:color w:val="auto"/>
          <w:lang w:val="zh-CN"/>
        </w:rPr>
        <w:t>废含油抹布及劳保用品</w:t>
      </w:r>
      <w:r>
        <w:rPr>
          <w:rFonts w:hint="eastAsia" w:cs="宋体"/>
          <w:color w:val="auto"/>
        </w:rPr>
        <w:t>临时贮存在</w:t>
      </w:r>
      <w:r>
        <w:rPr>
          <w:rFonts w:hint="eastAsia"/>
          <w:color w:val="auto"/>
        </w:rPr>
        <w:t>石西油田作业区危险废物临时储存场所</w:t>
      </w:r>
      <w:r>
        <w:rPr>
          <w:rFonts w:hint="eastAsia" w:cs="宋体"/>
          <w:color w:val="auto"/>
        </w:rPr>
        <w:t>暂存，最终交由有相应危险废物处理资质的单位回收处置；清罐底泥、废润滑油不贮存，直接交由有相应危险废物处理资质的单位回收处置；生活垃圾送至玛纳斯县生活垃圾填埋场处理。</w:t>
      </w:r>
      <w:r>
        <w:rPr>
          <w:rFonts w:hint="eastAsia"/>
          <w:color w:val="auto"/>
        </w:rPr>
        <w:t>固体废物得到妥善处置</w:t>
      </w:r>
      <w:r>
        <w:rPr>
          <w:color w:val="auto"/>
        </w:rPr>
        <w:t>，不会对区域环境造成不利影响</w:t>
      </w:r>
      <w:r>
        <w:rPr>
          <w:rFonts w:hint="eastAsia"/>
          <w:color w:val="auto"/>
        </w:rPr>
        <w:t>。</w:t>
      </w:r>
    </w:p>
    <w:p w14:paraId="1034C1EE">
      <w:pPr>
        <w:pStyle w:val="86"/>
        <w:ind w:firstLine="480"/>
        <w:rPr>
          <w:rFonts w:hint="eastAsia"/>
          <w:color w:val="auto"/>
        </w:rPr>
      </w:pPr>
      <w:r>
        <w:rPr>
          <w:rFonts w:hint="eastAsia"/>
          <w:color w:val="auto"/>
        </w:rPr>
        <w:t>（6）土壤环境</w:t>
      </w:r>
    </w:p>
    <w:bookmarkEnd w:id="990"/>
    <w:bookmarkEnd w:id="991"/>
    <w:bookmarkEnd w:id="992"/>
    <w:p w14:paraId="53007F6E">
      <w:pPr>
        <w:pStyle w:val="86"/>
        <w:ind w:firstLine="480"/>
        <w:rPr>
          <w:rFonts w:hint="eastAsia"/>
          <w:color w:val="auto"/>
        </w:rPr>
      </w:pPr>
      <w:r>
        <w:rPr>
          <w:rFonts w:hint="eastAsia"/>
          <w:color w:val="auto"/>
        </w:rPr>
        <w:t>施工期按规定的施工范围进行作业，可有效减少土壤扰动，建筑垃圾及时清运，可避免污染物进入土壤环境造成污染。运营期加强废水和固体废物管理，新建采油井场、橇装天然气处理装置处进行砾石铺垫，加强井场、橇装天然气处理装置的设备、阀门、法兰和管线的巡检</w:t>
      </w:r>
      <w:r>
        <w:rPr>
          <w:color w:val="auto"/>
        </w:rPr>
        <w:t>，</w:t>
      </w:r>
      <w:r>
        <w:rPr>
          <w:rFonts w:hint="eastAsia"/>
          <w:color w:val="auto"/>
        </w:rPr>
        <w:t>避免因</w:t>
      </w:r>
      <w:r>
        <w:rPr>
          <w:color w:val="auto"/>
        </w:rPr>
        <w:t>“跑、冒、滴、漏”</w:t>
      </w:r>
      <w:r>
        <w:rPr>
          <w:rFonts w:hint="eastAsia"/>
          <w:color w:val="auto"/>
        </w:rPr>
        <w:t>或泄漏事故发生造成凝析油进入土壤，发生泄漏事故时应</w:t>
      </w:r>
      <w:r>
        <w:rPr>
          <w:color w:val="auto"/>
        </w:rPr>
        <w:t>及时清理落地油，</w:t>
      </w:r>
      <w:r>
        <w:rPr>
          <w:rFonts w:hint="eastAsia"/>
          <w:color w:val="auto"/>
        </w:rPr>
        <w:t>受浸染的土壤交由具备相应危废处理资质的单位进行回收处置，可</w:t>
      </w:r>
      <w:r>
        <w:rPr>
          <w:color w:val="auto"/>
        </w:rPr>
        <w:t>降低</w:t>
      </w:r>
      <w:r>
        <w:rPr>
          <w:rFonts w:hint="eastAsia"/>
          <w:color w:val="auto"/>
        </w:rPr>
        <w:t>对</w:t>
      </w:r>
      <w:r>
        <w:rPr>
          <w:color w:val="auto"/>
        </w:rPr>
        <w:t>土壤</w:t>
      </w:r>
      <w:r>
        <w:rPr>
          <w:rFonts w:hint="eastAsia"/>
          <w:color w:val="auto"/>
        </w:rPr>
        <w:t>环境质量的影响程度</w:t>
      </w:r>
      <w:r>
        <w:rPr>
          <w:color w:val="auto"/>
        </w:rPr>
        <w:t>。</w:t>
      </w:r>
    </w:p>
    <w:p w14:paraId="55259319">
      <w:pPr>
        <w:pStyle w:val="86"/>
        <w:ind w:firstLine="480"/>
        <w:rPr>
          <w:rFonts w:hint="eastAsia"/>
          <w:color w:val="auto"/>
        </w:rPr>
      </w:pPr>
      <w:r>
        <w:rPr>
          <w:color w:val="auto"/>
        </w:rPr>
        <w:t>（7）环境风险</w:t>
      </w:r>
    </w:p>
    <w:p w14:paraId="1D8914C1">
      <w:pPr>
        <w:pStyle w:val="86"/>
        <w:ind w:firstLine="480"/>
        <w:rPr>
          <w:rFonts w:hint="eastAsia"/>
          <w:color w:val="auto"/>
        </w:rPr>
      </w:pPr>
      <w:r>
        <w:rPr>
          <w:rFonts w:hint="eastAsia"/>
          <w:color w:val="auto"/>
        </w:rPr>
        <w:t>运营期涉及的风险物质为</w:t>
      </w:r>
      <w:bookmarkStart w:id="994" w:name="OLE_LINK96"/>
      <w:r>
        <w:rPr>
          <w:rFonts w:hint="eastAsia"/>
          <w:color w:val="auto"/>
        </w:rPr>
        <w:t>原油和伴生气</w:t>
      </w:r>
      <w:bookmarkEnd w:id="994"/>
      <w:r>
        <w:rPr>
          <w:rFonts w:hint="eastAsia"/>
          <w:color w:val="auto"/>
        </w:rPr>
        <w:t>，风险潜势为Ⅰ，可能发生的风险事故类型</w:t>
      </w:r>
      <w:r>
        <w:rPr>
          <w:color w:val="auto"/>
        </w:rPr>
        <w:t>主要</w:t>
      </w:r>
      <w:r>
        <w:rPr>
          <w:rFonts w:hint="eastAsia"/>
          <w:color w:val="auto"/>
        </w:rPr>
        <w:t>为原油和伴生气泄漏，发生</w:t>
      </w:r>
      <w:r>
        <w:rPr>
          <w:color w:val="auto"/>
        </w:rPr>
        <w:t>火灾</w:t>
      </w:r>
      <w:r>
        <w:rPr>
          <w:rFonts w:hint="eastAsia"/>
          <w:color w:val="auto"/>
        </w:rPr>
        <w:t>、</w:t>
      </w:r>
      <w:r>
        <w:rPr>
          <w:color w:val="auto"/>
        </w:rPr>
        <w:t>爆炸</w:t>
      </w:r>
      <w:r>
        <w:rPr>
          <w:rFonts w:hint="eastAsia"/>
          <w:color w:val="auto"/>
        </w:rPr>
        <w:t>等引发的伴生/次生污染物排放。运营期管线、设备发生破损造成原油和伴生气泄漏，污染土壤和大气，泄漏原油可能通过包气带渗漏进入地下含水层，污染地下水；泄漏的油气若遇明火，发生火灾、爆炸，污染大气环境。发生事故后，在严格落实本报告提出的风险防范措施的前提下，不会对周围环境产生明显影响。</w:t>
      </w:r>
    </w:p>
    <w:p w14:paraId="2EEDEE74">
      <w:pPr>
        <w:pStyle w:val="4"/>
        <w:keepNext w:val="0"/>
        <w:keepLines w:val="0"/>
        <w:numPr>
          <w:ilvl w:val="2"/>
          <w:numId w:val="2"/>
        </w:numPr>
        <w:spacing w:after="160" w:line="360" w:lineRule="auto"/>
        <w:ind w:left="0" w:firstLine="0"/>
        <w:jc w:val="left"/>
        <w:rPr>
          <w:rFonts w:hint="eastAsia" w:ascii="黑体" w:hAnsi="黑体" w:eastAsia="黑体" w:cs="Times New Roman"/>
          <w:color w:val="auto"/>
          <w:sz w:val="24"/>
          <w:szCs w:val="21"/>
          <w:lang w:val="zh-CN"/>
          <w14:ligatures w14:val="none"/>
        </w:rPr>
      </w:pPr>
      <w:bookmarkStart w:id="995" w:name="_Toc149456097"/>
      <w:bookmarkStart w:id="996" w:name="_Toc445842229"/>
      <w:bookmarkStart w:id="997" w:name="_Toc169342380"/>
      <w:bookmarkStart w:id="998" w:name="_Toc146344873"/>
      <w:bookmarkStart w:id="999" w:name="_Toc9849"/>
      <w:bookmarkStart w:id="1000" w:name="_Toc445996541"/>
      <w:bookmarkStart w:id="1001" w:name="_Hlk92205646"/>
      <w:r>
        <w:rPr>
          <w:rFonts w:ascii="黑体" w:hAnsi="黑体" w:eastAsia="黑体" w:cs="Times New Roman"/>
          <w:color w:val="auto"/>
          <w:sz w:val="24"/>
          <w:szCs w:val="21"/>
          <w:lang w:val="zh-CN"/>
          <w14:ligatures w14:val="none"/>
        </w:rPr>
        <w:t>环境保护措施</w:t>
      </w:r>
      <w:bookmarkEnd w:id="995"/>
      <w:bookmarkEnd w:id="996"/>
      <w:bookmarkEnd w:id="997"/>
      <w:bookmarkEnd w:id="998"/>
      <w:bookmarkEnd w:id="999"/>
      <w:bookmarkEnd w:id="1000"/>
    </w:p>
    <w:p w14:paraId="78E1B6C6">
      <w:pPr>
        <w:pStyle w:val="86"/>
        <w:ind w:firstLine="480"/>
        <w:rPr>
          <w:rFonts w:hint="eastAsia"/>
          <w:color w:val="auto"/>
        </w:rPr>
      </w:pPr>
      <w:r>
        <w:rPr>
          <w:color w:val="auto"/>
        </w:rPr>
        <w:t>（1）</w:t>
      </w:r>
      <w:r>
        <w:rPr>
          <w:rFonts w:hint="eastAsia"/>
          <w:color w:val="auto"/>
        </w:rPr>
        <w:t>生态环境</w:t>
      </w:r>
    </w:p>
    <w:p w14:paraId="062DB395">
      <w:pPr>
        <w:pStyle w:val="86"/>
        <w:ind w:firstLine="480"/>
        <w:rPr>
          <w:rFonts w:hint="eastAsia"/>
          <w:color w:val="auto"/>
        </w:rPr>
      </w:pPr>
      <w:r>
        <w:rPr>
          <w:rFonts w:hint="eastAsia" w:cs="宋体"/>
          <w:color w:val="auto"/>
        </w:rPr>
        <w:t>单井采油管线选线过程中和橇装天然气处理装置选址时在满足设计需求的前提下，尽量避开植被密集区域；施工过程中尽量</w:t>
      </w:r>
      <w:r>
        <w:rPr>
          <w:rFonts w:hint="eastAsia" w:ascii="等线" w:hAnsi="等线"/>
          <w:color w:val="auto"/>
        </w:rPr>
        <w:t>避免破坏野生植物，最大限度避免破坏野生动物的活动场所和生存环境。</w:t>
      </w:r>
      <w:r>
        <w:rPr>
          <w:rFonts w:hint="eastAsia"/>
          <w:color w:val="auto"/>
        </w:rPr>
        <w:t>施工过程中严格规定车辆和各类工作人员的活动范围，使之限于在施工区范围内活动，不随意</w:t>
      </w:r>
      <w:r>
        <w:rPr>
          <w:color w:val="auto"/>
        </w:rPr>
        <w:t>踩踏砍伐野生植被</w:t>
      </w:r>
      <w:r>
        <w:rPr>
          <w:rFonts w:hint="eastAsia"/>
          <w:color w:val="auto"/>
        </w:rPr>
        <w:t>，尽量不侵扰野生动物的栖息地。</w:t>
      </w:r>
      <w:r>
        <w:rPr>
          <w:color w:val="auto"/>
          <w:lang w:bidi="ar"/>
        </w:rPr>
        <w:t>管沟应分层开挖、分层堆放、分层回填，特别是表层土壤分层堆放，以保护植被生长层，降低对土壤养分的影响，尽快使土壤恢复生产力，同时减少水土流失；土石方不得随意堆放，应集中堆</w:t>
      </w:r>
      <w:r>
        <w:rPr>
          <w:rFonts w:hint="eastAsia"/>
          <w:color w:val="auto"/>
          <w:lang w:bidi="ar"/>
        </w:rPr>
        <w:t>置于</w:t>
      </w:r>
      <w:r>
        <w:rPr>
          <w:color w:val="auto"/>
          <w:lang w:bidi="ar"/>
        </w:rPr>
        <w:t>管沟一侧，且不影响施工安全的距离内，施工完毕后</w:t>
      </w:r>
      <w:r>
        <w:rPr>
          <w:rFonts w:hint="eastAsia"/>
          <w:color w:val="auto"/>
          <w:lang w:bidi="ar"/>
        </w:rPr>
        <w:t>全部用于回填并分层压实。</w:t>
      </w:r>
      <w:r>
        <w:rPr>
          <w:rFonts w:hint="eastAsia"/>
          <w:color w:val="auto"/>
        </w:rPr>
        <w:t>施工结束后，及时对施工场地进行平整，以便后期植被自然恢复；对永久占地进行砾石铺垫等地面硬化处理，以减少风蚀量。建设单位应当按照《中华人民共和国土地管理法》和《新疆维吾尔自治区实施〈中华人民共和国土地管理法〉办法》等相关规定，依法办理占地手续，足额缴纳生态补偿费。加强施工期环境监理。</w:t>
      </w:r>
    </w:p>
    <w:p w14:paraId="224F131A">
      <w:pPr>
        <w:pStyle w:val="86"/>
        <w:ind w:firstLine="480"/>
        <w:rPr>
          <w:rFonts w:hint="eastAsia"/>
          <w:color w:val="auto"/>
        </w:rPr>
      </w:pPr>
      <w:r>
        <w:rPr>
          <w:color w:val="auto"/>
        </w:rPr>
        <w:t>（2）大气环境</w:t>
      </w:r>
    </w:p>
    <w:p w14:paraId="4E9C9A38">
      <w:pPr>
        <w:pStyle w:val="86"/>
        <w:ind w:firstLine="480"/>
        <w:rPr>
          <w:rFonts w:hint="eastAsia"/>
          <w:color w:val="auto"/>
        </w:rPr>
      </w:pPr>
      <w:r>
        <w:rPr>
          <w:rFonts w:hint="eastAsia"/>
          <w:color w:val="auto"/>
        </w:rPr>
        <w:t>施工期合理规划运输道路线路，尽量利用油田现有的公路网，施工车辆严格按照规定线路行驶，严禁乱碾乱压。严禁在大风天气进行土方作业。粉状材料及临时土方等在施工区堆放应采取覆盖防尘布，逸散性材料运输采用苫布遮盖。优化施工组织，道路和管线分段施工，缩短施工时间。施工结束后尽快对施工场地进行整理和平整，减少风蚀量。</w:t>
      </w:r>
      <w:r>
        <w:rPr>
          <w:rFonts w:hint="eastAsia" w:cs="宋体"/>
          <w:color w:val="auto"/>
          <w:kern w:val="0"/>
          <w:lang w:bidi="ar"/>
        </w:rPr>
        <w:t>加强对施工人员的环保教育，增强全体施工人员的环保意识，坚持文明施工、科学施工，减少施工期的大气污染。运输车辆及施工机械采用符合国家标准的油品，定期对施工机械及运输车辆保养维护。</w:t>
      </w:r>
    </w:p>
    <w:p w14:paraId="68D54503">
      <w:pPr>
        <w:spacing w:line="520" w:lineRule="exact"/>
        <w:ind w:firstLine="480" w:firstLineChars="200"/>
        <w:rPr>
          <w:rFonts w:hint="eastAsia" w:ascii="宋体" w:hAnsi="宋体"/>
          <w:color w:val="auto"/>
          <w:sz w:val="24"/>
          <w:szCs w:val="24"/>
        </w:rPr>
      </w:pPr>
      <w:r>
        <w:rPr>
          <w:rFonts w:hint="eastAsia" w:ascii="宋体" w:hAnsi="宋体"/>
          <w:color w:val="auto"/>
          <w:sz w:val="24"/>
          <w:szCs w:val="24"/>
        </w:rPr>
        <w:t>运营期莫27井、莫172H井和莫174H井井口采出物送至橇装天然气处理装置处理；选用质量可靠的设备、仪表、阀门等；定期对采油井场、橇装天然气处理装置内的各设备、阀门和管线等检查、检修，以防止跑、冒、漏、漏现象的发生</w:t>
      </w:r>
      <w:r>
        <w:rPr>
          <w:rFonts w:hint="eastAsia" w:ascii="宋体" w:hAnsi="宋体"/>
          <w:color w:val="auto"/>
          <w:sz w:val="24"/>
        </w:rPr>
        <w:t>；加热炉采用低氮燃烧技术</w:t>
      </w:r>
    </w:p>
    <w:p w14:paraId="58C568CB">
      <w:pPr>
        <w:pStyle w:val="86"/>
        <w:ind w:firstLine="480"/>
        <w:rPr>
          <w:rFonts w:hint="eastAsia"/>
          <w:color w:val="auto"/>
          <w:szCs w:val="22"/>
          <w:lang w:bidi="ar"/>
        </w:rPr>
      </w:pPr>
      <w:r>
        <w:rPr>
          <w:color w:val="auto"/>
          <w:szCs w:val="22"/>
          <w:lang w:bidi="ar"/>
        </w:rPr>
        <w:t>（3）水环境</w:t>
      </w:r>
    </w:p>
    <w:p w14:paraId="28521262">
      <w:pPr>
        <w:pStyle w:val="86"/>
        <w:ind w:firstLine="480"/>
        <w:rPr>
          <w:rFonts w:hint="eastAsia"/>
          <w:color w:val="auto"/>
        </w:rPr>
      </w:pPr>
      <w:r>
        <w:rPr>
          <w:rFonts w:hint="eastAsia"/>
          <w:color w:val="auto"/>
          <w:szCs w:val="22"/>
          <w:lang w:bidi="ar"/>
        </w:rPr>
        <w:t>施工期管道试压采用清水试压，管道试压废水产生量较小，主要污染物为悬浮物，试压结束后，用于项目区洒水抑尘，混凝土养护废水主要靠自然蒸发处理</w:t>
      </w:r>
      <w:r>
        <w:rPr>
          <w:rFonts w:hint="eastAsia"/>
          <w:color w:val="auto"/>
        </w:rPr>
        <w:t>；各类废水均得到妥善处置，</w:t>
      </w:r>
      <w:r>
        <w:rPr>
          <w:rFonts w:hint="eastAsia" w:cs="宋体"/>
          <w:color w:val="auto"/>
          <w:lang w:bidi="ar"/>
        </w:rPr>
        <w:t>正常情况下不会对周围水环境产生明显影响。</w:t>
      </w:r>
    </w:p>
    <w:p w14:paraId="6F97FCE2">
      <w:pPr>
        <w:pStyle w:val="86"/>
        <w:ind w:firstLine="480"/>
        <w:rPr>
          <w:rFonts w:hint="eastAsia"/>
          <w:color w:val="auto"/>
        </w:rPr>
      </w:pPr>
      <w:r>
        <w:rPr>
          <w:rFonts w:hint="eastAsia"/>
          <w:color w:val="auto"/>
        </w:rPr>
        <w:t>运营期</w:t>
      </w:r>
      <w:r>
        <w:rPr>
          <w:rFonts w:hint="eastAsia" w:cs="宋体"/>
          <w:color w:val="auto"/>
          <w:kern w:val="0"/>
          <w:lang w:bidi="ar"/>
        </w:rPr>
        <w:t>井下作业时带罐作业，井下作业废液（压裂返排液和废洗井液）和含油污水排至罐内，由罐车拉运至莫北转油站采出水处理系统处理，</w:t>
      </w:r>
      <w:r>
        <w:rPr>
          <w:rFonts w:hint="eastAsia"/>
          <w:color w:val="auto"/>
        </w:rPr>
        <w:t>出水水质满足</w:t>
      </w:r>
      <w:r>
        <w:rPr>
          <w:rFonts w:hint="eastAsia"/>
          <w:color w:val="auto"/>
          <w:lang w:val="zh-CN"/>
        </w:rPr>
        <w:t>《碎屑岩油藏注水水质指标技术要求及分析方法》（SY</w:t>
      </w:r>
      <w:r>
        <w:rPr>
          <w:color w:val="auto"/>
          <w:lang w:val="zh-CN"/>
        </w:rPr>
        <w:t>/</w:t>
      </w:r>
      <w:r>
        <w:rPr>
          <w:rFonts w:hint="eastAsia"/>
          <w:color w:val="auto"/>
          <w:lang w:val="zh-CN"/>
        </w:rPr>
        <w:t>T5329-2022）</w:t>
      </w:r>
      <w:r>
        <w:rPr>
          <w:rFonts w:hint="eastAsia"/>
          <w:color w:val="auto"/>
        </w:rPr>
        <w:t>Ⅲ级标准</w:t>
      </w:r>
      <w:r>
        <w:rPr>
          <w:rFonts w:hint="eastAsia"/>
          <w:color w:val="auto"/>
          <w:lang w:val="zh-CN"/>
        </w:rPr>
        <w:t>后回注地层</w:t>
      </w:r>
      <w:r>
        <w:rPr>
          <w:rFonts w:hint="eastAsia"/>
          <w:color w:val="auto"/>
        </w:rPr>
        <w:t>；生活污水送至玛纳斯县生活污水处理厂处理。</w:t>
      </w:r>
    </w:p>
    <w:p w14:paraId="34CD6EA7">
      <w:pPr>
        <w:pStyle w:val="86"/>
        <w:spacing w:line="480" w:lineRule="exact"/>
        <w:ind w:firstLine="480"/>
        <w:rPr>
          <w:rFonts w:hint="eastAsia"/>
          <w:color w:val="auto"/>
        </w:rPr>
      </w:pPr>
      <w:r>
        <w:rPr>
          <w:rFonts w:hint="eastAsia"/>
          <w:color w:val="auto"/>
        </w:rPr>
        <w:t>（4）噪声</w:t>
      </w:r>
    </w:p>
    <w:p w14:paraId="481ABC95">
      <w:pPr>
        <w:pStyle w:val="86"/>
        <w:ind w:firstLine="480"/>
        <w:rPr>
          <w:rFonts w:hint="eastAsia"/>
          <w:color w:val="auto"/>
        </w:rPr>
      </w:pPr>
      <w:r>
        <w:rPr>
          <w:rFonts w:hint="eastAsia"/>
          <w:color w:val="auto"/>
        </w:rPr>
        <w:t>施工期设备选型上采用低噪声的设备，施工设备要经常检查维修，对噪声</w:t>
      </w:r>
      <w:r>
        <w:rPr>
          <w:color w:val="auto"/>
        </w:rPr>
        <w:t>较大的设备采取</w:t>
      </w:r>
      <w:r>
        <w:rPr>
          <w:rFonts w:hint="eastAsia"/>
          <w:color w:val="auto"/>
        </w:rPr>
        <w:t>基础减振措施；</w:t>
      </w:r>
      <w:r>
        <w:rPr>
          <w:rFonts w:hint="eastAsia"/>
          <w:color w:val="auto"/>
          <w:spacing w:val="-6"/>
        </w:rPr>
        <w:t>加强施工场地管理，合理疏导进入施工区的车辆，禁止运输车辆随意鸣笛。</w:t>
      </w:r>
    </w:p>
    <w:p w14:paraId="44C177A5">
      <w:pPr>
        <w:pStyle w:val="86"/>
        <w:ind w:firstLine="480"/>
        <w:rPr>
          <w:rFonts w:hint="eastAsia"/>
          <w:color w:val="auto"/>
        </w:rPr>
      </w:pPr>
      <w:r>
        <w:rPr>
          <w:rFonts w:hint="eastAsia"/>
          <w:color w:val="auto"/>
        </w:rPr>
        <w:t>运营期尽量选用低噪声设备，对噪声强度较大的设备进行减噪处理；定期给机泵等设备加润滑油和减振垫，对各种机械设备定期保养；加强噪声防范，做好个人防护工作。</w:t>
      </w:r>
    </w:p>
    <w:p w14:paraId="4D17D4C6">
      <w:pPr>
        <w:pStyle w:val="86"/>
        <w:ind w:firstLine="480"/>
        <w:rPr>
          <w:rFonts w:hint="eastAsia"/>
          <w:color w:val="auto"/>
        </w:rPr>
      </w:pPr>
      <w:r>
        <w:rPr>
          <w:rFonts w:hint="eastAsia"/>
          <w:color w:val="auto"/>
        </w:rPr>
        <w:t>（5）固体废物</w:t>
      </w:r>
    </w:p>
    <w:p w14:paraId="264A95FC">
      <w:pPr>
        <w:pStyle w:val="86"/>
        <w:ind w:firstLine="480" w:firstLineChars="0"/>
        <w:rPr>
          <w:rFonts w:hint="eastAsia" w:cs="宋体"/>
          <w:color w:val="auto"/>
        </w:rPr>
      </w:pPr>
      <w:r>
        <w:rPr>
          <w:rFonts w:hint="eastAsia"/>
          <w:color w:val="auto"/>
        </w:rPr>
        <w:t>施工期固体废物主要为建筑垃圾，施工过程中使用材料产生的废边角料等尽量由施工单位统一回收利用，废包装物、废砖块等无法再利用的集中堆放，定期送至当地建筑垃圾填埋场填埋处理。运营期</w:t>
      </w:r>
      <w:r>
        <w:rPr>
          <w:rFonts w:hint="eastAsia" w:cs="宋体"/>
          <w:color w:val="auto"/>
        </w:rPr>
        <w:t>固体废物主要为清罐底泥、废分子筛、废滤料、废润滑油、废润滑油桶、沾油废防渗材料、</w:t>
      </w:r>
      <w:r>
        <w:rPr>
          <w:rFonts w:hint="eastAsia" w:cs="宋体"/>
          <w:color w:val="auto"/>
          <w:lang w:val="zh-CN"/>
        </w:rPr>
        <w:t>废含油抹布及劳保用品</w:t>
      </w:r>
      <w:r>
        <w:rPr>
          <w:rFonts w:hint="eastAsia" w:cs="宋体"/>
          <w:color w:val="auto"/>
        </w:rPr>
        <w:t>和生活垃圾，废分子筛、废滤料、</w:t>
      </w:r>
      <w:r>
        <w:rPr>
          <w:rFonts w:hint="eastAsia" w:cs="宋体"/>
          <w:color w:val="auto"/>
          <w:lang w:val="zh-CN"/>
        </w:rPr>
        <w:t>废含油抹布及劳保用品</w:t>
      </w:r>
      <w:r>
        <w:rPr>
          <w:rFonts w:hint="eastAsia" w:cs="宋体"/>
          <w:color w:val="auto"/>
        </w:rPr>
        <w:t>属于《国家危险废物名录（</w:t>
      </w:r>
      <w:r>
        <w:rPr>
          <w:rFonts w:cs="宋体"/>
          <w:color w:val="auto"/>
        </w:rPr>
        <w:t>20</w:t>
      </w:r>
      <w:r>
        <w:rPr>
          <w:rFonts w:hint="eastAsia" w:cs="宋体"/>
          <w:color w:val="auto"/>
        </w:rPr>
        <w:t>25年版</w:t>
      </w:r>
      <w:r>
        <w:rPr>
          <w:rFonts w:cs="宋体"/>
          <w:color w:val="auto"/>
        </w:rPr>
        <w:t>）</w:t>
      </w:r>
      <w:r>
        <w:rPr>
          <w:rFonts w:hint="eastAsia" w:cs="宋体"/>
          <w:color w:val="auto"/>
        </w:rPr>
        <w:t>》H</w:t>
      </w:r>
      <w:r>
        <w:rPr>
          <w:rFonts w:cs="宋体"/>
          <w:color w:val="auto"/>
        </w:rPr>
        <w:t>W49</w:t>
      </w:r>
      <w:r>
        <w:rPr>
          <w:rFonts w:hint="eastAsia" w:cs="宋体"/>
          <w:color w:val="auto"/>
        </w:rPr>
        <w:t>其他废物，清罐底泥、废润滑油、废润滑油桶和沾油废防渗材料</w:t>
      </w:r>
      <w:r>
        <w:rPr>
          <w:rFonts w:hint="eastAsia"/>
          <w:color w:val="auto"/>
        </w:rPr>
        <w:t>属于</w:t>
      </w:r>
      <w:r>
        <w:rPr>
          <w:rFonts w:hint="eastAsia" w:cs="宋体"/>
          <w:color w:val="auto"/>
        </w:rPr>
        <w:t>《国家危险废物名录（</w:t>
      </w:r>
      <w:r>
        <w:rPr>
          <w:rFonts w:cs="宋体"/>
          <w:color w:val="auto"/>
        </w:rPr>
        <w:t>20</w:t>
      </w:r>
      <w:r>
        <w:rPr>
          <w:rFonts w:hint="eastAsia" w:cs="宋体"/>
          <w:color w:val="auto"/>
        </w:rPr>
        <w:t>25年版</w:t>
      </w:r>
      <w:r>
        <w:rPr>
          <w:rFonts w:cs="宋体"/>
          <w:color w:val="auto"/>
        </w:rPr>
        <w:t>）</w:t>
      </w:r>
      <w:r>
        <w:rPr>
          <w:rFonts w:hint="eastAsia" w:cs="宋体"/>
          <w:color w:val="auto"/>
        </w:rPr>
        <w:t>》</w:t>
      </w:r>
      <w:r>
        <w:rPr>
          <w:rFonts w:cs="宋体"/>
          <w:color w:val="auto"/>
        </w:rPr>
        <w:t>HW08废矿物油与含矿物油类危险废物</w:t>
      </w:r>
      <w:r>
        <w:rPr>
          <w:rFonts w:hint="eastAsia" w:cs="宋体"/>
          <w:color w:val="auto"/>
        </w:rPr>
        <w:t>，废分子筛、废滤料、废润滑油桶、沾油废防渗材料、</w:t>
      </w:r>
      <w:r>
        <w:rPr>
          <w:rFonts w:hint="eastAsia" w:cs="宋体"/>
          <w:color w:val="auto"/>
          <w:lang w:val="zh-CN"/>
        </w:rPr>
        <w:t>废含油抹布及劳保用品</w:t>
      </w:r>
      <w:r>
        <w:rPr>
          <w:rFonts w:hint="eastAsia" w:cs="宋体"/>
          <w:color w:val="auto"/>
        </w:rPr>
        <w:t>临时贮存在</w:t>
      </w:r>
      <w:r>
        <w:rPr>
          <w:rFonts w:hint="eastAsia"/>
          <w:color w:val="auto"/>
        </w:rPr>
        <w:t>石西油田作业区危险废物临时储存场所</w:t>
      </w:r>
      <w:r>
        <w:rPr>
          <w:rFonts w:hint="eastAsia" w:cs="宋体"/>
          <w:color w:val="auto"/>
        </w:rPr>
        <w:t>暂存，最终交由有相应危险废物处理资质的单位回收处置；清罐底泥、废润滑油不贮存，直接交由有相应危险废物处理资质的单位回收处置；生活垃圾送至玛纳斯县生活垃圾填埋场处理。</w:t>
      </w:r>
    </w:p>
    <w:p w14:paraId="1668A729">
      <w:pPr>
        <w:pStyle w:val="86"/>
        <w:ind w:firstLine="480" w:firstLineChars="0"/>
        <w:rPr>
          <w:rFonts w:hint="eastAsia" w:cs="宋体"/>
          <w:color w:val="auto"/>
        </w:rPr>
      </w:pPr>
      <w:r>
        <w:rPr>
          <w:rFonts w:hint="eastAsia" w:cs="宋体"/>
          <w:color w:val="auto"/>
        </w:rPr>
        <w:t>（6）土壤环境</w:t>
      </w:r>
    </w:p>
    <w:p w14:paraId="47E195BA">
      <w:pPr>
        <w:spacing w:line="480" w:lineRule="exact"/>
        <w:ind w:firstLine="480" w:firstLineChars="200"/>
        <w:rPr>
          <w:rFonts w:hint="eastAsia" w:ascii="宋体" w:hAnsi="宋体"/>
          <w:color w:val="auto"/>
          <w:kern w:val="0"/>
          <w:sz w:val="24"/>
          <w:szCs w:val="24"/>
        </w:rPr>
      </w:pPr>
      <w:r>
        <w:rPr>
          <w:rFonts w:hint="eastAsia" w:ascii="宋体" w:hAnsi="宋体"/>
          <w:color w:val="auto"/>
          <w:kern w:val="0"/>
          <w:sz w:val="24"/>
          <w:szCs w:val="24"/>
        </w:rPr>
        <w:t>施工期应严格控制施工期临时占地面积，按设计及规划的施工范围进行施工作业，减少土壤扰动；施工机械及运输车辆应按规定的道路行驶，减少对土壤的碾压，减少碾压造成的土壤紧实度增加及养分流失；施工产生的建筑垃圾不得随意抛撒，应集中收集并及时清运，防止污染物进入土壤环境造成污染。</w:t>
      </w:r>
    </w:p>
    <w:p w14:paraId="3439E580">
      <w:pPr>
        <w:pStyle w:val="86"/>
        <w:ind w:firstLine="480" w:firstLineChars="0"/>
        <w:rPr>
          <w:rFonts w:hint="eastAsia" w:cs="宋体"/>
          <w:color w:val="auto"/>
        </w:rPr>
      </w:pPr>
      <w:r>
        <w:rPr>
          <w:rFonts w:hint="eastAsia"/>
          <w:color w:val="auto"/>
        </w:rPr>
        <w:t>运营期井下作业废液和含油污水送至莫北转油站采出水处理系统处理，危险废物清罐底泥、废分子筛、废滤料、</w:t>
      </w:r>
      <w:r>
        <w:rPr>
          <w:rFonts w:hint="eastAsia" w:cs="宋体"/>
          <w:color w:val="auto"/>
        </w:rPr>
        <w:t>废润滑油、废润滑油桶、沾油废防渗材料、</w:t>
      </w:r>
      <w:r>
        <w:rPr>
          <w:rFonts w:hint="eastAsia" w:cs="宋体"/>
          <w:color w:val="auto"/>
          <w:lang w:val="zh-CN"/>
        </w:rPr>
        <w:t>废含油抹布及劳保用品</w:t>
      </w:r>
      <w:r>
        <w:rPr>
          <w:rFonts w:hint="eastAsia" w:cs="宋体"/>
          <w:color w:val="auto"/>
        </w:rPr>
        <w:t>集中收集后交由有相应危险废物处理资质的单位回收处置；生活垃圾送至玛纳斯县生活垃圾填埋场处理；采油井场采用砾石铺垫，井场采取分区防渗措施，加强站内各类设备的检维修，避免“跑冒滴漏”等情况的产生</w:t>
      </w:r>
      <w:r>
        <w:rPr>
          <w:rFonts w:hint="eastAsia"/>
          <w:color w:val="auto"/>
        </w:rPr>
        <w:t>。</w:t>
      </w:r>
    </w:p>
    <w:p w14:paraId="2C262CAD">
      <w:pPr>
        <w:pStyle w:val="86"/>
        <w:ind w:firstLine="480" w:firstLineChars="0"/>
        <w:rPr>
          <w:rFonts w:hint="eastAsia" w:cs="宋体"/>
          <w:color w:val="auto"/>
        </w:rPr>
      </w:pPr>
      <w:r>
        <w:rPr>
          <w:rFonts w:hint="eastAsia" w:cs="宋体"/>
          <w:color w:val="auto"/>
        </w:rPr>
        <w:t>（7）环境风险</w:t>
      </w:r>
    </w:p>
    <w:p w14:paraId="4F8CC622">
      <w:pPr>
        <w:pStyle w:val="86"/>
        <w:ind w:firstLine="480"/>
        <w:rPr>
          <w:rFonts w:hint="eastAsia"/>
          <w:color w:val="auto"/>
        </w:rPr>
      </w:pPr>
      <w:bookmarkStart w:id="1002" w:name="_Toc92876296"/>
      <w:r>
        <w:rPr>
          <w:rFonts w:hint="eastAsia"/>
          <w:color w:val="auto"/>
        </w:rPr>
        <w:t>井场井控严格执行《新疆油田钻井井控实施细则》，防止井喷、井喷失控和井喷着火；井控操作实行持证上岗，各岗位的钻井人员有明确的分工，并且应经过井控专业培训；井场设置明显的禁止烟火标志；在井架、井场路口等处设置风向标，发生事故时人员迅速向上风向疏散；按消防规定配备灭火器、消防铁锹和其他消防器材。井场设置明显的禁止烟火标志；定期对管线进行巡检，</w:t>
      </w:r>
      <w:r>
        <w:rPr>
          <w:color w:val="auto"/>
        </w:rPr>
        <w:t>严格按照管道施工、验收等规范进行设计、施工和验收</w:t>
      </w:r>
      <w:r>
        <w:rPr>
          <w:rFonts w:hint="eastAsia"/>
          <w:color w:val="auto"/>
        </w:rPr>
        <w:t>；在</w:t>
      </w:r>
      <w:r>
        <w:rPr>
          <w:color w:val="auto"/>
        </w:rPr>
        <w:t>管线敷设前，应加强对管材和焊接质量的检查，严禁使用不合格产品</w:t>
      </w:r>
      <w:r>
        <w:rPr>
          <w:rFonts w:hint="eastAsia"/>
          <w:color w:val="auto"/>
        </w:rPr>
        <w:t>；严禁在管线两侧各5m范围内修筑工程，在管线上方及近旁严禁动土开挖和修建超过管道负荷的建筑物；项目投产后应纳入《中国石油新疆油田分公司石西油田作业区突发环境污染事件应急预案》。</w:t>
      </w:r>
    </w:p>
    <w:p w14:paraId="6699E5A9">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1003" w:name="_Toc224406042"/>
      <w:r>
        <w:rPr>
          <w:rFonts w:hint="eastAsia" w:ascii="黑体" w:hAnsi="黑体" w:eastAsia="黑体" w:cs="Times New Roman"/>
          <w:bCs/>
          <w:color w:val="auto"/>
          <w:sz w:val="28"/>
          <w:szCs w:val="32"/>
          <w14:ligatures w14:val="none"/>
        </w:rPr>
        <w:t>经济损益性分析结论</w:t>
      </w:r>
      <w:bookmarkEnd w:id="1002"/>
      <w:bookmarkEnd w:id="1003"/>
    </w:p>
    <w:p w14:paraId="390C6008">
      <w:pPr>
        <w:pStyle w:val="86"/>
        <w:ind w:firstLine="480"/>
        <w:rPr>
          <w:rFonts w:hint="eastAsia"/>
          <w:color w:val="auto"/>
        </w:rPr>
      </w:pPr>
      <w:r>
        <w:rPr>
          <w:rFonts w:hint="eastAsia"/>
          <w:color w:val="auto"/>
        </w:rPr>
        <w:t>本项目在建设过程中，由于采油井场、橇装天然气浅冷处理装置、管线等都占用一定量的土地，因此带来一定的环境损失。因而在油田开发过程中，需要投入必要的资金用于污染防治和生态恢复等，实施相应的环保措施后，不但能够起到保护环境的效果，同时节约经济开支，为企业带来双赢。</w:t>
      </w:r>
    </w:p>
    <w:bookmarkEnd w:id="1001"/>
    <w:p w14:paraId="2ACCF25E">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1004" w:name="_Toc224406043"/>
      <w:bookmarkStart w:id="1005" w:name="_Toc92876297"/>
      <w:bookmarkStart w:id="1006" w:name="_Hlk521698622"/>
      <w:r>
        <w:rPr>
          <w:rFonts w:hint="eastAsia" w:ascii="黑体" w:hAnsi="黑体" w:eastAsia="黑体" w:cs="Times New Roman"/>
          <w:bCs/>
          <w:color w:val="auto"/>
          <w:sz w:val="28"/>
          <w:szCs w:val="32"/>
          <w14:ligatures w14:val="none"/>
        </w:rPr>
        <w:t>环境管理</w:t>
      </w:r>
      <w:r>
        <w:rPr>
          <w:rFonts w:ascii="黑体" w:hAnsi="黑体" w:eastAsia="黑体" w:cs="Times New Roman"/>
          <w:bCs/>
          <w:color w:val="auto"/>
          <w:sz w:val="28"/>
          <w:szCs w:val="32"/>
          <w14:ligatures w14:val="none"/>
        </w:rPr>
        <w:t>与</w:t>
      </w:r>
      <w:r>
        <w:rPr>
          <w:rFonts w:hint="eastAsia" w:ascii="黑体" w:hAnsi="黑体" w:eastAsia="黑体" w:cs="Times New Roman"/>
          <w:bCs/>
          <w:color w:val="auto"/>
          <w:sz w:val="28"/>
          <w:szCs w:val="32"/>
          <w14:ligatures w14:val="none"/>
        </w:rPr>
        <w:t>监测计划结论</w:t>
      </w:r>
      <w:bookmarkEnd w:id="1004"/>
      <w:bookmarkEnd w:id="1005"/>
    </w:p>
    <w:p w14:paraId="137AC35D">
      <w:pPr>
        <w:pStyle w:val="86"/>
        <w:ind w:firstLine="480"/>
        <w:rPr>
          <w:rFonts w:hint="eastAsia"/>
          <w:color w:val="auto"/>
        </w:rPr>
      </w:pPr>
      <w:r>
        <w:rPr>
          <w:rFonts w:hint="eastAsia"/>
          <w:color w:val="auto"/>
        </w:rPr>
        <w:t>本次评价根据工程的特点，提出了相关的环境管理要求和监测计划，要求建设单位务必按照环评要求落实各项措施。</w:t>
      </w:r>
    </w:p>
    <w:p w14:paraId="67A577A3">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1007" w:name="_Toc224406044"/>
      <w:r>
        <w:rPr>
          <w:rFonts w:hint="eastAsia" w:ascii="黑体" w:hAnsi="黑体" w:eastAsia="黑体" w:cs="Times New Roman"/>
          <w:bCs/>
          <w:color w:val="auto"/>
          <w:sz w:val="28"/>
          <w:szCs w:val="32"/>
          <w14:ligatures w14:val="none"/>
        </w:rPr>
        <w:t>公众参与</w:t>
      </w:r>
      <w:bookmarkEnd w:id="1007"/>
    </w:p>
    <w:p w14:paraId="51EB928A">
      <w:pPr>
        <w:pStyle w:val="86"/>
        <w:ind w:firstLine="480"/>
        <w:rPr>
          <w:rFonts w:hint="eastAsia"/>
          <w:color w:val="auto"/>
        </w:rPr>
      </w:pPr>
      <w:r>
        <w:rPr>
          <w:rFonts w:hint="eastAsia"/>
          <w:color w:val="auto"/>
        </w:rPr>
        <w:t>建设单位根据《环境影响评价公众参与办法》的要求，项目进行了三次网上公示、1次张贴公告、2次报纸公示，公示期间均未收到公众反馈意见。</w:t>
      </w:r>
    </w:p>
    <w:bookmarkEnd w:id="1006"/>
    <w:p w14:paraId="5561884E">
      <w:pPr>
        <w:pStyle w:val="3"/>
        <w:numPr>
          <w:ilvl w:val="1"/>
          <w:numId w:val="2"/>
        </w:numPr>
        <w:adjustRightInd w:val="0"/>
        <w:snapToGrid w:val="0"/>
        <w:spacing w:before="200" w:after="200" w:line="360" w:lineRule="auto"/>
        <w:ind w:left="142" w:firstLine="0"/>
        <w:jc w:val="left"/>
        <w:rPr>
          <w:rFonts w:hint="eastAsia" w:ascii="黑体" w:hAnsi="黑体" w:eastAsia="黑体" w:cs="Times New Roman"/>
          <w:bCs/>
          <w:color w:val="auto"/>
          <w:sz w:val="28"/>
          <w:szCs w:val="32"/>
          <w14:ligatures w14:val="none"/>
        </w:rPr>
      </w:pPr>
      <w:bookmarkStart w:id="1008" w:name="_Toc224406045"/>
      <w:bookmarkStart w:id="1009" w:name="_Toc445840455"/>
      <w:bookmarkStart w:id="1010" w:name="_Toc396754544"/>
      <w:bookmarkStart w:id="1011" w:name="_Toc14130"/>
      <w:bookmarkStart w:id="1012" w:name="_Toc395781500"/>
      <w:bookmarkStart w:id="1013" w:name="_Toc459026626"/>
      <w:bookmarkStart w:id="1014" w:name="_Toc475624505"/>
      <w:bookmarkStart w:id="1015" w:name="_Toc395781973"/>
      <w:bookmarkStart w:id="1016" w:name="_Toc445996542"/>
      <w:bookmarkStart w:id="1017" w:name="_Toc389771014"/>
      <w:bookmarkStart w:id="1018" w:name="_Toc280955047"/>
      <w:bookmarkStart w:id="1019" w:name="_Toc445842230"/>
      <w:bookmarkStart w:id="1020" w:name="_Toc391973566"/>
      <w:bookmarkStart w:id="1021" w:name="_Toc280954970"/>
      <w:r>
        <w:rPr>
          <w:rFonts w:hint="eastAsia" w:ascii="黑体" w:hAnsi="黑体" w:eastAsia="黑体" w:cs="Times New Roman"/>
          <w:bCs/>
          <w:color w:val="auto"/>
          <w:sz w:val="28"/>
          <w:szCs w:val="32"/>
          <w14:ligatures w14:val="none"/>
        </w:rPr>
        <w:t>总结论</w:t>
      </w:r>
      <w:bookmarkEnd w:id="1008"/>
    </w:p>
    <w:bookmarkEnd w:id="1009"/>
    <w:bookmarkEnd w:id="1010"/>
    <w:bookmarkEnd w:id="1011"/>
    <w:bookmarkEnd w:id="1012"/>
    <w:bookmarkEnd w:id="1013"/>
    <w:bookmarkEnd w:id="1014"/>
    <w:bookmarkEnd w:id="1015"/>
    <w:bookmarkEnd w:id="1016"/>
    <w:bookmarkEnd w:id="1017"/>
    <w:bookmarkEnd w:id="1018"/>
    <w:bookmarkEnd w:id="1019"/>
    <w:bookmarkEnd w:id="1020"/>
    <w:bookmarkEnd w:id="1021"/>
    <w:p w14:paraId="19B6FFD1">
      <w:pPr>
        <w:pStyle w:val="86"/>
        <w:ind w:firstLine="480"/>
        <w:rPr>
          <w:rFonts w:hint="eastAsia"/>
          <w:color w:val="auto"/>
        </w:rPr>
      </w:pPr>
      <w:r>
        <w:rPr>
          <w:rFonts w:hint="eastAsia"/>
          <w:color w:val="auto"/>
        </w:rPr>
        <w:t>项目符合国家相关规划、环保政策及“三线一单”的要求，选址选线合理。运营期废气能实现“达标排放”，工业废水零排放，固体废物实现“无害化”处置；建成后区域环境质量仍可以满足相应功能区要求；开发活动对生态环境的影响较小，不会对区域生态系统或生物多样性产生较大影响；项目在运行过程中存在一定的环境风险，但采取相应的环境风险防范措施后，其影响是可防可控的；项目进行了三次网上公示、1次张贴公告、2次报纸公示，公示期间均未收到公众反馈意见。从环境保护角度论证建设可行。</w:t>
      </w:r>
    </w:p>
    <w:p w14:paraId="1C80A27C">
      <w:pPr>
        <w:pStyle w:val="86"/>
        <w:ind w:firstLine="0" w:firstLineChars="0"/>
        <w:rPr>
          <w:rFonts w:hint="eastAsia"/>
          <w:color w:val="auto"/>
        </w:rPr>
        <w:sectPr>
          <w:headerReference r:id="rId33" w:type="default"/>
          <w:pgSz w:w="11906" w:h="16838"/>
          <w:pgMar w:top="1418" w:right="1588" w:bottom="1418" w:left="1588" w:header="851" w:footer="992" w:gutter="0"/>
          <w:cols w:space="425" w:num="1"/>
          <w:docGrid w:type="lines" w:linePitch="312" w:charSpace="0"/>
        </w:sectPr>
      </w:pPr>
    </w:p>
    <w:p w14:paraId="0DE6334F">
      <w:pPr>
        <w:pStyle w:val="2"/>
        <w:spacing w:after="0"/>
        <w:rPr>
          <w:color w:val="auto"/>
          <w:sz w:val="24"/>
          <w:szCs w:val="24"/>
        </w:rPr>
      </w:pPr>
      <w:bookmarkStart w:id="1022" w:name="_Toc224406046"/>
      <w:bookmarkStart w:id="1023" w:name="_Toc217311588"/>
      <w:bookmarkStart w:id="1024" w:name="_Toc178250493"/>
      <w:r>
        <w:rPr>
          <w:rFonts w:hint="eastAsia"/>
          <w:color w:val="auto"/>
          <w:sz w:val="24"/>
          <w:szCs w:val="24"/>
        </w:rPr>
        <w:t>附件</w:t>
      </w:r>
      <w:r>
        <w:rPr>
          <w:rFonts w:hint="eastAsia" w:ascii="宋体" w:hAnsi="宋体"/>
          <w:color w:val="auto"/>
          <w:sz w:val="24"/>
          <w:szCs w:val="24"/>
        </w:rPr>
        <w:t>1</w:t>
      </w:r>
      <w:r>
        <w:rPr>
          <w:color w:val="auto"/>
          <w:sz w:val="24"/>
          <w:szCs w:val="24"/>
        </w:rPr>
        <w:t xml:space="preserve">  </w:t>
      </w:r>
      <w:r>
        <w:rPr>
          <w:rFonts w:hint="eastAsia"/>
          <w:color w:val="auto"/>
          <w:sz w:val="24"/>
          <w:szCs w:val="24"/>
        </w:rPr>
        <w:t>委托书</w:t>
      </w:r>
      <w:bookmarkEnd w:id="1022"/>
      <w:bookmarkEnd w:id="1023"/>
      <w:bookmarkEnd w:id="1024"/>
    </w:p>
    <w:p w14:paraId="534B2362">
      <w:pPr>
        <w:pStyle w:val="86"/>
        <w:spacing w:line="240" w:lineRule="auto"/>
        <w:ind w:firstLine="0" w:firstLineChars="0"/>
        <w:rPr>
          <w:rFonts w:hint="eastAsia"/>
          <w:color w:val="auto"/>
        </w:rPr>
      </w:pPr>
      <w:r>
        <w:rPr>
          <w:color w:val="auto"/>
          <w14:ligatures w14:val="none"/>
        </w:rPr>
        <w:drawing>
          <wp:inline distT="0" distB="0" distL="0" distR="0">
            <wp:extent cx="5542280" cy="6999605"/>
            <wp:effectExtent l="0" t="0" r="1270" b="0"/>
            <wp:docPr id="17781666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166650" name="图片 1"/>
                    <pic:cNvPicPr>
                      <a:picLocks noChangeAspect="1"/>
                    </pic:cNvPicPr>
                  </pic:nvPicPr>
                  <pic:blipFill>
                    <a:blip r:embed="rId108"/>
                    <a:stretch>
                      <a:fillRect/>
                    </a:stretch>
                  </pic:blipFill>
                  <pic:spPr>
                    <a:xfrm>
                      <a:off x="0" y="0"/>
                      <a:ext cx="5542857" cy="7000000"/>
                    </a:xfrm>
                    <a:prstGeom prst="rect">
                      <a:avLst/>
                    </a:prstGeom>
                  </pic:spPr>
                </pic:pic>
              </a:graphicData>
            </a:graphic>
          </wp:inline>
        </w:drawing>
      </w:r>
    </w:p>
    <w:p w14:paraId="04993D99">
      <w:pPr>
        <w:pStyle w:val="86"/>
        <w:spacing w:line="240" w:lineRule="auto"/>
        <w:ind w:firstLine="0" w:firstLineChars="0"/>
        <w:rPr>
          <w:rFonts w:hint="eastAsia"/>
          <w:color w:val="auto"/>
        </w:rPr>
      </w:pPr>
    </w:p>
    <w:p w14:paraId="05DCC5A4">
      <w:pPr>
        <w:pStyle w:val="86"/>
        <w:spacing w:line="240" w:lineRule="auto"/>
        <w:ind w:firstLine="0" w:firstLineChars="0"/>
        <w:rPr>
          <w:rFonts w:hint="eastAsia"/>
          <w:color w:val="auto"/>
        </w:rPr>
      </w:pPr>
    </w:p>
    <w:p w14:paraId="0196DAC1">
      <w:pPr>
        <w:pStyle w:val="2"/>
        <w:spacing w:before="0" w:after="0"/>
        <w:rPr>
          <w:color w:val="auto"/>
          <w:sz w:val="24"/>
          <w:szCs w:val="24"/>
        </w:rPr>
      </w:pPr>
      <w:bookmarkStart w:id="1025" w:name="_Toc224406047"/>
      <w:bookmarkStart w:id="1026" w:name="_Toc178250494"/>
      <w:bookmarkStart w:id="1027" w:name="_Toc217311589"/>
      <w:r>
        <w:rPr>
          <w:rFonts w:hint="eastAsia"/>
          <w:color w:val="auto"/>
          <w:sz w:val="24"/>
          <w:szCs w:val="24"/>
        </w:rPr>
        <w:t>附</w:t>
      </w:r>
      <w:r>
        <w:rPr>
          <w:rFonts w:hint="eastAsia" w:ascii="宋体" w:hAnsi="宋体"/>
          <w:color w:val="auto"/>
          <w:sz w:val="24"/>
          <w:szCs w:val="24"/>
        </w:rPr>
        <w:t>件2</w:t>
      </w:r>
      <w:r>
        <w:rPr>
          <w:rFonts w:ascii="宋体" w:hAnsi="宋体"/>
          <w:color w:val="auto"/>
          <w:sz w:val="24"/>
          <w:szCs w:val="24"/>
        </w:rPr>
        <w:t xml:space="preserve">  </w:t>
      </w:r>
      <w:r>
        <w:rPr>
          <w:rFonts w:hint="eastAsia" w:ascii="宋体" w:hAnsi="宋体"/>
          <w:color w:val="auto"/>
          <w:sz w:val="24"/>
          <w:szCs w:val="24"/>
        </w:rPr>
        <w:t>现</w:t>
      </w:r>
      <w:r>
        <w:rPr>
          <w:rFonts w:hint="eastAsia"/>
          <w:color w:val="auto"/>
          <w:sz w:val="24"/>
          <w:szCs w:val="24"/>
        </w:rPr>
        <w:t>有工程环保手续</w:t>
      </w:r>
      <w:bookmarkEnd w:id="1025"/>
      <w:bookmarkEnd w:id="1026"/>
      <w:bookmarkEnd w:id="1027"/>
    </w:p>
    <w:p w14:paraId="1352DE1B">
      <w:pPr>
        <w:pStyle w:val="86"/>
        <w:spacing w:line="240" w:lineRule="auto"/>
        <w:ind w:firstLine="0" w:firstLineChars="0"/>
        <w:rPr>
          <w:rFonts w:hint="eastAsia"/>
          <w:color w:val="auto"/>
        </w:rPr>
      </w:pPr>
      <w:r>
        <w:rPr>
          <w:color w:val="auto"/>
          <w14:ligatures w14:val="none"/>
        </w:rPr>
        <w:drawing>
          <wp:inline distT="0" distB="0" distL="0" distR="0">
            <wp:extent cx="5543550" cy="7830820"/>
            <wp:effectExtent l="0" t="0" r="0" b="0"/>
            <wp:docPr id="1503621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62136" name="图片 1"/>
                    <pic:cNvPicPr>
                      <a:picLocks noChangeAspect="1"/>
                    </pic:cNvPicPr>
                  </pic:nvPicPr>
                  <pic:blipFill>
                    <a:blip r:embed="rId109"/>
                    <a:stretch>
                      <a:fillRect/>
                    </a:stretch>
                  </pic:blipFill>
                  <pic:spPr>
                    <a:xfrm>
                      <a:off x="0" y="0"/>
                      <a:ext cx="5543550" cy="7830820"/>
                    </a:xfrm>
                    <a:prstGeom prst="rect">
                      <a:avLst/>
                    </a:prstGeom>
                  </pic:spPr>
                </pic:pic>
              </a:graphicData>
            </a:graphic>
          </wp:inline>
        </w:drawing>
      </w:r>
    </w:p>
    <w:p w14:paraId="6D1F69EE">
      <w:pPr>
        <w:pStyle w:val="86"/>
        <w:spacing w:line="240" w:lineRule="auto"/>
        <w:ind w:firstLine="0" w:firstLineChars="0"/>
        <w:rPr>
          <w:rFonts w:hint="eastAsia"/>
          <w:color w:val="auto"/>
        </w:rPr>
      </w:pPr>
      <w:r>
        <w:rPr>
          <w:color w:val="auto"/>
          <w14:ligatures w14:val="none"/>
        </w:rPr>
        <w:drawing>
          <wp:inline distT="0" distB="0" distL="0" distR="0">
            <wp:extent cx="5543550" cy="7830820"/>
            <wp:effectExtent l="0" t="0" r="0" b="0"/>
            <wp:docPr id="2529044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04442" name="图片 1"/>
                    <pic:cNvPicPr>
                      <a:picLocks noChangeAspect="1"/>
                    </pic:cNvPicPr>
                  </pic:nvPicPr>
                  <pic:blipFill>
                    <a:blip r:embed="rId110"/>
                    <a:stretch>
                      <a:fillRect/>
                    </a:stretch>
                  </pic:blipFill>
                  <pic:spPr>
                    <a:xfrm>
                      <a:off x="0" y="0"/>
                      <a:ext cx="5543550" cy="7830820"/>
                    </a:xfrm>
                    <a:prstGeom prst="rect">
                      <a:avLst/>
                    </a:prstGeom>
                  </pic:spPr>
                </pic:pic>
              </a:graphicData>
            </a:graphic>
          </wp:inline>
        </w:drawing>
      </w:r>
    </w:p>
    <w:p w14:paraId="692FB6AC">
      <w:pPr>
        <w:pStyle w:val="86"/>
        <w:spacing w:line="240" w:lineRule="auto"/>
        <w:ind w:firstLine="0" w:firstLineChars="0"/>
        <w:rPr>
          <w:rFonts w:hint="eastAsia"/>
          <w:color w:val="auto"/>
        </w:rPr>
      </w:pPr>
      <w:r>
        <w:rPr>
          <w:color w:val="auto"/>
          <w14:ligatures w14:val="none"/>
        </w:rPr>
        <w:drawing>
          <wp:inline distT="0" distB="0" distL="0" distR="0">
            <wp:extent cx="5543550" cy="7830820"/>
            <wp:effectExtent l="0" t="0" r="0" b="0"/>
            <wp:docPr id="20770444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044442" name="图片 1"/>
                    <pic:cNvPicPr>
                      <a:picLocks noChangeAspect="1"/>
                    </pic:cNvPicPr>
                  </pic:nvPicPr>
                  <pic:blipFill>
                    <a:blip r:embed="rId111"/>
                    <a:stretch>
                      <a:fillRect/>
                    </a:stretch>
                  </pic:blipFill>
                  <pic:spPr>
                    <a:xfrm>
                      <a:off x="0" y="0"/>
                      <a:ext cx="5543550" cy="7830820"/>
                    </a:xfrm>
                    <a:prstGeom prst="rect">
                      <a:avLst/>
                    </a:prstGeom>
                  </pic:spPr>
                </pic:pic>
              </a:graphicData>
            </a:graphic>
          </wp:inline>
        </w:drawing>
      </w:r>
    </w:p>
    <w:p w14:paraId="667FD998">
      <w:pPr>
        <w:pStyle w:val="86"/>
        <w:spacing w:line="240" w:lineRule="auto"/>
        <w:ind w:firstLine="0" w:firstLineChars="0"/>
        <w:rPr>
          <w:rFonts w:hint="eastAsia"/>
          <w:color w:val="auto"/>
        </w:rPr>
      </w:pPr>
      <w:r>
        <w:rPr>
          <w:color w:val="auto"/>
          <w14:ligatures w14:val="none"/>
        </w:rPr>
        <w:drawing>
          <wp:inline distT="0" distB="0" distL="0" distR="0">
            <wp:extent cx="5543550" cy="7830820"/>
            <wp:effectExtent l="0" t="0" r="0" b="0"/>
            <wp:docPr id="1778391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9186" name="图片 1"/>
                    <pic:cNvPicPr>
                      <a:picLocks noChangeAspect="1"/>
                    </pic:cNvPicPr>
                  </pic:nvPicPr>
                  <pic:blipFill>
                    <a:blip r:embed="rId112"/>
                    <a:stretch>
                      <a:fillRect/>
                    </a:stretch>
                  </pic:blipFill>
                  <pic:spPr>
                    <a:xfrm>
                      <a:off x="0" y="0"/>
                      <a:ext cx="5543550" cy="7830820"/>
                    </a:xfrm>
                    <a:prstGeom prst="rect">
                      <a:avLst/>
                    </a:prstGeom>
                  </pic:spPr>
                </pic:pic>
              </a:graphicData>
            </a:graphic>
          </wp:inline>
        </w:drawing>
      </w:r>
    </w:p>
    <w:p w14:paraId="51CB98C0">
      <w:pPr>
        <w:pStyle w:val="86"/>
        <w:spacing w:line="240" w:lineRule="auto"/>
        <w:ind w:firstLine="0" w:firstLineChars="0"/>
        <w:rPr>
          <w:rFonts w:hint="eastAsia"/>
          <w:color w:val="auto"/>
        </w:rPr>
      </w:pPr>
      <w:r>
        <w:rPr>
          <w:color w:val="auto"/>
          <w14:ligatures w14:val="none"/>
        </w:rPr>
        <w:drawing>
          <wp:inline distT="0" distB="0" distL="0" distR="0">
            <wp:extent cx="5543550" cy="7830820"/>
            <wp:effectExtent l="0" t="0" r="0" b="0"/>
            <wp:docPr id="7173899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89990" name="图片 1"/>
                    <pic:cNvPicPr>
                      <a:picLocks noChangeAspect="1"/>
                    </pic:cNvPicPr>
                  </pic:nvPicPr>
                  <pic:blipFill>
                    <a:blip r:embed="rId113"/>
                    <a:stretch>
                      <a:fillRect/>
                    </a:stretch>
                  </pic:blipFill>
                  <pic:spPr>
                    <a:xfrm>
                      <a:off x="0" y="0"/>
                      <a:ext cx="5543550" cy="7830820"/>
                    </a:xfrm>
                    <a:prstGeom prst="rect">
                      <a:avLst/>
                    </a:prstGeom>
                  </pic:spPr>
                </pic:pic>
              </a:graphicData>
            </a:graphic>
          </wp:inline>
        </w:drawing>
      </w:r>
    </w:p>
    <w:p w14:paraId="0AAFD33F">
      <w:pPr>
        <w:pStyle w:val="86"/>
        <w:spacing w:line="240" w:lineRule="auto"/>
        <w:ind w:firstLine="0" w:firstLineChars="0"/>
        <w:rPr>
          <w:rFonts w:hint="eastAsia"/>
          <w:color w:val="auto"/>
        </w:rPr>
      </w:pPr>
      <w:r>
        <w:rPr>
          <w:color w:val="auto"/>
          <w14:ligatures w14:val="none"/>
        </w:rPr>
        <w:drawing>
          <wp:inline distT="0" distB="0" distL="0" distR="0">
            <wp:extent cx="5543550" cy="7830820"/>
            <wp:effectExtent l="0" t="0" r="0" b="0"/>
            <wp:docPr id="13007972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797297" name="图片 1"/>
                    <pic:cNvPicPr>
                      <a:picLocks noChangeAspect="1"/>
                    </pic:cNvPicPr>
                  </pic:nvPicPr>
                  <pic:blipFill>
                    <a:blip r:embed="rId114"/>
                    <a:stretch>
                      <a:fillRect/>
                    </a:stretch>
                  </pic:blipFill>
                  <pic:spPr>
                    <a:xfrm>
                      <a:off x="0" y="0"/>
                      <a:ext cx="5543550" cy="7830820"/>
                    </a:xfrm>
                    <a:prstGeom prst="rect">
                      <a:avLst/>
                    </a:prstGeom>
                  </pic:spPr>
                </pic:pic>
              </a:graphicData>
            </a:graphic>
          </wp:inline>
        </w:drawing>
      </w:r>
    </w:p>
    <w:p w14:paraId="1647D508">
      <w:pPr>
        <w:pStyle w:val="86"/>
        <w:spacing w:line="240" w:lineRule="auto"/>
        <w:ind w:firstLine="0" w:firstLineChars="0"/>
        <w:rPr>
          <w:rFonts w:hint="eastAsia"/>
          <w:color w:val="auto"/>
        </w:rPr>
      </w:pPr>
      <w:r>
        <w:rPr>
          <w:color w:val="auto"/>
          <w14:ligatures w14:val="none"/>
        </w:rPr>
        <w:drawing>
          <wp:inline distT="0" distB="0" distL="0" distR="0">
            <wp:extent cx="5543550" cy="7830820"/>
            <wp:effectExtent l="0" t="0" r="0" b="0"/>
            <wp:docPr id="5492037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203757" name="图片 1"/>
                    <pic:cNvPicPr>
                      <a:picLocks noChangeAspect="1"/>
                    </pic:cNvPicPr>
                  </pic:nvPicPr>
                  <pic:blipFill>
                    <a:blip r:embed="rId115"/>
                    <a:stretch>
                      <a:fillRect/>
                    </a:stretch>
                  </pic:blipFill>
                  <pic:spPr>
                    <a:xfrm>
                      <a:off x="0" y="0"/>
                      <a:ext cx="5543550" cy="7830820"/>
                    </a:xfrm>
                    <a:prstGeom prst="rect">
                      <a:avLst/>
                    </a:prstGeom>
                  </pic:spPr>
                </pic:pic>
              </a:graphicData>
            </a:graphic>
          </wp:inline>
        </w:drawing>
      </w:r>
    </w:p>
    <w:p w14:paraId="5CC44FC6">
      <w:pPr>
        <w:pStyle w:val="86"/>
        <w:spacing w:line="240" w:lineRule="auto"/>
        <w:ind w:firstLine="0" w:firstLineChars="0"/>
        <w:rPr>
          <w:rFonts w:hint="eastAsia"/>
          <w:color w:val="auto"/>
        </w:rPr>
      </w:pPr>
      <w:r>
        <w:rPr>
          <w:color w:val="auto"/>
          <w14:ligatures w14:val="none"/>
        </w:rPr>
        <w:drawing>
          <wp:inline distT="0" distB="0" distL="0" distR="0">
            <wp:extent cx="5543550" cy="7830820"/>
            <wp:effectExtent l="0" t="0" r="0" b="0"/>
            <wp:docPr id="1297797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797357" name="图片 1"/>
                    <pic:cNvPicPr>
                      <a:picLocks noChangeAspect="1"/>
                    </pic:cNvPicPr>
                  </pic:nvPicPr>
                  <pic:blipFill>
                    <a:blip r:embed="rId116"/>
                    <a:stretch>
                      <a:fillRect/>
                    </a:stretch>
                  </pic:blipFill>
                  <pic:spPr>
                    <a:xfrm>
                      <a:off x="0" y="0"/>
                      <a:ext cx="5543550" cy="7830820"/>
                    </a:xfrm>
                    <a:prstGeom prst="rect">
                      <a:avLst/>
                    </a:prstGeom>
                  </pic:spPr>
                </pic:pic>
              </a:graphicData>
            </a:graphic>
          </wp:inline>
        </w:drawing>
      </w:r>
    </w:p>
    <w:p w14:paraId="72353DC9">
      <w:pPr>
        <w:pStyle w:val="86"/>
        <w:spacing w:line="240" w:lineRule="auto"/>
        <w:ind w:firstLine="0" w:firstLineChars="0"/>
        <w:rPr>
          <w:rFonts w:hint="eastAsia"/>
          <w:color w:val="auto"/>
        </w:rPr>
      </w:pPr>
      <w:r>
        <w:rPr>
          <w:color w:val="auto"/>
          <w14:ligatures w14:val="none"/>
        </w:rPr>
        <w:drawing>
          <wp:inline distT="0" distB="0" distL="0" distR="0">
            <wp:extent cx="5543550" cy="7830820"/>
            <wp:effectExtent l="0" t="0" r="0" b="0"/>
            <wp:docPr id="12742425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242588" name="图片 1"/>
                    <pic:cNvPicPr>
                      <a:picLocks noChangeAspect="1"/>
                    </pic:cNvPicPr>
                  </pic:nvPicPr>
                  <pic:blipFill>
                    <a:blip r:embed="rId117"/>
                    <a:stretch>
                      <a:fillRect/>
                    </a:stretch>
                  </pic:blipFill>
                  <pic:spPr>
                    <a:xfrm>
                      <a:off x="0" y="0"/>
                      <a:ext cx="5543550" cy="7830820"/>
                    </a:xfrm>
                    <a:prstGeom prst="rect">
                      <a:avLst/>
                    </a:prstGeom>
                  </pic:spPr>
                </pic:pic>
              </a:graphicData>
            </a:graphic>
          </wp:inline>
        </w:drawing>
      </w:r>
    </w:p>
    <w:p w14:paraId="7F904692">
      <w:pPr>
        <w:pStyle w:val="86"/>
        <w:spacing w:line="240" w:lineRule="auto"/>
        <w:ind w:firstLine="0" w:firstLineChars="0"/>
        <w:rPr>
          <w:rFonts w:hint="eastAsia"/>
          <w:color w:val="auto"/>
        </w:rPr>
      </w:pPr>
      <w:r>
        <w:rPr>
          <w:color w:val="auto"/>
          <w14:ligatures w14:val="none"/>
        </w:rPr>
        <w:drawing>
          <wp:inline distT="0" distB="0" distL="0" distR="0">
            <wp:extent cx="5543550" cy="7830820"/>
            <wp:effectExtent l="0" t="0" r="0" b="0"/>
            <wp:docPr id="16857084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708412" name="图片 1"/>
                    <pic:cNvPicPr>
                      <a:picLocks noChangeAspect="1"/>
                    </pic:cNvPicPr>
                  </pic:nvPicPr>
                  <pic:blipFill>
                    <a:blip r:embed="rId118"/>
                    <a:stretch>
                      <a:fillRect/>
                    </a:stretch>
                  </pic:blipFill>
                  <pic:spPr>
                    <a:xfrm>
                      <a:off x="0" y="0"/>
                      <a:ext cx="5543550" cy="7830820"/>
                    </a:xfrm>
                    <a:prstGeom prst="rect">
                      <a:avLst/>
                    </a:prstGeom>
                  </pic:spPr>
                </pic:pic>
              </a:graphicData>
            </a:graphic>
          </wp:inline>
        </w:drawing>
      </w:r>
    </w:p>
    <w:p w14:paraId="5CF0474C">
      <w:pPr>
        <w:pStyle w:val="86"/>
        <w:spacing w:line="240" w:lineRule="auto"/>
        <w:ind w:firstLine="0" w:firstLineChars="0"/>
        <w:rPr>
          <w:rFonts w:hint="eastAsia"/>
          <w:color w:val="auto"/>
        </w:rPr>
      </w:pPr>
      <w:r>
        <w:rPr>
          <w:color w:val="auto"/>
          <w14:ligatures w14:val="none"/>
        </w:rPr>
        <w:drawing>
          <wp:inline distT="0" distB="0" distL="0" distR="0">
            <wp:extent cx="5543550" cy="7830820"/>
            <wp:effectExtent l="0" t="0" r="0" b="0"/>
            <wp:docPr id="11905306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530684" name="图片 1"/>
                    <pic:cNvPicPr>
                      <a:picLocks noChangeAspect="1"/>
                    </pic:cNvPicPr>
                  </pic:nvPicPr>
                  <pic:blipFill>
                    <a:blip r:embed="rId119"/>
                    <a:stretch>
                      <a:fillRect/>
                    </a:stretch>
                  </pic:blipFill>
                  <pic:spPr>
                    <a:xfrm>
                      <a:off x="0" y="0"/>
                      <a:ext cx="5543550" cy="7830820"/>
                    </a:xfrm>
                    <a:prstGeom prst="rect">
                      <a:avLst/>
                    </a:prstGeom>
                  </pic:spPr>
                </pic:pic>
              </a:graphicData>
            </a:graphic>
          </wp:inline>
        </w:drawing>
      </w:r>
    </w:p>
    <w:p w14:paraId="08EC1CFC">
      <w:pPr>
        <w:pStyle w:val="86"/>
        <w:spacing w:line="240" w:lineRule="auto"/>
        <w:ind w:firstLine="0" w:firstLineChars="0"/>
        <w:rPr>
          <w:rFonts w:hint="eastAsia"/>
          <w:color w:val="auto"/>
        </w:rPr>
      </w:pPr>
      <w:r>
        <w:rPr>
          <w:color w:val="auto"/>
          <w14:ligatures w14:val="none"/>
        </w:rPr>
        <w:drawing>
          <wp:inline distT="0" distB="0" distL="0" distR="0">
            <wp:extent cx="5543550" cy="7830820"/>
            <wp:effectExtent l="0" t="0" r="0" b="0"/>
            <wp:docPr id="13039595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959545" name="图片 1"/>
                    <pic:cNvPicPr>
                      <a:picLocks noChangeAspect="1"/>
                    </pic:cNvPicPr>
                  </pic:nvPicPr>
                  <pic:blipFill>
                    <a:blip r:embed="rId120"/>
                    <a:stretch>
                      <a:fillRect/>
                    </a:stretch>
                  </pic:blipFill>
                  <pic:spPr>
                    <a:xfrm>
                      <a:off x="0" y="0"/>
                      <a:ext cx="5543550" cy="7830820"/>
                    </a:xfrm>
                    <a:prstGeom prst="rect">
                      <a:avLst/>
                    </a:prstGeom>
                  </pic:spPr>
                </pic:pic>
              </a:graphicData>
            </a:graphic>
          </wp:inline>
        </w:drawing>
      </w:r>
    </w:p>
    <w:p w14:paraId="65209203">
      <w:pPr>
        <w:pStyle w:val="86"/>
        <w:spacing w:line="240" w:lineRule="auto"/>
        <w:ind w:firstLine="0" w:firstLineChars="0"/>
        <w:rPr>
          <w:rFonts w:hint="eastAsia"/>
          <w:color w:val="auto"/>
        </w:rPr>
      </w:pPr>
      <w:r>
        <w:rPr>
          <w:color w:val="auto"/>
          <w14:ligatures w14:val="none"/>
        </w:rPr>
        <w:drawing>
          <wp:inline distT="0" distB="0" distL="0" distR="0">
            <wp:extent cx="5543550" cy="7830820"/>
            <wp:effectExtent l="0" t="0" r="0" b="0"/>
            <wp:docPr id="21327003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00314" name="图片 1"/>
                    <pic:cNvPicPr>
                      <a:picLocks noChangeAspect="1"/>
                    </pic:cNvPicPr>
                  </pic:nvPicPr>
                  <pic:blipFill>
                    <a:blip r:embed="rId121"/>
                    <a:stretch>
                      <a:fillRect/>
                    </a:stretch>
                  </pic:blipFill>
                  <pic:spPr>
                    <a:xfrm>
                      <a:off x="0" y="0"/>
                      <a:ext cx="5543550" cy="7830820"/>
                    </a:xfrm>
                    <a:prstGeom prst="rect">
                      <a:avLst/>
                    </a:prstGeom>
                  </pic:spPr>
                </pic:pic>
              </a:graphicData>
            </a:graphic>
          </wp:inline>
        </w:drawing>
      </w:r>
    </w:p>
    <w:p w14:paraId="2D8E6C36">
      <w:pPr>
        <w:pStyle w:val="86"/>
        <w:spacing w:line="240" w:lineRule="auto"/>
        <w:ind w:firstLine="0" w:firstLineChars="0"/>
        <w:rPr>
          <w:rFonts w:hint="eastAsia"/>
          <w:color w:val="auto"/>
        </w:rPr>
      </w:pPr>
      <w:r>
        <w:rPr>
          <w:color w:val="auto"/>
          <w14:ligatures w14:val="none"/>
        </w:rPr>
        <w:drawing>
          <wp:inline distT="0" distB="0" distL="0" distR="0">
            <wp:extent cx="5543550" cy="7830820"/>
            <wp:effectExtent l="0" t="0" r="0" b="0"/>
            <wp:docPr id="6187405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740581" name="图片 1"/>
                    <pic:cNvPicPr>
                      <a:picLocks noChangeAspect="1"/>
                    </pic:cNvPicPr>
                  </pic:nvPicPr>
                  <pic:blipFill>
                    <a:blip r:embed="rId122"/>
                    <a:stretch>
                      <a:fillRect/>
                    </a:stretch>
                  </pic:blipFill>
                  <pic:spPr>
                    <a:xfrm>
                      <a:off x="0" y="0"/>
                      <a:ext cx="5543550" cy="7830820"/>
                    </a:xfrm>
                    <a:prstGeom prst="rect">
                      <a:avLst/>
                    </a:prstGeom>
                  </pic:spPr>
                </pic:pic>
              </a:graphicData>
            </a:graphic>
          </wp:inline>
        </w:drawing>
      </w:r>
    </w:p>
    <w:p w14:paraId="4BDA1567">
      <w:pPr>
        <w:pStyle w:val="86"/>
        <w:spacing w:line="240" w:lineRule="auto"/>
        <w:ind w:firstLine="0" w:firstLineChars="0"/>
        <w:rPr>
          <w:rFonts w:hint="eastAsia"/>
          <w:color w:val="auto"/>
        </w:rPr>
      </w:pPr>
      <w:r>
        <w:rPr>
          <w:color w:val="auto"/>
          <w14:ligatures w14:val="none"/>
        </w:rPr>
        <w:drawing>
          <wp:inline distT="0" distB="0" distL="0" distR="0">
            <wp:extent cx="5543550" cy="7830820"/>
            <wp:effectExtent l="0" t="0" r="0" b="0"/>
            <wp:docPr id="1069010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01007" name="图片 1"/>
                    <pic:cNvPicPr>
                      <a:picLocks noChangeAspect="1"/>
                    </pic:cNvPicPr>
                  </pic:nvPicPr>
                  <pic:blipFill>
                    <a:blip r:embed="rId123"/>
                    <a:stretch>
                      <a:fillRect/>
                    </a:stretch>
                  </pic:blipFill>
                  <pic:spPr>
                    <a:xfrm>
                      <a:off x="0" y="0"/>
                      <a:ext cx="5543550" cy="7830820"/>
                    </a:xfrm>
                    <a:prstGeom prst="rect">
                      <a:avLst/>
                    </a:prstGeom>
                  </pic:spPr>
                </pic:pic>
              </a:graphicData>
            </a:graphic>
          </wp:inline>
        </w:drawing>
      </w:r>
    </w:p>
    <w:p w14:paraId="0873FCB1">
      <w:pPr>
        <w:pStyle w:val="86"/>
        <w:spacing w:line="240" w:lineRule="auto"/>
        <w:ind w:firstLine="0" w:firstLineChars="0"/>
        <w:rPr>
          <w:rFonts w:hint="eastAsia"/>
          <w:color w:val="auto"/>
        </w:rPr>
      </w:pPr>
      <w:r>
        <w:rPr>
          <w:color w:val="auto"/>
          <w14:ligatures w14:val="none"/>
        </w:rPr>
        <w:drawing>
          <wp:inline distT="0" distB="0" distL="0" distR="0">
            <wp:extent cx="5543550" cy="7839075"/>
            <wp:effectExtent l="0" t="0" r="0" b="9525"/>
            <wp:docPr id="16190039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003924" name="图片 1"/>
                    <pic:cNvPicPr>
                      <a:picLocks noChangeAspect="1"/>
                    </pic:cNvPicPr>
                  </pic:nvPicPr>
                  <pic:blipFill>
                    <a:blip r:embed="rId124"/>
                    <a:stretch>
                      <a:fillRect/>
                    </a:stretch>
                  </pic:blipFill>
                  <pic:spPr>
                    <a:xfrm>
                      <a:off x="0" y="0"/>
                      <a:ext cx="5543550" cy="7839075"/>
                    </a:xfrm>
                    <a:prstGeom prst="rect">
                      <a:avLst/>
                    </a:prstGeom>
                  </pic:spPr>
                </pic:pic>
              </a:graphicData>
            </a:graphic>
          </wp:inline>
        </w:drawing>
      </w:r>
    </w:p>
    <w:p w14:paraId="64B1D7D5">
      <w:pPr>
        <w:pStyle w:val="86"/>
        <w:spacing w:line="240" w:lineRule="auto"/>
        <w:ind w:firstLine="0" w:firstLineChars="0"/>
        <w:rPr>
          <w:rFonts w:hint="eastAsia"/>
          <w:color w:val="auto"/>
        </w:rPr>
      </w:pPr>
      <w:r>
        <w:rPr>
          <w:color w:val="auto"/>
          <w14:ligatures w14:val="none"/>
        </w:rPr>
        <w:drawing>
          <wp:inline distT="0" distB="0" distL="0" distR="0">
            <wp:extent cx="5543550" cy="7839075"/>
            <wp:effectExtent l="0" t="0" r="0" b="9525"/>
            <wp:docPr id="8090197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19731" name="图片 1"/>
                    <pic:cNvPicPr>
                      <a:picLocks noChangeAspect="1"/>
                    </pic:cNvPicPr>
                  </pic:nvPicPr>
                  <pic:blipFill>
                    <a:blip r:embed="rId125"/>
                    <a:stretch>
                      <a:fillRect/>
                    </a:stretch>
                  </pic:blipFill>
                  <pic:spPr>
                    <a:xfrm>
                      <a:off x="0" y="0"/>
                      <a:ext cx="5543550" cy="7839075"/>
                    </a:xfrm>
                    <a:prstGeom prst="rect">
                      <a:avLst/>
                    </a:prstGeom>
                  </pic:spPr>
                </pic:pic>
              </a:graphicData>
            </a:graphic>
          </wp:inline>
        </w:drawing>
      </w:r>
    </w:p>
    <w:p w14:paraId="15B1F5CD">
      <w:pPr>
        <w:pStyle w:val="86"/>
        <w:spacing w:line="240" w:lineRule="auto"/>
        <w:ind w:firstLine="0" w:firstLineChars="0"/>
        <w:rPr>
          <w:rFonts w:hint="eastAsia"/>
          <w:color w:val="auto"/>
        </w:rPr>
      </w:pPr>
      <w:r>
        <w:rPr>
          <w:color w:val="auto"/>
          <w14:ligatures w14:val="none"/>
        </w:rPr>
        <w:drawing>
          <wp:inline distT="0" distB="0" distL="0" distR="0">
            <wp:extent cx="5543550" cy="7839075"/>
            <wp:effectExtent l="0" t="0" r="0" b="9525"/>
            <wp:docPr id="5528535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53583" name="图片 1"/>
                    <pic:cNvPicPr>
                      <a:picLocks noChangeAspect="1"/>
                    </pic:cNvPicPr>
                  </pic:nvPicPr>
                  <pic:blipFill>
                    <a:blip r:embed="rId126"/>
                    <a:stretch>
                      <a:fillRect/>
                    </a:stretch>
                  </pic:blipFill>
                  <pic:spPr>
                    <a:xfrm>
                      <a:off x="0" y="0"/>
                      <a:ext cx="5543550" cy="7839075"/>
                    </a:xfrm>
                    <a:prstGeom prst="rect">
                      <a:avLst/>
                    </a:prstGeom>
                  </pic:spPr>
                </pic:pic>
              </a:graphicData>
            </a:graphic>
          </wp:inline>
        </w:drawing>
      </w:r>
    </w:p>
    <w:p w14:paraId="672F70C5">
      <w:pPr>
        <w:pStyle w:val="86"/>
        <w:spacing w:line="240" w:lineRule="auto"/>
        <w:ind w:firstLine="0" w:firstLineChars="0"/>
        <w:rPr>
          <w:rFonts w:hint="eastAsia"/>
          <w:color w:val="auto"/>
        </w:rPr>
      </w:pPr>
      <w:r>
        <w:rPr>
          <w:color w:val="auto"/>
          <w14:ligatures w14:val="none"/>
        </w:rPr>
        <w:drawing>
          <wp:inline distT="0" distB="0" distL="0" distR="0">
            <wp:extent cx="5408930" cy="7733030"/>
            <wp:effectExtent l="0" t="0" r="1270" b="1270"/>
            <wp:docPr id="4305474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47446" name="图片 1"/>
                    <pic:cNvPicPr>
                      <a:picLocks noChangeAspect="1"/>
                    </pic:cNvPicPr>
                  </pic:nvPicPr>
                  <pic:blipFill>
                    <a:blip r:embed="rId127"/>
                    <a:stretch>
                      <a:fillRect/>
                    </a:stretch>
                  </pic:blipFill>
                  <pic:spPr>
                    <a:xfrm>
                      <a:off x="0" y="0"/>
                      <a:ext cx="5409524" cy="7733333"/>
                    </a:xfrm>
                    <a:prstGeom prst="rect">
                      <a:avLst/>
                    </a:prstGeom>
                  </pic:spPr>
                </pic:pic>
              </a:graphicData>
            </a:graphic>
          </wp:inline>
        </w:drawing>
      </w:r>
    </w:p>
    <w:p w14:paraId="2206115B">
      <w:pPr>
        <w:pStyle w:val="86"/>
        <w:spacing w:line="240" w:lineRule="auto"/>
        <w:ind w:firstLine="0" w:firstLineChars="0"/>
        <w:rPr>
          <w:rFonts w:hint="eastAsia"/>
          <w:color w:val="auto"/>
        </w:rPr>
      </w:pPr>
      <w:r>
        <w:rPr>
          <w:color w:val="auto"/>
          <w14:ligatures w14:val="none"/>
        </w:rPr>
        <w:drawing>
          <wp:inline distT="0" distB="0" distL="0" distR="0">
            <wp:extent cx="5494655" cy="7771130"/>
            <wp:effectExtent l="0" t="0" r="0" b="1270"/>
            <wp:docPr id="18810066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06687" name="图片 1"/>
                    <pic:cNvPicPr>
                      <a:picLocks noChangeAspect="1"/>
                    </pic:cNvPicPr>
                  </pic:nvPicPr>
                  <pic:blipFill>
                    <a:blip r:embed="rId128"/>
                    <a:stretch>
                      <a:fillRect/>
                    </a:stretch>
                  </pic:blipFill>
                  <pic:spPr>
                    <a:xfrm>
                      <a:off x="0" y="0"/>
                      <a:ext cx="5495238" cy="7771428"/>
                    </a:xfrm>
                    <a:prstGeom prst="rect">
                      <a:avLst/>
                    </a:prstGeom>
                  </pic:spPr>
                </pic:pic>
              </a:graphicData>
            </a:graphic>
          </wp:inline>
        </w:drawing>
      </w:r>
    </w:p>
    <w:p w14:paraId="5DD49717">
      <w:pPr>
        <w:pStyle w:val="86"/>
        <w:spacing w:line="240" w:lineRule="auto"/>
        <w:ind w:firstLine="0" w:firstLineChars="0"/>
        <w:rPr>
          <w:rFonts w:hint="eastAsia"/>
          <w:color w:val="auto"/>
        </w:rPr>
      </w:pPr>
      <w:r>
        <w:rPr>
          <w:color w:val="auto"/>
          <w14:ligatures w14:val="none"/>
        </w:rPr>
        <w:drawing>
          <wp:inline distT="0" distB="0" distL="0" distR="0">
            <wp:extent cx="5532755" cy="7818755"/>
            <wp:effectExtent l="0" t="0" r="0" b="0"/>
            <wp:docPr id="332859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85955" name="图片 1"/>
                    <pic:cNvPicPr>
                      <a:picLocks noChangeAspect="1"/>
                    </pic:cNvPicPr>
                  </pic:nvPicPr>
                  <pic:blipFill>
                    <a:blip r:embed="rId129"/>
                    <a:stretch>
                      <a:fillRect/>
                    </a:stretch>
                  </pic:blipFill>
                  <pic:spPr>
                    <a:xfrm>
                      <a:off x="0" y="0"/>
                      <a:ext cx="5533333" cy="7819048"/>
                    </a:xfrm>
                    <a:prstGeom prst="rect">
                      <a:avLst/>
                    </a:prstGeom>
                  </pic:spPr>
                </pic:pic>
              </a:graphicData>
            </a:graphic>
          </wp:inline>
        </w:drawing>
      </w:r>
    </w:p>
    <w:p w14:paraId="3FB52EB0">
      <w:pPr>
        <w:pStyle w:val="86"/>
        <w:spacing w:line="240" w:lineRule="auto"/>
        <w:ind w:firstLine="0" w:firstLineChars="0"/>
        <w:rPr>
          <w:rFonts w:hint="eastAsia"/>
          <w:color w:val="auto"/>
        </w:rPr>
      </w:pPr>
      <w:r>
        <w:rPr>
          <w:color w:val="auto"/>
          <w14:ligatures w14:val="none"/>
        </w:rPr>
        <w:drawing>
          <wp:inline distT="0" distB="0" distL="0" distR="0">
            <wp:extent cx="5485130" cy="7828280"/>
            <wp:effectExtent l="0" t="0" r="1270" b="1270"/>
            <wp:docPr id="10498111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811180" name="图片 1"/>
                    <pic:cNvPicPr>
                      <a:picLocks noChangeAspect="1"/>
                    </pic:cNvPicPr>
                  </pic:nvPicPr>
                  <pic:blipFill>
                    <a:blip r:embed="rId130"/>
                    <a:stretch>
                      <a:fillRect/>
                    </a:stretch>
                  </pic:blipFill>
                  <pic:spPr>
                    <a:xfrm>
                      <a:off x="0" y="0"/>
                      <a:ext cx="5485714" cy="7828571"/>
                    </a:xfrm>
                    <a:prstGeom prst="rect">
                      <a:avLst/>
                    </a:prstGeom>
                  </pic:spPr>
                </pic:pic>
              </a:graphicData>
            </a:graphic>
          </wp:inline>
        </w:drawing>
      </w:r>
    </w:p>
    <w:p w14:paraId="24CCEDE8">
      <w:pPr>
        <w:pStyle w:val="86"/>
        <w:spacing w:line="240" w:lineRule="auto"/>
        <w:ind w:firstLine="0" w:firstLineChars="0"/>
        <w:rPr>
          <w:rFonts w:hint="eastAsia"/>
          <w:color w:val="auto"/>
        </w:rPr>
      </w:pPr>
    </w:p>
    <w:p w14:paraId="64CF9A32">
      <w:pPr>
        <w:pStyle w:val="2"/>
        <w:spacing w:before="0" w:after="0"/>
        <w:rPr>
          <w:color w:val="auto"/>
          <w:sz w:val="24"/>
          <w:szCs w:val="24"/>
        </w:rPr>
      </w:pPr>
      <w:bookmarkStart w:id="1028" w:name="_Toc178250496"/>
      <w:bookmarkStart w:id="1029" w:name="_Toc217311591"/>
      <w:bookmarkStart w:id="1030" w:name="_Toc224406048"/>
      <w:r>
        <w:rPr>
          <w:rFonts w:hint="eastAsia"/>
          <w:color w:val="auto"/>
          <w:sz w:val="24"/>
          <w:szCs w:val="24"/>
        </w:rPr>
        <w:t>附</w:t>
      </w:r>
      <w:r>
        <w:rPr>
          <w:rFonts w:hint="eastAsia" w:ascii="宋体" w:hAnsi="宋体"/>
          <w:color w:val="auto"/>
          <w:sz w:val="24"/>
          <w:szCs w:val="24"/>
        </w:rPr>
        <w:t>件3</w:t>
      </w:r>
      <w:r>
        <w:rPr>
          <w:rFonts w:ascii="宋体" w:hAnsi="宋体"/>
          <w:color w:val="auto"/>
          <w:sz w:val="24"/>
          <w:szCs w:val="24"/>
        </w:rPr>
        <w:t xml:space="preserve">  </w:t>
      </w:r>
      <w:r>
        <w:rPr>
          <w:rFonts w:hint="eastAsia" w:ascii="宋体" w:hAnsi="宋体"/>
          <w:color w:val="auto"/>
          <w:sz w:val="24"/>
          <w:szCs w:val="24"/>
        </w:rPr>
        <w:t>环境质量现状监测</w:t>
      </w:r>
      <w:r>
        <w:rPr>
          <w:rFonts w:hint="eastAsia"/>
          <w:color w:val="auto"/>
          <w:sz w:val="24"/>
          <w:szCs w:val="24"/>
        </w:rPr>
        <w:t>报告</w:t>
      </w:r>
      <w:bookmarkEnd w:id="1028"/>
      <w:bookmarkEnd w:id="1029"/>
      <w:bookmarkEnd w:id="1030"/>
    </w:p>
    <w:p w14:paraId="0B5B63DB">
      <w:pPr>
        <w:pStyle w:val="86"/>
        <w:spacing w:line="240" w:lineRule="auto"/>
        <w:ind w:firstLine="0" w:firstLineChars="0"/>
        <w:rPr>
          <w:rFonts w:hint="eastAsia"/>
          <w:color w:val="auto"/>
        </w:rPr>
      </w:pPr>
      <w:r>
        <w:rPr>
          <w:color w:val="auto"/>
          <w14:ligatures w14:val="none"/>
        </w:rPr>
        <w:drawing>
          <wp:inline distT="0" distB="0" distL="0" distR="0">
            <wp:extent cx="5543550" cy="8040370"/>
            <wp:effectExtent l="0" t="0" r="0" b="0"/>
            <wp:docPr id="109529450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294508" name="图片 25"/>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543550" cy="8040370"/>
                    </a:xfrm>
                    <a:prstGeom prst="rect">
                      <a:avLst/>
                    </a:prstGeom>
                  </pic:spPr>
                </pic:pic>
              </a:graphicData>
            </a:graphic>
          </wp:inline>
        </w:drawing>
      </w:r>
      <w:r>
        <w:rPr>
          <w:color w:val="auto"/>
          <w14:ligatures w14:val="none"/>
        </w:rPr>
        <w:drawing>
          <wp:inline distT="0" distB="0" distL="0" distR="0">
            <wp:extent cx="5543550" cy="8044815"/>
            <wp:effectExtent l="0" t="0" r="0" b="0"/>
            <wp:docPr id="87242714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427141" name="图片 27"/>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543550" cy="8044815"/>
                    </a:xfrm>
                    <a:prstGeom prst="rect">
                      <a:avLst/>
                    </a:prstGeom>
                  </pic:spPr>
                </pic:pic>
              </a:graphicData>
            </a:graphic>
          </wp:inline>
        </w:drawing>
      </w:r>
      <w:r>
        <w:rPr>
          <w:color w:val="auto"/>
          <w14:ligatures w14:val="none"/>
        </w:rPr>
        <w:drawing>
          <wp:inline distT="0" distB="0" distL="0" distR="0">
            <wp:extent cx="5543550" cy="8044815"/>
            <wp:effectExtent l="0" t="0" r="0" b="0"/>
            <wp:docPr id="6525926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9264" name="图片 28"/>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543550" cy="8044815"/>
                    </a:xfrm>
                    <a:prstGeom prst="rect">
                      <a:avLst/>
                    </a:prstGeom>
                  </pic:spPr>
                </pic:pic>
              </a:graphicData>
            </a:graphic>
          </wp:inline>
        </w:drawing>
      </w:r>
      <w:r>
        <w:rPr>
          <w:color w:val="auto"/>
          <w14:ligatures w14:val="none"/>
        </w:rPr>
        <w:drawing>
          <wp:inline distT="0" distB="0" distL="0" distR="0">
            <wp:extent cx="5543550" cy="7999095"/>
            <wp:effectExtent l="0" t="0" r="0" b="1905"/>
            <wp:docPr id="17743157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15733" name="图片 29"/>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543550" cy="7999095"/>
                    </a:xfrm>
                    <a:prstGeom prst="rect">
                      <a:avLst/>
                    </a:prstGeom>
                  </pic:spPr>
                </pic:pic>
              </a:graphicData>
            </a:graphic>
          </wp:inline>
        </w:drawing>
      </w:r>
      <w:r>
        <w:rPr>
          <w:color w:val="auto"/>
          <w14:ligatures w14:val="none"/>
        </w:rPr>
        <w:drawing>
          <wp:inline distT="0" distB="0" distL="0" distR="0">
            <wp:extent cx="5543550" cy="8003540"/>
            <wp:effectExtent l="0" t="0" r="0" b="0"/>
            <wp:docPr id="2987909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9092" name="图片 30"/>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543550" cy="8003540"/>
                    </a:xfrm>
                    <a:prstGeom prst="rect">
                      <a:avLst/>
                    </a:prstGeom>
                  </pic:spPr>
                </pic:pic>
              </a:graphicData>
            </a:graphic>
          </wp:inline>
        </w:drawing>
      </w:r>
      <w:r>
        <w:rPr>
          <w:color w:val="auto"/>
          <w14:ligatures w14:val="none"/>
        </w:rPr>
        <w:drawing>
          <wp:inline distT="0" distB="0" distL="0" distR="0">
            <wp:extent cx="5543550" cy="8003540"/>
            <wp:effectExtent l="0" t="0" r="0" b="0"/>
            <wp:docPr id="204084812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48122" name="图片 31"/>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543550" cy="8003540"/>
                    </a:xfrm>
                    <a:prstGeom prst="rect">
                      <a:avLst/>
                    </a:prstGeom>
                  </pic:spPr>
                </pic:pic>
              </a:graphicData>
            </a:graphic>
          </wp:inline>
        </w:drawing>
      </w:r>
      <w:r>
        <w:rPr>
          <w:color w:val="auto"/>
          <w14:ligatures w14:val="none"/>
        </w:rPr>
        <w:drawing>
          <wp:inline distT="0" distB="0" distL="0" distR="0">
            <wp:extent cx="5543550" cy="7994015"/>
            <wp:effectExtent l="0" t="0" r="0" b="6985"/>
            <wp:docPr id="201125848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58481" name="图片 32"/>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543550" cy="7994015"/>
                    </a:xfrm>
                    <a:prstGeom prst="rect">
                      <a:avLst/>
                    </a:prstGeom>
                  </pic:spPr>
                </pic:pic>
              </a:graphicData>
            </a:graphic>
          </wp:inline>
        </w:drawing>
      </w:r>
      <w:r>
        <w:rPr>
          <w:color w:val="auto"/>
          <w14:ligatures w14:val="none"/>
        </w:rPr>
        <w:drawing>
          <wp:inline distT="0" distB="0" distL="0" distR="0">
            <wp:extent cx="5543550" cy="7984490"/>
            <wp:effectExtent l="0" t="0" r="0" b="0"/>
            <wp:docPr id="1770298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2980" name="图片 33"/>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543550" cy="7984490"/>
                    </a:xfrm>
                    <a:prstGeom prst="rect">
                      <a:avLst/>
                    </a:prstGeom>
                  </pic:spPr>
                </pic:pic>
              </a:graphicData>
            </a:graphic>
          </wp:inline>
        </w:drawing>
      </w:r>
      <w:r>
        <w:rPr>
          <w:color w:val="auto"/>
          <w14:ligatures w14:val="none"/>
        </w:rPr>
        <w:drawing>
          <wp:inline distT="0" distB="0" distL="0" distR="0">
            <wp:extent cx="5543550" cy="7975600"/>
            <wp:effectExtent l="0" t="0" r="0" b="6350"/>
            <wp:docPr id="175954483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44835" name="图片 34"/>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543550" cy="7975600"/>
                    </a:xfrm>
                    <a:prstGeom prst="rect">
                      <a:avLst/>
                    </a:prstGeom>
                  </pic:spPr>
                </pic:pic>
              </a:graphicData>
            </a:graphic>
          </wp:inline>
        </w:drawing>
      </w:r>
      <w:r>
        <w:rPr>
          <w:color w:val="auto"/>
          <w14:ligatures w14:val="none"/>
        </w:rPr>
        <w:drawing>
          <wp:inline distT="0" distB="0" distL="0" distR="0">
            <wp:extent cx="5543550" cy="7962265"/>
            <wp:effectExtent l="0" t="0" r="0" b="635"/>
            <wp:docPr id="171479162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91623" name="图片 35"/>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543550" cy="7962265"/>
                    </a:xfrm>
                    <a:prstGeom prst="rect">
                      <a:avLst/>
                    </a:prstGeom>
                  </pic:spPr>
                </pic:pic>
              </a:graphicData>
            </a:graphic>
          </wp:inline>
        </w:drawing>
      </w:r>
      <w:r>
        <w:rPr>
          <w:color w:val="auto"/>
          <w14:ligatures w14:val="none"/>
        </w:rPr>
        <w:drawing>
          <wp:inline distT="0" distB="0" distL="0" distR="0">
            <wp:extent cx="5543550" cy="7975600"/>
            <wp:effectExtent l="0" t="0" r="0" b="6350"/>
            <wp:docPr id="910403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035" name="图片 36"/>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543550" cy="7975600"/>
                    </a:xfrm>
                    <a:prstGeom prst="rect">
                      <a:avLst/>
                    </a:prstGeom>
                  </pic:spPr>
                </pic:pic>
              </a:graphicData>
            </a:graphic>
          </wp:inline>
        </w:drawing>
      </w:r>
      <w:r>
        <w:rPr>
          <w:color w:val="auto"/>
          <w14:ligatures w14:val="none"/>
        </w:rPr>
        <w:drawing>
          <wp:inline distT="0" distB="0" distL="0" distR="0">
            <wp:extent cx="5543550" cy="7966075"/>
            <wp:effectExtent l="0" t="0" r="0" b="0"/>
            <wp:docPr id="122965339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53396" name="图片 37"/>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543550" cy="7966075"/>
                    </a:xfrm>
                    <a:prstGeom prst="rect">
                      <a:avLst/>
                    </a:prstGeom>
                  </pic:spPr>
                </pic:pic>
              </a:graphicData>
            </a:graphic>
          </wp:inline>
        </w:drawing>
      </w:r>
      <w:r>
        <w:rPr>
          <w:color w:val="auto"/>
          <w14:ligatures w14:val="none"/>
        </w:rPr>
        <w:drawing>
          <wp:inline distT="0" distB="0" distL="0" distR="0">
            <wp:extent cx="5543550" cy="7970520"/>
            <wp:effectExtent l="0" t="0" r="0" b="0"/>
            <wp:docPr id="7036652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6521" name="图片 38"/>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543550" cy="7970520"/>
                    </a:xfrm>
                    <a:prstGeom prst="rect">
                      <a:avLst/>
                    </a:prstGeom>
                  </pic:spPr>
                </pic:pic>
              </a:graphicData>
            </a:graphic>
          </wp:inline>
        </w:drawing>
      </w:r>
      <w:r>
        <w:rPr>
          <w:color w:val="auto"/>
          <w14:ligatures w14:val="none"/>
        </w:rPr>
        <w:drawing>
          <wp:inline distT="0" distB="0" distL="0" distR="0">
            <wp:extent cx="5543550" cy="7979410"/>
            <wp:effectExtent l="0" t="0" r="0" b="2540"/>
            <wp:docPr id="73816067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160672" name="图片 39"/>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543550" cy="7979410"/>
                    </a:xfrm>
                    <a:prstGeom prst="rect">
                      <a:avLst/>
                    </a:prstGeom>
                  </pic:spPr>
                </pic:pic>
              </a:graphicData>
            </a:graphic>
          </wp:inline>
        </w:drawing>
      </w:r>
      <w:r>
        <w:rPr>
          <w:color w:val="auto"/>
          <w14:ligatures w14:val="none"/>
        </w:rPr>
        <w:drawing>
          <wp:inline distT="0" distB="0" distL="0" distR="0">
            <wp:extent cx="5543550" cy="7970520"/>
            <wp:effectExtent l="0" t="0" r="0" b="0"/>
            <wp:docPr id="157906201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062016" name="图片 40"/>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543550" cy="7970520"/>
                    </a:xfrm>
                    <a:prstGeom prst="rect">
                      <a:avLst/>
                    </a:prstGeom>
                  </pic:spPr>
                </pic:pic>
              </a:graphicData>
            </a:graphic>
          </wp:inline>
        </w:drawing>
      </w:r>
      <w:r>
        <w:rPr>
          <w:color w:val="auto"/>
          <w14:ligatures w14:val="none"/>
        </w:rPr>
        <w:drawing>
          <wp:inline distT="0" distB="0" distL="0" distR="0">
            <wp:extent cx="5543550" cy="7956550"/>
            <wp:effectExtent l="0" t="0" r="0" b="6350"/>
            <wp:docPr id="124147016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470167" name="图片 41"/>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543550" cy="7956550"/>
                    </a:xfrm>
                    <a:prstGeom prst="rect">
                      <a:avLst/>
                    </a:prstGeom>
                  </pic:spPr>
                </pic:pic>
              </a:graphicData>
            </a:graphic>
          </wp:inline>
        </w:drawing>
      </w:r>
      <w:r>
        <w:rPr>
          <w:color w:val="auto"/>
          <w14:ligatures w14:val="none"/>
        </w:rPr>
        <w:drawing>
          <wp:inline distT="0" distB="0" distL="0" distR="0">
            <wp:extent cx="5543550" cy="7947660"/>
            <wp:effectExtent l="0" t="0" r="0" b="0"/>
            <wp:docPr id="6618306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83060" name="图片 42"/>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543550" cy="7947660"/>
                    </a:xfrm>
                    <a:prstGeom prst="rect">
                      <a:avLst/>
                    </a:prstGeom>
                  </pic:spPr>
                </pic:pic>
              </a:graphicData>
            </a:graphic>
          </wp:inline>
        </w:drawing>
      </w:r>
      <w:r>
        <w:rPr>
          <w:color w:val="auto"/>
          <w14:ligatures w14:val="none"/>
        </w:rPr>
        <w:drawing>
          <wp:inline distT="0" distB="0" distL="0" distR="0">
            <wp:extent cx="5543550" cy="7970520"/>
            <wp:effectExtent l="0" t="0" r="0" b="0"/>
            <wp:docPr id="203179896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798961" name="图片 43"/>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543550" cy="7970520"/>
                    </a:xfrm>
                    <a:prstGeom prst="rect">
                      <a:avLst/>
                    </a:prstGeom>
                  </pic:spPr>
                </pic:pic>
              </a:graphicData>
            </a:graphic>
          </wp:inline>
        </w:drawing>
      </w:r>
      <w:r>
        <w:rPr>
          <w:color w:val="auto"/>
          <w14:ligatures w14:val="none"/>
        </w:rPr>
        <w:drawing>
          <wp:inline distT="0" distB="0" distL="0" distR="0">
            <wp:extent cx="5543550" cy="7970520"/>
            <wp:effectExtent l="0" t="0" r="0" b="0"/>
            <wp:docPr id="93503562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35624" name="图片 44"/>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543550" cy="7970520"/>
                    </a:xfrm>
                    <a:prstGeom prst="rect">
                      <a:avLst/>
                    </a:prstGeom>
                  </pic:spPr>
                </pic:pic>
              </a:graphicData>
            </a:graphic>
          </wp:inline>
        </w:drawing>
      </w:r>
      <w:r>
        <w:rPr>
          <w:color w:val="auto"/>
          <w14:ligatures w14:val="none"/>
        </w:rPr>
        <w:drawing>
          <wp:inline distT="0" distB="0" distL="0" distR="0">
            <wp:extent cx="5543550" cy="7970520"/>
            <wp:effectExtent l="0" t="0" r="0" b="0"/>
            <wp:docPr id="176382463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24632" name="图片 45"/>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543550" cy="7970520"/>
                    </a:xfrm>
                    <a:prstGeom prst="rect">
                      <a:avLst/>
                    </a:prstGeom>
                  </pic:spPr>
                </pic:pic>
              </a:graphicData>
            </a:graphic>
          </wp:inline>
        </w:drawing>
      </w:r>
      <w:r>
        <w:rPr>
          <w:color w:val="auto"/>
          <w14:ligatures w14:val="none"/>
        </w:rPr>
        <w:drawing>
          <wp:inline distT="0" distB="0" distL="0" distR="0">
            <wp:extent cx="5543550" cy="7947660"/>
            <wp:effectExtent l="0" t="0" r="0" b="0"/>
            <wp:docPr id="37432900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29003" name="图片 46"/>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543550" cy="7947660"/>
                    </a:xfrm>
                    <a:prstGeom prst="rect">
                      <a:avLst/>
                    </a:prstGeom>
                  </pic:spPr>
                </pic:pic>
              </a:graphicData>
            </a:graphic>
          </wp:inline>
        </w:drawing>
      </w:r>
      <w:r>
        <w:rPr>
          <w:color w:val="auto"/>
          <w14:ligatures w14:val="none"/>
        </w:rPr>
        <w:drawing>
          <wp:inline distT="0" distB="0" distL="0" distR="0">
            <wp:extent cx="5543550" cy="7938135"/>
            <wp:effectExtent l="0" t="0" r="0" b="5715"/>
            <wp:docPr id="35265949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59495" name="图片 47"/>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543550" cy="7938135"/>
                    </a:xfrm>
                    <a:prstGeom prst="rect">
                      <a:avLst/>
                    </a:prstGeom>
                  </pic:spPr>
                </pic:pic>
              </a:graphicData>
            </a:graphic>
          </wp:inline>
        </w:drawing>
      </w:r>
      <w:r>
        <w:rPr>
          <w:color w:val="auto"/>
          <w14:ligatures w14:val="none"/>
        </w:rPr>
        <w:drawing>
          <wp:inline distT="0" distB="0" distL="0" distR="0">
            <wp:extent cx="5543550" cy="7938135"/>
            <wp:effectExtent l="0" t="0" r="0" b="5715"/>
            <wp:docPr id="146995478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954780" name="图片 48"/>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543550" cy="7938135"/>
                    </a:xfrm>
                    <a:prstGeom prst="rect">
                      <a:avLst/>
                    </a:prstGeom>
                  </pic:spPr>
                </pic:pic>
              </a:graphicData>
            </a:graphic>
          </wp:inline>
        </w:drawing>
      </w:r>
      <w:r>
        <w:rPr>
          <w:color w:val="auto"/>
          <w14:ligatures w14:val="none"/>
        </w:rPr>
        <w:drawing>
          <wp:inline distT="0" distB="0" distL="0" distR="0">
            <wp:extent cx="5543550" cy="7960995"/>
            <wp:effectExtent l="0" t="0" r="0" b="1905"/>
            <wp:docPr id="182825367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53673" name="图片 49"/>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543550" cy="7960995"/>
                    </a:xfrm>
                    <a:prstGeom prst="rect">
                      <a:avLst/>
                    </a:prstGeom>
                  </pic:spPr>
                </pic:pic>
              </a:graphicData>
            </a:graphic>
          </wp:inline>
        </w:drawing>
      </w:r>
      <w:r>
        <w:rPr>
          <w:color w:val="auto"/>
          <w14:ligatures w14:val="none"/>
        </w:rPr>
        <w:drawing>
          <wp:inline distT="0" distB="0" distL="0" distR="0">
            <wp:extent cx="5543550" cy="7960995"/>
            <wp:effectExtent l="0" t="0" r="0" b="1905"/>
            <wp:docPr id="90501353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013535" name="图片 50"/>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543550" cy="7960995"/>
                    </a:xfrm>
                    <a:prstGeom prst="rect">
                      <a:avLst/>
                    </a:prstGeom>
                  </pic:spPr>
                </pic:pic>
              </a:graphicData>
            </a:graphic>
          </wp:inline>
        </w:drawing>
      </w:r>
      <w:r>
        <w:rPr>
          <w:color w:val="auto"/>
          <w14:ligatures w14:val="none"/>
        </w:rPr>
        <w:drawing>
          <wp:inline distT="0" distB="0" distL="0" distR="0">
            <wp:extent cx="5543550" cy="7960995"/>
            <wp:effectExtent l="0" t="0" r="0" b="1905"/>
            <wp:docPr id="128047380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73806" name="图片 51"/>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543550" cy="7960995"/>
                    </a:xfrm>
                    <a:prstGeom prst="rect">
                      <a:avLst/>
                    </a:prstGeom>
                  </pic:spPr>
                </pic:pic>
              </a:graphicData>
            </a:graphic>
          </wp:inline>
        </w:drawing>
      </w:r>
      <w:r>
        <w:rPr>
          <w:color w:val="auto"/>
          <w14:ligatures w14:val="none"/>
        </w:rPr>
        <w:drawing>
          <wp:inline distT="0" distB="0" distL="0" distR="0">
            <wp:extent cx="5543550" cy="7947660"/>
            <wp:effectExtent l="0" t="0" r="0" b="0"/>
            <wp:docPr id="127893768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937682" name="图片 52"/>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543550" cy="7947660"/>
                    </a:xfrm>
                    <a:prstGeom prst="rect">
                      <a:avLst/>
                    </a:prstGeom>
                  </pic:spPr>
                </pic:pic>
              </a:graphicData>
            </a:graphic>
          </wp:inline>
        </w:drawing>
      </w:r>
      <w:r>
        <w:rPr>
          <w:color w:val="auto"/>
          <w14:ligatures w14:val="none"/>
        </w:rPr>
        <w:drawing>
          <wp:inline distT="0" distB="0" distL="0" distR="0">
            <wp:extent cx="5543550" cy="7947660"/>
            <wp:effectExtent l="0" t="0" r="0" b="0"/>
            <wp:docPr id="74616178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161787" name="图片 53"/>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543550" cy="7947660"/>
                    </a:xfrm>
                    <a:prstGeom prst="rect">
                      <a:avLst/>
                    </a:prstGeom>
                  </pic:spPr>
                </pic:pic>
              </a:graphicData>
            </a:graphic>
          </wp:inline>
        </w:drawing>
      </w:r>
      <w:r>
        <w:rPr>
          <w:color w:val="auto"/>
          <w14:ligatures w14:val="none"/>
        </w:rPr>
        <w:drawing>
          <wp:inline distT="0" distB="0" distL="0" distR="0">
            <wp:extent cx="5543550" cy="7938135"/>
            <wp:effectExtent l="0" t="0" r="0" b="5715"/>
            <wp:docPr id="84807254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072549" name="图片 54"/>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543550" cy="7938135"/>
                    </a:xfrm>
                    <a:prstGeom prst="rect">
                      <a:avLst/>
                    </a:prstGeom>
                  </pic:spPr>
                </pic:pic>
              </a:graphicData>
            </a:graphic>
          </wp:inline>
        </w:drawing>
      </w:r>
      <w:r>
        <w:rPr>
          <w:color w:val="auto"/>
          <w14:ligatures w14:val="none"/>
        </w:rPr>
        <w:drawing>
          <wp:inline distT="0" distB="0" distL="0" distR="0">
            <wp:extent cx="5543550" cy="7960995"/>
            <wp:effectExtent l="0" t="0" r="0" b="1905"/>
            <wp:docPr id="174711188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111883" name="图片 55"/>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543550" cy="7960995"/>
                    </a:xfrm>
                    <a:prstGeom prst="rect">
                      <a:avLst/>
                    </a:prstGeom>
                  </pic:spPr>
                </pic:pic>
              </a:graphicData>
            </a:graphic>
          </wp:inline>
        </w:drawing>
      </w:r>
      <w:r>
        <w:rPr>
          <w:color w:val="auto"/>
          <w14:ligatures w14:val="none"/>
        </w:rPr>
        <w:drawing>
          <wp:inline distT="0" distB="0" distL="0" distR="0">
            <wp:extent cx="5543550" cy="7975600"/>
            <wp:effectExtent l="0" t="0" r="0" b="6350"/>
            <wp:docPr id="188046126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461264" name="图片 56"/>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543550" cy="7975600"/>
                    </a:xfrm>
                    <a:prstGeom prst="rect">
                      <a:avLst/>
                    </a:prstGeom>
                  </pic:spPr>
                </pic:pic>
              </a:graphicData>
            </a:graphic>
          </wp:inline>
        </w:drawing>
      </w:r>
    </w:p>
    <w:p w14:paraId="4C128D6B">
      <w:pPr>
        <w:pStyle w:val="86"/>
        <w:spacing w:line="240" w:lineRule="auto"/>
        <w:ind w:firstLine="0" w:firstLineChars="0"/>
        <w:rPr>
          <w:rFonts w:hint="eastAsia"/>
          <w:color w:val="auto"/>
        </w:rPr>
      </w:pPr>
      <w:r>
        <w:rPr>
          <w:color w:val="auto"/>
          <w14:ligatures w14:val="none"/>
        </w:rPr>
        <w:drawing>
          <wp:inline distT="0" distB="0" distL="0" distR="0">
            <wp:extent cx="5543550" cy="7983855"/>
            <wp:effectExtent l="0" t="0" r="0" b="0"/>
            <wp:docPr id="1821929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929606" name="图片 1"/>
                    <pic:cNvPicPr>
                      <a:picLocks noChangeAspect="1"/>
                    </pic:cNvPicPr>
                  </pic:nvPicPr>
                  <pic:blipFill>
                    <a:blip r:embed="rId162"/>
                    <a:stretch>
                      <a:fillRect/>
                    </a:stretch>
                  </pic:blipFill>
                  <pic:spPr>
                    <a:xfrm>
                      <a:off x="0" y="0"/>
                      <a:ext cx="5543550" cy="7983855"/>
                    </a:xfrm>
                    <a:prstGeom prst="rect">
                      <a:avLst/>
                    </a:prstGeom>
                  </pic:spPr>
                </pic:pic>
              </a:graphicData>
            </a:graphic>
          </wp:inline>
        </w:drawing>
      </w:r>
    </w:p>
    <w:p w14:paraId="7EC818EF">
      <w:pPr>
        <w:pStyle w:val="86"/>
        <w:spacing w:line="240" w:lineRule="auto"/>
        <w:ind w:firstLine="0" w:firstLineChars="0"/>
        <w:rPr>
          <w:rFonts w:hint="eastAsia"/>
          <w:color w:val="auto"/>
        </w:rPr>
      </w:pPr>
      <w:r>
        <w:rPr>
          <w:color w:val="auto"/>
          <w14:ligatures w14:val="none"/>
        </w:rPr>
        <w:drawing>
          <wp:inline distT="0" distB="0" distL="0" distR="0">
            <wp:extent cx="5543550" cy="7983855"/>
            <wp:effectExtent l="0" t="0" r="0" b="0"/>
            <wp:docPr id="19798558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855851" name="图片 1"/>
                    <pic:cNvPicPr>
                      <a:picLocks noChangeAspect="1"/>
                    </pic:cNvPicPr>
                  </pic:nvPicPr>
                  <pic:blipFill>
                    <a:blip r:embed="rId163"/>
                    <a:stretch>
                      <a:fillRect/>
                    </a:stretch>
                  </pic:blipFill>
                  <pic:spPr>
                    <a:xfrm>
                      <a:off x="0" y="0"/>
                      <a:ext cx="5543550" cy="7983855"/>
                    </a:xfrm>
                    <a:prstGeom prst="rect">
                      <a:avLst/>
                    </a:prstGeom>
                  </pic:spPr>
                </pic:pic>
              </a:graphicData>
            </a:graphic>
          </wp:inline>
        </w:drawing>
      </w:r>
    </w:p>
    <w:p w14:paraId="5D718B93">
      <w:pPr>
        <w:pStyle w:val="86"/>
        <w:spacing w:line="240" w:lineRule="auto"/>
        <w:ind w:firstLine="0" w:firstLineChars="0"/>
        <w:rPr>
          <w:rFonts w:hint="eastAsia"/>
          <w:color w:val="auto"/>
        </w:rPr>
      </w:pPr>
      <w:r>
        <w:rPr>
          <w:color w:val="auto"/>
          <w14:ligatures w14:val="none"/>
        </w:rPr>
        <w:drawing>
          <wp:inline distT="0" distB="0" distL="0" distR="0">
            <wp:extent cx="5543550" cy="7980045"/>
            <wp:effectExtent l="0" t="0" r="0" b="1905"/>
            <wp:docPr id="5521908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190885" name="图片 1"/>
                    <pic:cNvPicPr>
                      <a:picLocks noChangeAspect="1"/>
                    </pic:cNvPicPr>
                  </pic:nvPicPr>
                  <pic:blipFill>
                    <a:blip r:embed="rId164"/>
                    <a:stretch>
                      <a:fillRect/>
                    </a:stretch>
                  </pic:blipFill>
                  <pic:spPr>
                    <a:xfrm>
                      <a:off x="0" y="0"/>
                      <a:ext cx="5543550" cy="7980045"/>
                    </a:xfrm>
                    <a:prstGeom prst="rect">
                      <a:avLst/>
                    </a:prstGeom>
                  </pic:spPr>
                </pic:pic>
              </a:graphicData>
            </a:graphic>
          </wp:inline>
        </w:drawing>
      </w:r>
    </w:p>
    <w:p w14:paraId="68045EE4">
      <w:pPr>
        <w:pStyle w:val="86"/>
        <w:spacing w:line="240" w:lineRule="auto"/>
        <w:ind w:firstLine="0" w:firstLineChars="0"/>
        <w:rPr>
          <w:rFonts w:hint="eastAsia"/>
          <w:color w:val="auto"/>
        </w:rPr>
      </w:pPr>
      <w:r>
        <w:rPr>
          <w:color w:val="auto"/>
          <w14:ligatures w14:val="none"/>
        </w:rPr>
        <w:drawing>
          <wp:inline distT="0" distB="0" distL="0" distR="0">
            <wp:extent cx="5543550" cy="8009890"/>
            <wp:effectExtent l="0" t="0" r="0" b="0"/>
            <wp:docPr id="3125134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13465" name="图片 1"/>
                    <pic:cNvPicPr>
                      <a:picLocks noChangeAspect="1"/>
                    </pic:cNvPicPr>
                  </pic:nvPicPr>
                  <pic:blipFill>
                    <a:blip r:embed="rId165"/>
                    <a:stretch>
                      <a:fillRect/>
                    </a:stretch>
                  </pic:blipFill>
                  <pic:spPr>
                    <a:xfrm>
                      <a:off x="0" y="0"/>
                      <a:ext cx="5543550" cy="8009890"/>
                    </a:xfrm>
                    <a:prstGeom prst="rect">
                      <a:avLst/>
                    </a:prstGeom>
                  </pic:spPr>
                </pic:pic>
              </a:graphicData>
            </a:graphic>
          </wp:inline>
        </w:drawing>
      </w:r>
    </w:p>
    <w:p w14:paraId="0AB93E87">
      <w:pPr>
        <w:pStyle w:val="86"/>
        <w:spacing w:line="240" w:lineRule="auto"/>
        <w:ind w:firstLine="0" w:firstLineChars="0"/>
        <w:rPr>
          <w:rFonts w:hint="eastAsia"/>
          <w:color w:val="auto"/>
        </w:rPr>
      </w:pPr>
    </w:p>
    <w:p w14:paraId="7FA07185">
      <w:pPr>
        <w:pStyle w:val="2"/>
        <w:spacing w:before="0" w:after="0"/>
        <w:rPr>
          <w:color w:val="auto"/>
          <w:sz w:val="24"/>
          <w:szCs w:val="24"/>
        </w:rPr>
      </w:pPr>
      <w:bookmarkStart w:id="1031" w:name="_Toc178250497"/>
      <w:bookmarkStart w:id="1032" w:name="_Toc217311592"/>
      <w:bookmarkStart w:id="1033" w:name="_Toc224406049"/>
      <w:r>
        <w:rPr>
          <w:rFonts w:hint="eastAsia"/>
          <w:color w:val="auto"/>
          <w:sz w:val="24"/>
          <w:szCs w:val="24"/>
        </w:rPr>
        <w:t>附</w:t>
      </w:r>
      <w:r>
        <w:rPr>
          <w:rFonts w:hint="eastAsia" w:ascii="宋体" w:hAnsi="宋体"/>
          <w:color w:val="auto"/>
          <w:sz w:val="24"/>
          <w:szCs w:val="24"/>
        </w:rPr>
        <w:t>件4</w:t>
      </w:r>
      <w:r>
        <w:rPr>
          <w:rFonts w:ascii="宋体" w:hAnsi="宋体"/>
          <w:color w:val="auto"/>
          <w:sz w:val="24"/>
          <w:szCs w:val="24"/>
        </w:rPr>
        <w:t xml:space="preserve">  </w:t>
      </w:r>
      <w:r>
        <w:rPr>
          <w:rFonts w:hint="eastAsia" w:ascii="宋体" w:hAnsi="宋体"/>
          <w:color w:val="auto"/>
          <w:sz w:val="24"/>
          <w:szCs w:val="24"/>
        </w:rPr>
        <w:t>大</w:t>
      </w:r>
      <w:r>
        <w:rPr>
          <w:rFonts w:hint="eastAsia"/>
          <w:color w:val="auto"/>
          <w:sz w:val="24"/>
          <w:szCs w:val="24"/>
        </w:rPr>
        <w:t>气环境影响自查表</w:t>
      </w:r>
      <w:bookmarkEnd w:id="1031"/>
      <w:bookmarkEnd w:id="1032"/>
      <w:bookmarkEnd w:id="1033"/>
    </w:p>
    <w:tbl>
      <w:tblPr>
        <w:tblStyle w:val="51"/>
        <w:tblW w:w="8946" w:type="dxa"/>
        <w:tblInd w:w="111"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970"/>
        <w:gridCol w:w="1361"/>
        <w:gridCol w:w="821"/>
        <w:gridCol w:w="420"/>
        <w:gridCol w:w="292"/>
        <w:gridCol w:w="528"/>
        <w:gridCol w:w="144"/>
        <w:gridCol w:w="170"/>
        <w:gridCol w:w="312"/>
        <w:gridCol w:w="366"/>
        <w:gridCol w:w="456"/>
        <w:gridCol w:w="245"/>
        <w:gridCol w:w="200"/>
        <w:gridCol w:w="456"/>
        <w:gridCol w:w="331"/>
        <w:gridCol w:w="155"/>
        <w:gridCol w:w="30"/>
        <w:gridCol w:w="339"/>
        <w:gridCol w:w="426"/>
        <w:gridCol w:w="924"/>
      </w:tblGrid>
      <w:tr w14:paraId="710FA1D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74" w:hRule="atLeast"/>
        </w:trPr>
        <w:tc>
          <w:tcPr>
            <w:tcW w:w="2331" w:type="dxa"/>
            <w:gridSpan w:val="2"/>
            <w:vAlign w:val="center"/>
          </w:tcPr>
          <w:p w14:paraId="492FE929">
            <w:pPr>
              <w:jc w:val="center"/>
              <w:rPr>
                <w:rFonts w:hint="eastAsia" w:ascii="宋体" w:hAnsi="宋体" w:cs="宋体"/>
                <w:color w:val="auto"/>
                <w:sz w:val="18"/>
                <w:szCs w:val="18"/>
              </w:rPr>
            </w:pPr>
            <w:r>
              <w:rPr>
                <w:rFonts w:hint="eastAsia" w:ascii="宋体" w:hAnsi="宋体" w:cs="宋体"/>
                <w:color w:val="auto"/>
                <w:sz w:val="18"/>
                <w:szCs w:val="18"/>
              </w:rPr>
              <w:t>工作内容</w:t>
            </w:r>
          </w:p>
        </w:tc>
        <w:tc>
          <w:tcPr>
            <w:tcW w:w="6615" w:type="dxa"/>
            <w:gridSpan w:val="18"/>
            <w:vAlign w:val="center"/>
          </w:tcPr>
          <w:p w14:paraId="4E10AED3">
            <w:pPr>
              <w:jc w:val="center"/>
              <w:rPr>
                <w:rFonts w:hint="eastAsia" w:ascii="宋体" w:hAnsi="宋体" w:cs="宋体"/>
                <w:color w:val="auto"/>
                <w:sz w:val="18"/>
                <w:szCs w:val="18"/>
              </w:rPr>
            </w:pPr>
            <w:r>
              <w:rPr>
                <w:rFonts w:hint="eastAsia" w:ascii="宋体" w:hAnsi="宋体" w:cs="宋体"/>
                <w:color w:val="auto"/>
                <w:sz w:val="18"/>
                <w:szCs w:val="18"/>
              </w:rPr>
              <w:t>自查项目</w:t>
            </w:r>
          </w:p>
        </w:tc>
      </w:tr>
      <w:tr w14:paraId="4CD1C00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restart"/>
            <w:vAlign w:val="center"/>
          </w:tcPr>
          <w:p w14:paraId="7FC01F4C">
            <w:pPr>
              <w:jc w:val="center"/>
              <w:rPr>
                <w:rFonts w:hint="eastAsia" w:ascii="宋体" w:hAnsi="宋体" w:cs="宋体"/>
                <w:color w:val="auto"/>
                <w:sz w:val="18"/>
                <w:szCs w:val="18"/>
              </w:rPr>
            </w:pPr>
            <w:r>
              <w:rPr>
                <w:rFonts w:hint="eastAsia" w:ascii="宋体" w:hAnsi="宋体" w:cs="宋体"/>
                <w:color w:val="auto"/>
                <w:sz w:val="18"/>
                <w:szCs w:val="18"/>
              </w:rPr>
              <w:t>评价等级与范围</w:t>
            </w:r>
          </w:p>
        </w:tc>
        <w:tc>
          <w:tcPr>
            <w:tcW w:w="1361" w:type="dxa"/>
            <w:vAlign w:val="center"/>
          </w:tcPr>
          <w:p w14:paraId="087DAC5C">
            <w:pPr>
              <w:jc w:val="center"/>
              <w:rPr>
                <w:rFonts w:hint="eastAsia" w:ascii="宋体" w:hAnsi="宋体" w:cs="宋体"/>
                <w:color w:val="auto"/>
                <w:sz w:val="18"/>
                <w:szCs w:val="18"/>
              </w:rPr>
            </w:pPr>
            <w:r>
              <w:rPr>
                <w:rFonts w:hint="eastAsia" w:ascii="宋体" w:hAnsi="宋体" w:cs="宋体"/>
                <w:color w:val="auto"/>
                <w:sz w:val="18"/>
                <w:szCs w:val="18"/>
              </w:rPr>
              <w:t>评价等级</w:t>
            </w:r>
          </w:p>
        </w:tc>
        <w:tc>
          <w:tcPr>
            <w:tcW w:w="2205" w:type="dxa"/>
            <w:gridSpan w:val="5"/>
            <w:vAlign w:val="center"/>
          </w:tcPr>
          <w:p w14:paraId="584A01BD">
            <w:pPr>
              <w:jc w:val="center"/>
              <w:rPr>
                <w:rFonts w:hint="eastAsia" w:ascii="宋体" w:hAnsi="宋体" w:cs="宋体"/>
                <w:color w:val="auto"/>
                <w:sz w:val="18"/>
                <w:szCs w:val="18"/>
              </w:rPr>
            </w:pPr>
            <w:r>
              <w:rPr>
                <w:rFonts w:hint="eastAsia" w:ascii="宋体" w:hAnsi="宋体" w:cs="宋体"/>
                <w:color w:val="auto"/>
                <w:sz w:val="18"/>
                <w:szCs w:val="18"/>
              </w:rPr>
              <w:t>一级□</w:t>
            </w:r>
          </w:p>
        </w:tc>
        <w:tc>
          <w:tcPr>
            <w:tcW w:w="2205" w:type="dxa"/>
            <w:gridSpan w:val="7"/>
            <w:vAlign w:val="center"/>
          </w:tcPr>
          <w:p w14:paraId="2A3191F8">
            <w:pPr>
              <w:jc w:val="center"/>
              <w:rPr>
                <w:rFonts w:hint="eastAsia" w:ascii="宋体" w:hAnsi="宋体" w:cs="宋体"/>
                <w:color w:val="auto"/>
                <w:sz w:val="18"/>
                <w:szCs w:val="18"/>
              </w:rPr>
            </w:pPr>
            <w:r>
              <w:rPr>
                <w:rFonts w:hint="eastAsia" w:ascii="宋体" w:hAnsi="宋体" w:cs="宋体"/>
                <w:color w:val="auto"/>
                <w:sz w:val="18"/>
                <w:szCs w:val="18"/>
              </w:rPr>
              <w:t>二级</w:t>
            </w:r>
            <w:r>
              <w:rPr>
                <w:rFonts w:hint="eastAsia" w:ascii="宋体" w:hAnsi="宋体" w:cs="宋体"/>
                <w:color w:val="auto"/>
                <w:sz w:val="18"/>
                <w:szCs w:val="18"/>
              </w:rPr>
              <w:sym w:font="Wingdings 2" w:char="0052"/>
            </w:r>
          </w:p>
        </w:tc>
        <w:tc>
          <w:tcPr>
            <w:tcW w:w="2205" w:type="dxa"/>
            <w:gridSpan w:val="6"/>
            <w:vAlign w:val="center"/>
          </w:tcPr>
          <w:p w14:paraId="4AB9968F">
            <w:pPr>
              <w:jc w:val="center"/>
              <w:rPr>
                <w:rFonts w:hint="eastAsia" w:ascii="宋体" w:hAnsi="宋体" w:cs="宋体"/>
                <w:color w:val="auto"/>
                <w:sz w:val="18"/>
                <w:szCs w:val="18"/>
              </w:rPr>
            </w:pPr>
            <w:r>
              <w:rPr>
                <w:rFonts w:hint="eastAsia" w:ascii="宋体" w:hAnsi="宋体" w:cs="宋体"/>
                <w:color w:val="auto"/>
                <w:sz w:val="18"/>
                <w:szCs w:val="18"/>
              </w:rPr>
              <w:t>三级□</w:t>
            </w:r>
          </w:p>
        </w:tc>
      </w:tr>
      <w:tr w14:paraId="51B7AD1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25C05204">
            <w:pPr>
              <w:jc w:val="center"/>
              <w:rPr>
                <w:rFonts w:hint="eastAsia" w:ascii="宋体" w:hAnsi="宋体" w:cs="宋体"/>
                <w:color w:val="auto"/>
                <w:sz w:val="18"/>
                <w:szCs w:val="18"/>
              </w:rPr>
            </w:pPr>
          </w:p>
        </w:tc>
        <w:tc>
          <w:tcPr>
            <w:tcW w:w="1361" w:type="dxa"/>
            <w:vAlign w:val="center"/>
          </w:tcPr>
          <w:p w14:paraId="5E1720E5">
            <w:pPr>
              <w:jc w:val="center"/>
              <w:rPr>
                <w:rFonts w:hint="eastAsia" w:ascii="宋体" w:hAnsi="宋体" w:cs="宋体"/>
                <w:color w:val="auto"/>
                <w:sz w:val="18"/>
                <w:szCs w:val="18"/>
              </w:rPr>
            </w:pPr>
            <w:r>
              <w:rPr>
                <w:rFonts w:hint="eastAsia" w:ascii="宋体" w:hAnsi="宋体" w:cs="宋体"/>
                <w:color w:val="auto"/>
                <w:sz w:val="18"/>
                <w:szCs w:val="18"/>
              </w:rPr>
              <w:t>评价范围</w:t>
            </w:r>
          </w:p>
        </w:tc>
        <w:tc>
          <w:tcPr>
            <w:tcW w:w="2205" w:type="dxa"/>
            <w:gridSpan w:val="5"/>
            <w:vAlign w:val="center"/>
          </w:tcPr>
          <w:p w14:paraId="3855C8EF">
            <w:pPr>
              <w:jc w:val="center"/>
              <w:rPr>
                <w:rFonts w:hint="eastAsia" w:ascii="宋体" w:hAnsi="宋体" w:cs="宋体"/>
                <w:color w:val="auto"/>
                <w:sz w:val="18"/>
                <w:szCs w:val="18"/>
              </w:rPr>
            </w:pPr>
            <w:r>
              <w:rPr>
                <w:rFonts w:hint="eastAsia" w:ascii="宋体" w:hAnsi="宋体" w:cs="宋体"/>
                <w:color w:val="auto"/>
                <w:sz w:val="18"/>
                <w:szCs w:val="18"/>
              </w:rPr>
              <w:t>边长=50km□</w:t>
            </w:r>
          </w:p>
        </w:tc>
        <w:tc>
          <w:tcPr>
            <w:tcW w:w="2205" w:type="dxa"/>
            <w:gridSpan w:val="7"/>
            <w:vAlign w:val="center"/>
          </w:tcPr>
          <w:p w14:paraId="4E0A4733">
            <w:pPr>
              <w:jc w:val="center"/>
              <w:rPr>
                <w:rFonts w:hint="eastAsia" w:ascii="宋体" w:hAnsi="宋体" w:cs="宋体"/>
                <w:color w:val="auto"/>
                <w:sz w:val="18"/>
                <w:szCs w:val="18"/>
              </w:rPr>
            </w:pPr>
            <w:r>
              <w:rPr>
                <w:rFonts w:hint="eastAsia" w:ascii="宋体" w:hAnsi="宋体" w:cs="宋体"/>
                <w:color w:val="auto"/>
                <w:sz w:val="18"/>
                <w:szCs w:val="18"/>
              </w:rPr>
              <w:t>边长5～50km□</w:t>
            </w:r>
          </w:p>
        </w:tc>
        <w:tc>
          <w:tcPr>
            <w:tcW w:w="2205" w:type="dxa"/>
            <w:gridSpan w:val="6"/>
            <w:vAlign w:val="center"/>
          </w:tcPr>
          <w:p w14:paraId="7B5A4937">
            <w:pPr>
              <w:jc w:val="center"/>
              <w:rPr>
                <w:rFonts w:hint="eastAsia" w:ascii="宋体" w:hAnsi="宋体" w:cs="宋体"/>
                <w:color w:val="auto"/>
                <w:sz w:val="18"/>
                <w:szCs w:val="18"/>
              </w:rPr>
            </w:pPr>
            <w:r>
              <w:rPr>
                <w:rFonts w:hint="eastAsia" w:ascii="宋体" w:hAnsi="宋体" w:cs="宋体"/>
                <w:color w:val="auto"/>
                <w:sz w:val="18"/>
                <w:szCs w:val="18"/>
              </w:rPr>
              <w:t>边长=5km</w:t>
            </w:r>
            <w:r>
              <w:rPr>
                <w:rFonts w:hint="eastAsia" w:ascii="宋体" w:hAnsi="宋体" w:cs="宋体"/>
                <w:color w:val="auto"/>
                <w:sz w:val="18"/>
                <w:szCs w:val="18"/>
              </w:rPr>
              <w:sym w:font="Wingdings 2" w:char="0052"/>
            </w:r>
          </w:p>
        </w:tc>
      </w:tr>
      <w:tr w14:paraId="7BDCDA4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restart"/>
            <w:vAlign w:val="center"/>
          </w:tcPr>
          <w:p w14:paraId="0E77B9E7">
            <w:pPr>
              <w:jc w:val="center"/>
              <w:rPr>
                <w:rFonts w:hint="eastAsia" w:ascii="宋体" w:hAnsi="宋体" w:cs="宋体"/>
                <w:color w:val="auto"/>
                <w:sz w:val="18"/>
                <w:szCs w:val="18"/>
              </w:rPr>
            </w:pPr>
            <w:r>
              <w:rPr>
                <w:rFonts w:hint="eastAsia" w:ascii="宋体" w:hAnsi="宋体" w:cs="宋体"/>
                <w:color w:val="auto"/>
                <w:sz w:val="18"/>
                <w:szCs w:val="18"/>
              </w:rPr>
              <w:t>评价因子</w:t>
            </w:r>
          </w:p>
        </w:tc>
        <w:tc>
          <w:tcPr>
            <w:tcW w:w="1361" w:type="dxa"/>
            <w:vAlign w:val="center"/>
          </w:tcPr>
          <w:p w14:paraId="22237A08">
            <w:pPr>
              <w:jc w:val="center"/>
              <w:rPr>
                <w:rFonts w:hint="eastAsia" w:ascii="宋体" w:hAnsi="宋体" w:cs="宋体"/>
                <w:color w:val="auto"/>
                <w:sz w:val="18"/>
                <w:szCs w:val="18"/>
              </w:rPr>
            </w:pPr>
            <w:r>
              <w:rPr>
                <w:rFonts w:hint="eastAsia" w:ascii="宋体" w:hAnsi="宋体" w:cs="宋体"/>
                <w:color w:val="auto"/>
                <w:sz w:val="18"/>
                <w:szCs w:val="18"/>
              </w:rPr>
              <w:t>SO</w:t>
            </w:r>
            <w:r>
              <w:rPr>
                <w:rFonts w:hint="eastAsia" w:ascii="宋体" w:hAnsi="宋体" w:cs="宋体"/>
                <w:color w:val="auto"/>
                <w:sz w:val="18"/>
                <w:szCs w:val="18"/>
                <w:vertAlign w:val="subscript"/>
              </w:rPr>
              <w:t>2</w:t>
            </w:r>
            <w:r>
              <w:rPr>
                <w:rFonts w:hint="eastAsia" w:ascii="宋体" w:hAnsi="宋体" w:cs="宋体"/>
                <w:color w:val="auto"/>
                <w:sz w:val="18"/>
                <w:szCs w:val="18"/>
              </w:rPr>
              <w:t>+NO</w:t>
            </w:r>
            <w:r>
              <w:rPr>
                <w:rFonts w:hint="eastAsia" w:ascii="宋体" w:hAnsi="宋体" w:cs="宋体"/>
                <w:color w:val="auto"/>
                <w:sz w:val="18"/>
                <w:szCs w:val="18"/>
                <w:vertAlign w:val="subscript"/>
              </w:rPr>
              <w:t>x</w:t>
            </w:r>
            <w:r>
              <w:rPr>
                <w:rFonts w:hint="eastAsia" w:ascii="宋体" w:hAnsi="宋体" w:cs="宋体"/>
                <w:color w:val="auto"/>
                <w:sz w:val="18"/>
                <w:szCs w:val="18"/>
              </w:rPr>
              <w:t>排放量</w:t>
            </w:r>
          </w:p>
        </w:tc>
        <w:tc>
          <w:tcPr>
            <w:tcW w:w="2205" w:type="dxa"/>
            <w:gridSpan w:val="5"/>
            <w:vAlign w:val="center"/>
          </w:tcPr>
          <w:p w14:paraId="460D57B4">
            <w:pPr>
              <w:jc w:val="center"/>
              <w:rPr>
                <w:rFonts w:hint="eastAsia" w:ascii="宋体" w:hAnsi="宋体" w:cs="宋体"/>
                <w:color w:val="auto"/>
                <w:sz w:val="18"/>
                <w:szCs w:val="18"/>
              </w:rPr>
            </w:pPr>
            <w:r>
              <w:rPr>
                <w:rFonts w:hint="eastAsia" w:ascii="宋体" w:hAnsi="宋体" w:cs="宋体"/>
                <w:color w:val="auto"/>
                <w:sz w:val="18"/>
                <w:szCs w:val="18"/>
              </w:rPr>
              <w:t>≥2000t/a□</w:t>
            </w:r>
          </w:p>
        </w:tc>
        <w:tc>
          <w:tcPr>
            <w:tcW w:w="2205" w:type="dxa"/>
            <w:gridSpan w:val="7"/>
            <w:vAlign w:val="center"/>
          </w:tcPr>
          <w:p w14:paraId="08EA6338">
            <w:pPr>
              <w:jc w:val="center"/>
              <w:rPr>
                <w:rFonts w:hint="eastAsia" w:ascii="宋体" w:hAnsi="宋体" w:cs="宋体"/>
                <w:color w:val="auto"/>
                <w:sz w:val="18"/>
                <w:szCs w:val="18"/>
              </w:rPr>
            </w:pPr>
            <w:r>
              <w:rPr>
                <w:rFonts w:hint="eastAsia" w:ascii="宋体" w:hAnsi="宋体" w:cs="宋体"/>
                <w:color w:val="auto"/>
                <w:sz w:val="18"/>
                <w:szCs w:val="18"/>
              </w:rPr>
              <w:t>500～2000t/a□</w:t>
            </w:r>
          </w:p>
        </w:tc>
        <w:tc>
          <w:tcPr>
            <w:tcW w:w="2205" w:type="dxa"/>
            <w:gridSpan w:val="6"/>
            <w:vAlign w:val="center"/>
          </w:tcPr>
          <w:p w14:paraId="22ED121E">
            <w:pPr>
              <w:jc w:val="center"/>
              <w:rPr>
                <w:rFonts w:hint="eastAsia" w:ascii="宋体" w:hAnsi="宋体" w:cs="宋体"/>
                <w:color w:val="auto"/>
                <w:sz w:val="18"/>
                <w:szCs w:val="18"/>
              </w:rPr>
            </w:pPr>
            <w:r>
              <w:rPr>
                <w:rFonts w:hint="eastAsia" w:ascii="宋体" w:hAnsi="宋体" w:cs="宋体"/>
                <w:color w:val="auto"/>
                <w:sz w:val="18"/>
                <w:szCs w:val="18"/>
              </w:rPr>
              <w:t>＜500t/a□</w:t>
            </w:r>
          </w:p>
        </w:tc>
      </w:tr>
      <w:tr w14:paraId="770208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62AE6CF2">
            <w:pPr>
              <w:jc w:val="center"/>
              <w:rPr>
                <w:rFonts w:hint="eastAsia" w:ascii="宋体" w:hAnsi="宋体" w:cs="宋体"/>
                <w:color w:val="auto"/>
                <w:sz w:val="18"/>
                <w:szCs w:val="18"/>
              </w:rPr>
            </w:pPr>
          </w:p>
        </w:tc>
        <w:tc>
          <w:tcPr>
            <w:tcW w:w="1361" w:type="dxa"/>
            <w:vAlign w:val="center"/>
          </w:tcPr>
          <w:p w14:paraId="58965EB2">
            <w:pPr>
              <w:jc w:val="center"/>
              <w:rPr>
                <w:rFonts w:hint="eastAsia" w:ascii="宋体" w:hAnsi="宋体" w:cs="宋体"/>
                <w:color w:val="auto"/>
                <w:sz w:val="18"/>
                <w:szCs w:val="18"/>
              </w:rPr>
            </w:pPr>
            <w:r>
              <w:rPr>
                <w:rFonts w:hint="eastAsia" w:ascii="宋体" w:hAnsi="宋体" w:cs="宋体"/>
                <w:color w:val="auto"/>
                <w:sz w:val="18"/>
                <w:szCs w:val="18"/>
              </w:rPr>
              <w:t>评价因子</w:t>
            </w:r>
          </w:p>
        </w:tc>
        <w:tc>
          <w:tcPr>
            <w:tcW w:w="3954" w:type="dxa"/>
            <w:gridSpan w:val="11"/>
            <w:vAlign w:val="center"/>
          </w:tcPr>
          <w:p w14:paraId="1BBBCA41">
            <w:pPr>
              <w:jc w:val="center"/>
              <w:rPr>
                <w:rFonts w:hint="eastAsia" w:ascii="宋体" w:hAnsi="宋体" w:cs="宋体"/>
                <w:color w:val="auto"/>
                <w:sz w:val="18"/>
                <w:szCs w:val="18"/>
              </w:rPr>
            </w:pPr>
            <w:r>
              <w:rPr>
                <w:rFonts w:hint="eastAsia" w:ascii="宋体" w:hAnsi="宋体" w:cs="宋体"/>
                <w:color w:val="auto"/>
                <w:sz w:val="18"/>
                <w:szCs w:val="18"/>
              </w:rPr>
              <w:t>基本污染物（SO</w:t>
            </w:r>
            <w:r>
              <w:rPr>
                <w:rFonts w:hint="eastAsia" w:ascii="宋体" w:hAnsi="宋体" w:cs="宋体"/>
                <w:color w:val="auto"/>
                <w:sz w:val="18"/>
                <w:szCs w:val="18"/>
                <w:vertAlign w:val="subscript"/>
              </w:rPr>
              <w:t>2</w:t>
            </w:r>
            <w:r>
              <w:rPr>
                <w:rFonts w:hint="eastAsia" w:ascii="宋体" w:hAnsi="宋体" w:cs="宋体"/>
                <w:color w:val="auto"/>
                <w:sz w:val="18"/>
                <w:szCs w:val="18"/>
              </w:rPr>
              <w:t>、NO</w:t>
            </w:r>
            <w:r>
              <w:rPr>
                <w:rFonts w:hint="eastAsia" w:ascii="宋体" w:hAnsi="宋体" w:cs="宋体"/>
                <w:color w:val="auto"/>
                <w:sz w:val="18"/>
                <w:szCs w:val="18"/>
                <w:vertAlign w:val="subscript"/>
              </w:rPr>
              <w:t>2</w:t>
            </w:r>
            <w:r>
              <w:rPr>
                <w:rFonts w:hint="eastAsia" w:ascii="宋体" w:hAnsi="宋体" w:cs="宋体"/>
                <w:color w:val="auto"/>
                <w:sz w:val="18"/>
                <w:szCs w:val="18"/>
              </w:rPr>
              <w:t>、O</w:t>
            </w:r>
            <w:r>
              <w:rPr>
                <w:rFonts w:hint="eastAsia" w:ascii="宋体" w:hAnsi="宋体" w:cs="宋体"/>
                <w:color w:val="auto"/>
                <w:sz w:val="18"/>
                <w:szCs w:val="18"/>
                <w:vertAlign w:val="subscript"/>
              </w:rPr>
              <w:t>3</w:t>
            </w:r>
            <w:r>
              <w:rPr>
                <w:rFonts w:hint="eastAsia" w:ascii="宋体" w:hAnsi="宋体" w:cs="宋体"/>
                <w:color w:val="auto"/>
                <w:sz w:val="18"/>
                <w:szCs w:val="18"/>
              </w:rPr>
              <w:t>、CO、PM</w:t>
            </w:r>
            <w:r>
              <w:rPr>
                <w:rFonts w:hint="eastAsia" w:ascii="宋体" w:hAnsi="宋体" w:cs="宋体"/>
                <w:color w:val="auto"/>
                <w:sz w:val="18"/>
                <w:szCs w:val="18"/>
                <w:vertAlign w:val="subscript"/>
              </w:rPr>
              <w:t>10</w:t>
            </w:r>
            <w:r>
              <w:rPr>
                <w:rFonts w:hint="eastAsia" w:ascii="宋体" w:hAnsi="宋体" w:cs="宋体"/>
                <w:color w:val="auto"/>
                <w:sz w:val="18"/>
                <w:szCs w:val="18"/>
              </w:rPr>
              <w:t>、PM</w:t>
            </w:r>
            <w:r>
              <w:rPr>
                <w:rFonts w:hint="eastAsia" w:ascii="宋体" w:hAnsi="宋体" w:cs="宋体"/>
                <w:color w:val="auto"/>
                <w:sz w:val="18"/>
                <w:szCs w:val="18"/>
                <w:vertAlign w:val="subscript"/>
              </w:rPr>
              <w:t>2.5</w:t>
            </w:r>
            <w:r>
              <w:rPr>
                <w:rFonts w:hint="eastAsia" w:ascii="宋体" w:hAnsi="宋体" w:cs="宋体"/>
                <w:color w:val="auto"/>
                <w:sz w:val="18"/>
                <w:szCs w:val="18"/>
              </w:rPr>
              <w:t>）</w:t>
            </w:r>
          </w:p>
          <w:p w14:paraId="0E4ACF32">
            <w:pPr>
              <w:jc w:val="center"/>
              <w:rPr>
                <w:rFonts w:hint="eastAsia" w:ascii="宋体" w:hAnsi="宋体" w:cs="宋体"/>
                <w:color w:val="auto"/>
                <w:sz w:val="18"/>
                <w:szCs w:val="18"/>
              </w:rPr>
            </w:pPr>
            <w:r>
              <w:rPr>
                <w:rFonts w:hint="eastAsia" w:ascii="宋体" w:hAnsi="宋体" w:cs="宋体"/>
                <w:color w:val="auto"/>
                <w:sz w:val="18"/>
                <w:szCs w:val="18"/>
              </w:rPr>
              <w:t>其他污染物（NMHC和H</w:t>
            </w:r>
            <w:r>
              <w:rPr>
                <w:rFonts w:hint="eastAsia" w:ascii="宋体" w:hAnsi="宋体" w:cs="宋体"/>
                <w:color w:val="auto"/>
                <w:sz w:val="18"/>
                <w:szCs w:val="18"/>
                <w:vertAlign w:val="subscript"/>
              </w:rPr>
              <w:t>2</w:t>
            </w:r>
            <w:r>
              <w:rPr>
                <w:rFonts w:hint="eastAsia" w:ascii="宋体" w:hAnsi="宋体" w:cs="宋体"/>
                <w:color w:val="auto"/>
                <w:sz w:val="18"/>
                <w:szCs w:val="18"/>
              </w:rPr>
              <w:t>S）</w:t>
            </w:r>
          </w:p>
        </w:tc>
        <w:tc>
          <w:tcPr>
            <w:tcW w:w="2661" w:type="dxa"/>
            <w:gridSpan w:val="7"/>
            <w:vAlign w:val="center"/>
          </w:tcPr>
          <w:p w14:paraId="66FB71C0">
            <w:pPr>
              <w:jc w:val="center"/>
              <w:rPr>
                <w:rFonts w:hint="eastAsia" w:ascii="宋体" w:hAnsi="宋体" w:cs="宋体"/>
                <w:color w:val="auto"/>
                <w:sz w:val="18"/>
                <w:szCs w:val="18"/>
              </w:rPr>
            </w:pPr>
            <w:r>
              <w:rPr>
                <w:rFonts w:hint="eastAsia" w:ascii="宋体" w:hAnsi="宋体" w:cs="宋体"/>
                <w:color w:val="auto"/>
                <w:sz w:val="18"/>
                <w:szCs w:val="18"/>
              </w:rPr>
              <w:t>包括二次PM2.5□</w:t>
            </w:r>
          </w:p>
          <w:p w14:paraId="5747C29E">
            <w:pPr>
              <w:jc w:val="center"/>
              <w:rPr>
                <w:rFonts w:hint="eastAsia" w:ascii="宋体" w:hAnsi="宋体" w:cs="宋体"/>
                <w:color w:val="auto"/>
                <w:sz w:val="18"/>
                <w:szCs w:val="18"/>
              </w:rPr>
            </w:pPr>
            <w:r>
              <w:rPr>
                <w:rFonts w:hint="eastAsia" w:ascii="宋体" w:hAnsi="宋体" w:cs="宋体"/>
                <w:color w:val="auto"/>
                <w:sz w:val="18"/>
                <w:szCs w:val="18"/>
              </w:rPr>
              <w:t>不包括二次PM2.5</w:t>
            </w:r>
            <w:r>
              <w:rPr>
                <w:rFonts w:hint="eastAsia" w:ascii="宋体" w:hAnsi="宋体" w:cs="宋体"/>
                <w:color w:val="auto"/>
                <w:sz w:val="18"/>
                <w:szCs w:val="18"/>
              </w:rPr>
              <w:sym w:font="Wingdings 2" w:char="0052"/>
            </w:r>
          </w:p>
        </w:tc>
      </w:tr>
      <w:tr w14:paraId="5852E2D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Align w:val="center"/>
          </w:tcPr>
          <w:p w14:paraId="240D264A">
            <w:pPr>
              <w:jc w:val="center"/>
              <w:rPr>
                <w:rFonts w:hint="eastAsia" w:ascii="宋体" w:hAnsi="宋体" w:cs="宋体"/>
                <w:color w:val="auto"/>
                <w:sz w:val="18"/>
                <w:szCs w:val="18"/>
              </w:rPr>
            </w:pPr>
            <w:r>
              <w:rPr>
                <w:rFonts w:hint="eastAsia" w:ascii="宋体" w:hAnsi="宋体" w:cs="宋体"/>
                <w:color w:val="auto"/>
                <w:sz w:val="18"/>
                <w:szCs w:val="18"/>
              </w:rPr>
              <w:t>评价标准</w:t>
            </w:r>
          </w:p>
        </w:tc>
        <w:tc>
          <w:tcPr>
            <w:tcW w:w="1361" w:type="dxa"/>
            <w:vAlign w:val="center"/>
          </w:tcPr>
          <w:p w14:paraId="2782AE3D">
            <w:pPr>
              <w:jc w:val="center"/>
              <w:rPr>
                <w:rFonts w:hint="eastAsia" w:ascii="宋体" w:hAnsi="宋体" w:cs="宋体"/>
                <w:color w:val="auto"/>
                <w:sz w:val="18"/>
                <w:szCs w:val="18"/>
              </w:rPr>
            </w:pPr>
            <w:r>
              <w:rPr>
                <w:rFonts w:hint="eastAsia" w:ascii="宋体" w:hAnsi="宋体" w:cs="宋体"/>
                <w:color w:val="auto"/>
                <w:sz w:val="18"/>
                <w:szCs w:val="18"/>
              </w:rPr>
              <w:t>评价标准</w:t>
            </w:r>
          </w:p>
        </w:tc>
        <w:tc>
          <w:tcPr>
            <w:tcW w:w="2061" w:type="dxa"/>
            <w:gridSpan w:val="4"/>
            <w:vAlign w:val="center"/>
          </w:tcPr>
          <w:p w14:paraId="5B632D54">
            <w:pPr>
              <w:jc w:val="center"/>
              <w:rPr>
                <w:rFonts w:hint="eastAsia" w:ascii="宋体" w:hAnsi="宋体" w:cs="宋体"/>
                <w:color w:val="auto"/>
                <w:sz w:val="18"/>
                <w:szCs w:val="18"/>
              </w:rPr>
            </w:pPr>
            <w:r>
              <w:rPr>
                <w:rFonts w:hint="eastAsia" w:ascii="宋体" w:hAnsi="宋体" w:cs="宋体"/>
                <w:color w:val="auto"/>
                <w:sz w:val="18"/>
                <w:szCs w:val="18"/>
              </w:rPr>
              <w:t>国家标准</w:t>
            </w:r>
            <w:r>
              <w:rPr>
                <w:rFonts w:hint="eastAsia" w:ascii="宋体" w:hAnsi="宋体" w:cs="宋体"/>
                <w:color w:val="auto"/>
                <w:sz w:val="18"/>
                <w:szCs w:val="18"/>
              </w:rPr>
              <w:sym w:font="Wingdings 2" w:char="0052"/>
            </w:r>
          </w:p>
        </w:tc>
        <w:tc>
          <w:tcPr>
            <w:tcW w:w="1693" w:type="dxa"/>
            <w:gridSpan w:val="6"/>
            <w:vAlign w:val="center"/>
          </w:tcPr>
          <w:p w14:paraId="06CEE130">
            <w:pPr>
              <w:jc w:val="center"/>
              <w:rPr>
                <w:rFonts w:hint="eastAsia" w:ascii="宋体" w:hAnsi="宋体" w:cs="宋体"/>
                <w:color w:val="auto"/>
                <w:sz w:val="18"/>
                <w:szCs w:val="18"/>
              </w:rPr>
            </w:pPr>
            <w:r>
              <w:rPr>
                <w:rFonts w:hint="eastAsia" w:ascii="宋体" w:hAnsi="宋体" w:cs="宋体"/>
                <w:color w:val="auto"/>
                <w:sz w:val="18"/>
                <w:szCs w:val="18"/>
              </w:rPr>
              <w:t>地方标准□</w:t>
            </w:r>
          </w:p>
        </w:tc>
        <w:tc>
          <w:tcPr>
            <w:tcW w:w="1511" w:type="dxa"/>
            <w:gridSpan w:val="6"/>
            <w:vAlign w:val="center"/>
          </w:tcPr>
          <w:p w14:paraId="49A1909B">
            <w:pPr>
              <w:jc w:val="center"/>
              <w:rPr>
                <w:rFonts w:hint="eastAsia" w:ascii="宋体" w:hAnsi="宋体" w:cs="宋体"/>
                <w:color w:val="auto"/>
                <w:sz w:val="18"/>
                <w:szCs w:val="18"/>
              </w:rPr>
            </w:pPr>
            <w:r>
              <w:rPr>
                <w:rFonts w:hint="eastAsia" w:ascii="宋体" w:hAnsi="宋体" w:cs="宋体"/>
                <w:color w:val="auto"/>
                <w:sz w:val="18"/>
                <w:szCs w:val="18"/>
              </w:rPr>
              <w:t>附录D□</w:t>
            </w:r>
          </w:p>
        </w:tc>
        <w:tc>
          <w:tcPr>
            <w:tcW w:w="1350" w:type="dxa"/>
            <w:gridSpan w:val="2"/>
            <w:vAlign w:val="center"/>
          </w:tcPr>
          <w:p w14:paraId="56355D8E">
            <w:pPr>
              <w:jc w:val="center"/>
              <w:rPr>
                <w:rFonts w:hint="eastAsia" w:ascii="宋体" w:hAnsi="宋体" w:cs="宋体"/>
                <w:color w:val="auto"/>
                <w:sz w:val="18"/>
                <w:szCs w:val="18"/>
              </w:rPr>
            </w:pPr>
            <w:r>
              <w:rPr>
                <w:rFonts w:hint="eastAsia" w:ascii="宋体" w:hAnsi="宋体" w:cs="宋体"/>
                <w:color w:val="auto"/>
                <w:sz w:val="18"/>
                <w:szCs w:val="18"/>
              </w:rPr>
              <w:t>其他标准</w:t>
            </w:r>
            <w:r>
              <w:rPr>
                <w:rFonts w:hint="eastAsia" w:ascii="宋体" w:hAnsi="宋体" w:cs="宋体"/>
                <w:color w:val="auto"/>
                <w:sz w:val="18"/>
                <w:szCs w:val="18"/>
              </w:rPr>
              <w:sym w:font="Wingdings 2" w:char="0052"/>
            </w:r>
          </w:p>
        </w:tc>
      </w:tr>
      <w:tr w14:paraId="301C172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restart"/>
            <w:vAlign w:val="center"/>
          </w:tcPr>
          <w:p w14:paraId="7ED5D654">
            <w:pPr>
              <w:jc w:val="center"/>
              <w:rPr>
                <w:rFonts w:hint="eastAsia" w:ascii="宋体" w:hAnsi="宋体" w:cs="宋体"/>
                <w:color w:val="auto"/>
                <w:sz w:val="18"/>
                <w:szCs w:val="18"/>
              </w:rPr>
            </w:pPr>
            <w:r>
              <w:rPr>
                <w:rFonts w:hint="eastAsia" w:ascii="宋体" w:hAnsi="宋体" w:cs="宋体"/>
                <w:color w:val="auto"/>
                <w:sz w:val="18"/>
                <w:szCs w:val="18"/>
              </w:rPr>
              <w:t>现状评价</w:t>
            </w:r>
          </w:p>
        </w:tc>
        <w:tc>
          <w:tcPr>
            <w:tcW w:w="1361" w:type="dxa"/>
            <w:vAlign w:val="center"/>
          </w:tcPr>
          <w:p w14:paraId="6C8C4E7F">
            <w:pPr>
              <w:jc w:val="center"/>
              <w:rPr>
                <w:rFonts w:hint="eastAsia" w:ascii="宋体" w:hAnsi="宋体" w:cs="宋体"/>
                <w:color w:val="auto"/>
                <w:sz w:val="18"/>
                <w:szCs w:val="18"/>
              </w:rPr>
            </w:pPr>
            <w:r>
              <w:rPr>
                <w:rFonts w:hint="eastAsia" w:ascii="宋体" w:hAnsi="宋体" w:cs="宋体"/>
                <w:color w:val="auto"/>
                <w:sz w:val="18"/>
                <w:szCs w:val="18"/>
              </w:rPr>
              <w:t>环境功能区</w:t>
            </w:r>
          </w:p>
        </w:tc>
        <w:tc>
          <w:tcPr>
            <w:tcW w:w="2205" w:type="dxa"/>
            <w:gridSpan w:val="5"/>
            <w:vAlign w:val="center"/>
          </w:tcPr>
          <w:p w14:paraId="5DAC5340">
            <w:pPr>
              <w:jc w:val="center"/>
              <w:rPr>
                <w:rFonts w:hint="eastAsia" w:ascii="宋体" w:hAnsi="宋体" w:cs="宋体"/>
                <w:color w:val="auto"/>
                <w:sz w:val="18"/>
                <w:szCs w:val="18"/>
              </w:rPr>
            </w:pPr>
            <w:r>
              <w:rPr>
                <w:rFonts w:hint="eastAsia" w:ascii="宋体" w:hAnsi="宋体" w:cs="宋体"/>
                <w:color w:val="auto"/>
                <w:sz w:val="18"/>
                <w:szCs w:val="18"/>
              </w:rPr>
              <w:t>一类区□</w:t>
            </w:r>
          </w:p>
        </w:tc>
        <w:tc>
          <w:tcPr>
            <w:tcW w:w="2205" w:type="dxa"/>
            <w:gridSpan w:val="7"/>
            <w:vAlign w:val="center"/>
          </w:tcPr>
          <w:p w14:paraId="3702947E">
            <w:pPr>
              <w:jc w:val="center"/>
              <w:rPr>
                <w:rFonts w:hint="eastAsia" w:ascii="宋体" w:hAnsi="宋体" w:cs="宋体"/>
                <w:color w:val="auto"/>
                <w:sz w:val="18"/>
                <w:szCs w:val="18"/>
              </w:rPr>
            </w:pPr>
            <w:r>
              <w:rPr>
                <w:rFonts w:hint="eastAsia" w:ascii="宋体" w:hAnsi="宋体" w:cs="宋体"/>
                <w:color w:val="auto"/>
                <w:sz w:val="18"/>
                <w:szCs w:val="18"/>
              </w:rPr>
              <w:t>二类区</w:t>
            </w:r>
            <w:r>
              <w:rPr>
                <w:rFonts w:hint="eastAsia" w:ascii="宋体" w:hAnsi="宋体" w:cs="宋体"/>
                <w:color w:val="auto"/>
                <w:sz w:val="18"/>
                <w:szCs w:val="18"/>
              </w:rPr>
              <w:sym w:font="Wingdings 2" w:char="0052"/>
            </w:r>
          </w:p>
        </w:tc>
        <w:tc>
          <w:tcPr>
            <w:tcW w:w="2205" w:type="dxa"/>
            <w:gridSpan w:val="6"/>
            <w:vAlign w:val="center"/>
          </w:tcPr>
          <w:p w14:paraId="7907823B">
            <w:pPr>
              <w:jc w:val="center"/>
              <w:rPr>
                <w:rFonts w:hint="eastAsia" w:ascii="宋体" w:hAnsi="宋体" w:cs="宋体"/>
                <w:color w:val="auto"/>
                <w:sz w:val="18"/>
                <w:szCs w:val="18"/>
              </w:rPr>
            </w:pPr>
            <w:r>
              <w:rPr>
                <w:rFonts w:hint="eastAsia" w:ascii="宋体" w:hAnsi="宋体" w:cs="宋体"/>
                <w:color w:val="auto"/>
                <w:sz w:val="18"/>
                <w:szCs w:val="18"/>
              </w:rPr>
              <w:t>一类区和二类区□</w:t>
            </w:r>
          </w:p>
        </w:tc>
      </w:tr>
      <w:tr w14:paraId="6E01DB4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4" w:hRule="atLeast"/>
        </w:trPr>
        <w:tc>
          <w:tcPr>
            <w:tcW w:w="970" w:type="dxa"/>
            <w:vMerge w:val="continue"/>
            <w:vAlign w:val="center"/>
          </w:tcPr>
          <w:p w14:paraId="40B22264">
            <w:pPr>
              <w:jc w:val="center"/>
              <w:rPr>
                <w:rFonts w:hint="eastAsia" w:ascii="宋体" w:hAnsi="宋体" w:cs="宋体"/>
                <w:color w:val="auto"/>
                <w:sz w:val="18"/>
                <w:szCs w:val="18"/>
              </w:rPr>
            </w:pPr>
          </w:p>
        </w:tc>
        <w:tc>
          <w:tcPr>
            <w:tcW w:w="1361" w:type="dxa"/>
            <w:vAlign w:val="center"/>
          </w:tcPr>
          <w:p w14:paraId="0CDE38A3">
            <w:pPr>
              <w:jc w:val="center"/>
              <w:rPr>
                <w:rFonts w:hint="eastAsia" w:ascii="宋体" w:hAnsi="宋体" w:cs="宋体"/>
                <w:color w:val="auto"/>
                <w:sz w:val="18"/>
                <w:szCs w:val="18"/>
              </w:rPr>
            </w:pPr>
            <w:r>
              <w:rPr>
                <w:rFonts w:hint="eastAsia" w:ascii="宋体" w:hAnsi="宋体" w:cs="宋体"/>
                <w:color w:val="auto"/>
                <w:sz w:val="18"/>
                <w:szCs w:val="18"/>
              </w:rPr>
              <w:t>评价基准年</w:t>
            </w:r>
          </w:p>
        </w:tc>
        <w:tc>
          <w:tcPr>
            <w:tcW w:w="6615" w:type="dxa"/>
            <w:gridSpan w:val="18"/>
            <w:vAlign w:val="center"/>
          </w:tcPr>
          <w:p w14:paraId="442F84AE">
            <w:pPr>
              <w:jc w:val="center"/>
              <w:rPr>
                <w:rFonts w:hint="eastAsia" w:ascii="宋体" w:hAnsi="宋体" w:cs="宋体"/>
                <w:color w:val="auto"/>
                <w:sz w:val="18"/>
                <w:szCs w:val="18"/>
              </w:rPr>
            </w:pPr>
            <w:r>
              <w:rPr>
                <w:rFonts w:hint="eastAsia" w:ascii="宋体" w:hAnsi="宋体" w:cs="宋体"/>
                <w:color w:val="auto"/>
                <w:sz w:val="18"/>
                <w:szCs w:val="18"/>
              </w:rPr>
              <w:t>（20</w:t>
            </w:r>
            <w:r>
              <w:rPr>
                <w:rFonts w:ascii="宋体" w:hAnsi="宋体" w:cs="宋体"/>
                <w:color w:val="auto"/>
                <w:sz w:val="18"/>
                <w:szCs w:val="18"/>
              </w:rPr>
              <w:t>2</w:t>
            </w:r>
            <w:r>
              <w:rPr>
                <w:rFonts w:hint="eastAsia" w:ascii="宋体" w:hAnsi="宋体" w:cs="宋体"/>
                <w:color w:val="auto"/>
                <w:sz w:val="18"/>
                <w:szCs w:val="18"/>
              </w:rPr>
              <w:t>4）年</w:t>
            </w:r>
          </w:p>
        </w:tc>
      </w:tr>
      <w:tr w14:paraId="3A009DF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58462B5A">
            <w:pPr>
              <w:jc w:val="center"/>
              <w:rPr>
                <w:rFonts w:hint="eastAsia" w:ascii="宋体" w:hAnsi="宋体" w:cs="宋体"/>
                <w:color w:val="auto"/>
                <w:sz w:val="18"/>
                <w:szCs w:val="18"/>
              </w:rPr>
            </w:pPr>
          </w:p>
        </w:tc>
        <w:tc>
          <w:tcPr>
            <w:tcW w:w="1361" w:type="dxa"/>
            <w:vAlign w:val="center"/>
          </w:tcPr>
          <w:p w14:paraId="16F9FF94">
            <w:pPr>
              <w:jc w:val="center"/>
              <w:rPr>
                <w:rFonts w:hint="eastAsia" w:ascii="宋体" w:hAnsi="宋体" w:cs="宋体"/>
                <w:color w:val="auto"/>
                <w:sz w:val="18"/>
                <w:szCs w:val="18"/>
              </w:rPr>
            </w:pPr>
            <w:r>
              <w:rPr>
                <w:rFonts w:hint="eastAsia" w:ascii="宋体" w:hAnsi="宋体" w:cs="宋体"/>
                <w:color w:val="auto"/>
                <w:sz w:val="18"/>
                <w:szCs w:val="18"/>
              </w:rPr>
              <w:t>环境空气质量现状调查数据来源</w:t>
            </w:r>
          </w:p>
        </w:tc>
        <w:tc>
          <w:tcPr>
            <w:tcW w:w="2205" w:type="dxa"/>
            <w:gridSpan w:val="5"/>
            <w:vAlign w:val="center"/>
          </w:tcPr>
          <w:p w14:paraId="0FCE891D">
            <w:pPr>
              <w:jc w:val="center"/>
              <w:rPr>
                <w:rFonts w:hint="eastAsia" w:ascii="宋体" w:hAnsi="宋体" w:cs="宋体"/>
                <w:color w:val="auto"/>
                <w:sz w:val="18"/>
                <w:szCs w:val="18"/>
              </w:rPr>
            </w:pPr>
            <w:r>
              <w:rPr>
                <w:rFonts w:hint="eastAsia" w:ascii="宋体" w:hAnsi="宋体" w:cs="宋体"/>
                <w:color w:val="auto"/>
                <w:sz w:val="18"/>
                <w:szCs w:val="18"/>
              </w:rPr>
              <w:t>长期例行监测数据□</w:t>
            </w:r>
          </w:p>
        </w:tc>
        <w:tc>
          <w:tcPr>
            <w:tcW w:w="2205" w:type="dxa"/>
            <w:gridSpan w:val="7"/>
            <w:vAlign w:val="center"/>
          </w:tcPr>
          <w:p w14:paraId="016EE7CB">
            <w:pPr>
              <w:jc w:val="center"/>
              <w:rPr>
                <w:rFonts w:hint="eastAsia" w:ascii="宋体" w:hAnsi="宋体" w:cs="宋体"/>
                <w:color w:val="auto"/>
                <w:sz w:val="18"/>
                <w:szCs w:val="18"/>
              </w:rPr>
            </w:pPr>
            <w:r>
              <w:rPr>
                <w:rFonts w:hint="eastAsia" w:ascii="宋体" w:hAnsi="宋体" w:cs="宋体"/>
                <w:color w:val="auto"/>
                <w:sz w:val="18"/>
                <w:szCs w:val="18"/>
              </w:rPr>
              <w:t>主管部门发布的数据</w:t>
            </w:r>
            <w:r>
              <w:rPr>
                <w:rFonts w:hint="eastAsia" w:ascii="宋体" w:hAnsi="宋体" w:cs="宋体"/>
                <w:color w:val="auto"/>
                <w:sz w:val="18"/>
                <w:szCs w:val="18"/>
              </w:rPr>
              <w:sym w:font="Wingdings 2" w:char="0052"/>
            </w:r>
          </w:p>
        </w:tc>
        <w:tc>
          <w:tcPr>
            <w:tcW w:w="2205" w:type="dxa"/>
            <w:gridSpan w:val="6"/>
            <w:vAlign w:val="center"/>
          </w:tcPr>
          <w:p w14:paraId="16BF0A73">
            <w:pPr>
              <w:jc w:val="center"/>
              <w:rPr>
                <w:rFonts w:hint="eastAsia" w:ascii="宋体" w:hAnsi="宋体" w:cs="宋体"/>
                <w:color w:val="auto"/>
                <w:sz w:val="18"/>
                <w:szCs w:val="18"/>
              </w:rPr>
            </w:pPr>
            <w:r>
              <w:rPr>
                <w:rFonts w:hint="eastAsia" w:ascii="宋体" w:hAnsi="宋体" w:cs="宋体"/>
                <w:color w:val="auto"/>
                <w:sz w:val="18"/>
                <w:szCs w:val="18"/>
              </w:rPr>
              <w:t>现状补充监测</w:t>
            </w:r>
            <w:r>
              <w:rPr>
                <w:rFonts w:hint="eastAsia" w:ascii="宋体" w:hAnsi="宋体" w:cs="宋体"/>
                <w:color w:val="auto"/>
                <w:sz w:val="18"/>
                <w:szCs w:val="18"/>
              </w:rPr>
              <w:sym w:font="Wingdings 2" w:char="0052"/>
            </w:r>
          </w:p>
        </w:tc>
      </w:tr>
      <w:tr w14:paraId="016F935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6" w:hRule="atLeast"/>
        </w:trPr>
        <w:tc>
          <w:tcPr>
            <w:tcW w:w="970" w:type="dxa"/>
            <w:vMerge w:val="continue"/>
            <w:vAlign w:val="center"/>
          </w:tcPr>
          <w:p w14:paraId="44B9F1CD">
            <w:pPr>
              <w:jc w:val="center"/>
              <w:rPr>
                <w:rFonts w:hint="eastAsia" w:ascii="宋体" w:hAnsi="宋体" w:cs="宋体"/>
                <w:color w:val="auto"/>
                <w:sz w:val="18"/>
                <w:szCs w:val="18"/>
              </w:rPr>
            </w:pPr>
          </w:p>
        </w:tc>
        <w:tc>
          <w:tcPr>
            <w:tcW w:w="1361" w:type="dxa"/>
            <w:vAlign w:val="center"/>
          </w:tcPr>
          <w:p w14:paraId="2C7E236F">
            <w:pPr>
              <w:jc w:val="center"/>
              <w:rPr>
                <w:rFonts w:hint="eastAsia" w:ascii="宋体" w:hAnsi="宋体" w:cs="宋体"/>
                <w:color w:val="auto"/>
                <w:sz w:val="18"/>
                <w:szCs w:val="18"/>
              </w:rPr>
            </w:pPr>
            <w:r>
              <w:rPr>
                <w:rFonts w:hint="eastAsia" w:ascii="宋体" w:hAnsi="宋体" w:cs="宋体"/>
                <w:color w:val="auto"/>
                <w:sz w:val="18"/>
                <w:szCs w:val="18"/>
              </w:rPr>
              <w:t>现状评价</w:t>
            </w:r>
          </w:p>
        </w:tc>
        <w:tc>
          <w:tcPr>
            <w:tcW w:w="3754" w:type="dxa"/>
            <w:gridSpan w:val="10"/>
            <w:vAlign w:val="center"/>
          </w:tcPr>
          <w:p w14:paraId="7E222A9E">
            <w:pPr>
              <w:jc w:val="center"/>
              <w:rPr>
                <w:rFonts w:hint="eastAsia" w:ascii="宋体" w:hAnsi="宋体" w:cs="宋体"/>
                <w:color w:val="auto"/>
                <w:sz w:val="18"/>
                <w:szCs w:val="18"/>
              </w:rPr>
            </w:pPr>
            <w:r>
              <w:rPr>
                <w:rFonts w:hint="eastAsia" w:ascii="宋体" w:hAnsi="宋体" w:cs="宋体"/>
                <w:color w:val="auto"/>
                <w:sz w:val="18"/>
                <w:szCs w:val="18"/>
              </w:rPr>
              <w:t>达标区□</w:t>
            </w:r>
          </w:p>
        </w:tc>
        <w:tc>
          <w:tcPr>
            <w:tcW w:w="2861" w:type="dxa"/>
            <w:gridSpan w:val="8"/>
            <w:vAlign w:val="center"/>
          </w:tcPr>
          <w:p w14:paraId="7FC9F2AB">
            <w:pPr>
              <w:jc w:val="center"/>
              <w:rPr>
                <w:rFonts w:hint="eastAsia" w:ascii="宋体" w:hAnsi="宋体" w:cs="宋体"/>
                <w:color w:val="auto"/>
                <w:sz w:val="18"/>
                <w:szCs w:val="18"/>
              </w:rPr>
            </w:pPr>
            <w:r>
              <w:rPr>
                <w:rFonts w:hint="eastAsia" w:ascii="宋体" w:hAnsi="宋体" w:cs="宋体"/>
                <w:color w:val="auto"/>
                <w:sz w:val="18"/>
                <w:szCs w:val="18"/>
              </w:rPr>
              <w:t>不达标区</w:t>
            </w:r>
            <w:r>
              <w:rPr>
                <w:rFonts w:hint="eastAsia" w:ascii="宋体" w:hAnsi="宋体" w:cs="宋体"/>
                <w:color w:val="auto"/>
                <w:sz w:val="18"/>
                <w:szCs w:val="18"/>
              </w:rPr>
              <w:sym w:font="Wingdings 2" w:char="0052"/>
            </w:r>
          </w:p>
        </w:tc>
      </w:tr>
      <w:tr w14:paraId="4D55E4D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Align w:val="center"/>
          </w:tcPr>
          <w:p w14:paraId="30735462">
            <w:pPr>
              <w:jc w:val="center"/>
              <w:rPr>
                <w:rFonts w:hint="eastAsia" w:ascii="宋体" w:hAnsi="宋体" w:cs="宋体"/>
                <w:color w:val="auto"/>
                <w:sz w:val="18"/>
                <w:szCs w:val="18"/>
              </w:rPr>
            </w:pPr>
            <w:r>
              <w:rPr>
                <w:rFonts w:hint="eastAsia" w:ascii="宋体" w:hAnsi="宋体" w:cs="宋体"/>
                <w:color w:val="auto"/>
                <w:sz w:val="18"/>
                <w:szCs w:val="18"/>
              </w:rPr>
              <w:t>污染源</w:t>
            </w:r>
          </w:p>
          <w:p w14:paraId="5378F1CB">
            <w:pPr>
              <w:jc w:val="center"/>
              <w:rPr>
                <w:rFonts w:hint="eastAsia" w:ascii="宋体" w:hAnsi="宋体" w:cs="宋体"/>
                <w:color w:val="auto"/>
                <w:sz w:val="18"/>
                <w:szCs w:val="18"/>
              </w:rPr>
            </w:pPr>
            <w:r>
              <w:rPr>
                <w:rFonts w:hint="eastAsia" w:ascii="宋体" w:hAnsi="宋体" w:cs="宋体"/>
                <w:color w:val="auto"/>
                <w:sz w:val="18"/>
                <w:szCs w:val="18"/>
              </w:rPr>
              <w:t>调查</w:t>
            </w:r>
          </w:p>
        </w:tc>
        <w:tc>
          <w:tcPr>
            <w:tcW w:w="1361" w:type="dxa"/>
            <w:vAlign w:val="center"/>
          </w:tcPr>
          <w:p w14:paraId="61E0D4F2">
            <w:pPr>
              <w:jc w:val="center"/>
              <w:rPr>
                <w:rFonts w:hint="eastAsia" w:ascii="宋体" w:hAnsi="宋体" w:cs="宋体"/>
                <w:color w:val="auto"/>
                <w:sz w:val="18"/>
                <w:szCs w:val="18"/>
              </w:rPr>
            </w:pPr>
            <w:r>
              <w:rPr>
                <w:rFonts w:hint="eastAsia" w:ascii="宋体" w:hAnsi="宋体" w:cs="宋体"/>
                <w:color w:val="auto"/>
                <w:sz w:val="18"/>
                <w:szCs w:val="18"/>
              </w:rPr>
              <w:t>调查内容</w:t>
            </w:r>
          </w:p>
        </w:tc>
        <w:tc>
          <w:tcPr>
            <w:tcW w:w="2061" w:type="dxa"/>
            <w:gridSpan w:val="4"/>
            <w:vAlign w:val="center"/>
          </w:tcPr>
          <w:p w14:paraId="09562222">
            <w:pPr>
              <w:jc w:val="left"/>
              <w:rPr>
                <w:rFonts w:hint="eastAsia" w:ascii="宋体" w:hAnsi="宋体" w:cs="宋体"/>
                <w:color w:val="auto"/>
                <w:sz w:val="18"/>
                <w:szCs w:val="18"/>
              </w:rPr>
            </w:pPr>
            <w:r>
              <w:rPr>
                <w:rFonts w:hint="eastAsia" w:ascii="宋体" w:hAnsi="宋体" w:cs="宋体"/>
                <w:color w:val="auto"/>
                <w:sz w:val="18"/>
                <w:szCs w:val="18"/>
              </w:rPr>
              <w:t>本工程正常排放源</w:t>
            </w:r>
            <w:r>
              <w:rPr>
                <w:rFonts w:hint="eastAsia" w:ascii="宋体" w:hAnsi="宋体" w:cs="宋体"/>
                <w:color w:val="auto"/>
                <w:sz w:val="18"/>
                <w:szCs w:val="18"/>
              </w:rPr>
              <w:sym w:font="Wingdings 2" w:char="0052"/>
            </w:r>
          </w:p>
          <w:p w14:paraId="48681A23">
            <w:pPr>
              <w:jc w:val="left"/>
              <w:rPr>
                <w:rFonts w:hint="eastAsia" w:ascii="宋体" w:hAnsi="宋体" w:cs="宋体"/>
                <w:color w:val="auto"/>
                <w:sz w:val="18"/>
                <w:szCs w:val="18"/>
              </w:rPr>
            </w:pPr>
            <w:r>
              <w:rPr>
                <w:rFonts w:hint="eastAsia" w:ascii="宋体" w:hAnsi="宋体" w:cs="宋体"/>
                <w:color w:val="auto"/>
                <w:sz w:val="18"/>
                <w:szCs w:val="18"/>
              </w:rPr>
              <w:t>本工程非正常排放源□</w:t>
            </w:r>
          </w:p>
          <w:p w14:paraId="5CBF9BDC">
            <w:pPr>
              <w:jc w:val="left"/>
              <w:rPr>
                <w:rFonts w:hint="eastAsia" w:ascii="宋体" w:hAnsi="宋体" w:cs="宋体"/>
                <w:color w:val="auto"/>
                <w:sz w:val="18"/>
                <w:szCs w:val="18"/>
              </w:rPr>
            </w:pPr>
            <w:r>
              <w:rPr>
                <w:rFonts w:hint="eastAsia" w:ascii="宋体" w:hAnsi="宋体" w:cs="宋体"/>
                <w:color w:val="auto"/>
                <w:sz w:val="18"/>
                <w:szCs w:val="18"/>
              </w:rPr>
              <w:t>现有污染源□</w:t>
            </w:r>
          </w:p>
        </w:tc>
        <w:tc>
          <w:tcPr>
            <w:tcW w:w="1693" w:type="dxa"/>
            <w:gridSpan w:val="6"/>
            <w:vAlign w:val="center"/>
          </w:tcPr>
          <w:p w14:paraId="3DCB3D62">
            <w:pPr>
              <w:jc w:val="center"/>
              <w:rPr>
                <w:rFonts w:hint="eastAsia" w:ascii="宋体" w:hAnsi="宋体" w:cs="宋体"/>
                <w:color w:val="auto"/>
                <w:sz w:val="18"/>
                <w:szCs w:val="18"/>
              </w:rPr>
            </w:pPr>
            <w:r>
              <w:rPr>
                <w:rFonts w:hint="eastAsia" w:ascii="宋体" w:hAnsi="宋体" w:cs="宋体"/>
                <w:color w:val="auto"/>
                <w:sz w:val="18"/>
                <w:szCs w:val="18"/>
              </w:rPr>
              <w:t>拟替代的污染源□</w:t>
            </w:r>
          </w:p>
        </w:tc>
        <w:tc>
          <w:tcPr>
            <w:tcW w:w="1511" w:type="dxa"/>
            <w:gridSpan w:val="6"/>
            <w:vAlign w:val="center"/>
          </w:tcPr>
          <w:p w14:paraId="38FEB91C">
            <w:pPr>
              <w:jc w:val="center"/>
              <w:rPr>
                <w:rFonts w:hint="eastAsia" w:ascii="宋体" w:hAnsi="宋体" w:cs="宋体"/>
                <w:color w:val="auto"/>
                <w:sz w:val="18"/>
                <w:szCs w:val="18"/>
              </w:rPr>
            </w:pPr>
            <w:r>
              <w:rPr>
                <w:rFonts w:hint="eastAsia" w:ascii="宋体" w:hAnsi="宋体" w:cs="宋体"/>
                <w:color w:val="auto"/>
                <w:sz w:val="18"/>
                <w:szCs w:val="18"/>
              </w:rPr>
              <w:t>其他在建、拟建项目污染源□</w:t>
            </w:r>
          </w:p>
        </w:tc>
        <w:tc>
          <w:tcPr>
            <w:tcW w:w="1350" w:type="dxa"/>
            <w:gridSpan w:val="2"/>
            <w:vAlign w:val="center"/>
          </w:tcPr>
          <w:p w14:paraId="1F103F37">
            <w:pPr>
              <w:jc w:val="center"/>
              <w:rPr>
                <w:rFonts w:hint="eastAsia" w:ascii="宋体" w:hAnsi="宋体" w:cs="宋体"/>
                <w:color w:val="auto"/>
                <w:sz w:val="18"/>
                <w:szCs w:val="18"/>
              </w:rPr>
            </w:pPr>
            <w:r>
              <w:rPr>
                <w:rFonts w:hint="eastAsia" w:ascii="宋体" w:hAnsi="宋体" w:cs="宋体"/>
                <w:color w:val="auto"/>
                <w:sz w:val="18"/>
                <w:szCs w:val="18"/>
              </w:rPr>
              <w:t>区域污染源□</w:t>
            </w:r>
          </w:p>
        </w:tc>
      </w:tr>
      <w:tr w14:paraId="357851F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restart"/>
            <w:vAlign w:val="center"/>
          </w:tcPr>
          <w:p w14:paraId="7339E1DA">
            <w:pPr>
              <w:jc w:val="center"/>
              <w:rPr>
                <w:rFonts w:hint="eastAsia" w:ascii="宋体" w:hAnsi="宋体" w:cs="宋体"/>
                <w:color w:val="auto"/>
                <w:sz w:val="18"/>
                <w:szCs w:val="18"/>
              </w:rPr>
            </w:pPr>
            <w:r>
              <w:rPr>
                <w:rFonts w:hint="eastAsia" w:ascii="宋体" w:hAnsi="宋体" w:cs="宋体"/>
                <w:color w:val="auto"/>
                <w:sz w:val="18"/>
                <w:szCs w:val="18"/>
              </w:rPr>
              <w:t>大气环境影响预测与评价</w:t>
            </w:r>
          </w:p>
        </w:tc>
        <w:tc>
          <w:tcPr>
            <w:tcW w:w="1361" w:type="dxa"/>
            <w:vAlign w:val="center"/>
          </w:tcPr>
          <w:p w14:paraId="0E9A53CC">
            <w:pPr>
              <w:jc w:val="center"/>
              <w:rPr>
                <w:rFonts w:hint="eastAsia" w:ascii="宋体" w:hAnsi="宋体" w:cs="宋体"/>
                <w:color w:val="auto"/>
                <w:sz w:val="18"/>
                <w:szCs w:val="18"/>
              </w:rPr>
            </w:pPr>
            <w:r>
              <w:rPr>
                <w:rFonts w:hint="eastAsia" w:ascii="宋体" w:hAnsi="宋体" w:cs="宋体"/>
                <w:color w:val="auto"/>
                <w:sz w:val="18"/>
                <w:szCs w:val="18"/>
              </w:rPr>
              <w:t>预测模型</w:t>
            </w:r>
          </w:p>
        </w:tc>
        <w:tc>
          <w:tcPr>
            <w:tcW w:w="821" w:type="dxa"/>
            <w:vAlign w:val="center"/>
          </w:tcPr>
          <w:p w14:paraId="518D664A">
            <w:pPr>
              <w:jc w:val="center"/>
              <w:rPr>
                <w:rFonts w:hint="eastAsia" w:ascii="宋体" w:hAnsi="宋体" w:cs="宋体"/>
                <w:color w:val="auto"/>
                <w:sz w:val="18"/>
                <w:szCs w:val="18"/>
              </w:rPr>
            </w:pPr>
            <w:r>
              <w:rPr>
                <w:rFonts w:hint="eastAsia" w:ascii="宋体" w:hAnsi="宋体" w:cs="宋体"/>
                <w:color w:val="auto"/>
                <w:sz w:val="18"/>
                <w:szCs w:val="18"/>
              </w:rPr>
              <w:t>AERMOD□</w:t>
            </w:r>
          </w:p>
        </w:tc>
        <w:tc>
          <w:tcPr>
            <w:tcW w:w="712" w:type="dxa"/>
            <w:gridSpan w:val="2"/>
            <w:vAlign w:val="center"/>
          </w:tcPr>
          <w:p w14:paraId="389A1307">
            <w:pPr>
              <w:jc w:val="center"/>
              <w:rPr>
                <w:rFonts w:hint="eastAsia" w:ascii="宋体" w:hAnsi="宋体" w:cs="宋体"/>
                <w:color w:val="auto"/>
                <w:sz w:val="18"/>
                <w:szCs w:val="18"/>
              </w:rPr>
            </w:pPr>
            <w:r>
              <w:rPr>
                <w:rFonts w:hint="eastAsia" w:ascii="宋体" w:hAnsi="宋体" w:cs="宋体"/>
                <w:color w:val="auto"/>
                <w:sz w:val="18"/>
                <w:szCs w:val="18"/>
              </w:rPr>
              <w:t>ADMS</w:t>
            </w:r>
          </w:p>
          <w:p w14:paraId="09D8CDD6">
            <w:pPr>
              <w:jc w:val="center"/>
              <w:rPr>
                <w:rFonts w:hint="eastAsia" w:ascii="宋体" w:hAnsi="宋体" w:cs="宋体"/>
                <w:color w:val="auto"/>
                <w:sz w:val="18"/>
                <w:szCs w:val="18"/>
              </w:rPr>
            </w:pPr>
            <w:r>
              <w:rPr>
                <w:rFonts w:hint="eastAsia" w:ascii="宋体" w:hAnsi="宋体" w:cs="宋体"/>
                <w:color w:val="auto"/>
                <w:sz w:val="18"/>
                <w:szCs w:val="18"/>
              </w:rPr>
              <w:t>□</w:t>
            </w:r>
          </w:p>
        </w:tc>
        <w:tc>
          <w:tcPr>
            <w:tcW w:w="1154" w:type="dxa"/>
            <w:gridSpan w:val="4"/>
            <w:vAlign w:val="center"/>
          </w:tcPr>
          <w:p w14:paraId="5D5D397F">
            <w:pPr>
              <w:jc w:val="center"/>
              <w:rPr>
                <w:rFonts w:hint="eastAsia" w:ascii="宋体" w:hAnsi="宋体" w:cs="宋体"/>
                <w:color w:val="auto"/>
                <w:sz w:val="18"/>
                <w:szCs w:val="18"/>
              </w:rPr>
            </w:pPr>
            <w:r>
              <w:rPr>
                <w:rFonts w:hint="eastAsia" w:ascii="宋体" w:hAnsi="宋体" w:cs="宋体"/>
                <w:color w:val="auto"/>
                <w:sz w:val="18"/>
                <w:szCs w:val="18"/>
              </w:rPr>
              <w:t>AUSTAL2000□</w:t>
            </w:r>
          </w:p>
        </w:tc>
        <w:tc>
          <w:tcPr>
            <w:tcW w:w="1067" w:type="dxa"/>
            <w:gridSpan w:val="3"/>
            <w:vAlign w:val="center"/>
          </w:tcPr>
          <w:p w14:paraId="5C73A429">
            <w:pPr>
              <w:jc w:val="center"/>
              <w:rPr>
                <w:rFonts w:hint="eastAsia" w:ascii="宋体" w:hAnsi="宋体" w:cs="宋体"/>
                <w:color w:val="auto"/>
                <w:sz w:val="18"/>
                <w:szCs w:val="18"/>
              </w:rPr>
            </w:pPr>
            <w:r>
              <w:rPr>
                <w:rFonts w:hint="eastAsia" w:ascii="宋体" w:hAnsi="宋体" w:cs="宋体"/>
                <w:color w:val="auto"/>
                <w:sz w:val="18"/>
                <w:szCs w:val="18"/>
              </w:rPr>
              <w:t>EDMS/AEDT□</w:t>
            </w:r>
          </w:p>
        </w:tc>
        <w:tc>
          <w:tcPr>
            <w:tcW w:w="987" w:type="dxa"/>
            <w:gridSpan w:val="3"/>
            <w:vAlign w:val="center"/>
          </w:tcPr>
          <w:p w14:paraId="5B6DAFBB">
            <w:pPr>
              <w:jc w:val="center"/>
              <w:rPr>
                <w:rFonts w:hint="eastAsia" w:ascii="宋体" w:hAnsi="宋体" w:cs="宋体"/>
                <w:color w:val="auto"/>
                <w:sz w:val="18"/>
                <w:szCs w:val="18"/>
              </w:rPr>
            </w:pPr>
            <w:r>
              <w:rPr>
                <w:rFonts w:hint="eastAsia" w:ascii="宋体" w:hAnsi="宋体" w:cs="宋体"/>
                <w:color w:val="auto"/>
                <w:sz w:val="18"/>
                <w:szCs w:val="18"/>
              </w:rPr>
              <w:t>CALPUFF□</w:t>
            </w:r>
          </w:p>
        </w:tc>
        <w:tc>
          <w:tcPr>
            <w:tcW w:w="950" w:type="dxa"/>
            <w:gridSpan w:val="4"/>
            <w:vAlign w:val="center"/>
          </w:tcPr>
          <w:p w14:paraId="19FB75EC">
            <w:pPr>
              <w:jc w:val="center"/>
              <w:rPr>
                <w:rFonts w:hint="eastAsia" w:ascii="宋体" w:hAnsi="宋体" w:cs="宋体"/>
                <w:color w:val="auto"/>
                <w:sz w:val="18"/>
                <w:szCs w:val="18"/>
              </w:rPr>
            </w:pPr>
            <w:r>
              <w:rPr>
                <w:rFonts w:hint="eastAsia" w:ascii="宋体" w:hAnsi="宋体" w:cs="宋体"/>
                <w:color w:val="auto"/>
                <w:sz w:val="18"/>
                <w:szCs w:val="18"/>
              </w:rPr>
              <w:t>网格模型□</w:t>
            </w:r>
          </w:p>
        </w:tc>
        <w:tc>
          <w:tcPr>
            <w:tcW w:w="924" w:type="dxa"/>
            <w:vAlign w:val="center"/>
          </w:tcPr>
          <w:p w14:paraId="5EE7A22B">
            <w:pPr>
              <w:jc w:val="center"/>
              <w:rPr>
                <w:rFonts w:hint="eastAsia" w:ascii="宋体" w:hAnsi="宋体" w:cs="宋体"/>
                <w:color w:val="auto"/>
                <w:sz w:val="18"/>
                <w:szCs w:val="18"/>
              </w:rPr>
            </w:pPr>
            <w:r>
              <w:rPr>
                <w:rFonts w:hint="eastAsia" w:ascii="宋体" w:hAnsi="宋体" w:cs="宋体"/>
                <w:color w:val="auto"/>
                <w:sz w:val="18"/>
                <w:szCs w:val="18"/>
              </w:rPr>
              <w:t>其他</w:t>
            </w:r>
          </w:p>
          <w:p w14:paraId="774537BD">
            <w:pPr>
              <w:jc w:val="center"/>
              <w:rPr>
                <w:rFonts w:hint="eastAsia" w:ascii="宋体" w:hAnsi="宋体" w:cs="宋体"/>
                <w:color w:val="auto"/>
                <w:sz w:val="18"/>
                <w:szCs w:val="18"/>
              </w:rPr>
            </w:pPr>
            <w:r>
              <w:rPr>
                <w:rFonts w:hint="eastAsia" w:ascii="宋体" w:hAnsi="宋体" w:cs="宋体"/>
                <w:color w:val="auto"/>
                <w:sz w:val="18"/>
                <w:szCs w:val="18"/>
              </w:rPr>
              <w:sym w:font="Wingdings 2" w:char="0052"/>
            </w:r>
          </w:p>
        </w:tc>
      </w:tr>
      <w:tr w14:paraId="35E9012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63EE01FE">
            <w:pPr>
              <w:jc w:val="center"/>
              <w:rPr>
                <w:rFonts w:hint="eastAsia" w:ascii="宋体" w:hAnsi="宋体" w:cs="宋体"/>
                <w:color w:val="auto"/>
                <w:sz w:val="18"/>
                <w:szCs w:val="18"/>
              </w:rPr>
            </w:pPr>
          </w:p>
        </w:tc>
        <w:tc>
          <w:tcPr>
            <w:tcW w:w="1361" w:type="dxa"/>
            <w:vAlign w:val="center"/>
          </w:tcPr>
          <w:p w14:paraId="3CCF581F">
            <w:pPr>
              <w:jc w:val="center"/>
              <w:rPr>
                <w:rFonts w:hint="eastAsia" w:ascii="宋体" w:hAnsi="宋体" w:cs="宋体"/>
                <w:color w:val="auto"/>
                <w:sz w:val="18"/>
                <w:szCs w:val="18"/>
              </w:rPr>
            </w:pPr>
            <w:r>
              <w:rPr>
                <w:rFonts w:hint="eastAsia" w:ascii="宋体" w:hAnsi="宋体" w:cs="宋体"/>
                <w:color w:val="auto"/>
                <w:sz w:val="18"/>
                <w:szCs w:val="18"/>
              </w:rPr>
              <w:t>预测范围</w:t>
            </w:r>
          </w:p>
        </w:tc>
        <w:tc>
          <w:tcPr>
            <w:tcW w:w="1533" w:type="dxa"/>
            <w:gridSpan w:val="3"/>
            <w:vAlign w:val="center"/>
          </w:tcPr>
          <w:p w14:paraId="797477D9">
            <w:pPr>
              <w:jc w:val="center"/>
              <w:rPr>
                <w:rFonts w:hint="eastAsia" w:ascii="宋体" w:hAnsi="宋体" w:cs="宋体"/>
                <w:color w:val="auto"/>
                <w:sz w:val="18"/>
                <w:szCs w:val="18"/>
              </w:rPr>
            </w:pPr>
            <w:r>
              <w:rPr>
                <w:rFonts w:hint="eastAsia" w:ascii="宋体" w:hAnsi="宋体" w:cs="宋体"/>
                <w:color w:val="auto"/>
                <w:sz w:val="18"/>
                <w:szCs w:val="18"/>
              </w:rPr>
              <w:t>边长≥50km□</w:t>
            </w:r>
          </w:p>
        </w:tc>
        <w:tc>
          <w:tcPr>
            <w:tcW w:w="2421" w:type="dxa"/>
            <w:gridSpan w:val="8"/>
            <w:vAlign w:val="center"/>
          </w:tcPr>
          <w:p w14:paraId="0426B0D4">
            <w:pPr>
              <w:jc w:val="center"/>
              <w:rPr>
                <w:rFonts w:hint="eastAsia" w:ascii="宋体" w:hAnsi="宋体" w:cs="宋体"/>
                <w:color w:val="auto"/>
                <w:sz w:val="18"/>
                <w:szCs w:val="18"/>
              </w:rPr>
            </w:pPr>
            <w:r>
              <w:rPr>
                <w:rFonts w:hint="eastAsia" w:ascii="宋体" w:hAnsi="宋体" w:cs="宋体"/>
                <w:color w:val="auto"/>
                <w:sz w:val="18"/>
                <w:szCs w:val="18"/>
              </w:rPr>
              <w:t>边长5～50km□</w:t>
            </w:r>
          </w:p>
        </w:tc>
        <w:tc>
          <w:tcPr>
            <w:tcW w:w="2661" w:type="dxa"/>
            <w:gridSpan w:val="7"/>
            <w:vAlign w:val="center"/>
          </w:tcPr>
          <w:p w14:paraId="5B5A6531">
            <w:pPr>
              <w:jc w:val="center"/>
              <w:rPr>
                <w:rFonts w:hint="eastAsia" w:ascii="宋体" w:hAnsi="宋体" w:cs="宋体"/>
                <w:color w:val="auto"/>
                <w:sz w:val="18"/>
                <w:szCs w:val="18"/>
              </w:rPr>
            </w:pPr>
            <w:r>
              <w:rPr>
                <w:rFonts w:hint="eastAsia" w:ascii="宋体" w:hAnsi="宋体" w:cs="宋体"/>
                <w:color w:val="auto"/>
                <w:sz w:val="18"/>
                <w:szCs w:val="18"/>
              </w:rPr>
              <w:t>边长=5km</w:t>
            </w:r>
            <w:r>
              <w:rPr>
                <w:rFonts w:hint="eastAsia" w:ascii="宋体" w:hAnsi="宋体" w:cs="宋体"/>
                <w:color w:val="auto"/>
                <w:sz w:val="18"/>
                <w:szCs w:val="18"/>
              </w:rPr>
              <w:sym w:font="Wingdings 2" w:char="0052"/>
            </w:r>
          </w:p>
        </w:tc>
      </w:tr>
      <w:tr w14:paraId="44E7E92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46DD6A9D">
            <w:pPr>
              <w:jc w:val="center"/>
              <w:rPr>
                <w:rFonts w:hint="eastAsia" w:ascii="宋体" w:hAnsi="宋体" w:cs="宋体"/>
                <w:color w:val="auto"/>
                <w:sz w:val="18"/>
                <w:szCs w:val="18"/>
              </w:rPr>
            </w:pPr>
          </w:p>
        </w:tc>
        <w:tc>
          <w:tcPr>
            <w:tcW w:w="1361" w:type="dxa"/>
            <w:vAlign w:val="center"/>
          </w:tcPr>
          <w:p w14:paraId="374FED24">
            <w:pPr>
              <w:jc w:val="center"/>
              <w:rPr>
                <w:rFonts w:hint="eastAsia" w:ascii="宋体" w:hAnsi="宋体" w:cs="宋体"/>
                <w:color w:val="auto"/>
                <w:sz w:val="18"/>
                <w:szCs w:val="18"/>
              </w:rPr>
            </w:pPr>
            <w:r>
              <w:rPr>
                <w:rFonts w:hint="eastAsia" w:ascii="宋体" w:hAnsi="宋体" w:cs="宋体"/>
                <w:color w:val="auto"/>
                <w:sz w:val="18"/>
                <w:szCs w:val="18"/>
              </w:rPr>
              <w:t>预测因子</w:t>
            </w:r>
          </w:p>
        </w:tc>
        <w:tc>
          <w:tcPr>
            <w:tcW w:w="3954" w:type="dxa"/>
            <w:gridSpan w:val="11"/>
            <w:vAlign w:val="center"/>
          </w:tcPr>
          <w:p w14:paraId="10494B55">
            <w:pPr>
              <w:jc w:val="center"/>
              <w:rPr>
                <w:rFonts w:hint="eastAsia" w:ascii="宋体" w:hAnsi="宋体" w:cs="宋体"/>
                <w:color w:val="auto"/>
                <w:sz w:val="18"/>
                <w:szCs w:val="18"/>
              </w:rPr>
            </w:pPr>
            <w:r>
              <w:rPr>
                <w:rFonts w:hint="eastAsia" w:ascii="宋体" w:hAnsi="宋体" w:cs="宋体"/>
                <w:color w:val="auto"/>
                <w:sz w:val="18"/>
                <w:szCs w:val="18"/>
              </w:rPr>
              <w:t>预测因子（NMHC，颗粒物，氮氧化物，二氧化硫）</w:t>
            </w:r>
          </w:p>
        </w:tc>
        <w:tc>
          <w:tcPr>
            <w:tcW w:w="2661" w:type="dxa"/>
            <w:gridSpan w:val="7"/>
            <w:vAlign w:val="center"/>
          </w:tcPr>
          <w:p w14:paraId="66DBB9C5">
            <w:pPr>
              <w:jc w:val="center"/>
              <w:rPr>
                <w:rFonts w:hint="eastAsia" w:ascii="宋体" w:hAnsi="宋体" w:cs="宋体"/>
                <w:b/>
                <w:color w:val="auto"/>
                <w:sz w:val="18"/>
                <w:szCs w:val="18"/>
              </w:rPr>
            </w:pPr>
            <w:r>
              <w:rPr>
                <w:rFonts w:hint="eastAsia" w:ascii="宋体" w:hAnsi="宋体" w:cs="宋体"/>
                <w:color w:val="auto"/>
                <w:sz w:val="18"/>
                <w:szCs w:val="18"/>
              </w:rPr>
              <w:t>包括二次PM2.5□</w:t>
            </w:r>
          </w:p>
          <w:p w14:paraId="167295C2">
            <w:pPr>
              <w:jc w:val="center"/>
              <w:rPr>
                <w:rFonts w:hint="eastAsia" w:ascii="宋体" w:hAnsi="宋体" w:cs="宋体"/>
                <w:color w:val="auto"/>
                <w:sz w:val="18"/>
                <w:szCs w:val="18"/>
              </w:rPr>
            </w:pPr>
            <w:r>
              <w:rPr>
                <w:rFonts w:hint="eastAsia" w:ascii="宋体" w:hAnsi="宋体" w:cs="宋体"/>
                <w:color w:val="auto"/>
                <w:sz w:val="18"/>
                <w:szCs w:val="18"/>
              </w:rPr>
              <w:t>不包括二次PM2.5</w:t>
            </w:r>
            <w:r>
              <w:rPr>
                <w:rFonts w:hint="eastAsia" w:ascii="宋体" w:hAnsi="宋体" w:cs="宋体"/>
                <w:color w:val="auto"/>
                <w:sz w:val="18"/>
                <w:szCs w:val="18"/>
              </w:rPr>
              <w:sym w:font="Wingdings 2" w:char="0052"/>
            </w:r>
          </w:p>
        </w:tc>
      </w:tr>
      <w:tr w14:paraId="1715892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0FE74C91">
            <w:pPr>
              <w:jc w:val="center"/>
              <w:rPr>
                <w:rFonts w:hint="eastAsia" w:ascii="宋体" w:hAnsi="宋体" w:cs="宋体"/>
                <w:color w:val="auto"/>
                <w:sz w:val="18"/>
                <w:szCs w:val="18"/>
              </w:rPr>
            </w:pPr>
          </w:p>
        </w:tc>
        <w:tc>
          <w:tcPr>
            <w:tcW w:w="1361" w:type="dxa"/>
            <w:vAlign w:val="center"/>
          </w:tcPr>
          <w:p w14:paraId="37710548">
            <w:pPr>
              <w:jc w:val="center"/>
              <w:rPr>
                <w:rFonts w:hint="eastAsia" w:ascii="宋体" w:hAnsi="宋体" w:cs="宋体"/>
                <w:color w:val="auto"/>
                <w:sz w:val="18"/>
                <w:szCs w:val="18"/>
              </w:rPr>
            </w:pPr>
            <w:r>
              <w:rPr>
                <w:rFonts w:hint="eastAsia" w:ascii="宋体" w:hAnsi="宋体" w:cs="宋体"/>
                <w:color w:val="auto"/>
                <w:sz w:val="18"/>
                <w:szCs w:val="18"/>
              </w:rPr>
              <w:t>正常排放短期浓度贡献值</w:t>
            </w:r>
          </w:p>
        </w:tc>
        <w:tc>
          <w:tcPr>
            <w:tcW w:w="3954" w:type="dxa"/>
            <w:gridSpan w:val="11"/>
            <w:vAlign w:val="center"/>
          </w:tcPr>
          <w:p w14:paraId="05E47440">
            <w:pPr>
              <w:jc w:val="center"/>
              <w:rPr>
                <w:rFonts w:hint="eastAsia" w:ascii="宋体" w:hAnsi="宋体" w:cs="宋体"/>
                <w:color w:val="auto"/>
                <w:sz w:val="18"/>
                <w:szCs w:val="18"/>
              </w:rPr>
            </w:pPr>
            <w:r>
              <w:rPr>
                <w:rFonts w:hint="eastAsia" w:ascii="宋体" w:hAnsi="宋体" w:cs="宋体"/>
                <w:color w:val="auto"/>
                <w:sz w:val="18"/>
                <w:szCs w:val="18"/>
              </w:rPr>
              <w:t>C</w:t>
            </w:r>
            <w:r>
              <w:rPr>
                <w:rFonts w:hint="eastAsia" w:ascii="宋体" w:hAnsi="宋体" w:cs="宋体"/>
                <w:color w:val="auto"/>
                <w:sz w:val="18"/>
                <w:szCs w:val="18"/>
                <w:vertAlign w:val="subscript"/>
              </w:rPr>
              <w:t>本工程</w:t>
            </w:r>
            <w:r>
              <w:rPr>
                <w:rFonts w:hint="eastAsia" w:ascii="宋体" w:hAnsi="宋体" w:cs="宋体"/>
                <w:color w:val="auto"/>
                <w:sz w:val="18"/>
                <w:szCs w:val="18"/>
              </w:rPr>
              <w:t>最大占标率≤100%</w:t>
            </w:r>
            <w:r>
              <w:rPr>
                <w:rFonts w:hint="eastAsia" w:ascii="宋体" w:hAnsi="宋体" w:cs="宋体"/>
                <w:color w:val="auto"/>
                <w:sz w:val="18"/>
                <w:szCs w:val="18"/>
              </w:rPr>
              <w:sym w:font="Wingdings 2" w:char="0052"/>
            </w:r>
          </w:p>
        </w:tc>
        <w:tc>
          <w:tcPr>
            <w:tcW w:w="2661" w:type="dxa"/>
            <w:gridSpan w:val="7"/>
            <w:vAlign w:val="center"/>
          </w:tcPr>
          <w:p w14:paraId="284C6D9B">
            <w:pPr>
              <w:jc w:val="center"/>
              <w:rPr>
                <w:rFonts w:hint="eastAsia" w:ascii="宋体" w:hAnsi="宋体" w:cs="宋体"/>
                <w:color w:val="auto"/>
                <w:sz w:val="18"/>
                <w:szCs w:val="18"/>
              </w:rPr>
            </w:pPr>
            <w:r>
              <w:rPr>
                <w:rFonts w:hint="eastAsia" w:ascii="宋体" w:hAnsi="宋体" w:cs="宋体"/>
                <w:color w:val="auto"/>
                <w:sz w:val="18"/>
                <w:szCs w:val="18"/>
              </w:rPr>
              <w:t>C</w:t>
            </w:r>
            <w:r>
              <w:rPr>
                <w:rFonts w:hint="eastAsia" w:ascii="宋体" w:hAnsi="宋体" w:cs="宋体"/>
                <w:color w:val="auto"/>
                <w:sz w:val="18"/>
                <w:szCs w:val="18"/>
                <w:vertAlign w:val="subscript"/>
              </w:rPr>
              <w:t>本工程</w:t>
            </w:r>
            <w:r>
              <w:rPr>
                <w:rFonts w:hint="eastAsia" w:ascii="宋体" w:hAnsi="宋体" w:cs="宋体"/>
                <w:color w:val="auto"/>
                <w:sz w:val="18"/>
                <w:szCs w:val="18"/>
              </w:rPr>
              <w:t>最大占标率＞100%□</w:t>
            </w:r>
          </w:p>
        </w:tc>
      </w:tr>
      <w:tr w14:paraId="7F7586D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303C9A8E">
            <w:pPr>
              <w:jc w:val="center"/>
              <w:rPr>
                <w:rFonts w:hint="eastAsia" w:ascii="宋体" w:hAnsi="宋体" w:cs="宋体"/>
                <w:color w:val="auto"/>
                <w:sz w:val="18"/>
                <w:szCs w:val="18"/>
              </w:rPr>
            </w:pPr>
          </w:p>
        </w:tc>
        <w:tc>
          <w:tcPr>
            <w:tcW w:w="1361" w:type="dxa"/>
            <w:vMerge w:val="restart"/>
            <w:vAlign w:val="center"/>
          </w:tcPr>
          <w:p w14:paraId="20020232">
            <w:pPr>
              <w:jc w:val="center"/>
              <w:rPr>
                <w:rFonts w:hint="eastAsia" w:ascii="宋体" w:hAnsi="宋体" w:cs="宋体"/>
                <w:color w:val="auto"/>
                <w:sz w:val="18"/>
                <w:szCs w:val="18"/>
              </w:rPr>
            </w:pPr>
            <w:r>
              <w:rPr>
                <w:rFonts w:hint="eastAsia" w:ascii="宋体" w:hAnsi="宋体" w:cs="宋体"/>
                <w:color w:val="auto"/>
                <w:sz w:val="18"/>
                <w:szCs w:val="18"/>
              </w:rPr>
              <w:t>正常排放年均浓度贡献值</w:t>
            </w:r>
          </w:p>
        </w:tc>
        <w:tc>
          <w:tcPr>
            <w:tcW w:w="821" w:type="dxa"/>
            <w:vAlign w:val="center"/>
          </w:tcPr>
          <w:p w14:paraId="081AEC05">
            <w:pPr>
              <w:jc w:val="center"/>
              <w:rPr>
                <w:rFonts w:hint="eastAsia" w:ascii="宋体" w:hAnsi="宋体" w:cs="宋体"/>
                <w:color w:val="auto"/>
                <w:sz w:val="18"/>
                <w:szCs w:val="18"/>
              </w:rPr>
            </w:pPr>
            <w:r>
              <w:rPr>
                <w:rFonts w:hint="eastAsia" w:ascii="宋体" w:hAnsi="宋体" w:cs="宋体"/>
                <w:color w:val="auto"/>
                <w:sz w:val="18"/>
                <w:szCs w:val="18"/>
              </w:rPr>
              <w:t>一类区</w:t>
            </w:r>
          </w:p>
        </w:tc>
        <w:tc>
          <w:tcPr>
            <w:tcW w:w="3133" w:type="dxa"/>
            <w:gridSpan w:val="10"/>
            <w:vAlign w:val="center"/>
          </w:tcPr>
          <w:p w14:paraId="0BDD239B">
            <w:pPr>
              <w:jc w:val="center"/>
              <w:rPr>
                <w:rFonts w:hint="eastAsia" w:ascii="宋体" w:hAnsi="宋体" w:cs="宋体"/>
                <w:color w:val="auto"/>
                <w:sz w:val="18"/>
                <w:szCs w:val="18"/>
              </w:rPr>
            </w:pPr>
            <w:r>
              <w:rPr>
                <w:rFonts w:hint="eastAsia" w:ascii="宋体" w:hAnsi="宋体" w:cs="宋体"/>
                <w:color w:val="auto"/>
                <w:sz w:val="18"/>
                <w:szCs w:val="18"/>
              </w:rPr>
              <w:t>C</w:t>
            </w:r>
            <w:r>
              <w:rPr>
                <w:rFonts w:hint="eastAsia" w:ascii="宋体" w:hAnsi="宋体" w:cs="宋体"/>
                <w:color w:val="auto"/>
                <w:sz w:val="18"/>
                <w:szCs w:val="18"/>
                <w:vertAlign w:val="subscript"/>
              </w:rPr>
              <w:t>本工程</w:t>
            </w:r>
            <w:r>
              <w:rPr>
                <w:rFonts w:hint="eastAsia" w:ascii="宋体" w:hAnsi="宋体" w:cs="宋体"/>
                <w:color w:val="auto"/>
                <w:sz w:val="18"/>
                <w:szCs w:val="18"/>
              </w:rPr>
              <w:t>最大占标率≤10%□</w:t>
            </w:r>
          </w:p>
        </w:tc>
        <w:tc>
          <w:tcPr>
            <w:tcW w:w="2661" w:type="dxa"/>
            <w:gridSpan w:val="7"/>
            <w:vAlign w:val="center"/>
          </w:tcPr>
          <w:p w14:paraId="3DABB618">
            <w:pPr>
              <w:jc w:val="center"/>
              <w:rPr>
                <w:rFonts w:hint="eastAsia" w:ascii="宋体" w:hAnsi="宋体" w:cs="宋体"/>
                <w:color w:val="auto"/>
                <w:sz w:val="18"/>
                <w:szCs w:val="18"/>
              </w:rPr>
            </w:pPr>
            <w:r>
              <w:rPr>
                <w:rFonts w:hint="eastAsia" w:ascii="宋体" w:hAnsi="宋体" w:cs="宋体"/>
                <w:color w:val="auto"/>
                <w:sz w:val="18"/>
                <w:szCs w:val="18"/>
              </w:rPr>
              <w:t>C</w:t>
            </w:r>
            <w:r>
              <w:rPr>
                <w:rFonts w:hint="eastAsia" w:ascii="宋体" w:hAnsi="宋体" w:cs="宋体"/>
                <w:color w:val="auto"/>
                <w:sz w:val="18"/>
                <w:szCs w:val="18"/>
                <w:vertAlign w:val="subscript"/>
              </w:rPr>
              <w:t>本工程</w:t>
            </w:r>
            <w:r>
              <w:rPr>
                <w:rFonts w:hint="eastAsia" w:ascii="宋体" w:hAnsi="宋体" w:cs="宋体"/>
                <w:color w:val="auto"/>
                <w:sz w:val="18"/>
                <w:szCs w:val="18"/>
              </w:rPr>
              <w:t>最大占标率＞10%□</w:t>
            </w:r>
          </w:p>
        </w:tc>
      </w:tr>
      <w:tr w14:paraId="3183C22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5AC1E06F">
            <w:pPr>
              <w:jc w:val="center"/>
              <w:rPr>
                <w:rFonts w:hint="eastAsia" w:ascii="宋体" w:hAnsi="宋体" w:cs="宋体"/>
                <w:color w:val="auto"/>
                <w:sz w:val="18"/>
                <w:szCs w:val="18"/>
              </w:rPr>
            </w:pPr>
          </w:p>
        </w:tc>
        <w:tc>
          <w:tcPr>
            <w:tcW w:w="1361" w:type="dxa"/>
            <w:vMerge w:val="continue"/>
            <w:vAlign w:val="center"/>
          </w:tcPr>
          <w:p w14:paraId="5ACBDA5D">
            <w:pPr>
              <w:jc w:val="center"/>
              <w:rPr>
                <w:rFonts w:hint="eastAsia" w:ascii="宋体" w:hAnsi="宋体" w:cs="宋体"/>
                <w:color w:val="auto"/>
                <w:sz w:val="18"/>
                <w:szCs w:val="18"/>
              </w:rPr>
            </w:pPr>
          </w:p>
        </w:tc>
        <w:tc>
          <w:tcPr>
            <w:tcW w:w="821" w:type="dxa"/>
            <w:vAlign w:val="center"/>
          </w:tcPr>
          <w:p w14:paraId="59850C08">
            <w:pPr>
              <w:jc w:val="center"/>
              <w:rPr>
                <w:rFonts w:hint="eastAsia" w:ascii="宋体" w:hAnsi="宋体" w:cs="宋体"/>
                <w:color w:val="auto"/>
                <w:sz w:val="18"/>
                <w:szCs w:val="18"/>
              </w:rPr>
            </w:pPr>
            <w:r>
              <w:rPr>
                <w:rFonts w:hint="eastAsia" w:ascii="宋体" w:hAnsi="宋体" w:cs="宋体"/>
                <w:color w:val="auto"/>
                <w:sz w:val="18"/>
                <w:szCs w:val="18"/>
              </w:rPr>
              <w:t>二类区</w:t>
            </w:r>
          </w:p>
        </w:tc>
        <w:tc>
          <w:tcPr>
            <w:tcW w:w="3133" w:type="dxa"/>
            <w:gridSpan w:val="10"/>
            <w:vAlign w:val="center"/>
          </w:tcPr>
          <w:p w14:paraId="602B7E79">
            <w:pPr>
              <w:jc w:val="center"/>
              <w:rPr>
                <w:rFonts w:hint="eastAsia" w:ascii="宋体" w:hAnsi="宋体" w:cs="宋体"/>
                <w:color w:val="auto"/>
                <w:sz w:val="18"/>
                <w:szCs w:val="18"/>
              </w:rPr>
            </w:pPr>
            <w:r>
              <w:rPr>
                <w:rFonts w:hint="eastAsia" w:ascii="宋体" w:hAnsi="宋体" w:cs="宋体"/>
                <w:color w:val="auto"/>
                <w:sz w:val="18"/>
                <w:szCs w:val="18"/>
              </w:rPr>
              <w:t>C</w:t>
            </w:r>
            <w:r>
              <w:rPr>
                <w:rFonts w:hint="eastAsia" w:ascii="宋体" w:hAnsi="宋体" w:cs="宋体"/>
                <w:color w:val="auto"/>
                <w:sz w:val="18"/>
                <w:szCs w:val="18"/>
                <w:vertAlign w:val="subscript"/>
              </w:rPr>
              <w:t>本工程</w:t>
            </w:r>
            <w:r>
              <w:rPr>
                <w:rFonts w:hint="eastAsia" w:ascii="宋体" w:hAnsi="宋体" w:cs="宋体"/>
                <w:color w:val="auto"/>
                <w:sz w:val="18"/>
                <w:szCs w:val="18"/>
              </w:rPr>
              <w:t>最大占标率≤30%□</w:t>
            </w:r>
          </w:p>
        </w:tc>
        <w:tc>
          <w:tcPr>
            <w:tcW w:w="2661" w:type="dxa"/>
            <w:gridSpan w:val="7"/>
            <w:vAlign w:val="center"/>
          </w:tcPr>
          <w:p w14:paraId="7F9FD38D">
            <w:pPr>
              <w:jc w:val="center"/>
              <w:rPr>
                <w:rFonts w:hint="eastAsia" w:ascii="宋体" w:hAnsi="宋体" w:cs="宋体"/>
                <w:color w:val="auto"/>
                <w:sz w:val="18"/>
                <w:szCs w:val="18"/>
              </w:rPr>
            </w:pPr>
            <w:r>
              <w:rPr>
                <w:rFonts w:hint="eastAsia" w:ascii="宋体" w:hAnsi="宋体" w:cs="宋体"/>
                <w:color w:val="auto"/>
                <w:sz w:val="18"/>
                <w:szCs w:val="18"/>
              </w:rPr>
              <w:t>C</w:t>
            </w:r>
            <w:r>
              <w:rPr>
                <w:rFonts w:hint="eastAsia" w:ascii="宋体" w:hAnsi="宋体" w:cs="宋体"/>
                <w:color w:val="auto"/>
                <w:sz w:val="18"/>
                <w:szCs w:val="18"/>
                <w:vertAlign w:val="subscript"/>
              </w:rPr>
              <w:t>本工程</w:t>
            </w:r>
            <w:r>
              <w:rPr>
                <w:rFonts w:hint="eastAsia" w:ascii="宋体" w:hAnsi="宋体" w:cs="宋体"/>
                <w:color w:val="auto"/>
                <w:sz w:val="18"/>
                <w:szCs w:val="18"/>
              </w:rPr>
              <w:t>最大占标率＞30%□</w:t>
            </w:r>
          </w:p>
        </w:tc>
      </w:tr>
      <w:tr w14:paraId="1D5594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26BB5A36">
            <w:pPr>
              <w:jc w:val="center"/>
              <w:rPr>
                <w:rFonts w:hint="eastAsia" w:ascii="宋体" w:hAnsi="宋体" w:cs="宋体"/>
                <w:color w:val="auto"/>
                <w:sz w:val="18"/>
                <w:szCs w:val="18"/>
              </w:rPr>
            </w:pPr>
          </w:p>
        </w:tc>
        <w:tc>
          <w:tcPr>
            <w:tcW w:w="1361" w:type="dxa"/>
            <w:vAlign w:val="center"/>
          </w:tcPr>
          <w:p w14:paraId="7C808482">
            <w:pPr>
              <w:jc w:val="center"/>
              <w:rPr>
                <w:rFonts w:hint="eastAsia" w:ascii="宋体" w:hAnsi="宋体" w:cs="宋体"/>
                <w:color w:val="auto"/>
                <w:sz w:val="18"/>
                <w:szCs w:val="18"/>
              </w:rPr>
            </w:pPr>
            <w:r>
              <w:rPr>
                <w:rFonts w:hint="eastAsia" w:ascii="宋体" w:hAnsi="宋体" w:cs="宋体"/>
                <w:color w:val="auto"/>
                <w:sz w:val="18"/>
                <w:szCs w:val="18"/>
              </w:rPr>
              <w:t>非正常排放1h浓度贡献值</w:t>
            </w:r>
          </w:p>
        </w:tc>
        <w:tc>
          <w:tcPr>
            <w:tcW w:w="1533" w:type="dxa"/>
            <w:gridSpan w:val="3"/>
            <w:vAlign w:val="center"/>
          </w:tcPr>
          <w:p w14:paraId="69686696">
            <w:pPr>
              <w:jc w:val="center"/>
              <w:rPr>
                <w:rFonts w:hint="eastAsia" w:ascii="宋体" w:hAnsi="宋体" w:cs="宋体"/>
                <w:color w:val="auto"/>
                <w:sz w:val="18"/>
                <w:szCs w:val="18"/>
              </w:rPr>
            </w:pPr>
            <w:r>
              <w:rPr>
                <w:rFonts w:hint="eastAsia" w:ascii="宋体" w:hAnsi="宋体" w:cs="宋体"/>
                <w:color w:val="auto"/>
                <w:sz w:val="18"/>
                <w:szCs w:val="18"/>
              </w:rPr>
              <w:t>非正常持续时长</w:t>
            </w:r>
          </w:p>
          <w:p w14:paraId="65346FF7">
            <w:pPr>
              <w:jc w:val="center"/>
              <w:rPr>
                <w:rFonts w:hint="eastAsia" w:ascii="宋体" w:hAnsi="宋体" w:cs="宋体"/>
                <w:color w:val="auto"/>
                <w:sz w:val="18"/>
                <w:szCs w:val="18"/>
              </w:rPr>
            </w:pPr>
            <w:r>
              <w:rPr>
                <w:rFonts w:hint="eastAsia" w:ascii="宋体" w:hAnsi="宋体" w:cs="宋体"/>
                <w:color w:val="auto"/>
                <w:sz w:val="18"/>
                <w:szCs w:val="18"/>
              </w:rPr>
              <w:t>（）h</w:t>
            </w:r>
          </w:p>
        </w:tc>
        <w:tc>
          <w:tcPr>
            <w:tcW w:w="2421" w:type="dxa"/>
            <w:gridSpan w:val="8"/>
            <w:vAlign w:val="center"/>
          </w:tcPr>
          <w:p w14:paraId="27B85104">
            <w:pPr>
              <w:jc w:val="center"/>
              <w:rPr>
                <w:rFonts w:hint="eastAsia" w:ascii="宋体" w:hAnsi="宋体" w:cs="宋体"/>
                <w:color w:val="auto"/>
                <w:sz w:val="18"/>
                <w:szCs w:val="18"/>
              </w:rPr>
            </w:pPr>
            <w:r>
              <w:rPr>
                <w:rFonts w:hint="eastAsia" w:ascii="宋体" w:hAnsi="宋体" w:cs="宋体"/>
                <w:color w:val="auto"/>
                <w:sz w:val="18"/>
                <w:szCs w:val="18"/>
              </w:rPr>
              <w:t>c</w:t>
            </w:r>
            <w:r>
              <w:rPr>
                <w:rFonts w:hint="eastAsia" w:ascii="宋体" w:hAnsi="宋体" w:cs="宋体"/>
                <w:color w:val="auto"/>
                <w:sz w:val="18"/>
                <w:szCs w:val="18"/>
                <w:vertAlign w:val="subscript"/>
              </w:rPr>
              <w:t>非正常</w:t>
            </w:r>
            <w:r>
              <w:rPr>
                <w:rFonts w:hint="eastAsia" w:ascii="宋体" w:hAnsi="宋体" w:cs="宋体"/>
                <w:color w:val="auto"/>
                <w:sz w:val="18"/>
                <w:szCs w:val="18"/>
              </w:rPr>
              <w:t>占标率≤100%□</w:t>
            </w:r>
          </w:p>
        </w:tc>
        <w:tc>
          <w:tcPr>
            <w:tcW w:w="2661" w:type="dxa"/>
            <w:gridSpan w:val="7"/>
            <w:vAlign w:val="center"/>
          </w:tcPr>
          <w:p w14:paraId="6508CAB6">
            <w:pPr>
              <w:jc w:val="center"/>
              <w:rPr>
                <w:rFonts w:hint="eastAsia" w:ascii="宋体" w:hAnsi="宋体" w:cs="宋体"/>
                <w:color w:val="auto"/>
                <w:sz w:val="18"/>
                <w:szCs w:val="18"/>
              </w:rPr>
            </w:pPr>
            <w:r>
              <w:rPr>
                <w:rFonts w:hint="eastAsia" w:ascii="宋体" w:hAnsi="宋体" w:cs="宋体"/>
                <w:color w:val="auto"/>
                <w:sz w:val="18"/>
                <w:szCs w:val="18"/>
              </w:rPr>
              <w:t>c</w:t>
            </w:r>
            <w:r>
              <w:rPr>
                <w:rFonts w:hint="eastAsia" w:ascii="宋体" w:hAnsi="宋体" w:cs="宋体"/>
                <w:color w:val="auto"/>
                <w:sz w:val="18"/>
                <w:szCs w:val="18"/>
                <w:vertAlign w:val="subscript"/>
              </w:rPr>
              <w:t>非正常</w:t>
            </w:r>
            <w:r>
              <w:rPr>
                <w:rFonts w:hint="eastAsia" w:ascii="宋体" w:hAnsi="宋体" w:cs="宋体"/>
                <w:color w:val="auto"/>
                <w:sz w:val="18"/>
                <w:szCs w:val="18"/>
              </w:rPr>
              <w:t>占标率＞100%□</w:t>
            </w:r>
          </w:p>
        </w:tc>
      </w:tr>
      <w:tr w14:paraId="138CB33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7721E63F">
            <w:pPr>
              <w:jc w:val="center"/>
              <w:rPr>
                <w:rFonts w:hint="eastAsia" w:ascii="宋体" w:hAnsi="宋体" w:cs="宋体"/>
                <w:color w:val="auto"/>
                <w:sz w:val="18"/>
                <w:szCs w:val="18"/>
              </w:rPr>
            </w:pPr>
          </w:p>
        </w:tc>
        <w:tc>
          <w:tcPr>
            <w:tcW w:w="1361" w:type="dxa"/>
            <w:vAlign w:val="center"/>
          </w:tcPr>
          <w:p w14:paraId="6A8AFAAA">
            <w:pPr>
              <w:jc w:val="center"/>
              <w:rPr>
                <w:rFonts w:hint="eastAsia" w:ascii="宋体" w:hAnsi="宋体" w:cs="宋体"/>
                <w:color w:val="auto"/>
                <w:sz w:val="18"/>
                <w:szCs w:val="18"/>
              </w:rPr>
            </w:pPr>
            <w:r>
              <w:rPr>
                <w:rFonts w:hint="eastAsia" w:ascii="宋体" w:hAnsi="宋体" w:cs="宋体"/>
                <w:color w:val="auto"/>
                <w:sz w:val="18"/>
                <w:szCs w:val="18"/>
              </w:rPr>
              <w:t>保证率日平均浓度和年平均浓度叠加值</w:t>
            </w:r>
          </w:p>
        </w:tc>
        <w:tc>
          <w:tcPr>
            <w:tcW w:w="3954" w:type="dxa"/>
            <w:gridSpan w:val="11"/>
            <w:vAlign w:val="center"/>
          </w:tcPr>
          <w:p w14:paraId="70BF4EA8">
            <w:pPr>
              <w:jc w:val="center"/>
              <w:rPr>
                <w:rFonts w:hint="eastAsia" w:ascii="宋体" w:hAnsi="宋体" w:cs="宋体"/>
                <w:color w:val="auto"/>
                <w:sz w:val="18"/>
                <w:szCs w:val="18"/>
              </w:rPr>
            </w:pPr>
            <w:r>
              <w:rPr>
                <w:rFonts w:hint="eastAsia" w:ascii="宋体" w:hAnsi="宋体" w:cs="宋体"/>
                <w:color w:val="auto"/>
                <w:sz w:val="18"/>
                <w:szCs w:val="18"/>
              </w:rPr>
              <w:t>C</w:t>
            </w:r>
            <w:r>
              <w:rPr>
                <w:rFonts w:hint="eastAsia" w:ascii="宋体" w:hAnsi="宋体" w:cs="宋体"/>
                <w:color w:val="auto"/>
                <w:sz w:val="18"/>
                <w:szCs w:val="18"/>
                <w:vertAlign w:val="subscript"/>
              </w:rPr>
              <w:t>叠加</w:t>
            </w:r>
            <w:r>
              <w:rPr>
                <w:rFonts w:hint="eastAsia" w:ascii="宋体" w:hAnsi="宋体" w:cs="宋体"/>
                <w:color w:val="auto"/>
                <w:sz w:val="18"/>
                <w:szCs w:val="18"/>
              </w:rPr>
              <w:t>达标□</w:t>
            </w:r>
          </w:p>
        </w:tc>
        <w:tc>
          <w:tcPr>
            <w:tcW w:w="2661" w:type="dxa"/>
            <w:gridSpan w:val="7"/>
            <w:vAlign w:val="center"/>
          </w:tcPr>
          <w:p w14:paraId="76396961">
            <w:pPr>
              <w:jc w:val="center"/>
              <w:rPr>
                <w:rFonts w:hint="eastAsia" w:ascii="宋体" w:hAnsi="宋体" w:cs="宋体"/>
                <w:color w:val="auto"/>
                <w:sz w:val="18"/>
                <w:szCs w:val="18"/>
              </w:rPr>
            </w:pPr>
            <w:r>
              <w:rPr>
                <w:rFonts w:hint="eastAsia" w:ascii="宋体" w:hAnsi="宋体" w:cs="宋体"/>
                <w:color w:val="auto"/>
                <w:sz w:val="18"/>
                <w:szCs w:val="18"/>
              </w:rPr>
              <w:t>C</w:t>
            </w:r>
            <w:r>
              <w:rPr>
                <w:rFonts w:hint="eastAsia" w:ascii="宋体" w:hAnsi="宋体" w:cs="宋体"/>
                <w:color w:val="auto"/>
                <w:sz w:val="18"/>
                <w:szCs w:val="18"/>
                <w:vertAlign w:val="subscript"/>
              </w:rPr>
              <w:t>叠加</w:t>
            </w:r>
            <w:r>
              <w:rPr>
                <w:rFonts w:hint="eastAsia" w:ascii="宋体" w:hAnsi="宋体" w:cs="宋体"/>
                <w:color w:val="auto"/>
                <w:sz w:val="18"/>
                <w:szCs w:val="18"/>
              </w:rPr>
              <w:t>不达标□</w:t>
            </w:r>
          </w:p>
        </w:tc>
      </w:tr>
      <w:tr w14:paraId="28B6E0F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17C4EE86">
            <w:pPr>
              <w:jc w:val="center"/>
              <w:rPr>
                <w:rFonts w:hint="eastAsia" w:ascii="宋体" w:hAnsi="宋体" w:cs="宋体"/>
                <w:color w:val="auto"/>
                <w:sz w:val="18"/>
                <w:szCs w:val="18"/>
              </w:rPr>
            </w:pPr>
          </w:p>
        </w:tc>
        <w:tc>
          <w:tcPr>
            <w:tcW w:w="1361" w:type="dxa"/>
            <w:vAlign w:val="center"/>
          </w:tcPr>
          <w:p w14:paraId="78FF4977">
            <w:pPr>
              <w:jc w:val="center"/>
              <w:rPr>
                <w:rFonts w:hint="eastAsia" w:ascii="宋体" w:hAnsi="宋体" w:cs="宋体"/>
                <w:color w:val="auto"/>
                <w:sz w:val="18"/>
                <w:szCs w:val="18"/>
              </w:rPr>
            </w:pPr>
            <w:r>
              <w:rPr>
                <w:rFonts w:hint="eastAsia" w:ascii="宋体" w:hAnsi="宋体" w:cs="宋体"/>
                <w:color w:val="auto"/>
                <w:sz w:val="18"/>
                <w:szCs w:val="18"/>
              </w:rPr>
              <w:t>区域环境质量整体变化情况</w:t>
            </w:r>
          </w:p>
        </w:tc>
        <w:tc>
          <w:tcPr>
            <w:tcW w:w="3954" w:type="dxa"/>
            <w:gridSpan w:val="11"/>
            <w:vAlign w:val="center"/>
          </w:tcPr>
          <w:p w14:paraId="74B262AC">
            <w:pPr>
              <w:jc w:val="center"/>
              <w:rPr>
                <w:rFonts w:hint="eastAsia" w:ascii="宋体" w:hAnsi="宋体" w:cs="宋体"/>
                <w:color w:val="auto"/>
                <w:sz w:val="18"/>
                <w:szCs w:val="18"/>
              </w:rPr>
            </w:pPr>
            <w:r>
              <w:rPr>
                <w:rFonts w:hint="eastAsia" w:ascii="宋体" w:hAnsi="宋体" w:cs="宋体"/>
                <w:color w:val="auto"/>
                <w:sz w:val="18"/>
                <w:szCs w:val="18"/>
              </w:rPr>
              <w:t>k≤-20%☑</w:t>
            </w:r>
          </w:p>
        </w:tc>
        <w:tc>
          <w:tcPr>
            <w:tcW w:w="2661" w:type="dxa"/>
            <w:gridSpan w:val="7"/>
            <w:vAlign w:val="center"/>
          </w:tcPr>
          <w:p w14:paraId="7A8057D8">
            <w:pPr>
              <w:jc w:val="center"/>
              <w:rPr>
                <w:rFonts w:hint="eastAsia" w:ascii="宋体" w:hAnsi="宋体" w:cs="宋体"/>
                <w:color w:val="auto"/>
                <w:sz w:val="18"/>
                <w:szCs w:val="18"/>
              </w:rPr>
            </w:pPr>
            <w:r>
              <w:rPr>
                <w:rFonts w:hint="eastAsia" w:ascii="宋体" w:hAnsi="宋体" w:cs="宋体"/>
                <w:color w:val="auto"/>
                <w:sz w:val="18"/>
                <w:szCs w:val="18"/>
              </w:rPr>
              <w:t>k＞-20%□</w:t>
            </w:r>
          </w:p>
        </w:tc>
      </w:tr>
      <w:tr w14:paraId="42DE940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restart"/>
            <w:vAlign w:val="center"/>
          </w:tcPr>
          <w:p w14:paraId="0AE077EA">
            <w:pPr>
              <w:jc w:val="center"/>
              <w:rPr>
                <w:rFonts w:hint="eastAsia" w:ascii="宋体" w:hAnsi="宋体" w:cs="宋体"/>
                <w:color w:val="auto"/>
                <w:sz w:val="18"/>
                <w:szCs w:val="18"/>
              </w:rPr>
            </w:pPr>
            <w:r>
              <w:rPr>
                <w:rFonts w:hint="eastAsia" w:ascii="宋体" w:hAnsi="宋体" w:cs="宋体"/>
                <w:color w:val="auto"/>
                <w:sz w:val="18"/>
                <w:szCs w:val="18"/>
              </w:rPr>
              <w:t>环境监测计划</w:t>
            </w:r>
          </w:p>
        </w:tc>
        <w:tc>
          <w:tcPr>
            <w:tcW w:w="1361" w:type="dxa"/>
            <w:vAlign w:val="center"/>
          </w:tcPr>
          <w:p w14:paraId="6064F0DF">
            <w:pPr>
              <w:jc w:val="center"/>
              <w:rPr>
                <w:rFonts w:hint="eastAsia" w:ascii="宋体" w:hAnsi="宋体" w:cs="宋体"/>
                <w:color w:val="auto"/>
                <w:sz w:val="18"/>
                <w:szCs w:val="18"/>
              </w:rPr>
            </w:pPr>
            <w:r>
              <w:rPr>
                <w:rFonts w:hint="eastAsia" w:ascii="宋体" w:hAnsi="宋体" w:cs="宋体"/>
                <w:color w:val="auto"/>
                <w:sz w:val="18"/>
                <w:szCs w:val="18"/>
              </w:rPr>
              <w:t>污染源监测</w:t>
            </w:r>
          </w:p>
        </w:tc>
        <w:tc>
          <w:tcPr>
            <w:tcW w:w="3053" w:type="dxa"/>
            <w:gridSpan w:val="8"/>
            <w:vAlign w:val="center"/>
          </w:tcPr>
          <w:p w14:paraId="1B7982F1">
            <w:pPr>
              <w:jc w:val="center"/>
              <w:rPr>
                <w:rFonts w:hint="eastAsia" w:ascii="宋体" w:hAnsi="宋体" w:cs="宋体"/>
                <w:color w:val="auto"/>
                <w:sz w:val="18"/>
                <w:szCs w:val="18"/>
              </w:rPr>
            </w:pPr>
            <w:r>
              <w:rPr>
                <w:rFonts w:hint="eastAsia" w:ascii="宋体" w:hAnsi="宋体" w:cs="宋体"/>
                <w:color w:val="auto"/>
                <w:sz w:val="18"/>
                <w:szCs w:val="18"/>
              </w:rPr>
              <w:t>监测因子：（NMHC和NMHC，颗粒物，氮氧化物，二氧化硫）</w:t>
            </w:r>
          </w:p>
        </w:tc>
        <w:tc>
          <w:tcPr>
            <w:tcW w:w="1843" w:type="dxa"/>
            <w:gridSpan w:val="6"/>
            <w:vAlign w:val="center"/>
          </w:tcPr>
          <w:p w14:paraId="1FA1088E">
            <w:pPr>
              <w:jc w:val="center"/>
              <w:rPr>
                <w:rFonts w:hint="eastAsia" w:ascii="宋体" w:hAnsi="宋体" w:cs="宋体"/>
                <w:color w:val="auto"/>
                <w:sz w:val="18"/>
                <w:szCs w:val="18"/>
              </w:rPr>
            </w:pPr>
            <w:r>
              <w:rPr>
                <w:rFonts w:hint="eastAsia" w:ascii="宋体" w:hAnsi="宋体" w:cs="宋体"/>
                <w:color w:val="auto"/>
                <w:sz w:val="18"/>
                <w:szCs w:val="18"/>
              </w:rPr>
              <w:t>有组织废气监测</w:t>
            </w:r>
            <w:r>
              <w:rPr>
                <w:rFonts w:hint="eastAsia" w:ascii="宋体" w:hAnsi="宋体" w:cs="宋体"/>
                <w:color w:val="auto"/>
                <w:sz w:val="18"/>
                <w:szCs w:val="18"/>
              </w:rPr>
              <w:sym w:font="Wingdings 2" w:char="0052"/>
            </w:r>
          </w:p>
          <w:p w14:paraId="7FD2017B">
            <w:pPr>
              <w:jc w:val="center"/>
              <w:rPr>
                <w:rFonts w:hint="eastAsia" w:ascii="宋体" w:hAnsi="宋体" w:cs="宋体"/>
                <w:color w:val="auto"/>
                <w:sz w:val="18"/>
                <w:szCs w:val="18"/>
              </w:rPr>
            </w:pPr>
            <w:r>
              <w:rPr>
                <w:rFonts w:hint="eastAsia" w:ascii="宋体" w:hAnsi="宋体" w:cs="宋体"/>
                <w:color w:val="auto"/>
                <w:sz w:val="18"/>
                <w:szCs w:val="18"/>
              </w:rPr>
              <w:t>无组织废气监测</w:t>
            </w:r>
            <w:r>
              <w:rPr>
                <w:rFonts w:hint="eastAsia" w:ascii="宋体" w:hAnsi="宋体" w:cs="宋体"/>
                <w:color w:val="auto"/>
                <w:sz w:val="18"/>
                <w:szCs w:val="18"/>
              </w:rPr>
              <w:sym w:font="Wingdings 2" w:char="0052"/>
            </w:r>
          </w:p>
        </w:tc>
        <w:tc>
          <w:tcPr>
            <w:tcW w:w="1719" w:type="dxa"/>
            <w:gridSpan w:val="4"/>
            <w:vAlign w:val="center"/>
          </w:tcPr>
          <w:p w14:paraId="368FB9FB">
            <w:pPr>
              <w:jc w:val="center"/>
              <w:rPr>
                <w:rFonts w:hint="eastAsia" w:ascii="宋体" w:hAnsi="宋体" w:cs="宋体"/>
                <w:color w:val="auto"/>
                <w:sz w:val="18"/>
                <w:szCs w:val="18"/>
              </w:rPr>
            </w:pPr>
            <w:r>
              <w:rPr>
                <w:rFonts w:hint="eastAsia" w:ascii="宋体" w:hAnsi="宋体" w:cs="宋体"/>
                <w:color w:val="auto"/>
                <w:sz w:val="18"/>
                <w:szCs w:val="18"/>
              </w:rPr>
              <w:t>无监测□</w:t>
            </w:r>
          </w:p>
        </w:tc>
      </w:tr>
      <w:tr w14:paraId="6FD0D39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6FE25D3C">
            <w:pPr>
              <w:jc w:val="center"/>
              <w:rPr>
                <w:rFonts w:hint="eastAsia" w:ascii="宋体" w:hAnsi="宋体" w:cs="宋体"/>
                <w:color w:val="auto"/>
                <w:sz w:val="18"/>
                <w:szCs w:val="18"/>
              </w:rPr>
            </w:pPr>
          </w:p>
        </w:tc>
        <w:tc>
          <w:tcPr>
            <w:tcW w:w="1361" w:type="dxa"/>
            <w:vAlign w:val="center"/>
          </w:tcPr>
          <w:p w14:paraId="5A1FAE92">
            <w:pPr>
              <w:jc w:val="center"/>
              <w:rPr>
                <w:rFonts w:hint="eastAsia" w:ascii="宋体" w:hAnsi="宋体" w:cs="宋体"/>
                <w:color w:val="auto"/>
                <w:sz w:val="18"/>
                <w:szCs w:val="18"/>
              </w:rPr>
            </w:pPr>
            <w:r>
              <w:rPr>
                <w:rFonts w:hint="eastAsia" w:ascii="宋体" w:hAnsi="宋体" w:cs="宋体"/>
                <w:color w:val="auto"/>
                <w:sz w:val="18"/>
                <w:szCs w:val="18"/>
              </w:rPr>
              <w:t>环境质量监测</w:t>
            </w:r>
          </w:p>
        </w:tc>
        <w:tc>
          <w:tcPr>
            <w:tcW w:w="3053" w:type="dxa"/>
            <w:gridSpan w:val="8"/>
            <w:vAlign w:val="center"/>
          </w:tcPr>
          <w:p w14:paraId="0C7906E9">
            <w:pPr>
              <w:jc w:val="center"/>
              <w:rPr>
                <w:rFonts w:hint="eastAsia" w:ascii="宋体" w:hAnsi="宋体" w:cs="宋体"/>
                <w:color w:val="auto"/>
                <w:sz w:val="18"/>
                <w:szCs w:val="18"/>
              </w:rPr>
            </w:pPr>
            <w:r>
              <w:rPr>
                <w:rFonts w:hint="eastAsia" w:ascii="宋体" w:hAnsi="宋体" w:cs="宋体"/>
                <w:color w:val="auto"/>
                <w:sz w:val="18"/>
                <w:szCs w:val="18"/>
              </w:rPr>
              <w:t>监测因子：（             ）</w:t>
            </w:r>
          </w:p>
        </w:tc>
        <w:tc>
          <w:tcPr>
            <w:tcW w:w="1843" w:type="dxa"/>
            <w:gridSpan w:val="6"/>
            <w:vAlign w:val="center"/>
          </w:tcPr>
          <w:p w14:paraId="1A0AD364">
            <w:pPr>
              <w:jc w:val="center"/>
              <w:rPr>
                <w:rFonts w:hint="eastAsia" w:ascii="宋体" w:hAnsi="宋体" w:cs="宋体"/>
                <w:color w:val="auto"/>
                <w:sz w:val="18"/>
                <w:szCs w:val="18"/>
              </w:rPr>
            </w:pPr>
            <w:r>
              <w:rPr>
                <w:rFonts w:hint="eastAsia" w:ascii="宋体" w:hAnsi="宋体" w:cs="宋体"/>
                <w:color w:val="auto"/>
                <w:sz w:val="18"/>
                <w:szCs w:val="18"/>
              </w:rPr>
              <w:t>监测点位数（   ）</w:t>
            </w:r>
          </w:p>
        </w:tc>
        <w:tc>
          <w:tcPr>
            <w:tcW w:w="1719" w:type="dxa"/>
            <w:gridSpan w:val="4"/>
            <w:vAlign w:val="center"/>
          </w:tcPr>
          <w:p w14:paraId="2C5C6664">
            <w:pPr>
              <w:jc w:val="center"/>
              <w:rPr>
                <w:rFonts w:hint="eastAsia" w:ascii="宋体" w:hAnsi="宋体" w:cs="宋体"/>
                <w:color w:val="auto"/>
                <w:sz w:val="18"/>
                <w:szCs w:val="18"/>
              </w:rPr>
            </w:pPr>
            <w:r>
              <w:rPr>
                <w:rFonts w:hint="eastAsia" w:ascii="宋体" w:hAnsi="宋体" w:cs="宋体"/>
                <w:color w:val="auto"/>
                <w:sz w:val="18"/>
                <w:szCs w:val="18"/>
              </w:rPr>
              <w:t>无监测</w:t>
            </w:r>
            <w:r>
              <w:rPr>
                <w:rFonts w:hint="eastAsia" w:ascii="宋体" w:hAnsi="宋体" w:cs="宋体"/>
                <w:color w:val="auto"/>
                <w:sz w:val="18"/>
                <w:szCs w:val="18"/>
              </w:rPr>
              <w:sym w:font="Wingdings 2" w:char="0052"/>
            </w:r>
          </w:p>
        </w:tc>
      </w:tr>
      <w:tr w14:paraId="4DF8602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restart"/>
            <w:vAlign w:val="center"/>
          </w:tcPr>
          <w:p w14:paraId="3952D3E0">
            <w:pPr>
              <w:jc w:val="center"/>
              <w:rPr>
                <w:rFonts w:hint="eastAsia" w:ascii="宋体" w:hAnsi="宋体" w:cs="宋体"/>
                <w:color w:val="auto"/>
                <w:sz w:val="18"/>
                <w:szCs w:val="18"/>
              </w:rPr>
            </w:pPr>
            <w:r>
              <w:rPr>
                <w:rFonts w:hint="eastAsia" w:ascii="宋体" w:hAnsi="宋体" w:cs="宋体"/>
                <w:color w:val="auto"/>
                <w:sz w:val="18"/>
                <w:szCs w:val="18"/>
              </w:rPr>
              <w:t>评价结论</w:t>
            </w:r>
          </w:p>
        </w:tc>
        <w:tc>
          <w:tcPr>
            <w:tcW w:w="1361" w:type="dxa"/>
            <w:vAlign w:val="center"/>
          </w:tcPr>
          <w:p w14:paraId="399707E0">
            <w:pPr>
              <w:jc w:val="center"/>
              <w:rPr>
                <w:rFonts w:hint="eastAsia" w:ascii="宋体" w:hAnsi="宋体" w:cs="宋体"/>
                <w:color w:val="auto"/>
                <w:sz w:val="18"/>
                <w:szCs w:val="18"/>
              </w:rPr>
            </w:pPr>
            <w:r>
              <w:rPr>
                <w:rFonts w:hint="eastAsia" w:ascii="宋体" w:hAnsi="宋体" w:cs="宋体"/>
                <w:color w:val="auto"/>
                <w:sz w:val="18"/>
                <w:szCs w:val="18"/>
              </w:rPr>
              <w:t>环境影响</w:t>
            </w:r>
          </w:p>
        </w:tc>
        <w:tc>
          <w:tcPr>
            <w:tcW w:w="6615" w:type="dxa"/>
            <w:gridSpan w:val="18"/>
            <w:vAlign w:val="center"/>
          </w:tcPr>
          <w:p w14:paraId="7215EB7F">
            <w:pPr>
              <w:jc w:val="center"/>
              <w:rPr>
                <w:rFonts w:hint="eastAsia" w:ascii="宋体" w:hAnsi="宋体" w:cs="宋体"/>
                <w:color w:val="auto"/>
                <w:sz w:val="18"/>
                <w:szCs w:val="18"/>
              </w:rPr>
            </w:pPr>
            <w:r>
              <w:rPr>
                <w:rFonts w:hint="eastAsia" w:ascii="宋体" w:hAnsi="宋体" w:cs="宋体"/>
                <w:color w:val="auto"/>
                <w:sz w:val="18"/>
                <w:szCs w:val="18"/>
              </w:rPr>
              <w:t>可以接受</w:t>
            </w:r>
            <w:r>
              <w:rPr>
                <w:rFonts w:hint="eastAsia" w:ascii="宋体" w:hAnsi="宋体" w:cs="宋体"/>
                <w:color w:val="auto"/>
                <w:sz w:val="18"/>
                <w:szCs w:val="18"/>
              </w:rPr>
              <w:sym w:font="Wingdings 2" w:char="0052"/>
            </w:r>
            <w:r>
              <w:rPr>
                <w:rFonts w:hint="eastAsia" w:ascii="宋体" w:hAnsi="宋体" w:cs="宋体"/>
                <w:color w:val="auto"/>
                <w:sz w:val="18"/>
                <w:szCs w:val="18"/>
              </w:rPr>
              <w:t xml:space="preserve">    不可以接受□</w:t>
            </w:r>
          </w:p>
        </w:tc>
      </w:tr>
      <w:tr w14:paraId="7F103A8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4C8D52C4">
            <w:pPr>
              <w:jc w:val="center"/>
              <w:rPr>
                <w:rFonts w:hint="eastAsia" w:ascii="宋体" w:hAnsi="宋体" w:cs="宋体"/>
                <w:color w:val="auto"/>
                <w:sz w:val="18"/>
                <w:szCs w:val="18"/>
              </w:rPr>
            </w:pPr>
          </w:p>
        </w:tc>
        <w:tc>
          <w:tcPr>
            <w:tcW w:w="1361" w:type="dxa"/>
            <w:vAlign w:val="center"/>
          </w:tcPr>
          <w:p w14:paraId="64AD158C">
            <w:pPr>
              <w:jc w:val="center"/>
              <w:rPr>
                <w:rFonts w:hint="eastAsia" w:ascii="宋体" w:hAnsi="宋体" w:cs="宋体"/>
                <w:color w:val="auto"/>
                <w:sz w:val="18"/>
                <w:szCs w:val="18"/>
              </w:rPr>
            </w:pPr>
            <w:r>
              <w:rPr>
                <w:rFonts w:hint="eastAsia" w:ascii="宋体" w:hAnsi="宋体" w:cs="宋体"/>
                <w:color w:val="auto"/>
                <w:sz w:val="18"/>
                <w:szCs w:val="18"/>
              </w:rPr>
              <w:t>大气环境防护距离</w:t>
            </w:r>
          </w:p>
        </w:tc>
        <w:tc>
          <w:tcPr>
            <w:tcW w:w="6615" w:type="dxa"/>
            <w:gridSpan w:val="18"/>
            <w:vAlign w:val="center"/>
          </w:tcPr>
          <w:p w14:paraId="5F208EB9">
            <w:pPr>
              <w:jc w:val="center"/>
              <w:rPr>
                <w:rFonts w:hint="eastAsia" w:ascii="宋体" w:hAnsi="宋体" w:cs="宋体"/>
                <w:color w:val="auto"/>
                <w:sz w:val="18"/>
                <w:szCs w:val="18"/>
              </w:rPr>
            </w:pPr>
            <w:r>
              <w:rPr>
                <w:rFonts w:hint="eastAsia" w:ascii="宋体" w:hAnsi="宋体" w:cs="宋体"/>
                <w:color w:val="auto"/>
                <w:sz w:val="18"/>
                <w:szCs w:val="18"/>
              </w:rPr>
              <w:t>距厂界最远（0）m</w:t>
            </w:r>
          </w:p>
        </w:tc>
      </w:tr>
      <w:tr w14:paraId="7802473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970" w:type="dxa"/>
            <w:vMerge w:val="continue"/>
            <w:vAlign w:val="center"/>
          </w:tcPr>
          <w:p w14:paraId="2CA144E6">
            <w:pPr>
              <w:jc w:val="center"/>
              <w:rPr>
                <w:rFonts w:hint="eastAsia" w:ascii="宋体" w:hAnsi="宋体" w:cs="宋体"/>
                <w:color w:val="auto"/>
                <w:sz w:val="18"/>
                <w:szCs w:val="18"/>
              </w:rPr>
            </w:pPr>
          </w:p>
        </w:tc>
        <w:tc>
          <w:tcPr>
            <w:tcW w:w="1361" w:type="dxa"/>
            <w:vAlign w:val="center"/>
          </w:tcPr>
          <w:p w14:paraId="41DD03E5">
            <w:pPr>
              <w:jc w:val="center"/>
              <w:rPr>
                <w:rFonts w:hint="eastAsia" w:ascii="宋体" w:hAnsi="宋体" w:cs="宋体"/>
                <w:color w:val="auto"/>
                <w:sz w:val="18"/>
                <w:szCs w:val="18"/>
              </w:rPr>
            </w:pPr>
            <w:r>
              <w:rPr>
                <w:rFonts w:hint="eastAsia" w:ascii="宋体" w:hAnsi="宋体" w:cs="宋体"/>
                <w:color w:val="auto"/>
                <w:sz w:val="18"/>
                <w:szCs w:val="18"/>
              </w:rPr>
              <w:t>污染源</w:t>
            </w:r>
          </w:p>
          <w:p w14:paraId="56EB47F3">
            <w:pPr>
              <w:jc w:val="center"/>
              <w:rPr>
                <w:rFonts w:hint="eastAsia" w:ascii="宋体" w:hAnsi="宋体" w:cs="宋体"/>
                <w:color w:val="auto"/>
                <w:sz w:val="18"/>
                <w:szCs w:val="18"/>
              </w:rPr>
            </w:pPr>
            <w:r>
              <w:rPr>
                <w:rFonts w:hint="eastAsia" w:ascii="宋体" w:hAnsi="宋体" w:cs="宋体"/>
                <w:color w:val="auto"/>
                <w:sz w:val="18"/>
                <w:szCs w:val="18"/>
              </w:rPr>
              <w:t>年排放量</w:t>
            </w:r>
          </w:p>
        </w:tc>
        <w:tc>
          <w:tcPr>
            <w:tcW w:w="1241" w:type="dxa"/>
            <w:gridSpan w:val="2"/>
            <w:vAlign w:val="center"/>
          </w:tcPr>
          <w:p w14:paraId="1B34145D">
            <w:pPr>
              <w:jc w:val="center"/>
              <w:rPr>
                <w:rFonts w:hint="eastAsia" w:ascii="宋体" w:hAnsi="宋体" w:cs="宋体"/>
                <w:color w:val="auto"/>
                <w:sz w:val="18"/>
                <w:szCs w:val="18"/>
              </w:rPr>
            </w:pPr>
            <w:r>
              <w:rPr>
                <w:rFonts w:hint="eastAsia" w:ascii="宋体" w:hAnsi="宋体"/>
                <w:color w:val="auto"/>
                <w:sz w:val="18"/>
                <w:szCs w:val="18"/>
              </w:rPr>
              <w:t>SO</w:t>
            </w:r>
            <w:r>
              <w:rPr>
                <w:rFonts w:hint="eastAsia" w:ascii="宋体" w:hAnsi="宋体"/>
                <w:color w:val="auto"/>
                <w:sz w:val="18"/>
                <w:szCs w:val="18"/>
                <w:vertAlign w:val="subscript"/>
              </w:rPr>
              <w:t>2</w:t>
            </w:r>
            <w:r>
              <w:rPr>
                <w:rFonts w:hint="eastAsia" w:ascii="宋体" w:hAnsi="宋体"/>
                <w:color w:val="auto"/>
                <w:sz w:val="18"/>
                <w:szCs w:val="18"/>
              </w:rPr>
              <w:t>：（0.16038）t/a</w:t>
            </w:r>
          </w:p>
        </w:tc>
        <w:tc>
          <w:tcPr>
            <w:tcW w:w="1134" w:type="dxa"/>
            <w:gridSpan w:val="4"/>
            <w:vAlign w:val="center"/>
          </w:tcPr>
          <w:p w14:paraId="37FDFA85">
            <w:pPr>
              <w:jc w:val="center"/>
              <w:rPr>
                <w:rFonts w:hint="eastAsia" w:ascii="宋体" w:hAnsi="宋体" w:cs="宋体"/>
                <w:color w:val="auto"/>
                <w:sz w:val="18"/>
                <w:szCs w:val="18"/>
              </w:rPr>
            </w:pPr>
            <w:r>
              <w:rPr>
                <w:rFonts w:hint="eastAsia" w:ascii="宋体" w:hAnsi="宋体"/>
                <w:color w:val="auto"/>
                <w:sz w:val="18"/>
                <w:szCs w:val="18"/>
              </w:rPr>
              <w:t>NOx：（1.56816）t/a</w:t>
            </w:r>
          </w:p>
        </w:tc>
        <w:tc>
          <w:tcPr>
            <w:tcW w:w="1134" w:type="dxa"/>
            <w:gridSpan w:val="3"/>
            <w:vAlign w:val="center"/>
          </w:tcPr>
          <w:p w14:paraId="258085C7">
            <w:pPr>
              <w:jc w:val="center"/>
              <w:rPr>
                <w:rFonts w:hint="eastAsia" w:ascii="宋体" w:hAnsi="宋体" w:cs="宋体"/>
                <w:color w:val="auto"/>
                <w:sz w:val="18"/>
                <w:szCs w:val="18"/>
              </w:rPr>
            </w:pPr>
            <w:r>
              <w:rPr>
                <w:rFonts w:hint="eastAsia" w:ascii="宋体" w:hAnsi="宋体"/>
                <w:color w:val="auto"/>
                <w:sz w:val="18"/>
                <w:szCs w:val="18"/>
              </w:rPr>
              <w:t>颗粒物：（0.12474）t/a</w:t>
            </w:r>
          </w:p>
        </w:tc>
        <w:tc>
          <w:tcPr>
            <w:tcW w:w="1417" w:type="dxa"/>
            <w:gridSpan w:val="6"/>
            <w:vAlign w:val="center"/>
          </w:tcPr>
          <w:p w14:paraId="4E98E561">
            <w:pPr>
              <w:jc w:val="center"/>
              <w:rPr>
                <w:rFonts w:hint="eastAsia" w:ascii="宋体" w:hAnsi="宋体" w:cs="宋体"/>
                <w:color w:val="auto"/>
                <w:sz w:val="18"/>
                <w:szCs w:val="18"/>
              </w:rPr>
            </w:pPr>
            <w:r>
              <w:rPr>
                <w:rFonts w:hint="eastAsia" w:ascii="宋体" w:hAnsi="宋体"/>
                <w:color w:val="auto"/>
                <w:sz w:val="18"/>
                <w:szCs w:val="18"/>
              </w:rPr>
              <w:t>VOCs：（1.5553）t/a</w:t>
            </w:r>
          </w:p>
        </w:tc>
        <w:tc>
          <w:tcPr>
            <w:tcW w:w="1689" w:type="dxa"/>
            <w:gridSpan w:val="3"/>
            <w:vAlign w:val="center"/>
          </w:tcPr>
          <w:p w14:paraId="5AA49C05">
            <w:pPr>
              <w:jc w:val="center"/>
              <w:rPr>
                <w:rFonts w:hint="eastAsia" w:ascii="宋体" w:hAnsi="宋体" w:cs="宋体"/>
                <w:color w:val="auto"/>
                <w:sz w:val="18"/>
                <w:szCs w:val="18"/>
              </w:rPr>
            </w:pPr>
            <w:r>
              <w:rPr>
                <w:rFonts w:hint="eastAsia" w:ascii="宋体" w:hAnsi="宋体" w:cs="宋体"/>
                <w:color w:val="auto"/>
                <w:sz w:val="18"/>
                <w:szCs w:val="18"/>
              </w:rPr>
              <w:t>硫化氢：（0）kg/a</w:t>
            </w:r>
          </w:p>
        </w:tc>
      </w:tr>
    </w:tbl>
    <w:p w14:paraId="0A736CFE">
      <w:pPr>
        <w:pStyle w:val="86"/>
        <w:ind w:firstLine="480"/>
        <w:rPr>
          <w:rFonts w:hint="eastAsia"/>
          <w:color w:val="auto"/>
        </w:rPr>
      </w:pPr>
    </w:p>
    <w:p w14:paraId="0928F590">
      <w:pPr>
        <w:pStyle w:val="86"/>
        <w:ind w:firstLine="480"/>
        <w:rPr>
          <w:rFonts w:hint="eastAsia"/>
          <w:color w:val="auto"/>
        </w:rPr>
      </w:pPr>
    </w:p>
    <w:p w14:paraId="03614C04">
      <w:pPr>
        <w:pStyle w:val="86"/>
        <w:ind w:firstLine="480"/>
        <w:rPr>
          <w:rFonts w:hint="eastAsia"/>
          <w:color w:val="auto"/>
        </w:rPr>
        <w:sectPr>
          <w:pgSz w:w="11906" w:h="16838"/>
          <w:pgMar w:top="1418" w:right="1588" w:bottom="1418" w:left="1588" w:header="1020" w:footer="1020" w:gutter="0"/>
          <w:cols w:space="720" w:num="1"/>
          <w:docGrid w:type="lines" w:linePitch="312" w:charSpace="0"/>
        </w:sectPr>
      </w:pPr>
    </w:p>
    <w:p w14:paraId="46ADD97E">
      <w:pPr>
        <w:pStyle w:val="2"/>
        <w:spacing w:before="0" w:after="0"/>
        <w:rPr>
          <w:color w:val="auto"/>
          <w:sz w:val="24"/>
          <w:szCs w:val="24"/>
        </w:rPr>
      </w:pPr>
      <w:bookmarkStart w:id="1034" w:name="_Toc224406050"/>
      <w:bookmarkStart w:id="1035" w:name="_Toc178250498"/>
      <w:bookmarkStart w:id="1036" w:name="_Toc217311593"/>
      <w:r>
        <w:rPr>
          <w:rFonts w:hint="eastAsia"/>
          <w:color w:val="auto"/>
          <w:sz w:val="24"/>
          <w:szCs w:val="24"/>
        </w:rPr>
        <w:t>附</w:t>
      </w:r>
      <w:r>
        <w:rPr>
          <w:rFonts w:hint="eastAsia" w:ascii="宋体" w:hAnsi="宋体"/>
          <w:color w:val="auto"/>
          <w:sz w:val="24"/>
          <w:szCs w:val="24"/>
        </w:rPr>
        <w:t>件5</w:t>
      </w:r>
      <w:r>
        <w:rPr>
          <w:rFonts w:ascii="宋体" w:hAnsi="宋体"/>
          <w:color w:val="auto"/>
          <w:sz w:val="24"/>
          <w:szCs w:val="24"/>
        </w:rPr>
        <w:t xml:space="preserve">  </w:t>
      </w:r>
      <w:r>
        <w:rPr>
          <w:rFonts w:hint="eastAsia" w:ascii="宋体" w:hAnsi="宋体"/>
          <w:color w:val="auto"/>
          <w:sz w:val="24"/>
          <w:szCs w:val="24"/>
        </w:rPr>
        <w:t>声环</w:t>
      </w:r>
      <w:r>
        <w:rPr>
          <w:rFonts w:hint="eastAsia"/>
          <w:color w:val="auto"/>
          <w:sz w:val="24"/>
          <w:szCs w:val="24"/>
        </w:rPr>
        <w:t>境影响自查表</w:t>
      </w:r>
      <w:bookmarkEnd w:id="1034"/>
      <w:bookmarkEnd w:id="1035"/>
      <w:bookmarkEnd w:id="1036"/>
    </w:p>
    <w:tbl>
      <w:tblPr>
        <w:tblStyle w:val="51"/>
        <w:tblW w:w="5000" w:type="pct"/>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3"/>
        <w:gridCol w:w="7"/>
        <w:gridCol w:w="1608"/>
        <w:gridCol w:w="802"/>
        <w:gridCol w:w="528"/>
        <w:gridCol w:w="308"/>
        <w:gridCol w:w="215"/>
        <w:gridCol w:w="1052"/>
        <w:gridCol w:w="24"/>
        <w:gridCol w:w="1056"/>
        <w:gridCol w:w="535"/>
        <w:gridCol w:w="486"/>
        <w:gridCol w:w="37"/>
        <w:gridCol w:w="1106"/>
        <w:gridCol w:w="23"/>
      </w:tblGrid>
      <w:tr w14:paraId="124E2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1468" w:type="pct"/>
            <w:gridSpan w:val="3"/>
            <w:tcMar>
              <w:left w:w="0" w:type="dxa"/>
              <w:right w:w="0" w:type="dxa"/>
            </w:tcMar>
            <w:vAlign w:val="center"/>
          </w:tcPr>
          <w:p w14:paraId="167D9EC7">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工作内容</w:t>
            </w:r>
          </w:p>
        </w:tc>
        <w:tc>
          <w:tcPr>
            <w:tcW w:w="3517" w:type="pct"/>
            <w:gridSpan w:val="11"/>
            <w:tcMar>
              <w:left w:w="0" w:type="dxa"/>
              <w:right w:w="0" w:type="dxa"/>
            </w:tcMar>
            <w:vAlign w:val="center"/>
          </w:tcPr>
          <w:p w14:paraId="6C40F043">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自查项目</w:t>
            </w:r>
          </w:p>
        </w:tc>
      </w:tr>
      <w:tr w14:paraId="06113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545" w:type="pct"/>
            <w:vMerge w:val="restart"/>
            <w:tcMar>
              <w:left w:w="0" w:type="dxa"/>
              <w:right w:w="0" w:type="dxa"/>
            </w:tcMar>
            <w:vAlign w:val="center"/>
          </w:tcPr>
          <w:p w14:paraId="5C59ED23">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评价等级与范围</w:t>
            </w:r>
          </w:p>
        </w:tc>
        <w:tc>
          <w:tcPr>
            <w:tcW w:w="924" w:type="pct"/>
            <w:gridSpan w:val="2"/>
            <w:tcMar>
              <w:left w:w="0" w:type="dxa"/>
              <w:right w:w="0" w:type="dxa"/>
            </w:tcMar>
            <w:vAlign w:val="center"/>
          </w:tcPr>
          <w:p w14:paraId="00EB4A5C">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评价等级</w:t>
            </w:r>
          </w:p>
        </w:tc>
        <w:tc>
          <w:tcPr>
            <w:tcW w:w="3517" w:type="pct"/>
            <w:gridSpan w:val="11"/>
            <w:tcMar>
              <w:left w:w="0" w:type="dxa"/>
              <w:right w:w="0" w:type="dxa"/>
            </w:tcMar>
            <w:vAlign w:val="center"/>
          </w:tcPr>
          <w:p w14:paraId="5D905B73">
            <w:pPr>
              <w:tabs>
                <w:tab w:val="left" w:pos="2103"/>
                <w:tab w:val="left" w:pos="3635"/>
              </w:tabs>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一级□          二级</w:t>
            </w:r>
            <w:r>
              <w:rPr>
                <w:rFonts w:ascii="Segoe UI Symbol" w:hAnsi="Segoe UI Symbol" w:cs="Segoe UI Symbol"/>
                <w:color w:val="auto"/>
                <w:spacing w:val="-10"/>
                <w:kern w:val="0"/>
                <w:szCs w:val="21"/>
              </w:rPr>
              <w:t>☑</w:t>
            </w:r>
            <w:r>
              <w:rPr>
                <w:rFonts w:hint="eastAsia" w:ascii="宋体" w:hAnsi="宋体" w:cs="宋体"/>
                <w:color w:val="auto"/>
                <w:spacing w:val="-10"/>
                <w:kern w:val="0"/>
                <w:szCs w:val="21"/>
              </w:rPr>
              <w:t xml:space="preserve">          三级□</w:t>
            </w:r>
          </w:p>
        </w:tc>
      </w:tr>
      <w:tr w14:paraId="5E44A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545" w:type="pct"/>
            <w:vMerge w:val="continue"/>
            <w:tcMar>
              <w:left w:w="0" w:type="dxa"/>
              <w:right w:w="0" w:type="dxa"/>
            </w:tcMar>
            <w:vAlign w:val="center"/>
          </w:tcPr>
          <w:p w14:paraId="5D31E1F4">
            <w:pPr>
              <w:adjustRightInd w:val="0"/>
              <w:snapToGrid w:val="0"/>
              <w:spacing w:line="300" w:lineRule="exact"/>
              <w:jc w:val="center"/>
              <w:rPr>
                <w:rFonts w:hint="eastAsia" w:ascii="宋体" w:hAnsi="宋体" w:cs="宋体"/>
                <w:color w:val="auto"/>
                <w:spacing w:val="-10"/>
                <w:kern w:val="0"/>
                <w:szCs w:val="21"/>
              </w:rPr>
            </w:pPr>
          </w:p>
        </w:tc>
        <w:tc>
          <w:tcPr>
            <w:tcW w:w="924" w:type="pct"/>
            <w:gridSpan w:val="2"/>
            <w:tcMar>
              <w:left w:w="0" w:type="dxa"/>
              <w:right w:w="0" w:type="dxa"/>
            </w:tcMar>
            <w:vAlign w:val="center"/>
          </w:tcPr>
          <w:p w14:paraId="5DB628FA">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评价范围</w:t>
            </w:r>
          </w:p>
        </w:tc>
        <w:tc>
          <w:tcPr>
            <w:tcW w:w="3517" w:type="pct"/>
            <w:gridSpan w:val="11"/>
            <w:tcMar>
              <w:left w:w="0" w:type="dxa"/>
              <w:right w:w="0" w:type="dxa"/>
            </w:tcMar>
            <w:vAlign w:val="center"/>
          </w:tcPr>
          <w:p w14:paraId="304EE8C5">
            <w:pPr>
              <w:tabs>
                <w:tab w:val="left" w:pos="2384"/>
                <w:tab w:val="left" w:pos="5315"/>
              </w:tabs>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200m</w:t>
            </w:r>
            <w:r>
              <w:rPr>
                <w:rFonts w:ascii="Segoe UI Symbol" w:hAnsi="Segoe UI Symbol" w:cs="Segoe UI Symbol"/>
                <w:color w:val="auto"/>
                <w:spacing w:val="-10"/>
                <w:kern w:val="0"/>
                <w:szCs w:val="21"/>
              </w:rPr>
              <w:t>☑</w:t>
            </w:r>
            <w:r>
              <w:rPr>
                <w:rFonts w:hint="eastAsia" w:ascii="宋体" w:hAnsi="宋体" w:cs="宋体"/>
                <w:color w:val="auto"/>
                <w:spacing w:val="-10"/>
                <w:kern w:val="0"/>
                <w:szCs w:val="21"/>
              </w:rPr>
              <w:t xml:space="preserve">          大于200m□          小于200m□</w:t>
            </w:r>
          </w:p>
        </w:tc>
      </w:tr>
      <w:tr w14:paraId="7736D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545" w:type="pct"/>
            <w:tcMar>
              <w:left w:w="0" w:type="dxa"/>
              <w:right w:w="0" w:type="dxa"/>
            </w:tcMar>
            <w:vAlign w:val="center"/>
          </w:tcPr>
          <w:p w14:paraId="09EB5D10">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评价因子</w:t>
            </w:r>
          </w:p>
        </w:tc>
        <w:tc>
          <w:tcPr>
            <w:tcW w:w="924" w:type="pct"/>
            <w:gridSpan w:val="2"/>
            <w:tcMar>
              <w:left w:w="0" w:type="dxa"/>
              <w:right w:w="0" w:type="dxa"/>
            </w:tcMar>
            <w:vAlign w:val="center"/>
          </w:tcPr>
          <w:p w14:paraId="255DDA7F">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评价因子</w:t>
            </w:r>
          </w:p>
        </w:tc>
        <w:tc>
          <w:tcPr>
            <w:tcW w:w="3517" w:type="pct"/>
            <w:gridSpan w:val="11"/>
            <w:tcMar>
              <w:left w:w="0" w:type="dxa"/>
              <w:right w:w="0" w:type="dxa"/>
            </w:tcMar>
            <w:vAlign w:val="center"/>
          </w:tcPr>
          <w:p w14:paraId="1C941002">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等效连续A声级</w:t>
            </w:r>
            <w:r>
              <w:rPr>
                <w:rFonts w:ascii="Segoe UI Symbol" w:hAnsi="Segoe UI Symbol" w:cs="Segoe UI Symbol"/>
                <w:color w:val="auto"/>
                <w:spacing w:val="-10"/>
                <w:kern w:val="0"/>
                <w:szCs w:val="21"/>
              </w:rPr>
              <w:t>☑</w:t>
            </w:r>
            <w:r>
              <w:rPr>
                <w:rFonts w:hint="eastAsia" w:ascii="宋体" w:hAnsi="宋体" w:cs="宋体"/>
                <w:color w:val="auto"/>
                <w:spacing w:val="-10"/>
                <w:kern w:val="0"/>
                <w:szCs w:val="21"/>
              </w:rPr>
              <w:t xml:space="preserve"> 最大A声级□ 计权等效连续感觉噪声级□</w:t>
            </w:r>
          </w:p>
        </w:tc>
      </w:tr>
      <w:tr w14:paraId="21DE3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545" w:type="pct"/>
            <w:tcMar>
              <w:left w:w="0" w:type="dxa"/>
              <w:right w:w="0" w:type="dxa"/>
            </w:tcMar>
            <w:vAlign w:val="center"/>
          </w:tcPr>
          <w:p w14:paraId="0DC9E1F6">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评价标准</w:t>
            </w:r>
          </w:p>
        </w:tc>
        <w:tc>
          <w:tcPr>
            <w:tcW w:w="924" w:type="pct"/>
            <w:gridSpan w:val="2"/>
            <w:tcMar>
              <w:left w:w="0" w:type="dxa"/>
              <w:right w:w="0" w:type="dxa"/>
            </w:tcMar>
            <w:vAlign w:val="center"/>
          </w:tcPr>
          <w:p w14:paraId="14EE54BD">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评价标准</w:t>
            </w:r>
          </w:p>
        </w:tc>
        <w:tc>
          <w:tcPr>
            <w:tcW w:w="3517" w:type="pct"/>
            <w:gridSpan w:val="11"/>
            <w:tcMar>
              <w:left w:w="0" w:type="dxa"/>
              <w:right w:w="0" w:type="dxa"/>
            </w:tcMar>
            <w:vAlign w:val="center"/>
          </w:tcPr>
          <w:p w14:paraId="16359D3F">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国家标准</w:t>
            </w:r>
            <w:r>
              <w:rPr>
                <w:rFonts w:ascii="Segoe UI Symbol" w:hAnsi="Segoe UI Symbol" w:cs="Segoe UI Symbol"/>
                <w:color w:val="auto"/>
                <w:spacing w:val="-10"/>
                <w:kern w:val="0"/>
                <w:szCs w:val="21"/>
              </w:rPr>
              <w:t>☑</w:t>
            </w:r>
            <w:r>
              <w:rPr>
                <w:rFonts w:hint="eastAsia" w:ascii="宋体" w:hAnsi="宋体" w:cs="宋体"/>
                <w:color w:val="auto"/>
                <w:spacing w:val="-10"/>
                <w:kern w:val="0"/>
                <w:szCs w:val="21"/>
              </w:rPr>
              <w:t xml:space="preserve">     地方标准□     国外标准□</w:t>
            </w:r>
          </w:p>
        </w:tc>
      </w:tr>
      <w:tr w14:paraId="60A5D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545" w:type="pct"/>
            <w:vMerge w:val="restart"/>
            <w:tcMar>
              <w:left w:w="0" w:type="dxa"/>
              <w:right w:w="0" w:type="dxa"/>
            </w:tcMar>
            <w:vAlign w:val="center"/>
          </w:tcPr>
          <w:p w14:paraId="641A5379">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现状评价</w:t>
            </w:r>
          </w:p>
        </w:tc>
        <w:tc>
          <w:tcPr>
            <w:tcW w:w="924" w:type="pct"/>
            <w:gridSpan w:val="2"/>
            <w:tcMar>
              <w:left w:w="0" w:type="dxa"/>
              <w:right w:w="0" w:type="dxa"/>
            </w:tcMar>
            <w:vAlign w:val="center"/>
          </w:tcPr>
          <w:p w14:paraId="610129FD">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环境功能区</w:t>
            </w:r>
          </w:p>
        </w:tc>
        <w:tc>
          <w:tcPr>
            <w:tcW w:w="459" w:type="pct"/>
            <w:tcMar>
              <w:left w:w="0" w:type="dxa"/>
              <w:right w:w="0" w:type="dxa"/>
            </w:tcMar>
            <w:vAlign w:val="center"/>
          </w:tcPr>
          <w:p w14:paraId="04B4B15F">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0类区□</w:t>
            </w:r>
          </w:p>
        </w:tc>
        <w:tc>
          <w:tcPr>
            <w:tcW w:w="601" w:type="pct"/>
            <w:gridSpan w:val="3"/>
            <w:tcMar>
              <w:left w:w="0" w:type="dxa"/>
              <w:right w:w="0" w:type="dxa"/>
            </w:tcMar>
            <w:vAlign w:val="center"/>
          </w:tcPr>
          <w:p w14:paraId="2305308D">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1类区□</w:t>
            </w:r>
          </w:p>
        </w:tc>
        <w:tc>
          <w:tcPr>
            <w:tcW w:w="602" w:type="pct"/>
            <w:tcMar>
              <w:left w:w="0" w:type="dxa"/>
              <w:right w:w="0" w:type="dxa"/>
            </w:tcMar>
            <w:vAlign w:val="center"/>
          </w:tcPr>
          <w:p w14:paraId="19245D0E">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2类区</w:t>
            </w:r>
            <w:r>
              <w:rPr>
                <w:rFonts w:ascii="Segoe UI Symbol" w:hAnsi="Segoe UI Symbol" w:cs="Segoe UI Symbol"/>
                <w:color w:val="auto"/>
                <w:spacing w:val="-10"/>
                <w:kern w:val="0"/>
                <w:szCs w:val="21"/>
              </w:rPr>
              <w:t>☑</w:t>
            </w:r>
          </w:p>
        </w:tc>
        <w:tc>
          <w:tcPr>
            <w:tcW w:w="618" w:type="pct"/>
            <w:gridSpan w:val="2"/>
            <w:tcMar>
              <w:left w:w="0" w:type="dxa"/>
              <w:right w:w="0" w:type="dxa"/>
            </w:tcMar>
            <w:vAlign w:val="center"/>
          </w:tcPr>
          <w:p w14:paraId="23128EAC">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3类区□</w:t>
            </w:r>
          </w:p>
        </w:tc>
        <w:tc>
          <w:tcPr>
            <w:tcW w:w="584" w:type="pct"/>
            <w:gridSpan w:val="2"/>
            <w:tcMar>
              <w:left w:w="0" w:type="dxa"/>
              <w:right w:w="0" w:type="dxa"/>
            </w:tcMar>
            <w:vAlign w:val="center"/>
          </w:tcPr>
          <w:p w14:paraId="19F812E3">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4a类区□</w:t>
            </w:r>
          </w:p>
        </w:tc>
        <w:tc>
          <w:tcPr>
            <w:tcW w:w="653" w:type="pct"/>
            <w:gridSpan w:val="2"/>
            <w:tcMar>
              <w:left w:w="0" w:type="dxa"/>
              <w:right w:w="0" w:type="dxa"/>
            </w:tcMar>
            <w:vAlign w:val="center"/>
          </w:tcPr>
          <w:p w14:paraId="5CF93CFE">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4b类区□</w:t>
            </w:r>
          </w:p>
        </w:tc>
      </w:tr>
      <w:tr w14:paraId="0A465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545" w:type="pct"/>
            <w:vMerge w:val="continue"/>
            <w:tcMar>
              <w:left w:w="0" w:type="dxa"/>
              <w:right w:w="0" w:type="dxa"/>
            </w:tcMar>
            <w:vAlign w:val="center"/>
          </w:tcPr>
          <w:p w14:paraId="54DFF350">
            <w:pPr>
              <w:adjustRightInd w:val="0"/>
              <w:snapToGrid w:val="0"/>
              <w:spacing w:line="300" w:lineRule="exact"/>
              <w:jc w:val="center"/>
              <w:rPr>
                <w:rFonts w:hint="eastAsia" w:ascii="宋体" w:hAnsi="宋体" w:cs="宋体"/>
                <w:color w:val="auto"/>
                <w:spacing w:val="-10"/>
                <w:kern w:val="0"/>
                <w:szCs w:val="21"/>
              </w:rPr>
            </w:pPr>
          </w:p>
        </w:tc>
        <w:tc>
          <w:tcPr>
            <w:tcW w:w="924" w:type="pct"/>
            <w:gridSpan w:val="2"/>
            <w:tcMar>
              <w:left w:w="0" w:type="dxa"/>
              <w:right w:w="0" w:type="dxa"/>
            </w:tcMar>
            <w:vAlign w:val="center"/>
          </w:tcPr>
          <w:p w14:paraId="2E861FED">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评价年度</w:t>
            </w:r>
          </w:p>
        </w:tc>
        <w:tc>
          <w:tcPr>
            <w:tcW w:w="761" w:type="pct"/>
            <w:gridSpan w:val="2"/>
            <w:tcMar>
              <w:left w:w="0" w:type="dxa"/>
              <w:right w:w="0" w:type="dxa"/>
            </w:tcMar>
            <w:vAlign w:val="center"/>
          </w:tcPr>
          <w:p w14:paraId="6A839519">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初期□</w:t>
            </w:r>
          </w:p>
        </w:tc>
        <w:tc>
          <w:tcPr>
            <w:tcW w:w="900" w:type="pct"/>
            <w:gridSpan w:val="3"/>
            <w:tcMar>
              <w:left w:w="0" w:type="dxa"/>
              <w:right w:w="0" w:type="dxa"/>
            </w:tcMar>
            <w:vAlign w:val="center"/>
          </w:tcPr>
          <w:p w14:paraId="54FBBD4B">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近期</w:t>
            </w:r>
            <w:r>
              <w:rPr>
                <w:rFonts w:ascii="Segoe UI Symbol" w:hAnsi="Segoe UI Symbol" w:cs="Segoe UI Symbol"/>
                <w:color w:val="auto"/>
                <w:spacing w:val="-10"/>
                <w:kern w:val="0"/>
                <w:szCs w:val="21"/>
              </w:rPr>
              <w:t>☑</w:t>
            </w:r>
          </w:p>
        </w:tc>
        <w:tc>
          <w:tcPr>
            <w:tcW w:w="924" w:type="pct"/>
            <w:gridSpan w:val="3"/>
            <w:tcMar>
              <w:left w:w="0" w:type="dxa"/>
              <w:right w:w="0" w:type="dxa"/>
            </w:tcMar>
            <w:vAlign w:val="center"/>
          </w:tcPr>
          <w:p w14:paraId="5899BE96">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中期□</w:t>
            </w:r>
          </w:p>
        </w:tc>
        <w:tc>
          <w:tcPr>
            <w:tcW w:w="931" w:type="pct"/>
            <w:gridSpan w:val="3"/>
            <w:tcMar>
              <w:left w:w="0" w:type="dxa"/>
              <w:right w:w="0" w:type="dxa"/>
            </w:tcMar>
            <w:vAlign w:val="center"/>
          </w:tcPr>
          <w:p w14:paraId="1D316041">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远期□</w:t>
            </w:r>
          </w:p>
        </w:tc>
      </w:tr>
      <w:tr w14:paraId="74B7A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545" w:type="pct"/>
            <w:vMerge w:val="continue"/>
            <w:tcMar>
              <w:left w:w="0" w:type="dxa"/>
              <w:right w:w="0" w:type="dxa"/>
            </w:tcMar>
            <w:vAlign w:val="center"/>
          </w:tcPr>
          <w:p w14:paraId="476AE7F9">
            <w:pPr>
              <w:adjustRightInd w:val="0"/>
              <w:snapToGrid w:val="0"/>
              <w:spacing w:line="300" w:lineRule="exact"/>
              <w:jc w:val="center"/>
              <w:rPr>
                <w:rFonts w:hint="eastAsia" w:ascii="宋体" w:hAnsi="宋体" w:cs="宋体"/>
                <w:color w:val="auto"/>
                <w:spacing w:val="-10"/>
                <w:kern w:val="0"/>
                <w:szCs w:val="21"/>
              </w:rPr>
            </w:pPr>
          </w:p>
        </w:tc>
        <w:tc>
          <w:tcPr>
            <w:tcW w:w="924" w:type="pct"/>
            <w:gridSpan w:val="2"/>
            <w:tcMar>
              <w:left w:w="0" w:type="dxa"/>
              <w:right w:w="0" w:type="dxa"/>
            </w:tcMar>
            <w:vAlign w:val="center"/>
          </w:tcPr>
          <w:p w14:paraId="6B522747">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现状调查方法</w:t>
            </w:r>
          </w:p>
        </w:tc>
        <w:tc>
          <w:tcPr>
            <w:tcW w:w="3517" w:type="pct"/>
            <w:gridSpan w:val="11"/>
            <w:tcMar>
              <w:left w:w="0" w:type="dxa"/>
              <w:right w:w="0" w:type="dxa"/>
            </w:tcMar>
            <w:vAlign w:val="center"/>
          </w:tcPr>
          <w:p w14:paraId="49B9B73E">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现场实测法</w:t>
            </w:r>
            <w:r>
              <w:rPr>
                <w:rFonts w:ascii="Segoe UI Symbol" w:hAnsi="Segoe UI Symbol" w:cs="Segoe UI Symbol"/>
                <w:color w:val="auto"/>
                <w:spacing w:val="-10"/>
                <w:kern w:val="0"/>
                <w:szCs w:val="21"/>
              </w:rPr>
              <w:t>☑</w:t>
            </w:r>
            <w:r>
              <w:rPr>
                <w:rFonts w:hint="eastAsia" w:ascii="宋体" w:hAnsi="宋体" w:cs="宋体"/>
                <w:color w:val="auto"/>
                <w:spacing w:val="-10"/>
                <w:kern w:val="0"/>
                <w:szCs w:val="21"/>
              </w:rPr>
              <w:t xml:space="preserve">   现场实测加模型计算法□   收集资料□</w:t>
            </w:r>
          </w:p>
        </w:tc>
      </w:tr>
      <w:tr w14:paraId="4455A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3" w:type="dxa"/>
          <w:trHeight w:val="567" w:hRule="atLeast"/>
        </w:trPr>
        <w:tc>
          <w:tcPr>
            <w:tcW w:w="545" w:type="pct"/>
            <w:vMerge w:val="continue"/>
            <w:tcMar>
              <w:left w:w="0" w:type="dxa"/>
              <w:right w:w="0" w:type="dxa"/>
            </w:tcMar>
            <w:vAlign w:val="center"/>
          </w:tcPr>
          <w:p w14:paraId="449FF67D">
            <w:pPr>
              <w:adjustRightInd w:val="0"/>
              <w:snapToGrid w:val="0"/>
              <w:spacing w:line="300" w:lineRule="exact"/>
              <w:jc w:val="center"/>
              <w:rPr>
                <w:rFonts w:hint="eastAsia" w:ascii="宋体" w:hAnsi="宋体" w:cs="宋体"/>
                <w:color w:val="auto"/>
                <w:spacing w:val="-10"/>
                <w:kern w:val="0"/>
                <w:szCs w:val="21"/>
              </w:rPr>
            </w:pPr>
          </w:p>
        </w:tc>
        <w:tc>
          <w:tcPr>
            <w:tcW w:w="924" w:type="pct"/>
            <w:gridSpan w:val="2"/>
            <w:tcMar>
              <w:left w:w="0" w:type="dxa"/>
              <w:right w:w="0" w:type="dxa"/>
            </w:tcMar>
            <w:vAlign w:val="center"/>
          </w:tcPr>
          <w:p w14:paraId="47C0023C">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现状评价</w:t>
            </w:r>
          </w:p>
        </w:tc>
        <w:tc>
          <w:tcPr>
            <w:tcW w:w="937" w:type="pct"/>
            <w:gridSpan w:val="3"/>
            <w:tcMar>
              <w:left w:w="0" w:type="dxa"/>
              <w:right w:w="0" w:type="dxa"/>
            </w:tcMar>
            <w:vAlign w:val="center"/>
          </w:tcPr>
          <w:p w14:paraId="2C22960F">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达标百分比</w:t>
            </w:r>
          </w:p>
        </w:tc>
        <w:tc>
          <w:tcPr>
            <w:tcW w:w="2581" w:type="pct"/>
            <w:gridSpan w:val="8"/>
            <w:tcMar>
              <w:left w:w="0" w:type="dxa"/>
              <w:right w:w="0" w:type="dxa"/>
            </w:tcMar>
            <w:vAlign w:val="center"/>
          </w:tcPr>
          <w:p w14:paraId="45E38442">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100</w:t>
            </w:r>
          </w:p>
        </w:tc>
      </w:tr>
      <w:tr w14:paraId="5CD44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tcMar>
              <w:left w:w="0" w:type="dxa"/>
              <w:right w:w="0" w:type="dxa"/>
            </w:tcMar>
            <w:vAlign w:val="center"/>
          </w:tcPr>
          <w:p w14:paraId="2490E7C0">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噪声源</w:t>
            </w:r>
          </w:p>
          <w:p w14:paraId="66176C8A">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调查</w:t>
            </w:r>
          </w:p>
        </w:tc>
        <w:tc>
          <w:tcPr>
            <w:tcW w:w="919" w:type="pct"/>
            <w:tcMar>
              <w:left w:w="0" w:type="dxa"/>
              <w:right w:w="0" w:type="dxa"/>
            </w:tcMar>
            <w:vAlign w:val="center"/>
          </w:tcPr>
          <w:p w14:paraId="2BABE863">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噪声源调查方法</w:t>
            </w:r>
          </w:p>
        </w:tc>
        <w:tc>
          <w:tcPr>
            <w:tcW w:w="3532" w:type="pct"/>
            <w:gridSpan w:val="12"/>
            <w:tcMar>
              <w:left w:w="0" w:type="dxa"/>
              <w:right w:w="0" w:type="dxa"/>
            </w:tcMar>
            <w:vAlign w:val="center"/>
          </w:tcPr>
          <w:p w14:paraId="7CFEFA46">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现场实测□     已有资料</w:t>
            </w:r>
            <w:r>
              <w:rPr>
                <w:rFonts w:ascii="Segoe UI Symbol" w:hAnsi="Segoe UI Symbol" w:cs="Segoe UI Symbol"/>
                <w:color w:val="auto"/>
                <w:spacing w:val="-10"/>
                <w:kern w:val="0"/>
                <w:szCs w:val="21"/>
              </w:rPr>
              <w:t>☑</w:t>
            </w:r>
            <w:r>
              <w:rPr>
                <w:rFonts w:hint="eastAsia" w:ascii="宋体" w:hAnsi="宋体" w:cs="宋体"/>
                <w:color w:val="auto"/>
                <w:spacing w:val="-10"/>
                <w:kern w:val="0"/>
                <w:szCs w:val="21"/>
              </w:rPr>
              <w:t xml:space="preserve">     研究成果□</w:t>
            </w:r>
          </w:p>
        </w:tc>
      </w:tr>
      <w:tr w14:paraId="67E19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vMerge w:val="restart"/>
            <w:tcMar>
              <w:left w:w="0" w:type="dxa"/>
              <w:right w:w="0" w:type="dxa"/>
            </w:tcMar>
            <w:vAlign w:val="center"/>
          </w:tcPr>
          <w:p w14:paraId="56BDDA15">
            <w:pPr>
              <w:autoSpaceDE w:val="0"/>
              <w:autoSpaceDN w:val="0"/>
              <w:adjustRightInd w:val="0"/>
              <w:snapToGrid w:val="0"/>
              <w:spacing w:line="300" w:lineRule="exact"/>
              <w:jc w:val="center"/>
              <w:rPr>
                <w:rFonts w:hint="eastAsia" w:ascii="宋体" w:hAnsi="宋体" w:cs="宋体"/>
                <w:color w:val="auto"/>
                <w:spacing w:val="-10"/>
                <w:kern w:val="0"/>
                <w:szCs w:val="21"/>
              </w:rPr>
            </w:pPr>
            <w:r>
              <w:rPr>
                <w:rFonts w:ascii="宋体" w:hAnsi="宋体" w:cs="宋体"/>
                <w:color w:val="auto"/>
                <w:kern w:val="0"/>
                <w:szCs w:val="21"/>
              </w:rPr>
              <w:br w:type="page"/>
            </w:r>
            <w:r>
              <w:rPr>
                <w:rFonts w:hint="eastAsia" w:ascii="宋体" w:hAnsi="宋体" w:cs="宋体"/>
                <w:color w:val="auto"/>
                <w:spacing w:val="-10"/>
                <w:kern w:val="0"/>
                <w:szCs w:val="21"/>
              </w:rPr>
              <w:t>声环境影响预测与评价</w:t>
            </w:r>
          </w:p>
        </w:tc>
        <w:tc>
          <w:tcPr>
            <w:tcW w:w="919" w:type="pct"/>
            <w:tcMar>
              <w:left w:w="0" w:type="dxa"/>
              <w:right w:w="0" w:type="dxa"/>
            </w:tcMar>
            <w:vAlign w:val="center"/>
          </w:tcPr>
          <w:p w14:paraId="4C64392F">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预测模型</w:t>
            </w:r>
          </w:p>
        </w:tc>
        <w:tc>
          <w:tcPr>
            <w:tcW w:w="3532" w:type="pct"/>
            <w:gridSpan w:val="12"/>
            <w:tcMar>
              <w:left w:w="0" w:type="dxa"/>
              <w:right w:w="0" w:type="dxa"/>
            </w:tcMar>
            <w:vAlign w:val="center"/>
          </w:tcPr>
          <w:p w14:paraId="3BF2ACF2">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导则推荐模型□          其他□</w:t>
            </w:r>
          </w:p>
        </w:tc>
      </w:tr>
      <w:tr w14:paraId="627EA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vMerge w:val="continue"/>
            <w:tcMar>
              <w:left w:w="0" w:type="dxa"/>
              <w:right w:w="0" w:type="dxa"/>
            </w:tcMar>
            <w:vAlign w:val="center"/>
          </w:tcPr>
          <w:p w14:paraId="546437D4">
            <w:pPr>
              <w:adjustRightInd w:val="0"/>
              <w:snapToGrid w:val="0"/>
              <w:spacing w:line="300" w:lineRule="exact"/>
              <w:jc w:val="center"/>
              <w:rPr>
                <w:rFonts w:hint="eastAsia" w:ascii="宋体" w:hAnsi="宋体" w:cs="宋体"/>
                <w:color w:val="auto"/>
                <w:spacing w:val="-10"/>
                <w:kern w:val="0"/>
                <w:szCs w:val="21"/>
              </w:rPr>
            </w:pPr>
          </w:p>
        </w:tc>
        <w:tc>
          <w:tcPr>
            <w:tcW w:w="919" w:type="pct"/>
            <w:tcMar>
              <w:left w:w="0" w:type="dxa"/>
              <w:right w:w="0" w:type="dxa"/>
            </w:tcMar>
            <w:vAlign w:val="center"/>
          </w:tcPr>
          <w:p w14:paraId="23BEA0AD">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预测范围</w:t>
            </w:r>
          </w:p>
        </w:tc>
        <w:tc>
          <w:tcPr>
            <w:tcW w:w="3532" w:type="pct"/>
            <w:gridSpan w:val="12"/>
            <w:tcMar>
              <w:left w:w="0" w:type="dxa"/>
              <w:right w:w="0" w:type="dxa"/>
            </w:tcMar>
            <w:vAlign w:val="center"/>
          </w:tcPr>
          <w:p w14:paraId="6326CC76">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200m</w:t>
            </w:r>
            <w:r>
              <w:rPr>
                <w:rFonts w:ascii="Segoe UI Symbol" w:hAnsi="Segoe UI Symbol" w:cs="Segoe UI Symbol"/>
                <w:color w:val="auto"/>
                <w:spacing w:val="-10"/>
                <w:kern w:val="0"/>
                <w:szCs w:val="21"/>
              </w:rPr>
              <w:t>☑</w:t>
            </w:r>
            <w:r>
              <w:rPr>
                <w:rFonts w:hint="eastAsia" w:ascii="宋体" w:hAnsi="宋体" w:cs="宋体"/>
                <w:color w:val="auto"/>
                <w:spacing w:val="-10"/>
                <w:kern w:val="0"/>
                <w:szCs w:val="21"/>
              </w:rPr>
              <w:t xml:space="preserve">     大于200m□     小于200m□</w:t>
            </w:r>
          </w:p>
        </w:tc>
      </w:tr>
      <w:tr w14:paraId="39994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vMerge w:val="continue"/>
            <w:tcMar>
              <w:left w:w="0" w:type="dxa"/>
              <w:right w:w="0" w:type="dxa"/>
            </w:tcMar>
            <w:vAlign w:val="center"/>
          </w:tcPr>
          <w:p w14:paraId="30BAD755">
            <w:pPr>
              <w:adjustRightInd w:val="0"/>
              <w:snapToGrid w:val="0"/>
              <w:spacing w:line="300" w:lineRule="exact"/>
              <w:jc w:val="center"/>
              <w:rPr>
                <w:rFonts w:hint="eastAsia" w:ascii="宋体" w:hAnsi="宋体" w:cs="宋体"/>
                <w:color w:val="auto"/>
                <w:spacing w:val="-10"/>
                <w:kern w:val="0"/>
                <w:szCs w:val="21"/>
              </w:rPr>
            </w:pPr>
          </w:p>
        </w:tc>
        <w:tc>
          <w:tcPr>
            <w:tcW w:w="919" w:type="pct"/>
            <w:tcMar>
              <w:left w:w="0" w:type="dxa"/>
              <w:right w:w="0" w:type="dxa"/>
            </w:tcMar>
            <w:vAlign w:val="center"/>
          </w:tcPr>
          <w:p w14:paraId="0AE39613">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预测因子</w:t>
            </w:r>
          </w:p>
        </w:tc>
        <w:tc>
          <w:tcPr>
            <w:tcW w:w="3532" w:type="pct"/>
            <w:gridSpan w:val="12"/>
            <w:tcMar>
              <w:left w:w="0" w:type="dxa"/>
              <w:right w:w="0" w:type="dxa"/>
            </w:tcMar>
            <w:vAlign w:val="center"/>
          </w:tcPr>
          <w:p w14:paraId="5801013C">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等效连续A声级</w:t>
            </w:r>
            <w:r>
              <w:rPr>
                <w:rFonts w:ascii="Segoe UI Symbol" w:hAnsi="Segoe UI Symbol" w:cs="Segoe UI Symbol"/>
                <w:color w:val="auto"/>
                <w:spacing w:val="-10"/>
                <w:kern w:val="0"/>
                <w:szCs w:val="21"/>
              </w:rPr>
              <w:t>☑</w:t>
            </w:r>
            <w:r>
              <w:rPr>
                <w:rFonts w:hint="eastAsia" w:ascii="宋体" w:hAnsi="宋体" w:cs="宋体"/>
                <w:color w:val="auto"/>
                <w:spacing w:val="-10"/>
                <w:kern w:val="0"/>
                <w:szCs w:val="21"/>
              </w:rPr>
              <w:t xml:space="preserve"> 最大A声级□ 计权等效连续感觉噪声级□</w:t>
            </w:r>
          </w:p>
        </w:tc>
      </w:tr>
      <w:tr w14:paraId="4823E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vMerge w:val="continue"/>
            <w:tcMar>
              <w:left w:w="0" w:type="dxa"/>
              <w:right w:w="0" w:type="dxa"/>
            </w:tcMar>
            <w:vAlign w:val="center"/>
          </w:tcPr>
          <w:p w14:paraId="491FD95F">
            <w:pPr>
              <w:adjustRightInd w:val="0"/>
              <w:snapToGrid w:val="0"/>
              <w:spacing w:line="300" w:lineRule="exact"/>
              <w:jc w:val="center"/>
              <w:rPr>
                <w:rFonts w:hint="eastAsia" w:ascii="宋体" w:hAnsi="宋体" w:cs="宋体"/>
                <w:color w:val="auto"/>
                <w:spacing w:val="-10"/>
                <w:kern w:val="0"/>
                <w:szCs w:val="21"/>
              </w:rPr>
            </w:pPr>
          </w:p>
        </w:tc>
        <w:tc>
          <w:tcPr>
            <w:tcW w:w="919" w:type="pct"/>
            <w:tcMar>
              <w:left w:w="0" w:type="dxa"/>
              <w:right w:w="0" w:type="dxa"/>
            </w:tcMar>
            <w:vAlign w:val="center"/>
          </w:tcPr>
          <w:p w14:paraId="65E2FEC1">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厂界噪声贡献值</w:t>
            </w:r>
          </w:p>
        </w:tc>
        <w:tc>
          <w:tcPr>
            <w:tcW w:w="3532" w:type="pct"/>
            <w:gridSpan w:val="12"/>
            <w:tcMar>
              <w:left w:w="0" w:type="dxa"/>
              <w:right w:w="0" w:type="dxa"/>
            </w:tcMar>
            <w:vAlign w:val="center"/>
          </w:tcPr>
          <w:p w14:paraId="50542BDF">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达标</w:t>
            </w:r>
            <w:r>
              <w:rPr>
                <w:rFonts w:ascii="Segoe UI Symbol" w:hAnsi="Segoe UI Symbol" w:cs="Segoe UI Symbol"/>
                <w:color w:val="auto"/>
                <w:spacing w:val="-10"/>
                <w:kern w:val="0"/>
                <w:szCs w:val="21"/>
              </w:rPr>
              <w:t>☑</w:t>
            </w:r>
            <w:r>
              <w:rPr>
                <w:rFonts w:hint="eastAsia" w:ascii="宋体" w:hAnsi="宋体" w:cs="宋体"/>
                <w:color w:val="auto"/>
                <w:spacing w:val="-10"/>
                <w:kern w:val="0"/>
                <w:szCs w:val="21"/>
              </w:rPr>
              <w:t xml:space="preserve">          不达标□</w:t>
            </w:r>
          </w:p>
        </w:tc>
      </w:tr>
      <w:tr w14:paraId="01F58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vMerge w:val="continue"/>
            <w:tcMar>
              <w:left w:w="0" w:type="dxa"/>
              <w:right w:w="0" w:type="dxa"/>
            </w:tcMar>
            <w:vAlign w:val="center"/>
          </w:tcPr>
          <w:p w14:paraId="24DD48E0">
            <w:pPr>
              <w:adjustRightInd w:val="0"/>
              <w:snapToGrid w:val="0"/>
              <w:spacing w:line="300" w:lineRule="exact"/>
              <w:jc w:val="center"/>
              <w:rPr>
                <w:rFonts w:hint="eastAsia" w:ascii="宋体" w:hAnsi="宋体" w:cs="宋体"/>
                <w:color w:val="auto"/>
                <w:spacing w:val="-10"/>
                <w:kern w:val="0"/>
                <w:szCs w:val="21"/>
              </w:rPr>
            </w:pPr>
          </w:p>
        </w:tc>
        <w:tc>
          <w:tcPr>
            <w:tcW w:w="919" w:type="pct"/>
            <w:tcMar>
              <w:left w:w="0" w:type="dxa"/>
              <w:right w:w="0" w:type="dxa"/>
            </w:tcMar>
            <w:vAlign w:val="center"/>
          </w:tcPr>
          <w:p w14:paraId="58418DBE">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声环境保护目标处噪声值</w:t>
            </w:r>
          </w:p>
        </w:tc>
        <w:tc>
          <w:tcPr>
            <w:tcW w:w="3532" w:type="pct"/>
            <w:gridSpan w:val="12"/>
            <w:tcMar>
              <w:left w:w="0" w:type="dxa"/>
              <w:right w:w="0" w:type="dxa"/>
            </w:tcMar>
            <w:vAlign w:val="center"/>
          </w:tcPr>
          <w:p w14:paraId="65E7A017">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达标□          不达标□</w:t>
            </w:r>
          </w:p>
        </w:tc>
      </w:tr>
      <w:tr w14:paraId="4BF1C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vMerge w:val="restart"/>
            <w:tcMar>
              <w:left w:w="0" w:type="dxa"/>
              <w:right w:w="0" w:type="dxa"/>
            </w:tcMar>
            <w:vAlign w:val="center"/>
          </w:tcPr>
          <w:p w14:paraId="440A34DF">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环境监测计划</w:t>
            </w:r>
          </w:p>
        </w:tc>
        <w:tc>
          <w:tcPr>
            <w:tcW w:w="919" w:type="pct"/>
            <w:tcMar>
              <w:left w:w="0" w:type="dxa"/>
              <w:right w:w="0" w:type="dxa"/>
            </w:tcMar>
            <w:vAlign w:val="center"/>
          </w:tcPr>
          <w:p w14:paraId="569B35AA">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排放监测</w:t>
            </w:r>
          </w:p>
        </w:tc>
        <w:tc>
          <w:tcPr>
            <w:tcW w:w="3532" w:type="pct"/>
            <w:gridSpan w:val="12"/>
            <w:tcMar>
              <w:left w:w="0" w:type="dxa"/>
              <w:right w:w="0" w:type="dxa"/>
            </w:tcMar>
            <w:vAlign w:val="center"/>
          </w:tcPr>
          <w:p w14:paraId="1B66A5C2">
            <w:pPr>
              <w:tabs>
                <w:tab w:val="left" w:pos="1621"/>
              </w:tabs>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厂界监测</w:t>
            </w:r>
            <w:r>
              <w:rPr>
                <w:rFonts w:ascii="Segoe UI Symbol" w:hAnsi="Segoe UI Symbol" w:cs="Segoe UI Symbol"/>
                <w:color w:val="auto"/>
                <w:spacing w:val="-10"/>
                <w:kern w:val="0"/>
                <w:szCs w:val="21"/>
              </w:rPr>
              <w:t>☑</w:t>
            </w:r>
            <w:r>
              <w:rPr>
                <w:rFonts w:hint="eastAsia" w:ascii="宋体" w:hAnsi="宋体" w:cs="宋体"/>
                <w:color w:val="auto"/>
                <w:spacing w:val="-10"/>
                <w:kern w:val="0"/>
                <w:szCs w:val="21"/>
              </w:rPr>
              <w:t>固定位置监测□ 自动监测□ 手动监测□ 无监测□</w:t>
            </w:r>
          </w:p>
        </w:tc>
      </w:tr>
      <w:tr w14:paraId="33BB4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vMerge w:val="continue"/>
            <w:tcMar>
              <w:left w:w="0" w:type="dxa"/>
              <w:right w:w="0" w:type="dxa"/>
            </w:tcMar>
            <w:vAlign w:val="center"/>
          </w:tcPr>
          <w:p w14:paraId="1537E6F8">
            <w:pPr>
              <w:adjustRightInd w:val="0"/>
              <w:snapToGrid w:val="0"/>
              <w:spacing w:line="300" w:lineRule="exact"/>
              <w:jc w:val="center"/>
              <w:rPr>
                <w:rFonts w:hint="eastAsia" w:ascii="宋体" w:hAnsi="宋体" w:cs="宋体"/>
                <w:color w:val="auto"/>
                <w:spacing w:val="-10"/>
                <w:kern w:val="0"/>
                <w:szCs w:val="21"/>
              </w:rPr>
            </w:pPr>
          </w:p>
        </w:tc>
        <w:tc>
          <w:tcPr>
            <w:tcW w:w="919" w:type="pct"/>
            <w:tcMar>
              <w:left w:w="0" w:type="dxa"/>
              <w:right w:w="0" w:type="dxa"/>
            </w:tcMar>
            <w:vAlign w:val="center"/>
          </w:tcPr>
          <w:p w14:paraId="1CA46906">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声环境保护目标处噪声监测</w:t>
            </w:r>
          </w:p>
        </w:tc>
        <w:tc>
          <w:tcPr>
            <w:tcW w:w="1676" w:type="pct"/>
            <w:gridSpan w:val="6"/>
            <w:tcMar>
              <w:left w:w="0" w:type="dxa"/>
              <w:right w:w="0" w:type="dxa"/>
            </w:tcMar>
            <w:vAlign w:val="center"/>
          </w:tcPr>
          <w:p w14:paraId="6A5DD61B">
            <w:pPr>
              <w:tabs>
                <w:tab w:val="left" w:pos="2252"/>
              </w:tabs>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监测因子：()</w:t>
            </w:r>
          </w:p>
        </w:tc>
        <w:tc>
          <w:tcPr>
            <w:tcW w:w="1209" w:type="pct"/>
            <w:gridSpan w:val="4"/>
            <w:tcMar>
              <w:left w:w="0" w:type="dxa"/>
              <w:right w:w="0" w:type="dxa"/>
            </w:tcMar>
            <w:vAlign w:val="center"/>
          </w:tcPr>
          <w:p w14:paraId="2CEBBC3A">
            <w:pPr>
              <w:tabs>
                <w:tab w:val="left" w:pos="1735"/>
              </w:tabs>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监测点位数()</w:t>
            </w:r>
          </w:p>
        </w:tc>
        <w:tc>
          <w:tcPr>
            <w:tcW w:w="647" w:type="pct"/>
            <w:gridSpan w:val="2"/>
            <w:tcMar>
              <w:left w:w="0" w:type="dxa"/>
              <w:right w:w="0" w:type="dxa"/>
            </w:tcMar>
            <w:vAlign w:val="center"/>
          </w:tcPr>
          <w:p w14:paraId="6AA0BE8E">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无监测□</w:t>
            </w:r>
          </w:p>
        </w:tc>
      </w:tr>
      <w:tr w14:paraId="03A11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49" w:type="pct"/>
            <w:gridSpan w:val="2"/>
            <w:tcMar>
              <w:left w:w="0" w:type="dxa"/>
              <w:right w:w="0" w:type="dxa"/>
            </w:tcMar>
            <w:vAlign w:val="center"/>
          </w:tcPr>
          <w:p w14:paraId="3239E05A">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评价结论</w:t>
            </w:r>
          </w:p>
        </w:tc>
        <w:tc>
          <w:tcPr>
            <w:tcW w:w="919" w:type="pct"/>
            <w:tcMar>
              <w:left w:w="0" w:type="dxa"/>
              <w:right w:w="0" w:type="dxa"/>
            </w:tcMar>
            <w:vAlign w:val="center"/>
          </w:tcPr>
          <w:p w14:paraId="7160A440">
            <w:pPr>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环境影响</w:t>
            </w:r>
          </w:p>
        </w:tc>
        <w:tc>
          <w:tcPr>
            <w:tcW w:w="3532" w:type="pct"/>
            <w:gridSpan w:val="12"/>
            <w:tcMar>
              <w:left w:w="0" w:type="dxa"/>
              <w:right w:w="0" w:type="dxa"/>
            </w:tcMar>
            <w:vAlign w:val="center"/>
          </w:tcPr>
          <w:p w14:paraId="238A1700">
            <w:pPr>
              <w:tabs>
                <w:tab w:val="left" w:pos="1202"/>
              </w:tabs>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可行</w:t>
            </w:r>
            <w:r>
              <w:rPr>
                <w:rFonts w:ascii="Segoe UI Symbol" w:hAnsi="Segoe UI Symbol" w:cs="Segoe UI Symbol"/>
                <w:color w:val="auto"/>
                <w:spacing w:val="-10"/>
                <w:kern w:val="0"/>
                <w:szCs w:val="21"/>
              </w:rPr>
              <w:t>☑</w:t>
            </w:r>
            <w:r>
              <w:rPr>
                <w:rFonts w:hint="eastAsia" w:ascii="宋体" w:hAnsi="宋体" w:cs="宋体"/>
                <w:color w:val="auto"/>
                <w:spacing w:val="-10"/>
                <w:kern w:val="0"/>
                <w:szCs w:val="21"/>
              </w:rPr>
              <w:t xml:space="preserve">    不可行□</w:t>
            </w:r>
          </w:p>
        </w:tc>
      </w:tr>
      <w:tr w14:paraId="129A0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000" w:type="pct"/>
            <w:gridSpan w:val="15"/>
            <w:tcMar>
              <w:left w:w="0" w:type="dxa"/>
              <w:right w:w="0" w:type="dxa"/>
            </w:tcMar>
            <w:vAlign w:val="center"/>
          </w:tcPr>
          <w:p w14:paraId="55E0228B">
            <w:pPr>
              <w:tabs>
                <w:tab w:val="left" w:pos="3079"/>
              </w:tabs>
              <w:autoSpaceDE w:val="0"/>
              <w:autoSpaceDN w:val="0"/>
              <w:adjustRightInd w:val="0"/>
              <w:snapToGrid w:val="0"/>
              <w:spacing w:line="300" w:lineRule="exact"/>
              <w:jc w:val="center"/>
              <w:rPr>
                <w:rFonts w:hint="eastAsia" w:ascii="宋体" w:hAnsi="宋体" w:cs="宋体"/>
                <w:color w:val="auto"/>
                <w:spacing w:val="-10"/>
                <w:kern w:val="0"/>
                <w:szCs w:val="21"/>
              </w:rPr>
            </w:pPr>
            <w:r>
              <w:rPr>
                <w:rFonts w:hint="eastAsia" w:ascii="宋体" w:hAnsi="宋体" w:cs="宋体"/>
                <w:color w:val="auto"/>
                <w:spacing w:val="-10"/>
                <w:kern w:val="0"/>
                <w:szCs w:val="21"/>
              </w:rPr>
              <w:t>注：“□”为勾选项，可√；“()”为内容填写项。</w:t>
            </w:r>
          </w:p>
        </w:tc>
      </w:tr>
    </w:tbl>
    <w:p w14:paraId="39306912">
      <w:pPr>
        <w:pStyle w:val="86"/>
        <w:ind w:firstLine="480"/>
        <w:rPr>
          <w:rFonts w:hint="eastAsia"/>
          <w:color w:val="auto"/>
        </w:rPr>
      </w:pPr>
    </w:p>
    <w:p w14:paraId="113BB4AE">
      <w:pPr>
        <w:pStyle w:val="86"/>
        <w:ind w:firstLine="480"/>
        <w:rPr>
          <w:rFonts w:hint="eastAsia"/>
          <w:color w:val="auto"/>
        </w:rPr>
      </w:pPr>
    </w:p>
    <w:p w14:paraId="3A8F2238">
      <w:pPr>
        <w:pStyle w:val="86"/>
        <w:ind w:firstLine="480"/>
        <w:rPr>
          <w:rFonts w:hint="eastAsia"/>
          <w:color w:val="auto"/>
        </w:rPr>
      </w:pPr>
    </w:p>
    <w:p w14:paraId="2020A23A">
      <w:pPr>
        <w:pStyle w:val="86"/>
        <w:ind w:firstLine="480"/>
        <w:rPr>
          <w:rFonts w:hint="eastAsia"/>
          <w:color w:val="auto"/>
        </w:rPr>
        <w:sectPr>
          <w:pgSz w:w="11906" w:h="16838"/>
          <w:pgMar w:top="1418" w:right="1588" w:bottom="1418" w:left="1588" w:header="1020" w:footer="1020" w:gutter="0"/>
          <w:cols w:space="720" w:num="1"/>
          <w:docGrid w:type="lines" w:linePitch="312" w:charSpace="0"/>
        </w:sectPr>
      </w:pPr>
    </w:p>
    <w:p w14:paraId="1EFC436B">
      <w:pPr>
        <w:pStyle w:val="2"/>
        <w:spacing w:before="0" w:after="0"/>
        <w:rPr>
          <w:color w:val="auto"/>
          <w:sz w:val="24"/>
          <w:szCs w:val="24"/>
        </w:rPr>
      </w:pPr>
      <w:bookmarkStart w:id="1037" w:name="_Toc178250499"/>
      <w:bookmarkStart w:id="1038" w:name="_Toc224406051"/>
      <w:bookmarkStart w:id="1039" w:name="_Toc217311594"/>
      <w:r>
        <w:rPr>
          <w:rFonts w:hint="eastAsia"/>
          <w:color w:val="auto"/>
          <w:sz w:val="24"/>
          <w:szCs w:val="24"/>
        </w:rPr>
        <w:t>附</w:t>
      </w:r>
      <w:r>
        <w:rPr>
          <w:rFonts w:hint="eastAsia" w:ascii="宋体" w:hAnsi="宋体"/>
          <w:color w:val="auto"/>
          <w:sz w:val="24"/>
          <w:szCs w:val="24"/>
        </w:rPr>
        <w:t>件6</w:t>
      </w:r>
      <w:r>
        <w:rPr>
          <w:rFonts w:ascii="宋体" w:hAnsi="宋体"/>
          <w:color w:val="auto"/>
          <w:sz w:val="24"/>
          <w:szCs w:val="24"/>
        </w:rPr>
        <w:t xml:space="preserve">  </w:t>
      </w:r>
      <w:r>
        <w:rPr>
          <w:rFonts w:hint="eastAsia" w:ascii="宋体" w:hAnsi="宋体"/>
          <w:color w:val="auto"/>
          <w:sz w:val="24"/>
          <w:szCs w:val="24"/>
        </w:rPr>
        <w:t>土壤</w:t>
      </w:r>
      <w:r>
        <w:rPr>
          <w:rFonts w:hint="eastAsia"/>
          <w:color w:val="auto"/>
          <w:sz w:val="24"/>
          <w:szCs w:val="24"/>
        </w:rPr>
        <w:t>环境影响自查表</w:t>
      </w:r>
      <w:bookmarkEnd w:id="1037"/>
      <w:bookmarkEnd w:id="1038"/>
      <w:bookmarkEnd w:id="1039"/>
    </w:p>
    <w:tbl>
      <w:tblPr>
        <w:tblStyle w:val="51"/>
        <w:tblW w:w="8946"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395"/>
        <w:gridCol w:w="1679"/>
        <w:gridCol w:w="1346"/>
        <w:gridCol w:w="449"/>
        <w:gridCol w:w="897"/>
        <w:gridCol w:w="898"/>
        <w:gridCol w:w="448"/>
        <w:gridCol w:w="1349"/>
        <w:gridCol w:w="1485"/>
      </w:tblGrid>
      <w:tr w14:paraId="4FC461F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74" w:type="dxa"/>
            <w:gridSpan w:val="2"/>
            <w:vAlign w:val="center"/>
          </w:tcPr>
          <w:p w14:paraId="4EB32A20">
            <w:pPr>
              <w:spacing w:line="240" w:lineRule="atLeast"/>
              <w:jc w:val="center"/>
              <w:rPr>
                <w:rFonts w:hint="eastAsia" w:ascii="宋体" w:hAnsi="宋体" w:cs="宋体"/>
                <w:color w:val="auto"/>
                <w:szCs w:val="21"/>
              </w:rPr>
            </w:pPr>
            <w:r>
              <w:rPr>
                <w:rFonts w:hint="eastAsia" w:ascii="宋体" w:hAnsi="宋体" w:cs="宋体"/>
                <w:color w:val="auto"/>
                <w:szCs w:val="21"/>
              </w:rPr>
              <w:t>工作内容</w:t>
            </w:r>
          </w:p>
        </w:tc>
        <w:tc>
          <w:tcPr>
            <w:tcW w:w="5387" w:type="dxa"/>
            <w:gridSpan w:val="6"/>
            <w:tcBorders>
              <w:right w:val="single" w:color="000000" w:sz="2" w:space="0"/>
            </w:tcBorders>
            <w:vAlign w:val="center"/>
          </w:tcPr>
          <w:p w14:paraId="4A63E7B0">
            <w:pPr>
              <w:spacing w:line="240" w:lineRule="atLeast"/>
              <w:jc w:val="center"/>
              <w:rPr>
                <w:rFonts w:hint="eastAsia" w:ascii="宋体" w:hAnsi="宋体" w:cs="宋体"/>
                <w:color w:val="auto"/>
                <w:szCs w:val="21"/>
              </w:rPr>
            </w:pPr>
            <w:r>
              <w:rPr>
                <w:rFonts w:hint="eastAsia" w:ascii="宋体" w:hAnsi="宋体" w:cs="宋体"/>
                <w:color w:val="auto"/>
                <w:szCs w:val="21"/>
              </w:rPr>
              <w:t>完成情况</w:t>
            </w:r>
          </w:p>
        </w:tc>
        <w:tc>
          <w:tcPr>
            <w:tcW w:w="1485" w:type="dxa"/>
            <w:tcBorders>
              <w:left w:val="single" w:color="000000" w:sz="2" w:space="0"/>
            </w:tcBorders>
            <w:vAlign w:val="center"/>
          </w:tcPr>
          <w:p w14:paraId="75BC3183">
            <w:pPr>
              <w:spacing w:line="240" w:lineRule="atLeast"/>
              <w:jc w:val="center"/>
              <w:rPr>
                <w:rFonts w:hint="eastAsia" w:ascii="宋体" w:hAnsi="宋体" w:cs="宋体"/>
                <w:color w:val="auto"/>
                <w:szCs w:val="21"/>
              </w:rPr>
            </w:pPr>
            <w:r>
              <w:rPr>
                <w:rFonts w:hint="eastAsia" w:ascii="宋体" w:hAnsi="宋体" w:cs="宋体"/>
                <w:color w:val="auto"/>
                <w:szCs w:val="21"/>
              </w:rPr>
              <w:t>备注</w:t>
            </w:r>
          </w:p>
        </w:tc>
      </w:tr>
      <w:tr w14:paraId="3382623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restart"/>
            <w:vAlign w:val="center"/>
          </w:tcPr>
          <w:p w14:paraId="3BEFA989">
            <w:pPr>
              <w:spacing w:line="240" w:lineRule="atLeast"/>
              <w:jc w:val="center"/>
              <w:rPr>
                <w:rFonts w:hint="eastAsia" w:ascii="宋体" w:hAnsi="宋体" w:cs="宋体"/>
                <w:color w:val="auto"/>
                <w:szCs w:val="21"/>
              </w:rPr>
            </w:pPr>
            <w:r>
              <w:rPr>
                <w:rFonts w:hint="eastAsia" w:ascii="宋体" w:hAnsi="宋体" w:cs="宋体"/>
                <w:color w:val="auto"/>
                <w:szCs w:val="21"/>
              </w:rPr>
              <w:t>影</w:t>
            </w:r>
          </w:p>
          <w:p w14:paraId="7447ADF4">
            <w:pPr>
              <w:spacing w:line="240" w:lineRule="atLeast"/>
              <w:jc w:val="center"/>
              <w:rPr>
                <w:rFonts w:hint="eastAsia" w:ascii="宋体" w:hAnsi="宋体" w:cs="宋体"/>
                <w:color w:val="auto"/>
                <w:szCs w:val="21"/>
              </w:rPr>
            </w:pPr>
            <w:r>
              <w:rPr>
                <w:rFonts w:hint="eastAsia" w:ascii="宋体" w:hAnsi="宋体" w:cs="宋体"/>
                <w:color w:val="auto"/>
                <w:szCs w:val="21"/>
              </w:rPr>
              <w:t>响</w:t>
            </w:r>
          </w:p>
          <w:p w14:paraId="7CE96AE3">
            <w:pPr>
              <w:spacing w:line="240" w:lineRule="atLeast"/>
              <w:jc w:val="center"/>
              <w:rPr>
                <w:rFonts w:hint="eastAsia" w:ascii="宋体" w:hAnsi="宋体" w:cs="宋体"/>
                <w:color w:val="auto"/>
                <w:szCs w:val="21"/>
              </w:rPr>
            </w:pPr>
            <w:r>
              <w:rPr>
                <w:rFonts w:hint="eastAsia" w:ascii="宋体" w:hAnsi="宋体" w:cs="宋体"/>
                <w:color w:val="auto"/>
                <w:szCs w:val="21"/>
              </w:rPr>
              <w:t>识</w:t>
            </w:r>
          </w:p>
          <w:p w14:paraId="21B69368">
            <w:pPr>
              <w:spacing w:line="240" w:lineRule="atLeast"/>
              <w:jc w:val="center"/>
              <w:rPr>
                <w:rFonts w:hint="eastAsia" w:ascii="宋体" w:hAnsi="宋体" w:cs="宋体"/>
                <w:color w:val="auto"/>
                <w:szCs w:val="21"/>
              </w:rPr>
            </w:pPr>
            <w:r>
              <w:rPr>
                <w:rFonts w:hint="eastAsia" w:ascii="宋体" w:hAnsi="宋体" w:cs="宋体"/>
                <w:color w:val="auto"/>
                <w:szCs w:val="21"/>
              </w:rPr>
              <w:t>别</w:t>
            </w:r>
          </w:p>
        </w:tc>
        <w:tc>
          <w:tcPr>
            <w:tcW w:w="1679" w:type="dxa"/>
            <w:vAlign w:val="center"/>
          </w:tcPr>
          <w:p w14:paraId="7441C9E1">
            <w:pPr>
              <w:spacing w:line="240" w:lineRule="atLeast"/>
              <w:jc w:val="center"/>
              <w:rPr>
                <w:rFonts w:hint="eastAsia" w:ascii="宋体" w:hAnsi="宋体" w:cs="宋体"/>
                <w:color w:val="auto"/>
                <w:szCs w:val="21"/>
              </w:rPr>
            </w:pPr>
            <w:r>
              <w:rPr>
                <w:rFonts w:hint="eastAsia" w:ascii="宋体" w:hAnsi="宋体" w:cs="宋体"/>
                <w:color w:val="auto"/>
                <w:szCs w:val="21"/>
              </w:rPr>
              <w:t>影响类型</w:t>
            </w:r>
          </w:p>
        </w:tc>
        <w:tc>
          <w:tcPr>
            <w:tcW w:w="5387" w:type="dxa"/>
            <w:gridSpan w:val="6"/>
            <w:vAlign w:val="center"/>
          </w:tcPr>
          <w:p w14:paraId="1AEAB96C">
            <w:pPr>
              <w:spacing w:line="240" w:lineRule="atLeast"/>
              <w:jc w:val="center"/>
              <w:rPr>
                <w:rFonts w:hint="eastAsia" w:ascii="宋体" w:hAnsi="宋体" w:cs="宋体"/>
                <w:color w:val="auto"/>
                <w:szCs w:val="21"/>
              </w:rPr>
            </w:pPr>
            <w:r>
              <w:rPr>
                <w:rFonts w:hint="eastAsia" w:ascii="宋体" w:hAnsi="宋体" w:cs="宋体"/>
                <w:color w:val="auto"/>
                <w:szCs w:val="21"/>
              </w:rPr>
              <w:t>污染影响型</w:t>
            </w:r>
            <w:r>
              <w:rPr>
                <w:rFonts w:hint="eastAsia" w:ascii="宋体" w:hAnsi="宋体" w:cs="宋体"/>
                <w:color w:val="auto"/>
                <w:szCs w:val="21"/>
              </w:rPr>
              <w:sym w:font="Wingdings 2" w:char="0052"/>
            </w:r>
            <w:r>
              <w:rPr>
                <w:rFonts w:hint="eastAsia" w:ascii="宋体" w:hAnsi="宋体" w:cs="宋体"/>
                <w:color w:val="auto"/>
                <w:szCs w:val="21"/>
              </w:rPr>
              <w:t>；生态影响型□；两种兼有□</w:t>
            </w:r>
          </w:p>
        </w:tc>
        <w:tc>
          <w:tcPr>
            <w:tcW w:w="1485" w:type="dxa"/>
            <w:vAlign w:val="center"/>
          </w:tcPr>
          <w:p w14:paraId="39D8214D">
            <w:pPr>
              <w:spacing w:line="240" w:lineRule="atLeast"/>
              <w:jc w:val="center"/>
              <w:rPr>
                <w:rFonts w:hint="eastAsia" w:ascii="宋体" w:hAnsi="宋体" w:cs="宋体"/>
                <w:color w:val="auto"/>
                <w:szCs w:val="21"/>
              </w:rPr>
            </w:pPr>
          </w:p>
        </w:tc>
      </w:tr>
      <w:tr w14:paraId="491F63D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2BFF7AC7">
            <w:pPr>
              <w:spacing w:line="240" w:lineRule="atLeast"/>
              <w:jc w:val="center"/>
              <w:rPr>
                <w:rFonts w:hint="eastAsia" w:ascii="宋体" w:hAnsi="宋体" w:cs="宋体"/>
                <w:color w:val="auto"/>
                <w:szCs w:val="21"/>
              </w:rPr>
            </w:pPr>
          </w:p>
        </w:tc>
        <w:tc>
          <w:tcPr>
            <w:tcW w:w="1679" w:type="dxa"/>
            <w:vAlign w:val="center"/>
          </w:tcPr>
          <w:p w14:paraId="0315FC1D">
            <w:pPr>
              <w:spacing w:line="240" w:lineRule="atLeast"/>
              <w:jc w:val="center"/>
              <w:rPr>
                <w:rFonts w:hint="eastAsia" w:ascii="宋体" w:hAnsi="宋体" w:cs="宋体"/>
                <w:color w:val="auto"/>
                <w:szCs w:val="21"/>
              </w:rPr>
            </w:pPr>
            <w:r>
              <w:rPr>
                <w:rFonts w:hint="eastAsia" w:ascii="宋体" w:hAnsi="宋体" w:cs="宋体"/>
                <w:color w:val="auto"/>
                <w:szCs w:val="21"/>
              </w:rPr>
              <w:t>土地利用类型</w:t>
            </w:r>
          </w:p>
        </w:tc>
        <w:tc>
          <w:tcPr>
            <w:tcW w:w="5387" w:type="dxa"/>
            <w:gridSpan w:val="6"/>
            <w:vAlign w:val="center"/>
          </w:tcPr>
          <w:p w14:paraId="7D759383">
            <w:pPr>
              <w:spacing w:line="240" w:lineRule="atLeast"/>
              <w:jc w:val="center"/>
              <w:rPr>
                <w:rFonts w:hint="eastAsia" w:ascii="宋体" w:hAnsi="宋体" w:cs="宋体"/>
                <w:color w:val="auto"/>
                <w:szCs w:val="21"/>
              </w:rPr>
            </w:pPr>
            <w:r>
              <w:rPr>
                <w:rFonts w:hint="eastAsia" w:ascii="宋体" w:hAnsi="宋体" w:cs="宋体"/>
                <w:color w:val="auto"/>
                <w:szCs w:val="21"/>
              </w:rPr>
              <w:t>建设用地</w:t>
            </w:r>
            <w:r>
              <w:rPr>
                <w:rFonts w:hint="eastAsia" w:ascii="宋体" w:hAnsi="宋体" w:cs="宋体"/>
                <w:color w:val="auto"/>
                <w:szCs w:val="21"/>
              </w:rPr>
              <w:sym w:font="Wingdings 2" w:char="0052"/>
            </w:r>
            <w:r>
              <w:rPr>
                <w:rFonts w:hint="eastAsia" w:ascii="宋体" w:hAnsi="宋体" w:cs="宋体"/>
                <w:color w:val="auto"/>
                <w:szCs w:val="21"/>
              </w:rPr>
              <w:t>；农用地□；未利用地□</w:t>
            </w:r>
          </w:p>
        </w:tc>
        <w:tc>
          <w:tcPr>
            <w:tcW w:w="1485" w:type="dxa"/>
            <w:vAlign w:val="center"/>
          </w:tcPr>
          <w:p w14:paraId="22A90487">
            <w:pPr>
              <w:spacing w:line="240" w:lineRule="atLeast"/>
              <w:jc w:val="center"/>
              <w:rPr>
                <w:rFonts w:hint="eastAsia" w:ascii="宋体" w:hAnsi="宋体" w:cs="宋体"/>
                <w:color w:val="auto"/>
                <w:szCs w:val="21"/>
              </w:rPr>
            </w:pPr>
          </w:p>
        </w:tc>
      </w:tr>
      <w:tr w14:paraId="6E5A8A8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544717A9">
            <w:pPr>
              <w:spacing w:line="240" w:lineRule="atLeast"/>
              <w:jc w:val="center"/>
              <w:rPr>
                <w:rFonts w:hint="eastAsia" w:ascii="宋体" w:hAnsi="宋体" w:cs="宋体"/>
                <w:color w:val="auto"/>
                <w:szCs w:val="21"/>
              </w:rPr>
            </w:pPr>
          </w:p>
        </w:tc>
        <w:tc>
          <w:tcPr>
            <w:tcW w:w="1679" w:type="dxa"/>
            <w:vAlign w:val="center"/>
          </w:tcPr>
          <w:p w14:paraId="46638A55">
            <w:pPr>
              <w:spacing w:line="240" w:lineRule="atLeast"/>
              <w:jc w:val="center"/>
              <w:rPr>
                <w:rFonts w:hint="eastAsia" w:ascii="宋体" w:hAnsi="宋体" w:cs="宋体"/>
                <w:color w:val="auto"/>
                <w:szCs w:val="21"/>
              </w:rPr>
            </w:pPr>
            <w:r>
              <w:rPr>
                <w:rFonts w:hint="eastAsia" w:ascii="宋体" w:hAnsi="宋体" w:cs="宋体"/>
                <w:color w:val="auto"/>
                <w:szCs w:val="21"/>
              </w:rPr>
              <w:t>占地规模</w:t>
            </w:r>
          </w:p>
        </w:tc>
        <w:tc>
          <w:tcPr>
            <w:tcW w:w="5387" w:type="dxa"/>
            <w:gridSpan w:val="6"/>
            <w:vAlign w:val="center"/>
          </w:tcPr>
          <w:p w14:paraId="73BEB3D8">
            <w:pPr>
              <w:spacing w:line="240" w:lineRule="atLeast"/>
              <w:jc w:val="center"/>
              <w:rPr>
                <w:rFonts w:hint="eastAsia" w:ascii="宋体" w:hAnsi="宋体" w:cs="宋体"/>
                <w:color w:val="auto"/>
                <w:szCs w:val="21"/>
              </w:rPr>
            </w:pPr>
            <w:r>
              <w:rPr>
                <w:rFonts w:hint="eastAsia" w:ascii="宋体" w:hAnsi="宋体" w:cs="宋体"/>
                <w:color w:val="auto"/>
                <w:szCs w:val="21"/>
              </w:rPr>
              <w:t>（3.057）hm</w:t>
            </w:r>
            <w:r>
              <w:rPr>
                <w:rFonts w:hint="eastAsia" w:ascii="宋体" w:hAnsi="宋体" w:cs="宋体"/>
                <w:color w:val="auto"/>
                <w:szCs w:val="21"/>
                <w:vertAlign w:val="superscript"/>
              </w:rPr>
              <w:t>2</w:t>
            </w:r>
          </w:p>
        </w:tc>
        <w:tc>
          <w:tcPr>
            <w:tcW w:w="1485" w:type="dxa"/>
            <w:vAlign w:val="center"/>
          </w:tcPr>
          <w:p w14:paraId="760664EB">
            <w:pPr>
              <w:spacing w:line="240" w:lineRule="atLeast"/>
              <w:jc w:val="center"/>
              <w:rPr>
                <w:rFonts w:hint="eastAsia" w:ascii="宋体" w:hAnsi="宋体" w:cs="宋体"/>
                <w:color w:val="auto"/>
                <w:szCs w:val="21"/>
              </w:rPr>
            </w:pPr>
          </w:p>
        </w:tc>
      </w:tr>
      <w:tr w14:paraId="4AEE9EF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228119F6">
            <w:pPr>
              <w:spacing w:line="240" w:lineRule="atLeast"/>
              <w:jc w:val="center"/>
              <w:rPr>
                <w:rFonts w:hint="eastAsia" w:ascii="宋体" w:hAnsi="宋体" w:cs="宋体"/>
                <w:color w:val="auto"/>
                <w:szCs w:val="21"/>
              </w:rPr>
            </w:pPr>
          </w:p>
        </w:tc>
        <w:tc>
          <w:tcPr>
            <w:tcW w:w="1679" w:type="dxa"/>
            <w:vAlign w:val="center"/>
          </w:tcPr>
          <w:p w14:paraId="4DCDBFC5">
            <w:pPr>
              <w:spacing w:line="240" w:lineRule="atLeast"/>
              <w:jc w:val="center"/>
              <w:rPr>
                <w:rFonts w:hint="eastAsia" w:ascii="宋体" w:hAnsi="宋体" w:cs="宋体"/>
                <w:color w:val="auto"/>
                <w:szCs w:val="21"/>
              </w:rPr>
            </w:pPr>
            <w:r>
              <w:rPr>
                <w:rFonts w:hint="eastAsia" w:ascii="宋体" w:hAnsi="宋体" w:cs="宋体"/>
                <w:color w:val="auto"/>
                <w:szCs w:val="21"/>
              </w:rPr>
              <w:t>敏感目标信息</w:t>
            </w:r>
          </w:p>
        </w:tc>
        <w:tc>
          <w:tcPr>
            <w:tcW w:w="5387" w:type="dxa"/>
            <w:gridSpan w:val="6"/>
            <w:vAlign w:val="center"/>
          </w:tcPr>
          <w:p w14:paraId="6942B464">
            <w:pPr>
              <w:spacing w:line="240" w:lineRule="atLeast"/>
              <w:jc w:val="center"/>
              <w:rPr>
                <w:rFonts w:hint="eastAsia" w:ascii="宋体" w:hAnsi="宋体" w:cs="宋体"/>
                <w:color w:val="auto"/>
                <w:szCs w:val="21"/>
              </w:rPr>
            </w:pPr>
            <w:r>
              <w:rPr>
                <w:rFonts w:hint="eastAsia" w:ascii="宋体" w:hAnsi="宋体" w:cs="宋体"/>
                <w:color w:val="auto"/>
                <w:szCs w:val="21"/>
              </w:rPr>
              <w:t>敏感目标（无）、方位（）、距离（</w:t>
            </w:r>
            <w:r>
              <w:rPr>
                <w:rFonts w:ascii="宋体" w:hAnsi="宋体" w:cs="宋体"/>
                <w:color w:val="auto"/>
                <w:szCs w:val="21"/>
              </w:rPr>
              <w:t>0m</w:t>
            </w:r>
            <w:r>
              <w:rPr>
                <w:rFonts w:hint="eastAsia" w:ascii="宋体" w:hAnsi="宋体" w:cs="宋体"/>
                <w:color w:val="auto"/>
                <w:szCs w:val="21"/>
              </w:rPr>
              <w:t>）</w:t>
            </w:r>
          </w:p>
        </w:tc>
        <w:tc>
          <w:tcPr>
            <w:tcW w:w="1485" w:type="dxa"/>
            <w:vAlign w:val="center"/>
          </w:tcPr>
          <w:p w14:paraId="3F0F59A3">
            <w:pPr>
              <w:spacing w:line="240" w:lineRule="atLeast"/>
              <w:jc w:val="center"/>
              <w:rPr>
                <w:rFonts w:hint="eastAsia" w:ascii="宋体" w:hAnsi="宋体" w:cs="宋体"/>
                <w:color w:val="auto"/>
                <w:szCs w:val="21"/>
              </w:rPr>
            </w:pPr>
          </w:p>
        </w:tc>
      </w:tr>
      <w:tr w14:paraId="1DF4E77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3F55B1B7">
            <w:pPr>
              <w:spacing w:line="240" w:lineRule="atLeast"/>
              <w:jc w:val="center"/>
              <w:rPr>
                <w:rFonts w:hint="eastAsia" w:ascii="宋体" w:hAnsi="宋体" w:cs="宋体"/>
                <w:color w:val="auto"/>
                <w:szCs w:val="21"/>
              </w:rPr>
            </w:pPr>
          </w:p>
        </w:tc>
        <w:tc>
          <w:tcPr>
            <w:tcW w:w="1679" w:type="dxa"/>
            <w:vAlign w:val="center"/>
          </w:tcPr>
          <w:p w14:paraId="558F8B9A">
            <w:pPr>
              <w:spacing w:line="240" w:lineRule="atLeast"/>
              <w:jc w:val="center"/>
              <w:rPr>
                <w:rFonts w:hint="eastAsia" w:ascii="宋体" w:hAnsi="宋体" w:cs="宋体"/>
                <w:color w:val="auto"/>
                <w:szCs w:val="21"/>
              </w:rPr>
            </w:pPr>
            <w:r>
              <w:rPr>
                <w:rFonts w:hint="eastAsia" w:ascii="宋体" w:hAnsi="宋体" w:cs="宋体"/>
                <w:color w:val="auto"/>
                <w:szCs w:val="21"/>
              </w:rPr>
              <w:t>影响途径</w:t>
            </w:r>
          </w:p>
        </w:tc>
        <w:tc>
          <w:tcPr>
            <w:tcW w:w="5387" w:type="dxa"/>
            <w:gridSpan w:val="6"/>
            <w:vAlign w:val="center"/>
          </w:tcPr>
          <w:p w14:paraId="7EEB6FC7">
            <w:pPr>
              <w:spacing w:line="240" w:lineRule="atLeast"/>
              <w:jc w:val="center"/>
              <w:rPr>
                <w:rFonts w:hint="eastAsia" w:ascii="宋体" w:hAnsi="宋体" w:cs="宋体"/>
                <w:color w:val="auto"/>
                <w:szCs w:val="21"/>
              </w:rPr>
            </w:pPr>
            <w:r>
              <w:rPr>
                <w:rFonts w:hint="eastAsia" w:ascii="宋体" w:hAnsi="宋体" w:cs="宋体"/>
                <w:color w:val="auto"/>
                <w:szCs w:val="21"/>
              </w:rPr>
              <w:t>大气沉降□；地面漫流□垂直入渗</w:t>
            </w:r>
            <w:r>
              <w:rPr>
                <w:rFonts w:hint="eastAsia" w:ascii="宋体" w:hAnsi="宋体" w:cs="宋体"/>
                <w:color w:val="auto"/>
                <w:szCs w:val="21"/>
              </w:rPr>
              <w:sym w:font="Wingdings 2" w:char="0052"/>
            </w:r>
            <w:r>
              <w:rPr>
                <w:rFonts w:hint="eastAsia" w:ascii="宋体" w:hAnsi="宋体" w:cs="宋体"/>
                <w:color w:val="auto"/>
                <w:szCs w:val="21"/>
              </w:rPr>
              <w:t>；地下水位□；其他（）</w:t>
            </w:r>
          </w:p>
        </w:tc>
        <w:tc>
          <w:tcPr>
            <w:tcW w:w="1485" w:type="dxa"/>
            <w:vAlign w:val="center"/>
          </w:tcPr>
          <w:p w14:paraId="292C2785">
            <w:pPr>
              <w:spacing w:line="240" w:lineRule="atLeast"/>
              <w:jc w:val="center"/>
              <w:rPr>
                <w:rFonts w:hint="eastAsia" w:ascii="宋体" w:hAnsi="宋体" w:cs="宋体"/>
                <w:color w:val="auto"/>
                <w:szCs w:val="21"/>
              </w:rPr>
            </w:pPr>
          </w:p>
        </w:tc>
      </w:tr>
      <w:tr w14:paraId="4A91AB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5760AB60">
            <w:pPr>
              <w:spacing w:line="240" w:lineRule="atLeast"/>
              <w:jc w:val="center"/>
              <w:rPr>
                <w:rFonts w:hint="eastAsia" w:ascii="宋体" w:hAnsi="宋体" w:cs="宋体"/>
                <w:color w:val="auto"/>
                <w:szCs w:val="21"/>
              </w:rPr>
            </w:pPr>
          </w:p>
        </w:tc>
        <w:tc>
          <w:tcPr>
            <w:tcW w:w="1679" w:type="dxa"/>
            <w:vAlign w:val="center"/>
          </w:tcPr>
          <w:p w14:paraId="329B7856">
            <w:pPr>
              <w:spacing w:line="240" w:lineRule="atLeast"/>
              <w:jc w:val="center"/>
              <w:rPr>
                <w:rFonts w:hint="eastAsia" w:ascii="宋体" w:hAnsi="宋体" w:cs="宋体"/>
                <w:color w:val="auto"/>
                <w:szCs w:val="21"/>
              </w:rPr>
            </w:pPr>
            <w:r>
              <w:rPr>
                <w:rFonts w:hint="eastAsia" w:ascii="宋体" w:hAnsi="宋体" w:cs="宋体"/>
                <w:color w:val="auto"/>
                <w:szCs w:val="21"/>
              </w:rPr>
              <w:t>全部污染物</w:t>
            </w:r>
          </w:p>
        </w:tc>
        <w:tc>
          <w:tcPr>
            <w:tcW w:w="5387" w:type="dxa"/>
            <w:gridSpan w:val="6"/>
            <w:vAlign w:val="center"/>
          </w:tcPr>
          <w:p w14:paraId="11645BC1">
            <w:pPr>
              <w:spacing w:line="240" w:lineRule="atLeast"/>
              <w:jc w:val="center"/>
              <w:rPr>
                <w:rFonts w:hint="eastAsia" w:ascii="宋体" w:hAnsi="宋体" w:cs="宋体"/>
                <w:color w:val="auto"/>
                <w:szCs w:val="21"/>
              </w:rPr>
            </w:pPr>
            <w:r>
              <w:rPr>
                <w:rFonts w:hint="eastAsia" w:ascii="宋体" w:hAnsi="宋体" w:cs="宋体"/>
                <w:color w:val="auto"/>
                <w:szCs w:val="21"/>
              </w:rPr>
              <w:t>石油烃</w:t>
            </w:r>
          </w:p>
        </w:tc>
        <w:tc>
          <w:tcPr>
            <w:tcW w:w="1485" w:type="dxa"/>
            <w:vAlign w:val="center"/>
          </w:tcPr>
          <w:p w14:paraId="5220ACCA">
            <w:pPr>
              <w:spacing w:line="240" w:lineRule="atLeast"/>
              <w:jc w:val="center"/>
              <w:rPr>
                <w:rFonts w:hint="eastAsia" w:ascii="宋体" w:hAnsi="宋体" w:cs="宋体"/>
                <w:color w:val="auto"/>
                <w:szCs w:val="21"/>
              </w:rPr>
            </w:pPr>
          </w:p>
        </w:tc>
      </w:tr>
      <w:tr w14:paraId="3D5FC16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51722F0E">
            <w:pPr>
              <w:spacing w:line="240" w:lineRule="atLeast"/>
              <w:jc w:val="center"/>
              <w:rPr>
                <w:rFonts w:hint="eastAsia" w:ascii="宋体" w:hAnsi="宋体" w:cs="宋体"/>
                <w:color w:val="auto"/>
                <w:szCs w:val="21"/>
              </w:rPr>
            </w:pPr>
          </w:p>
        </w:tc>
        <w:tc>
          <w:tcPr>
            <w:tcW w:w="1679" w:type="dxa"/>
            <w:vAlign w:val="center"/>
          </w:tcPr>
          <w:p w14:paraId="248417AF">
            <w:pPr>
              <w:spacing w:line="240" w:lineRule="atLeast"/>
              <w:jc w:val="center"/>
              <w:rPr>
                <w:rFonts w:hint="eastAsia" w:ascii="宋体" w:hAnsi="宋体" w:cs="宋体"/>
                <w:color w:val="auto"/>
                <w:szCs w:val="21"/>
              </w:rPr>
            </w:pPr>
            <w:r>
              <w:rPr>
                <w:rFonts w:hint="eastAsia" w:ascii="宋体" w:hAnsi="宋体" w:cs="宋体"/>
                <w:color w:val="auto"/>
                <w:szCs w:val="21"/>
              </w:rPr>
              <w:t>特征因子</w:t>
            </w:r>
          </w:p>
        </w:tc>
        <w:tc>
          <w:tcPr>
            <w:tcW w:w="5387" w:type="dxa"/>
            <w:gridSpan w:val="6"/>
            <w:vAlign w:val="center"/>
          </w:tcPr>
          <w:p w14:paraId="7A8D681E">
            <w:pPr>
              <w:spacing w:line="240" w:lineRule="atLeast"/>
              <w:jc w:val="center"/>
              <w:rPr>
                <w:rFonts w:hint="eastAsia" w:ascii="宋体" w:hAnsi="宋体" w:cs="宋体"/>
                <w:color w:val="auto"/>
                <w:szCs w:val="21"/>
              </w:rPr>
            </w:pPr>
            <w:r>
              <w:rPr>
                <w:rFonts w:hint="eastAsia" w:ascii="宋体" w:hAnsi="宋体" w:cs="宋体"/>
                <w:color w:val="auto"/>
                <w:szCs w:val="21"/>
              </w:rPr>
              <w:t>石油烃</w:t>
            </w:r>
          </w:p>
        </w:tc>
        <w:tc>
          <w:tcPr>
            <w:tcW w:w="1485" w:type="dxa"/>
            <w:vAlign w:val="center"/>
          </w:tcPr>
          <w:p w14:paraId="1DE0350C">
            <w:pPr>
              <w:spacing w:line="240" w:lineRule="atLeast"/>
              <w:jc w:val="center"/>
              <w:rPr>
                <w:rFonts w:hint="eastAsia" w:ascii="宋体" w:hAnsi="宋体" w:cs="宋体"/>
                <w:color w:val="auto"/>
                <w:szCs w:val="21"/>
              </w:rPr>
            </w:pPr>
          </w:p>
        </w:tc>
      </w:tr>
      <w:tr w14:paraId="2B44BA6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1D8CA262">
            <w:pPr>
              <w:spacing w:line="240" w:lineRule="atLeast"/>
              <w:jc w:val="center"/>
              <w:rPr>
                <w:rFonts w:hint="eastAsia" w:ascii="宋体" w:hAnsi="宋体" w:cs="宋体"/>
                <w:color w:val="auto"/>
                <w:szCs w:val="21"/>
              </w:rPr>
            </w:pPr>
          </w:p>
        </w:tc>
        <w:tc>
          <w:tcPr>
            <w:tcW w:w="1679" w:type="dxa"/>
            <w:vAlign w:val="center"/>
          </w:tcPr>
          <w:p w14:paraId="373E4206">
            <w:pPr>
              <w:spacing w:line="240" w:lineRule="atLeast"/>
              <w:jc w:val="center"/>
              <w:rPr>
                <w:rFonts w:hint="eastAsia" w:ascii="宋体" w:hAnsi="宋体" w:cs="宋体"/>
                <w:color w:val="auto"/>
                <w:szCs w:val="21"/>
              </w:rPr>
            </w:pPr>
            <w:r>
              <w:rPr>
                <w:rFonts w:hint="eastAsia" w:ascii="宋体" w:hAnsi="宋体" w:cs="宋体"/>
                <w:color w:val="auto"/>
                <w:szCs w:val="21"/>
              </w:rPr>
              <w:t>所属土壤环境影响评价项目类别</w:t>
            </w:r>
          </w:p>
        </w:tc>
        <w:tc>
          <w:tcPr>
            <w:tcW w:w="5387" w:type="dxa"/>
            <w:gridSpan w:val="6"/>
            <w:vAlign w:val="center"/>
          </w:tcPr>
          <w:p w14:paraId="6A77B166">
            <w:pPr>
              <w:spacing w:line="240" w:lineRule="atLeast"/>
              <w:jc w:val="center"/>
              <w:rPr>
                <w:rFonts w:hint="eastAsia" w:ascii="宋体" w:hAnsi="宋体" w:cs="宋体"/>
                <w:color w:val="auto"/>
                <w:szCs w:val="21"/>
              </w:rPr>
            </w:pPr>
            <w:r>
              <w:rPr>
                <w:rFonts w:hint="eastAsia" w:ascii="宋体" w:hAnsi="宋体" w:cs="宋体"/>
                <w:color w:val="auto"/>
                <w:szCs w:val="21"/>
              </w:rPr>
              <w:t>Ⅰ类□；Ⅱ类</w:t>
            </w:r>
            <w:r>
              <w:rPr>
                <w:rFonts w:hint="eastAsia" w:ascii="宋体" w:hAnsi="宋体" w:cs="宋体"/>
                <w:color w:val="auto"/>
                <w:szCs w:val="21"/>
              </w:rPr>
              <w:sym w:font="Wingdings 2" w:char="0052"/>
            </w:r>
            <w:r>
              <w:rPr>
                <w:rFonts w:hint="eastAsia" w:ascii="宋体" w:hAnsi="宋体" w:cs="宋体"/>
                <w:color w:val="auto"/>
                <w:szCs w:val="21"/>
              </w:rPr>
              <w:t>；Ⅲ类□；Ⅳ类□</w:t>
            </w:r>
          </w:p>
        </w:tc>
        <w:tc>
          <w:tcPr>
            <w:tcW w:w="1485" w:type="dxa"/>
            <w:vAlign w:val="center"/>
          </w:tcPr>
          <w:p w14:paraId="0CDD925D">
            <w:pPr>
              <w:spacing w:line="240" w:lineRule="atLeast"/>
              <w:jc w:val="center"/>
              <w:rPr>
                <w:rFonts w:hint="eastAsia" w:ascii="宋体" w:hAnsi="宋体" w:cs="宋体"/>
                <w:color w:val="auto"/>
                <w:szCs w:val="21"/>
              </w:rPr>
            </w:pPr>
          </w:p>
        </w:tc>
      </w:tr>
      <w:tr w14:paraId="1FA22C8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06AEBE62">
            <w:pPr>
              <w:spacing w:line="240" w:lineRule="atLeast"/>
              <w:jc w:val="center"/>
              <w:rPr>
                <w:rFonts w:hint="eastAsia" w:ascii="宋体" w:hAnsi="宋体" w:cs="宋体"/>
                <w:color w:val="auto"/>
                <w:szCs w:val="21"/>
              </w:rPr>
            </w:pPr>
          </w:p>
        </w:tc>
        <w:tc>
          <w:tcPr>
            <w:tcW w:w="1679" w:type="dxa"/>
            <w:vAlign w:val="center"/>
          </w:tcPr>
          <w:p w14:paraId="78CA7058">
            <w:pPr>
              <w:spacing w:line="240" w:lineRule="atLeast"/>
              <w:jc w:val="center"/>
              <w:rPr>
                <w:rFonts w:hint="eastAsia" w:ascii="宋体" w:hAnsi="宋体" w:cs="宋体"/>
                <w:color w:val="auto"/>
                <w:szCs w:val="21"/>
              </w:rPr>
            </w:pPr>
            <w:r>
              <w:rPr>
                <w:rFonts w:hint="eastAsia" w:ascii="宋体" w:hAnsi="宋体" w:cs="宋体"/>
                <w:color w:val="auto"/>
                <w:szCs w:val="21"/>
              </w:rPr>
              <w:t>敏感程度</w:t>
            </w:r>
          </w:p>
        </w:tc>
        <w:tc>
          <w:tcPr>
            <w:tcW w:w="5387" w:type="dxa"/>
            <w:gridSpan w:val="6"/>
            <w:vAlign w:val="center"/>
          </w:tcPr>
          <w:p w14:paraId="0944C966">
            <w:pPr>
              <w:spacing w:line="240" w:lineRule="atLeast"/>
              <w:jc w:val="center"/>
              <w:rPr>
                <w:rFonts w:hint="eastAsia" w:ascii="宋体" w:hAnsi="宋体" w:cs="宋体"/>
                <w:color w:val="auto"/>
                <w:szCs w:val="21"/>
              </w:rPr>
            </w:pPr>
            <w:r>
              <w:rPr>
                <w:rFonts w:hint="eastAsia" w:ascii="宋体" w:hAnsi="宋体" w:cs="宋体"/>
                <w:color w:val="auto"/>
                <w:szCs w:val="21"/>
              </w:rPr>
              <w:t>敏感□；较敏感</w:t>
            </w:r>
            <w:r>
              <w:rPr>
                <w:rFonts w:hint="eastAsia" w:ascii="宋体" w:hAnsi="宋体" w:cs="宋体"/>
                <w:color w:val="auto"/>
                <w:szCs w:val="21"/>
              </w:rPr>
              <w:sym w:font="Wingdings 2" w:char="0052"/>
            </w:r>
            <w:r>
              <w:rPr>
                <w:rFonts w:hint="eastAsia" w:ascii="宋体" w:hAnsi="宋体" w:cs="宋体"/>
                <w:color w:val="auto"/>
                <w:szCs w:val="21"/>
              </w:rPr>
              <w:t>；不敏感□</w:t>
            </w:r>
          </w:p>
        </w:tc>
        <w:tc>
          <w:tcPr>
            <w:tcW w:w="1485" w:type="dxa"/>
            <w:vAlign w:val="center"/>
          </w:tcPr>
          <w:p w14:paraId="2EEEF10C">
            <w:pPr>
              <w:spacing w:line="240" w:lineRule="atLeast"/>
              <w:jc w:val="center"/>
              <w:rPr>
                <w:rFonts w:hint="eastAsia" w:ascii="宋体" w:hAnsi="宋体" w:cs="宋体"/>
                <w:color w:val="auto"/>
                <w:szCs w:val="21"/>
              </w:rPr>
            </w:pPr>
          </w:p>
        </w:tc>
      </w:tr>
      <w:tr w14:paraId="304EC07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74" w:type="dxa"/>
            <w:gridSpan w:val="2"/>
            <w:vAlign w:val="center"/>
          </w:tcPr>
          <w:p w14:paraId="2B9328B6">
            <w:pPr>
              <w:spacing w:line="240" w:lineRule="atLeast"/>
              <w:jc w:val="center"/>
              <w:rPr>
                <w:rFonts w:hint="eastAsia" w:ascii="宋体" w:hAnsi="宋体" w:cs="宋体"/>
                <w:color w:val="auto"/>
                <w:szCs w:val="21"/>
              </w:rPr>
            </w:pPr>
            <w:r>
              <w:rPr>
                <w:rFonts w:hint="eastAsia" w:ascii="宋体" w:hAnsi="宋体" w:cs="宋体"/>
                <w:color w:val="auto"/>
                <w:szCs w:val="21"/>
              </w:rPr>
              <w:t>评价工作等级</w:t>
            </w:r>
          </w:p>
        </w:tc>
        <w:tc>
          <w:tcPr>
            <w:tcW w:w="5387" w:type="dxa"/>
            <w:gridSpan w:val="6"/>
            <w:vAlign w:val="center"/>
          </w:tcPr>
          <w:p w14:paraId="478D96A6">
            <w:pPr>
              <w:spacing w:line="240" w:lineRule="atLeast"/>
              <w:jc w:val="center"/>
              <w:rPr>
                <w:rFonts w:hint="eastAsia" w:ascii="宋体" w:hAnsi="宋体" w:cs="宋体"/>
                <w:color w:val="auto"/>
                <w:szCs w:val="21"/>
              </w:rPr>
            </w:pPr>
            <w:r>
              <w:rPr>
                <w:rFonts w:hint="eastAsia" w:ascii="宋体" w:hAnsi="宋体" w:cs="宋体"/>
                <w:color w:val="auto"/>
                <w:szCs w:val="21"/>
              </w:rPr>
              <w:t>一级□；二级</w:t>
            </w:r>
            <w:r>
              <w:rPr>
                <w:rFonts w:hint="eastAsia" w:ascii="宋体" w:hAnsi="宋体" w:cs="宋体"/>
                <w:color w:val="auto"/>
                <w:szCs w:val="21"/>
              </w:rPr>
              <w:sym w:font="Wingdings 2" w:char="0052"/>
            </w:r>
            <w:r>
              <w:rPr>
                <w:rFonts w:hint="eastAsia" w:ascii="宋体" w:hAnsi="宋体" w:cs="宋体"/>
                <w:color w:val="auto"/>
                <w:szCs w:val="21"/>
              </w:rPr>
              <w:t>；三级□</w:t>
            </w:r>
          </w:p>
        </w:tc>
        <w:tc>
          <w:tcPr>
            <w:tcW w:w="1485" w:type="dxa"/>
            <w:vAlign w:val="center"/>
          </w:tcPr>
          <w:p w14:paraId="1DD9318D">
            <w:pPr>
              <w:spacing w:line="240" w:lineRule="atLeast"/>
              <w:jc w:val="center"/>
              <w:rPr>
                <w:rFonts w:hint="eastAsia" w:ascii="宋体" w:hAnsi="宋体" w:cs="宋体"/>
                <w:color w:val="auto"/>
                <w:szCs w:val="21"/>
              </w:rPr>
            </w:pPr>
          </w:p>
        </w:tc>
      </w:tr>
      <w:tr w14:paraId="6BC1662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restart"/>
            <w:vAlign w:val="center"/>
          </w:tcPr>
          <w:p w14:paraId="583B8C8C">
            <w:pPr>
              <w:spacing w:line="240" w:lineRule="atLeast"/>
              <w:jc w:val="center"/>
              <w:rPr>
                <w:rFonts w:hint="eastAsia" w:ascii="宋体" w:hAnsi="宋体" w:cs="宋体"/>
                <w:color w:val="auto"/>
                <w:szCs w:val="21"/>
              </w:rPr>
            </w:pPr>
            <w:r>
              <w:rPr>
                <w:rFonts w:hint="eastAsia" w:ascii="宋体" w:hAnsi="宋体" w:cs="宋体"/>
                <w:color w:val="auto"/>
                <w:szCs w:val="21"/>
              </w:rPr>
              <w:t>现状调查内容</w:t>
            </w:r>
          </w:p>
        </w:tc>
        <w:tc>
          <w:tcPr>
            <w:tcW w:w="1679" w:type="dxa"/>
            <w:vAlign w:val="center"/>
          </w:tcPr>
          <w:p w14:paraId="7F8BAA7A">
            <w:pPr>
              <w:spacing w:line="240" w:lineRule="atLeast"/>
              <w:jc w:val="center"/>
              <w:rPr>
                <w:rFonts w:hint="eastAsia" w:ascii="宋体" w:hAnsi="宋体" w:cs="宋体"/>
                <w:color w:val="auto"/>
                <w:szCs w:val="21"/>
              </w:rPr>
            </w:pPr>
            <w:r>
              <w:rPr>
                <w:rFonts w:hint="eastAsia" w:ascii="宋体" w:hAnsi="宋体" w:cs="宋体"/>
                <w:color w:val="auto"/>
                <w:szCs w:val="21"/>
              </w:rPr>
              <w:t>资料收集</w:t>
            </w:r>
          </w:p>
        </w:tc>
        <w:tc>
          <w:tcPr>
            <w:tcW w:w="5387" w:type="dxa"/>
            <w:gridSpan w:val="6"/>
            <w:vAlign w:val="center"/>
          </w:tcPr>
          <w:p w14:paraId="2C17FF6F">
            <w:pPr>
              <w:spacing w:line="240" w:lineRule="atLeast"/>
              <w:jc w:val="center"/>
              <w:rPr>
                <w:rFonts w:hint="eastAsia" w:ascii="宋体" w:hAnsi="宋体" w:cs="宋体"/>
                <w:color w:val="auto"/>
                <w:szCs w:val="21"/>
              </w:rPr>
            </w:pPr>
            <w:r>
              <w:rPr>
                <w:rFonts w:hint="eastAsia" w:ascii="宋体" w:hAnsi="宋体" w:cs="宋体"/>
                <w:color w:val="auto"/>
                <w:szCs w:val="21"/>
              </w:rPr>
              <w:t>a）</w:t>
            </w:r>
            <w:r>
              <w:rPr>
                <w:rFonts w:hint="eastAsia" w:ascii="宋体" w:hAnsi="宋体" w:cs="宋体"/>
                <w:color w:val="auto"/>
                <w:szCs w:val="21"/>
              </w:rPr>
              <w:sym w:font="Wingdings 2" w:char="0052"/>
            </w:r>
            <w:r>
              <w:rPr>
                <w:rFonts w:hint="eastAsia" w:ascii="宋体" w:hAnsi="宋体" w:cs="宋体"/>
                <w:color w:val="auto"/>
                <w:szCs w:val="21"/>
              </w:rPr>
              <w:t>；b）</w:t>
            </w:r>
            <w:r>
              <w:rPr>
                <w:rFonts w:hint="eastAsia" w:ascii="宋体" w:hAnsi="宋体" w:cs="宋体"/>
                <w:color w:val="auto"/>
                <w:szCs w:val="21"/>
              </w:rPr>
              <w:sym w:font="Wingdings 2" w:char="0052"/>
            </w:r>
            <w:r>
              <w:rPr>
                <w:rFonts w:hint="eastAsia" w:ascii="宋体" w:hAnsi="宋体" w:cs="宋体"/>
                <w:color w:val="auto"/>
                <w:szCs w:val="21"/>
              </w:rPr>
              <w:t>；c）</w:t>
            </w:r>
            <w:r>
              <w:rPr>
                <w:rFonts w:hint="eastAsia" w:ascii="宋体" w:hAnsi="宋体" w:cs="宋体"/>
                <w:color w:val="auto"/>
                <w:szCs w:val="21"/>
              </w:rPr>
              <w:sym w:font="Wingdings 2" w:char="0052"/>
            </w:r>
            <w:r>
              <w:rPr>
                <w:rFonts w:hint="eastAsia" w:ascii="宋体" w:hAnsi="宋体" w:cs="宋体"/>
                <w:color w:val="auto"/>
                <w:szCs w:val="21"/>
              </w:rPr>
              <w:t>；d）□</w:t>
            </w:r>
          </w:p>
        </w:tc>
        <w:tc>
          <w:tcPr>
            <w:tcW w:w="1485" w:type="dxa"/>
            <w:vAlign w:val="center"/>
          </w:tcPr>
          <w:p w14:paraId="2FAF1B91">
            <w:pPr>
              <w:spacing w:line="240" w:lineRule="atLeast"/>
              <w:jc w:val="center"/>
              <w:rPr>
                <w:rFonts w:hint="eastAsia" w:ascii="宋体" w:hAnsi="宋体" w:cs="宋体"/>
                <w:color w:val="auto"/>
                <w:szCs w:val="21"/>
              </w:rPr>
            </w:pPr>
          </w:p>
        </w:tc>
      </w:tr>
      <w:tr w14:paraId="23BFE60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75782C18">
            <w:pPr>
              <w:spacing w:line="240" w:lineRule="atLeast"/>
              <w:jc w:val="center"/>
              <w:rPr>
                <w:rFonts w:hint="eastAsia" w:ascii="宋体" w:hAnsi="宋体" w:cs="宋体"/>
                <w:color w:val="auto"/>
                <w:szCs w:val="21"/>
              </w:rPr>
            </w:pPr>
          </w:p>
        </w:tc>
        <w:tc>
          <w:tcPr>
            <w:tcW w:w="1679" w:type="dxa"/>
            <w:vAlign w:val="center"/>
          </w:tcPr>
          <w:p w14:paraId="1E409DC4">
            <w:pPr>
              <w:spacing w:line="240" w:lineRule="atLeast"/>
              <w:jc w:val="center"/>
              <w:rPr>
                <w:rFonts w:hint="eastAsia" w:ascii="宋体" w:hAnsi="宋体" w:cs="宋体"/>
                <w:color w:val="auto"/>
                <w:szCs w:val="21"/>
              </w:rPr>
            </w:pPr>
            <w:r>
              <w:rPr>
                <w:rFonts w:hint="eastAsia" w:ascii="宋体" w:hAnsi="宋体" w:cs="宋体"/>
                <w:color w:val="auto"/>
                <w:szCs w:val="21"/>
              </w:rPr>
              <w:t>理化特性</w:t>
            </w:r>
          </w:p>
        </w:tc>
        <w:tc>
          <w:tcPr>
            <w:tcW w:w="5387" w:type="dxa"/>
            <w:gridSpan w:val="6"/>
            <w:vAlign w:val="center"/>
          </w:tcPr>
          <w:p w14:paraId="2FF12439">
            <w:pPr>
              <w:spacing w:line="240" w:lineRule="atLeast"/>
              <w:jc w:val="center"/>
              <w:rPr>
                <w:rFonts w:hint="eastAsia" w:ascii="宋体" w:hAnsi="宋体" w:cs="宋体"/>
                <w:color w:val="auto"/>
                <w:szCs w:val="21"/>
              </w:rPr>
            </w:pPr>
            <w:r>
              <w:rPr>
                <w:rFonts w:hint="eastAsia" w:ascii="宋体" w:hAnsi="宋体" w:cs="宋体"/>
                <w:color w:val="auto"/>
                <w:szCs w:val="21"/>
              </w:rPr>
              <w:t>土壤构型、结构、质地、阳离子交换量、氧化还原电位、饱和导水率、土壤容重、孔隙度等</w:t>
            </w:r>
          </w:p>
        </w:tc>
        <w:tc>
          <w:tcPr>
            <w:tcW w:w="1485" w:type="dxa"/>
            <w:vAlign w:val="center"/>
          </w:tcPr>
          <w:p w14:paraId="51076524">
            <w:pPr>
              <w:spacing w:line="240" w:lineRule="atLeast"/>
              <w:jc w:val="center"/>
              <w:rPr>
                <w:rFonts w:hint="eastAsia" w:ascii="宋体" w:hAnsi="宋体" w:cs="宋体"/>
                <w:color w:val="auto"/>
                <w:szCs w:val="21"/>
              </w:rPr>
            </w:pPr>
          </w:p>
        </w:tc>
      </w:tr>
      <w:tr w14:paraId="29FB71E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13E86D1E">
            <w:pPr>
              <w:spacing w:line="240" w:lineRule="atLeast"/>
              <w:jc w:val="center"/>
              <w:rPr>
                <w:rFonts w:hint="eastAsia" w:ascii="宋体" w:hAnsi="宋体" w:cs="宋体"/>
                <w:color w:val="auto"/>
                <w:szCs w:val="21"/>
              </w:rPr>
            </w:pPr>
          </w:p>
        </w:tc>
        <w:tc>
          <w:tcPr>
            <w:tcW w:w="1679" w:type="dxa"/>
            <w:vMerge w:val="restart"/>
            <w:vAlign w:val="center"/>
          </w:tcPr>
          <w:p w14:paraId="56AED1D1">
            <w:pPr>
              <w:spacing w:line="240" w:lineRule="atLeast"/>
              <w:jc w:val="center"/>
              <w:rPr>
                <w:rFonts w:hint="eastAsia" w:ascii="宋体" w:hAnsi="宋体" w:cs="宋体"/>
                <w:color w:val="auto"/>
                <w:szCs w:val="21"/>
              </w:rPr>
            </w:pPr>
            <w:r>
              <w:rPr>
                <w:rFonts w:hint="eastAsia" w:ascii="宋体" w:hAnsi="宋体" w:cs="宋体"/>
                <w:color w:val="auto"/>
                <w:szCs w:val="21"/>
              </w:rPr>
              <w:t>现状监测点位</w:t>
            </w:r>
          </w:p>
        </w:tc>
        <w:tc>
          <w:tcPr>
            <w:tcW w:w="1346" w:type="dxa"/>
            <w:tcBorders>
              <w:right w:val="single" w:color="000000" w:sz="2" w:space="0"/>
            </w:tcBorders>
            <w:vAlign w:val="center"/>
          </w:tcPr>
          <w:p w14:paraId="0BB4286E">
            <w:pPr>
              <w:spacing w:line="240" w:lineRule="atLeast"/>
              <w:jc w:val="center"/>
              <w:rPr>
                <w:rFonts w:hint="eastAsia" w:ascii="宋体" w:hAnsi="宋体" w:cs="宋体"/>
                <w:color w:val="auto"/>
                <w:szCs w:val="21"/>
              </w:rPr>
            </w:pPr>
          </w:p>
        </w:tc>
        <w:tc>
          <w:tcPr>
            <w:tcW w:w="1346" w:type="dxa"/>
            <w:gridSpan w:val="2"/>
            <w:tcBorders>
              <w:left w:val="single" w:color="000000" w:sz="2" w:space="0"/>
              <w:right w:val="single" w:color="000000" w:sz="2" w:space="0"/>
            </w:tcBorders>
            <w:vAlign w:val="center"/>
          </w:tcPr>
          <w:p w14:paraId="197FADD9">
            <w:pPr>
              <w:spacing w:line="240" w:lineRule="atLeast"/>
              <w:jc w:val="center"/>
              <w:rPr>
                <w:rFonts w:hint="eastAsia" w:ascii="宋体" w:hAnsi="宋体" w:cs="宋体"/>
                <w:color w:val="auto"/>
                <w:szCs w:val="21"/>
              </w:rPr>
            </w:pPr>
            <w:r>
              <w:rPr>
                <w:rFonts w:hint="eastAsia" w:ascii="宋体" w:hAnsi="宋体" w:cs="宋体"/>
                <w:color w:val="auto"/>
                <w:szCs w:val="21"/>
              </w:rPr>
              <w:t>占地范围内</w:t>
            </w:r>
          </w:p>
        </w:tc>
        <w:tc>
          <w:tcPr>
            <w:tcW w:w="1346" w:type="dxa"/>
            <w:gridSpan w:val="2"/>
            <w:tcBorders>
              <w:left w:val="single" w:color="000000" w:sz="2" w:space="0"/>
              <w:right w:val="single" w:color="000000" w:sz="2" w:space="0"/>
            </w:tcBorders>
            <w:vAlign w:val="center"/>
          </w:tcPr>
          <w:p w14:paraId="523D25EA">
            <w:pPr>
              <w:spacing w:line="240" w:lineRule="atLeast"/>
              <w:jc w:val="center"/>
              <w:rPr>
                <w:rFonts w:hint="eastAsia" w:ascii="宋体" w:hAnsi="宋体" w:cs="宋体"/>
                <w:color w:val="auto"/>
                <w:szCs w:val="21"/>
              </w:rPr>
            </w:pPr>
            <w:r>
              <w:rPr>
                <w:rFonts w:hint="eastAsia" w:ascii="宋体" w:hAnsi="宋体" w:cs="宋体"/>
                <w:color w:val="auto"/>
                <w:szCs w:val="21"/>
              </w:rPr>
              <w:t>占地范围外</w:t>
            </w:r>
          </w:p>
        </w:tc>
        <w:tc>
          <w:tcPr>
            <w:tcW w:w="1349" w:type="dxa"/>
            <w:tcBorders>
              <w:left w:val="single" w:color="000000" w:sz="2" w:space="0"/>
            </w:tcBorders>
            <w:vAlign w:val="center"/>
          </w:tcPr>
          <w:p w14:paraId="0EE451CF">
            <w:pPr>
              <w:spacing w:line="240" w:lineRule="atLeast"/>
              <w:jc w:val="center"/>
              <w:rPr>
                <w:rFonts w:hint="eastAsia" w:ascii="宋体" w:hAnsi="宋体" w:cs="宋体"/>
                <w:color w:val="auto"/>
                <w:szCs w:val="21"/>
              </w:rPr>
            </w:pPr>
            <w:r>
              <w:rPr>
                <w:rFonts w:hint="eastAsia" w:ascii="宋体" w:hAnsi="宋体" w:cs="宋体"/>
                <w:color w:val="auto"/>
                <w:szCs w:val="21"/>
              </w:rPr>
              <w:t>深度</w:t>
            </w:r>
          </w:p>
        </w:tc>
        <w:tc>
          <w:tcPr>
            <w:tcW w:w="1485" w:type="dxa"/>
            <w:vMerge w:val="restart"/>
            <w:vAlign w:val="center"/>
          </w:tcPr>
          <w:p w14:paraId="682336D5">
            <w:pPr>
              <w:spacing w:line="240" w:lineRule="atLeast"/>
              <w:jc w:val="center"/>
              <w:rPr>
                <w:rFonts w:hint="eastAsia" w:ascii="宋体" w:hAnsi="宋体" w:cs="宋体"/>
                <w:color w:val="auto"/>
                <w:szCs w:val="21"/>
              </w:rPr>
            </w:pPr>
            <w:r>
              <w:rPr>
                <w:rFonts w:hint="eastAsia" w:ascii="宋体" w:hAnsi="宋体" w:cs="宋体"/>
                <w:color w:val="auto"/>
                <w:szCs w:val="21"/>
              </w:rPr>
              <w:t>有监测点位分布图</w:t>
            </w:r>
          </w:p>
        </w:tc>
      </w:tr>
      <w:tr w14:paraId="61C56B0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2E4D93AB">
            <w:pPr>
              <w:spacing w:line="240" w:lineRule="atLeast"/>
              <w:jc w:val="center"/>
              <w:rPr>
                <w:rFonts w:hint="eastAsia" w:ascii="宋体" w:hAnsi="宋体" w:cs="宋体"/>
                <w:color w:val="auto"/>
                <w:szCs w:val="21"/>
              </w:rPr>
            </w:pPr>
          </w:p>
        </w:tc>
        <w:tc>
          <w:tcPr>
            <w:tcW w:w="1679" w:type="dxa"/>
            <w:vMerge w:val="continue"/>
            <w:vAlign w:val="center"/>
          </w:tcPr>
          <w:p w14:paraId="7126DE69">
            <w:pPr>
              <w:spacing w:line="240" w:lineRule="atLeast"/>
              <w:jc w:val="center"/>
              <w:rPr>
                <w:rFonts w:hint="eastAsia" w:ascii="宋体" w:hAnsi="宋体" w:cs="宋体"/>
                <w:color w:val="auto"/>
                <w:szCs w:val="21"/>
              </w:rPr>
            </w:pPr>
          </w:p>
        </w:tc>
        <w:tc>
          <w:tcPr>
            <w:tcW w:w="1346" w:type="dxa"/>
            <w:tcBorders>
              <w:right w:val="single" w:color="000000" w:sz="2" w:space="0"/>
            </w:tcBorders>
            <w:vAlign w:val="center"/>
          </w:tcPr>
          <w:p w14:paraId="7B2F536F">
            <w:pPr>
              <w:spacing w:line="240" w:lineRule="atLeast"/>
              <w:jc w:val="center"/>
              <w:rPr>
                <w:rFonts w:hint="eastAsia" w:ascii="宋体" w:hAnsi="宋体" w:cs="宋体"/>
                <w:color w:val="auto"/>
                <w:szCs w:val="21"/>
              </w:rPr>
            </w:pPr>
            <w:r>
              <w:rPr>
                <w:rFonts w:hint="eastAsia" w:ascii="宋体" w:hAnsi="宋体" w:cs="宋体"/>
                <w:color w:val="auto"/>
                <w:szCs w:val="21"/>
              </w:rPr>
              <w:t>表层样点数</w:t>
            </w:r>
          </w:p>
        </w:tc>
        <w:tc>
          <w:tcPr>
            <w:tcW w:w="1346" w:type="dxa"/>
            <w:gridSpan w:val="2"/>
            <w:tcBorders>
              <w:left w:val="single" w:color="000000" w:sz="2" w:space="0"/>
              <w:right w:val="single" w:color="000000" w:sz="2" w:space="0"/>
            </w:tcBorders>
            <w:vAlign w:val="center"/>
          </w:tcPr>
          <w:p w14:paraId="61A0BBBD">
            <w:pPr>
              <w:spacing w:line="240" w:lineRule="atLeast"/>
              <w:jc w:val="center"/>
              <w:rPr>
                <w:rFonts w:hint="eastAsia" w:ascii="宋体" w:hAnsi="宋体" w:cs="宋体"/>
                <w:color w:val="auto"/>
                <w:szCs w:val="21"/>
              </w:rPr>
            </w:pPr>
            <w:r>
              <w:rPr>
                <w:rFonts w:hint="eastAsia" w:ascii="宋体" w:hAnsi="宋体" w:cs="宋体"/>
                <w:color w:val="auto"/>
                <w:szCs w:val="21"/>
              </w:rPr>
              <w:t>3</w:t>
            </w:r>
          </w:p>
        </w:tc>
        <w:tc>
          <w:tcPr>
            <w:tcW w:w="1346" w:type="dxa"/>
            <w:gridSpan w:val="2"/>
            <w:tcBorders>
              <w:left w:val="single" w:color="000000" w:sz="2" w:space="0"/>
              <w:right w:val="single" w:color="000000" w:sz="2" w:space="0"/>
            </w:tcBorders>
            <w:vAlign w:val="center"/>
          </w:tcPr>
          <w:p w14:paraId="6E4F2995">
            <w:pPr>
              <w:spacing w:line="240" w:lineRule="atLeast"/>
              <w:jc w:val="center"/>
              <w:rPr>
                <w:rFonts w:hint="eastAsia" w:ascii="宋体" w:hAnsi="宋体" w:cs="宋体"/>
                <w:color w:val="auto"/>
                <w:szCs w:val="21"/>
              </w:rPr>
            </w:pPr>
            <w:r>
              <w:rPr>
                <w:rFonts w:hint="eastAsia" w:ascii="宋体" w:hAnsi="宋体" w:cs="宋体"/>
                <w:color w:val="auto"/>
                <w:szCs w:val="21"/>
              </w:rPr>
              <w:t>4</w:t>
            </w:r>
          </w:p>
        </w:tc>
        <w:tc>
          <w:tcPr>
            <w:tcW w:w="1349" w:type="dxa"/>
            <w:tcBorders>
              <w:left w:val="single" w:color="000000" w:sz="2" w:space="0"/>
            </w:tcBorders>
            <w:vAlign w:val="center"/>
          </w:tcPr>
          <w:p w14:paraId="6DFB36DB">
            <w:pPr>
              <w:spacing w:line="240" w:lineRule="atLeast"/>
              <w:jc w:val="center"/>
              <w:rPr>
                <w:rFonts w:hint="eastAsia" w:ascii="宋体" w:hAnsi="宋体" w:cs="宋体"/>
                <w:color w:val="auto"/>
                <w:szCs w:val="21"/>
              </w:rPr>
            </w:pPr>
            <w:r>
              <w:rPr>
                <w:rFonts w:hint="eastAsia" w:ascii="宋体" w:hAnsi="宋体" w:cs="宋体"/>
                <w:color w:val="auto"/>
                <w:szCs w:val="21"/>
              </w:rPr>
              <w:t>0-0.2m</w:t>
            </w:r>
          </w:p>
        </w:tc>
        <w:tc>
          <w:tcPr>
            <w:tcW w:w="1485" w:type="dxa"/>
            <w:vMerge w:val="continue"/>
            <w:vAlign w:val="center"/>
          </w:tcPr>
          <w:p w14:paraId="597467F8">
            <w:pPr>
              <w:spacing w:line="240" w:lineRule="atLeast"/>
              <w:jc w:val="center"/>
              <w:rPr>
                <w:rFonts w:hint="eastAsia" w:ascii="宋体" w:hAnsi="宋体" w:cs="宋体"/>
                <w:color w:val="auto"/>
                <w:szCs w:val="21"/>
              </w:rPr>
            </w:pPr>
          </w:p>
        </w:tc>
      </w:tr>
      <w:tr w14:paraId="586DC62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6DA81F38">
            <w:pPr>
              <w:spacing w:line="240" w:lineRule="atLeast"/>
              <w:jc w:val="center"/>
              <w:rPr>
                <w:rFonts w:hint="eastAsia" w:ascii="宋体" w:hAnsi="宋体" w:cs="宋体"/>
                <w:color w:val="auto"/>
                <w:szCs w:val="21"/>
              </w:rPr>
            </w:pPr>
          </w:p>
        </w:tc>
        <w:tc>
          <w:tcPr>
            <w:tcW w:w="1679" w:type="dxa"/>
            <w:vMerge w:val="continue"/>
            <w:vAlign w:val="center"/>
          </w:tcPr>
          <w:p w14:paraId="65C29736">
            <w:pPr>
              <w:spacing w:line="240" w:lineRule="atLeast"/>
              <w:jc w:val="center"/>
              <w:rPr>
                <w:rFonts w:hint="eastAsia" w:ascii="宋体" w:hAnsi="宋体" w:cs="宋体"/>
                <w:color w:val="auto"/>
                <w:szCs w:val="21"/>
              </w:rPr>
            </w:pPr>
          </w:p>
        </w:tc>
        <w:tc>
          <w:tcPr>
            <w:tcW w:w="1346" w:type="dxa"/>
            <w:tcBorders>
              <w:right w:val="single" w:color="000000" w:sz="2" w:space="0"/>
            </w:tcBorders>
            <w:vAlign w:val="center"/>
          </w:tcPr>
          <w:p w14:paraId="752FD3CC">
            <w:pPr>
              <w:spacing w:line="240" w:lineRule="atLeast"/>
              <w:jc w:val="center"/>
              <w:rPr>
                <w:rFonts w:hint="eastAsia" w:ascii="宋体" w:hAnsi="宋体" w:cs="宋体"/>
                <w:color w:val="auto"/>
                <w:szCs w:val="21"/>
              </w:rPr>
            </w:pPr>
            <w:r>
              <w:rPr>
                <w:rFonts w:hint="eastAsia" w:ascii="宋体" w:hAnsi="宋体" w:cs="宋体"/>
                <w:color w:val="auto"/>
                <w:szCs w:val="21"/>
              </w:rPr>
              <w:t>柱状样点数</w:t>
            </w:r>
          </w:p>
        </w:tc>
        <w:tc>
          <w:tcPr>
            <w:tcW w:w="1346" w:type="dxa"/>
            <w:gridSpan w:val="2"/>
            <w:tcBorders>
              <w:left w:val="single" w:color="000000" w:sz="2" w:space="0"/>
              <w:right w:val="single" w:color="000000" w:sz="2" w:space="0"/>
            </w:tcBorders>
            <w:vAlign w:val="center"/>
          </w:tcPr>
          <w:p w14:paraId="46DD2980">
            <w:pPr>
              <w:spacing w:line="240" w:lineRule="atLeast"/>
              <w:jc w:val="center"/>
              <w:rPr>
                <w:rFonts w:hint="eastAsia" w:ascii="宋体" w:hAnsi="宋体" w:cs="宋体"/>
                <w:color w:val="auto"/>
                <w:szCs w:val="21"/>
              </w:rPr>
            </w:pPr>
            <w:r>
              <w:rPr>
                <w:rFonts w:hint="eastAsia" w:ascii="宋体" w:hAnsi="宋体" w:cs="宋体"/>
                <w:color w:val="auto"/>
                <w:szCs w:val="21"/>
              </w:rPr>
              <w:t>3</w:t>
            </w:r>
          </w:p>
        </w:tc>
        <w:tc>
          <w:tcPr>
            <w:tcW w:w="1346" w:type="dxa"/>
            <w:gridSpan w:val="2"/>
            <w:tcBorders>
              <w:left w:val="single" w:color="000000" w:sz="2" w:space="0"/>
              <w:right w:val="single" w:color="000000" w:sz="2" w:space="0"/>
            </w:tcBorders>
            <w:vAlign w:val="center"/>
          </w:tcPr>
          <w:p w14:paraId="2D8DFF06">
            <w:pPr>
              <w:spacing w:line="240" w:lineRule="atLeast"/>
              <w:jc w:val="center"/>
              <w:rPr>
                <w:rFonts w:hint="eastAsia" w:ascii="宋体" w:hAnsi="宋体" w:cs="宋体"/>
                <w:color w:val="auto"/>
                <w:szCs w:val="21"/>
              </w:rPr>
            </w:pPr>
            <w:r>
              <w:rPr>
                <w:rFonts w:hint="eastAsia" w:ascii="宋体" w:hAnsi="宋体" w:cs="宋体"/>
                <w:color w:val="auto"/>
                <w:szCs w:val="21"/>
              </w:rPr>
              <w:t>0</w:t>
            </w:r>
          </w:p>
        </w:tc>
        <w:tc>
          <w:tcPr>
            <w:tcW w:w="1349" w:type="dxa"/>
            <w:tcBorders>
              <w:left w:val="single" w:color="000000" w:sz="2" w:space="0"/>
            </w:tcBorders>
            <w:vAlign w:val="center"/>
          </w:tcPr>
          <w:p w14:paraId="3B7D55C2">
            <w:pPr>
              <w:spacing w:line="240" w:lineRule="atLeast"/>
              <w:jc w:val="center"/>
              <w:rPr>
                <w:rFonts w:hint="eastAsia" w:ascii="宋体" w:hAnsi="宋体" w:cs="宋体"/>
                <w:color w:val="auto"/>
                <w:szCs w:val="21"/>
              </w:rPr>
            </w:pPr>
            <w:r>
              <w:rPr>
                <w:rFonts w:hint="eastAsia" w:ascii="宋体" w:hAnsi="宋体" w:cs="宋体"/>
                <w:color w:val="auto"/>
                <w:sz w:val="18"/>
                <w:szCs w:val="18"/>
              </w:rPr>
              <w:t>0-0.</w:t>
            </w:r>
            <w:r>
              <w:rPr>
                <w:rFonts w:ascii="宋体" w:hAnsi="宋体" w:cs="宋体"/>
                <w:color w:val="auto"/>
                <w:sz w:val="18"/>
                <w:szCs w:val="18"/>
              </w:rPr>
              <w:t>5</w:t>
            </w:r>
            <w:r>
              <w:rPr>
                <w:rFonts w:hint="eastAsia" w:ascii="宋体" w:hAnsi="宋体" w:cs="宋体"/>
                <w:color w:val="auto"/>
                <w:sz w:val="18"/>
                <w:szCs w:val="18"/>
              </w:rPr>
              <w:t>m、0</w:t>
            </w:r>
            <w:r>
              <w:rPr>
                <w:rFonts w:ascii="宋体" w:hAnsi="宋体" w:cs="宋体"/>
                <w:color w:val="auto"/>
                <w:sz w:val="18"/>
                <w:szCs w:val="18"/>
              </w:rPr>
              <w:t>.5</w:t>
            </w:r>
            <w:r>
              <w:rPr>
                <w:rFonts w:hint="eastAsia" w:ascii="宋体" w:hAnsi="宋体" w:cs="宋体"/>
                <w:color w:val="auto"/>
                <w:sz w:val="18"/>
                <w:szCs w:val="18"/>
              </w:rPr>
              <w:t>-</w:t>
            </w:r>
            <w:r>
              <w:rPr>
                <w:rFonts w:ascii="宋体" w:hAnsi="宋体" w:cs="宋体"/>
                <w:color w:val="auto"/>
                <w:sz w:val="18"/>
                <w:szCs w:val="18"/>
              </w:rPr>
              <w:t>1.5</w:t>
            </w:r>
            <w:r>
              <w:rPr>
                <w:rFonts w:hint="eastAsia" w:ascii="宋体" w:hAnsi="宋体" w:cs="宋体"/>
                <w:color w:val="auto"/>
                <w:sz w:val="18"/>
                <w:szCs w:val="18"/>
              </w:rPr>
              <w:t>m、</w:t>
            </w:r>
            <w:r>
              <w:rPr>
                <w:rFonts w:ascii="宋体" w:hAnsi="宋体" w:cs="宋体"/>
                <w:color w:val="auto"/>
                <w:sz w:val="18"/>
                <w:szCs w:val="18"/>
              </w:rPr>
              <w:t>1.5</w:t>
            </w:r>
            <w:r>
              <w:rPr>
                <w:rFonts w:hint="eastAsia" w:ascii="宋体" w:hAnsi="宋体" w:cs="宋体"/>
                <w:color w:val="auto"/>
                <w:sz w:val="18"/>
                <w:szCs w:val="18"/>
              </w:rPr>
              <w:t>-</w:t>
            </w:r>
            <w:r>
              <w:rPr>
                <w:rFonts w:ascii="宋体" w:hAnsi="宋体" w:cs="宋体"/>
                <w:color w:val="auto"/>
                <w:sz w:val="18"/>
                <w:szCs w:val="18"/>
              </w:rPr>
              <w:t>3</w:t>
            </w:r>
            <w:r>
              <w:rPr>
                <w:rFonts w:hint="eastAsia" w:ascii="宋体" w:hAnsi="宋体" w:cs="宋体"/>
                <w:color w:val="auto"/>
                <w:sz w:val="18"/>
                <w:szCs w:val="18"/>
              </w:rPr>
              <w:t>m</w:t>
            </w:r>
          </w:p>
        </w:tc>
        <w:tc>
          <w:tcPr>
            <w:tcW w:w="1485" w:type="dxa"/>
            <w:vMerge w:val="continue"/>
            <w:vAlign w:val="center"/>
          </w:tcPr>
          <w:p w14:paraId="524FBF61">
            <w:pPr>
              <w:spacing w:line="240" w:lineRule="atLeast"/>
              <w:jc w:val="center"/>
              <w:rPr>
                <w:rFonts w:hint="eastAsia" w:ascii="宋体" w:hAnsi="宋体" w:cs="宋体"/>
                <w:color w:val="auto"/>
                <w:szCs w:val="21"/>
              </w:rPr>
            </w:pPr>
          </w:p>
        </w:tc>
      </w:tr>
      <w:tr w14:paraId="5671486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06579ED0">
            <w:pPr>
              <w:spacing w:line="240" w:lineRule="atLeast"/>
              <w:jc w:val="center"/>
              <w:rPr>
                <w:rFonts w:hint="eastAsia" w:ascii="宋体" w:hAnsi="宋体" w:cs="宋体"/>
                <w:color w:val="auto"/>
                <w:szCs w:val="21"/>
              </w:rPr>
            </w:pPr>
          </w:p>
        </w:tc>
        <w:tc>
          <w:tcPr>
            <w:tcW w:w="1679" w:type="dxa"/>
            <w:vAlign w:val="center"/>
          </w:tcPr>
          <w:p w14:paraId="6A744077">
            <w:pPr>
              <w:spacing w:line="240" w:lineRule="atLeast"/>
              <w:jc w:val="center"/>
              <w:rPr>
                <w:rFonts w:hint="eastAsia" w:ascii="宋体" w:hAnsi="宋体" w:cs="宋体"/>
                <w:color w:val="auto"/>
                <w:szCs w:val="21"/>
              </w:rPr>
            </w:pPr>
            <w:r>
              <w:rPr>
                <w:rFonts w:hint="eastAsia" w:ascii="宋体" w:hAnsi="宋体" w:cs="宋体"/>
                <w:color w:val="auto"/>
                <w:szCs w:val="21"/>
              </w:rPr>
              <w:t>现状监测因子</w:t>
            </w:r>
          </w:p>
        </w:tc>
        <w:tc>
          <w:tcPr>
            <w:tcW w:w="5387" w:type="dxa"/>
            <w:gridSpan w:val="6"/>
            <w:vAlign w:val="center"/>
          </w:tcPr>
          <w:p w14:paraId="08DA0A32">
            <w:pPr>
              <w:spacing w:line="240" w:lineRule="atLeast"/>
              <w:jc w:val="center"/>
              <w:rPr>
                <w:rFonts w:hint="eastAsia" w:ascii="宋体" w:hAnsi="宋体" w:cs="宋体"/>
                <w:color w:val="auto"/>
                <w:szCs w:val="21"/>
              </w:rPr>
            </w:pPr>
            <w:r>
              <w:rPr>
                <w:rFonts w:hint="eastAsia" w:ascii="宋体" w:hAnsi="宋体" w:cs="宋体"/>
                <w:color w:val="auto"/>
                <w:szCs w:val="21"/>
              </w:rPr>
              <w:t>GB36600表1中的4</w:t>
            </w:r>
            <w:r>
              <w:rPr>
                <w:rFonts w:ascii="宋体" w:hAnsi="宋体" w:cs="宋体"/>
                <w:color w:val="auto"/>
                <w:szCs w:val="21"/>
              </w:rPr>
              <w:t>5</w:t>
            </w:r>
            <w:r>
              <w:rPr>
                <w:rFonts w:hint="eastAsia" w:ascii="宋体" w:hAnsi="宋体" w:cs="宋体"/>
                <w:color w:val="auto"/>
                <w:szCs w:val="21"/>
              </w:rPr>
              <w:t>项基本项目、石油烃、p</w:t>
            </w:r>
            <w:r>
              <w:rPr>
                <w:rFonts w:ascii="宋体" w:hAnsi="宋体" w:cs="宋体"/>
                <w:color w:val="auto"/>
                <w:szCs w:val="21"/>
              </w:rPr>
              <w:t>H</w:t>
            </w:r>
            <w:r>
              <w:rPr>
                <w:rFonts w:hint="eastAsia" w:ascii="宋体" w:hAnsi="宋体" w:cs="宋体"/>
                <w:color w:val="auto"/>
                <w:szCs w:val="21"/>
              </w:rPr>
              <w:t>、土壤盐分含量和GB15618-2018表1中的基本项目</w:t>
            </w:r>
          </w:p>
        </w:tc>
        <w:tc>
          <w:tcPr>
            <w:tcW w:w="1485" w:type="dxa"/>
            <w:vAlign w:val="center"/>
          </w:tcPr>
          <w:p w14:paraId="2FC5E865">
            <w:pPr>
              <w:spacing w:line="240" w:lineRule="atLeast"/>
              <w:jc w:val="center"/>
              <w:rPr>
                <w:rFonts w:hint="eastAsia" w:ascii="宋体" w:hAnsi="宋体" w:cs="宋体"/>
                <w:color w:val="auto"/>
                <w:szCs w:val="21"/>
              </w:rPr>
            </w:pPr>
          </w:p>
        </w:tc>
      </w:tr>
      <w:tr w14:paraId="63C1DE0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restart"/>
            <w:vAlign w:val="center"/>
          </w:tcPr>
          <w:p w14:paraId="52F4605A">
            <w:pPr>
              <w:spacing w:line="240" w:lineRule="atLeast"/>
              <w:jc w:val="center"/>
              <w:rPr>
                <w:rFonts w:hint="eastAsia" w:ascii="宋体" w:hAnsi="宋体" w:cs="宋体"/>
                <w:color w:val="auto"/>
                <w:szCs w:val="21"/>
              </w:rPr>
            </w:pPr>
            <w:r>
              <w:rPr>
                <w:rFonts w:hint="eastAsia" w:ascii="宋体" w:hAnsi="宋体" w:cs="宋体"/>
                <w:color w:val="auto"/>
                <w:szCs w:val="21"/>
              </w:rPr>
              <w:t>现状评价</w:t>
            </w:r>
          </w:p>
        </w:tc>
        <w:tc>
          <w:tcPr>
            <w:tcW w:w="1679" w:type="dxa"/>
            <w:vAlign w:val="center"/>
          </w:tcPr>
          <w:p w14:paraId="042145F9">
            <w:pPr>
              <w:spacing w:line="240" w:lineRule="atLeast"/>
              <w:jc w:val="center"/>
              <w:rPr>
                <w:rFonts w:hint="eastAsia" w:ascii="宋体" w:hAnsi="宋体" w:cs="宋体"/>
                <w:color w:val="auto"/>
                <w:szCs w:val="21"/>
              </w:rPr>
            </w:pPr>
            <w:r>
              <w:rPr>
                <w:rFonts w:hint="eastAsia" w:ascii="宋体" w:hAnsi="宋体" w:cs="宋体"/>
                <w:color w:val="auto"/>
                <w:szCs w:val="21"/>
              </w:rPr>
              <w:t>评价因子</w:t>
            </w:r>
          </w:p>
        </w:tc>
        <w:tc>
          <w:tcPr>
            <w:tcW w:w="5387" w:type="dxa"/>
            <w:gridSpan w:val="6"/>
            <w:vAlign w:val="center"/>
          </w:tcPr>
          <w:p w14:paraId="0B861CCE">
            <w:pPr>
              <w:spacing w:line="240" w:lineRule="atLeast"/>
              <w:jc w:val="center"/>
              <w:rPr>
                <w:rFonts w:hint="eastAsia" w:ascii="宋体" w:hAnsi="宋体" w:cs="宋体"/>
                <w:color w:val="auto"/>
                <w:szCs w:val="21"/>
              </w:rPr>
            </w:pPr>
            <w:r>
              <w:rPr>
                <w:rFonts w:hint="eastAsia" w:ascii="宋体" w:hAnsi="宋体" w:cs="宋体"/>
                <w:color w:val="auto"/>
                <w:szCs w:val="21"/>
              </w:rPr>
              <w:t>GB36600表1中的4</w:t>
            </w:r>
            <w:r>
              <w:rPr>
                <w:rFonts w:ascii="宋体" w:hAnsi="宋体" w:cs="宋体"/>
                <w:color w:val="auto"/>
                <w:szCs w:val="21"/>
              </w:rPr>
              <w:t>5</w:t>
            </w:r>
            <w:r>
              <w:rPr>
                <w:rFonts w:hint="eastAsia" w:ascii="宋体" w:hAnsi="宋体" w:cs="宋体"/>
                <w:color w:val="auto"/>
                <w:szCs w:val="21"/>
              </w:rPr>
              <w:t>项基本项目、石油烃、p</w:t>
            </w:r>
            <w:r>
              <w:rPr>
                <w:rFonts w:ascii="宋体" w:hAnsi="宋体" w:cs="宋体"/>
                <w:color w:val="auto"/>
                <w:szCs w:val="21"/>
              </w:rPr>
              <w:t>H</w:t>
            </w:r>
            <w:r>
              <w:rPr>
                <w:rFonts w:hint="eastAsia" w:ascii="宋体" w:hAnsi="宋体" w:cs="宋体"/>
                <w:color w:val="auto"/>
                <w:szCs w:val="21"/>
              </w:rPr>
              <w:t>、土壤盐分含量和GB15618-2018表1中的基本项目</w:t>
            </w:r>
          </w:p>
        </w:tc>
        <w:tc>
          <w:tcPr>
            <w:tcW w:w="1485" w:type="dxa"/>
            <w:vAlign w:val="center"/>
          </w:tcPr>
          <w:p w14:paraId="330BB8EB">
            <w:pPr>
              <w:spacing w:line="240" w:lineRule="atLeast"/>
              <w:jc w:val="center"/>
              <w:rPr>
                <w:rFonts w:hint="eastAsia" w:ascii="宋体" w:hAnsi="宋体" w:cs="宋体"/>
                <w:color w:val="auto"/>
                <w:szCs w:val="21"/>
              </w:rPr>
            </w:pPr>
          </w:p>
        </w:tc>
      </w:tr>
      <w:tr w14:paraId="345392F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1F704190">
            <w:pPr>
              <w:spacing w:line="240" w:lineRule="atLeast"/>
              <w:jc w:val="center"/>
              <w:rPr>
                <w:rFonts w:hint="eastAsia" w:ascii="宋体" w:hAnsi="宋体" w:cs="宋体"/>
                <w:color w:val="auto"/>
                <w:szCs w:val="21"/>
              </w:rPr>
            </w:pPr>
          </w:p>
        </w:tc>
        <w:tc>
          <w:tcPr>
            <w:tcW w:w="1679" w:type="dxa"/>
            <w:vAlign w:val="center"/>
          </w:tcPr>
          <w:p w14:paraId="308FE491">
            <w:pPr>
              <w:spacing w:line="240" w:lineRule="atLeast"/>
              <w:jc w:val="center"/>
              <w:rPr>
                <w:rFonts w:hint="eastAsia" w:ascii="宋体" w:hAnsi="宋体" w:cs="宋体"/>
                <w:color w:val="auto"/>
                <w:szCs w:val="21"/>
              </w:rPr>
            </w:pPr>
            <w:r>
              <w:rPr>
                <w:rFonts w:hint="eastAsia" w:ascii="宋体" w:hAnsi="宋体" w:cs="宋体"/>
                <w:color w:val="auto"/>
                <w:szCs w:val="21"/>
              </w:rPr>
              <w:t>评价标准</w:t>
            </w:r>
          </w:p>
        </w:tc>
        <w:tc>
          <w:tcPr>
            <w:tcW w:w="5387" w:type="dxa"/>
            <w:gridSpan w:val="6"/>
            <w:vAlign w:val="center"/>
          </w:tcPr>
          <w:p w14:paraId="1B404B72">
            <w:pPr>
              <w:spacing w:line="240" w:lineRule="atLeast"/>
              <w:jc w:val="center"/>
              <w:rPr>
                <w:rFonts w:hint="eastAsia" w:ascii="宋体" w:hAnsi="宋体" w:cs="宋体"/>
                <w:color w:val="auto"/>
                <w:szCs w:val="21"/>
              </w:rPr>
            </w:pPr>
            <w:r>
              <w:rPr>
                <w:rFonts w:hint="eastAsia" w:ascii="宋体" w:hAnsi="宋体" w:cs="宋体"/>
                <w:color w:val="auto"/>
                <w:szCs w:val="21"/>
              </w:rPr>
              <w:t>GB15618□；GB36600</w:t>
            </w:r>
            <w:r>
              <w:rPr>
                <w:rFonts w:hint="eastAsia" w:ascii="宋体" w:hAnsi="宋体" w:cs="宋体"/>
                <w:color w:val="auto"/>
                <w:szCs w:val="21"/>
              </w:rPr>
              <w:sym w:font="Wingdings 2" w:char="0052"/>
            </w:r>
            <w:r>
              <w:rPr>
                <w:rFonts w:hint="eastAsia" w:ascii="宋体" w:hAnsi="宋体" w:cs="宋体"/>
                <w:color w:val="auto"/>
                <w:szCs w:val="21"/>
              </w:rPr>
              <w:t>；表D.1</w:t>
            </w:r>
            <w:bookmarkStart w:id="1040" w:name="OLE_LINK82"/>
            <w:r>
              <w:rPr>
                <w:rFonts w:hint="eastAsia" w:ascii="宋体" w:hAnsi="宋体" w:cs="宋体"/>
                <w:color w:val="auto"/>
                <w:szCs w:val="21"/>
              </w:rPr>
              <w:t>□</w:t>
            </w:r>
            <w:bookmarkEnd w:id="1040"/>
            <w:r>
              <w:rPr>
                <w:rFonts w:hint="eastAsia" w:ascii="宋体" w:hAnsi="宋体" w:cs="宋体"/>
                <w:color w:val="auto"/>
                <w:szCs w:val="21"/>
              </w:rPr>
              <w:t>；表D.2□；其他（）</w:t>
            </w:r>
          </w:p>
        </w:tc>
        <w:tc>
          <w:tcPr>
            <w:tcW w:w="1485" w:type="dxa"/>
            <w:vAlign w:val="center"/>
          </w:tcPr>
          <w:p w14:paraId="0C9B13CF">
            <w:pPr>
              <w:spacing w:line="240" w:lineRule="atLeast"/>
              <w:jc w:val="center"/>
              <w:rPr>
                <w:rFonts w:hint="eastAsia" w:ascii="宋体" w:hAnsi="宋体" w:cs="宋体"/>
                <w:color w:val="auto"/>
                <w:szCs w:val="21"/>
              </w:rPr>
            </w:pPr>
          </w:p>
        </w:tc>
      </w:tr>
      <w:tr w14:paraId="18BD25D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0538D782">
            <w:pPr>
              <w:spacing w:line="240" w:lineRule="atLeast"/>
              <w:jc w:val="center"/>
              <w:rPr>
                <w:rFonts w:hint="eastAsia" w:ascii="宋体" w:hAnsi="宋体" w:cs="宋体"/>
                <w:color w:val="auto"/>
                <w:szCs w:val="21"/>
              </w:rPr>
            </w:pPr>
          </w:p>
        </w:tc>
        <w:tc>
          <w:tcPr>
            <w:tcW w:w="1679" w:type="dxa"/>
            <w:vAlign w:val="center"/>
          </w:tcPr>
          <w:p w14:paraId="70B0534A">
            <w:pPr>
              <w:spacing w:line="240" w:lineRule="atLeast"/>
              <w:jc w:val="center"/>
              <w:rPr>
                <w:rFonts w:hint="eastAsia" w:ascii="宋体" w:hAnsi="宋体" w:cs="宋体"/>
                <w:color w:val="auto"/>
                <w:szCs w:val="21"/>
              </w:rPr>
            </w:pPr>
            <w:r>
              <w:rPr>
                <w:rFonts w:hint="eastAsia" w:ascii="宋体" w:hAnsi="宋体" w:cs="宋体"/>
                <w:color w:val="auto"/>
                <w:szCs w:val="21"/>
              </w:rPr>
              <w:t>现状评价结论</w:t>
            </w:r>
          </w:p>
        </w:tc>
        <w:tc>
          <w:tcPr>
            <w:tcW w:w="5387" w:type="dxa"/>
            <w:gridSpan w:val="6"/>
            <w:vAlign w:val="center"/>
          </w:tcPr>
          <w:p w14:paraId="37783F82">
            <w:pPr>
              <w:spacing w:line="240" w:lineRule="atLeast"/>
              <w:rPr>
                <w:rFonts w:hint="eastAsia" w:ascii="宋体" w:hAnsi="宋体" w:cs="宋体"/>
                <w:color w:val="auto"/>
                <w:szCs w:val="21"/>
              </w:rPr>
            </w:pPr>
            <w:r>
              <w:rPr>
                <w:rFonts w:ascii="宋体" w:hAnsi="宋体" w:cs="宋体"/>
                <w:color w:val="auto"/>
                <w:szCs w:val="21"/>
              </w:rPr>
              <w:t>土壤</w:t>
            </w:r>
            <w:r>
              <w:rPr>
                <w:rFonts w:hint="eastAsia" w:ascii="宋体" w:hAnsi="宋体" w:cs="宋体"/>
                <w:color w:val="auto"/>
                <w:szCs w:val="21"/>
              </w:rPr>
              <w:t>环境质量基本项目和特征因子石油烃的含量均满足《土壤环境质量 建设用地土壤污染风险管控标准（试行）》（GB36600-2018）中筛选值第二类标准限值要求</w:t>
            </w:r>
            <w:r>
              <w:rPr>
                <w:rFonts w:ascii="宋体" w:hAnsi="宋体" w:cs="宋体"/>
                <w:color w:val="auto"/>
                <w:szCs w:val="21"/>
              </w:rPr>
              <w:t>。</w:t>
            </w:r>
          </w:p>
        </w:tc>
        <w:tc>
          <w:tcPr>
            <w:tcW w:w="1485" w:type="dxa"/>
            <w:vAlign w:val="center"/>
          </w:tcPr>
          <w:p w14:paraId="1B29415C">
            <w:pPr>
              <w:spacing w:line="240" w:lineRule="atLeast"/>
              <w:jc w:val="center"/>
              <w:rPr>
                <w:rFonts w:hint="eastAsia" w:ascii="宋体" w:hAnsi="宋体" w:cs="宋体"/>
                <w:color w:val="auto"/>
                <w:szCs w:val="21"/>
              </w:rPr>
            </w:pPr>
          </w:p>
        </w:tc>
      </w:tr>
      <w:tr w14:paraId="1B49651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restart"/>
            <w:vAlign w:val="center"/>
          </w:tcPr>
          <w:p w14:paraId="2B6069AA">
            <w:pPr>
              <w:spacing w:line="240" w:lineRule="atLeast"/>
              <w:jc w:val="center"/>
              <w:rPr>
                <w:rFonts w:hint="eastAsia" w:ascii="宋体" w:hAnsi="宋体" w:cs="宋体"/>
                <w:color w:val="auto"/>
                <w:szCs w:val="21"/>
              </w:rPr>
            </w:pPr>
            <w:r>
              <w:rPr>
                <w:rFonts w:hint="eastAsia" w:ascii="宋体" w:hAnsi="宋体" w:cs="宋体"/>
                <w:color w:val="auto"/>
                <w:szCs w:val="21"/>
              </w:rPr>
              <w:t>影响预测</w:t>
            </w:r>
          </w:p>
        </w:tc>
        <w:tc>
          <w:tcPr>
            <w:tcW w:w="1679" w:type="dxa"/>
            <w:vAlign w:val="center"/>
          </w:tcPr>
          <w:p w14:paraId="2CC27514">
            <w:pPr>
              <w:spacing w:line="240" w:lineRule="atLeast"/>
              <w:jc w:val="center"/>
              <w:rPr>
                <w:rFonts w:hint="eastAsia" w:ascii="宋体" w:hAnsi="宋体" w:cs="宋体"/>
                <w:color w:val="auto"/>
                <w:szCs w:val="21"/>
              </w:rPr>
            </w:pPr>
            <w:r>
              <w:rPr>
                <w:rFonts w:hint="eastAsia" w:ascii="宋体" w:hAnsi="宋体" w:cs="宋体"/>
                <w:color w:val="auto"/>
                <w:szCs w:val="21"/>
              </w:rPr>
              <w:t>预测因子</w:t>
            </w:r>
          </w:p>
        </w:tc>
        <w:tc>
          <w:tcPr>
            <w:tcW w:w="5387" w:type="dxa"/>
            <w:gridSpan w:val="6"/>
            <w:vAlign w:val="center"/>
          </w:tcPr>
          <w:p w14:paraId="3B123D55">
            <w:pPr>
              <w:spacing w:line="240" w:lineRule="atLeast"/>
              <w:jc w:val="center"/>
              <w:rPr>
                <w:rFonts w:hint="eastAsia" w:ascii="宋体" w:hAnsi="宋体" w:cs="宋体"/>
                <w:color w:val="auto"/>
                <w:szCs w:val="21"/>
              </w:rPr>
            </w:pPr>
            <w:r>
              <w:rPr>
                <w:rFonts w:hint="eastAsia" w:ascii="宋体" w:hAnsi="宋体" w:cs="宋体"/>
                <w:color w:val="auto"/>
                <w:szCs w:val="21"/>
              </w:rPr>
              <w:t>石油烃、土壤盐分含量</w:t>
            </w:r>
          </w:p>
        </w:tc>
        <w:tc>
          <w:tcPr>
            <w:tcW w:w="1485" w:type="dxa"/>
            <w:vAlign w:val="center"/>
          </w:tcPr>
          <w:p w14:paraId="45C7C124">
            <w:pPr>
              <w:spacing w:line="240" w:lineRule="atLeast"/>
              <w:jc w:val="center"/>
              <w:rPr>
                <w:rFonts w:hint="eastAsia" w:ascii="宋体" w:hAnsi="宋体" w:cs="宋体"/>
                <w:color w:val="auto"/>
                <w:szCs w:val="21"/>
              </w:rPr>
            </w:pPr>
          </w:p>
        </w:tc>
      </w:tr>
      <w:tr w14:paraId="253C842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69B6C843">
            <w:pPr>
              <w:spacing w:line="240" w:lineRule="atLeast"/>
              <w:jc w:val="center"/>
              <w:rPr>
                <w:rFonts w:hint="eastAsia" w:ascii="宋体" w:hAnsi="宋体" w:cs="宋体"/>
                <w:color w:val="auto"/>
                <w:szCs w:val="21"/>
              </w:rPr>
            </w:pPr>
          </w:p>
        </w:tc>
        <w:tc>
          <w:tcPr>
            <w:tcW w:w="1679" w:type="dxa"/>
            <w:vAlign w:val="center"/>
          </w:tcPr>
          <w:p w14:paraId="242DAE0C">
            <w:pPr>
              <w:spacing w:line="240" w:lineRule="atLeast"/>
              <w:jc w:val="center"/>
              <w:rPr>
                <w:rFonts w:hint="eastAsia" w:ascii="宋体" w:hAnsi="宋体" w:cs="宋体"/>
                <w:color w:val="auto"/>
                <w:szCs w:val="21"/>
              </w:rPr>
            </w:pPr>
            <w:r>
              <w:rPr>
                <w:rFonts w:hint="eastAsia" w:ascii="宋体" w:hAnsi="宋体" w:cs="宋体"/>
                <w:color w:val="auto"/>
                <w:szCs w:val="21"/>
              </w:rPr>
              <w:t>预测方法</w:t>
            </w:r>
          </w:p>
        </w:tc>
        <w:tc>
          <w:tcPr>
            <w:tcW w:w="5387" w:type="dxa"/>
            <w:gridSpan w:val="6"/>
            <w:vAlign w:val="center"/>
          </w:tcPr>
          <w:p w14:paraId="077AD7EE">
            <w:pPr>
              <w:spacing w:line="240" w:lineRule="atLeast"/>
              <w:jc w:val="center"/>
              <w:rPr>
                <w:rFonts w:hint="eastAsia" w:ascii="宋体" w:hAnsi="宋体" w:cs="宋体"/>
                <w:color w:val="auto"/>
                <w:szCs w:val="21"/>
              </w:rPr>
            </w:pPr>
            <w:r>
              <w:rPr>
                <w:rFonts w:hint="eastAsia" w:ascii="宋体" w:hAnsi="宋体" w:cs="宋体"/>
                <w:color w:val="auto"/>
                <w:szCs w:val="21"/>
              </w:rPr>
              <w:t>附录E□；附录F□；其他</w:t>
            </w:r>
            <w:r>
              <w:rPr>
                <w:rFonts w:hint="eastAsia" w:ascii="宋体" w:hAnsi="宋体" w:cs="宋体"/>
                <w:color w:val="auto"/>
                <w:szCs w:val="21"/>
              </w:rPr>
              <w:sym w:font="Wingdings 2" w:char="0052"/>
            </w:r>
          </w:p>
        </w:tc>
        <w:tc>
          <w:tcPr>
            <w:tcW w:w="1485" w:type="dxa"/>
            <w:vAlign w:val="center"/>
          </w:tcPr>
          <w:p w14:paraId="0EBA8993">
            <w:pPr>
              <w:spacing w:line="240" w:lineRule="atLeast"/>
              <w:jc w:val="center"/>
              <w:rPr>
                <w:rFonts w:hint="eastAsia" w:ascii="宋体" w:hAnsi="宋体" w:cs="宋体"/>
                <w:color w:val="auto"/>
                <w:szCs w:val="21"/>
              </w:rPr>
            </w:pPr>
          </w:p>
        </w:tc>
      </w:tr>
      <w:tr w14:paraId="1A26350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1DA6850A">
            <w:pPr>
              <w:spacing w:line="240" w:lineRule="atLeast"/>
              <w:jc w:val="center"/>
              <w:rPr>
                <w:rFonts w:hint="eastAsia" w:ascii="宋体" w:hAnsi="宋体" w:cs="宋体"/>
                <w:color w:val="auto"/>
                <w:szCs w:val="21"/>
              </w:rPr>
            </w:pPr>
          </w:p>
        </w:tc>
        <w:tc>
          <w:tcPr>
            <w:tcW w:w="1679" w:type="dxa"/>
            <w:vAlign w:val="center"/>
          </w:tcPr>
          <w:p w14:paraId="184AA54E">
            <w:pPr>
              <w:spacing w:line="240" w:lineRule="atLeast"/>
              <w:jc w:val="center"/>
              <w:rPr>
                <w:rFonts w:hint="eastAsia" w:ascii="宋体" w:hAnsi="宋体" w:cs="宋体"/>
                <w:color w:val="auto"/>
                <w:szCs w:val="21"/>
              </w:rPr>
            </w:pPr>
            <w:r>
              <w:rPr>
                <w:rFonts w:hint="eastAsia" w:ascii="宋体" w:hAnsi="宋体" w:cs="宋体"/>
                <w:color w:val="auto"/>
                <w:szCs w:val="21"/>
              </w:rPr>
              <w:t>预测分析内容</w:t>
            </w:r>
          </w:p>
        </w:tc>
        <w:tc>
          <w:tcPr>
            <w:tcW w:w="5387" w:type="dxa"/>
            <w:gridSpan w:val="6"/>
            <w:vAlign w:val="center"/>
          </w:tcPr>
          <w:p w14:paraId="02B45E8E">
            <w:pPr>
              <w:spacing w:line="240" w:lineRule="atLeast"/>
              <w:jc w:val="left"/>
              <w:rPr>
                <w:rFonts w:hint="eastAsia" w:ascii="宋体" w:hAnsi="宋体" w:cs="宋体"/>
                <w:color w:val="auto"/>
                <w:szCs w:val="21"/>
              </w:rPr>
            </w:pPr>
            <w:r>
              <w:rPr>
                <w:rFonts w:hint="eastAsia" w:ascii="宋体" w:hAnsi="宋体" w:cs="宋体"/>
                <w:color w:val="auto"/>
                <w:szCs w:val="21"/>
              </w:rPr>
              <w:t>影响范围（      ）</w:t>
            </w:r>
          </w:p>
          <w:p w14:paraId="5C9C306C">
            <w:pPr>
              <w:spacing w:line="240" w:lineRule="atLeast"/>
              <w:jc w:val="left"/>
              <w:rPr>
                <w:rFonts w:hint="eastAsia" w:ascii="宋体" w:hAnsi="宋体" w:cs="宋体"/>
                <w:color w:val="auto"/>
                <w:szCs w:val="21"/>
              </w:rPr>
            </w:pPr>
            <w:r>
              <w:rPr>
                <w:rFonts w:hint="eastAsia" w:ascii="宋体" w:hAnsi="宋体" w:cs="宋体"/>
                <w:color w:val="auto"/>
                <w:szCs w:val="21"/>
              </w:rPr>
              <w:t>影响程度（      ）</w:t>
            </w:r>
          </w:p>
        </w:tc>
        <w:tc>
          <w:tcPr>
            <w:tcW w:w="1485" w:type="dxa"/>
            <w:vAlign w:val="center"/>
          </w:tcPr>
          <w:p w14:paraId="6EFA79F9">
            <w:pPr>
              <w:spacing w:line="240" w:lineRule="atLeast"/>
              <w:jc w:val="center"/>
              <w:rPr>
                <w:rFonts w:hint="eastAsia" w:ascii="宋体" w:hAnsi="宋体" w:cs="宋体"/>
                <w:color w:val="auto"/>
                <w:szCs w:val="21"/>
              </w:rPr>
            </w:pPr>
          </w:p>
        </w:tc>
      </w:tr>
      <w:tr w14:paraId="3B5DC65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46CD12DA">
            <w:pPr>
              <w:spacing w:line="240" w:lineRule="atLeast"/>
              <w:jc w:val="center"/>
              <w:rPr>
                <w:rFonts w:hint="eastAsia" w:ascii="宋体" w:hAnsi="宋体" w:cs="宋体"/>
                <w:color w:val="auto"/>
                <w:szCs w:val="21"/>
              </w:rPr>
            </w:pPr>
          </w:p>
        </w:tc>
        <w:tc>
          <w:tcPr>
            <w:tcW w:w="1679" w:type="dxa"/>
            <w:vAlign w:val="center"/>
          </w:tcPr>
          <w:p w14:paraId="44590FB5">
            <w:pPr>
              <w:spacing w:line="240" w:lineRule="atLeast"/>
              <w:jc w:val="center"/>
              <w:rPr>
                <w:rFonts w:hint="eastAsia" w:ascii="宋体" w:hAnsi="宋体" w:cs="宋体"/>
                <w:color w:val="auto"/>
                <w:szCs w:val="21"/>
              </w:rPr>
            </w:pPr>
            <w:r>
              <w:rPr>
                <w:rFonts w:hint="eastAsia" w:ascii="宋体" w:hAnsi="宋体" w:cs="宋体"/>
                <w:color w:val="auto"/>
                <w:szCs w:val="21"/>
              </w:rPr>
              <w:t>预测结论</w:t>
            </w:r>
          </w:p>
        </w:tc>
        <w:tc>
          <w:tcPr>
            <w:tcW w:w="5387" w:type="dxa"/>
            <w:gridSpan w:val="6"/>
            <w:vAlign w:val="center"/>
          </w:tcPr>
          <w:p w14:paraId="27BC7CC7">
            <w:pPr>
              <w:spacing w:line="240" w:lineRule="atLeast"/>
              <w:jc w:val="left"/>
              <w:rPr>
                <w:rFonts w:hint="eastAsia" w:ascii="宋体" w:hAnsi="宋体" w:cs="宋体"/>
                <w:color w:val="auto"/>
                <w:szCs w:val="21"/>
              </w:rPr>
            </w:pPr>
            <w:r>
              <w:rPr>
                <w:rFonts w:hint="eastAsia" w:ascii="宋体" w:hAnsi="宋体" w:cs="宋体"/>
                <w:color w:val="auto"/>
                <w:szCs w:val="21"/>
              </w:rPr>
              <w:t>达标结论：a）</w:t>
            </w:r>
            <w:r>
              <w:rPr>
                <w:rFonts w:hint="eastAsia" w:ascii="宋体" w:hAnsi="宋体" w:cs="宋体"/>
                <w:color w:val="auto"/>
                <w:szCs w:val="21"/>
              </w:rPr>
              <w:sym w:font="Wingdings 2" w:char="0052"/>
            </w:r>
            <w:r>
              <w:rPr>
                <w:rFonts w:hint="eastAsia" w:ascii="宋体" w:hAnsi="宋体" w:cs="宋体"/>
                <w:color w:val="auto"/>
                <w:szCs w:val="21"/>
              </w:rPr>
              <w:t>；b）□；c）□</w:t>
            </w:r>
          </w:p>
          <w:p w14:paraId="050BB8F6">
            <w:pPr>
              <w:spacing w:line="240" w:lineRule="atLeast"/>
              <w:jc w:val="left"/>
              <w:rPr>
                <w:rFonts w:hint="eastAsia" w:ascii="宋体" w:hAnsi="宋体" w:cs="宋体"/>
                <w:color w:val="auto"/>
                <w:szCs w:val="21"/>
              </w:rPr>
            </w:pPr>
            <w:r>
              <w:rPr>
                <w:rFonts w:hint="eastAsia" w:ascii="宋体" w:hAnsi="宋体" w:cs="宋体"/>
                <w:color w:val="auto"/>
                <w:szCs w:val="21"/>
              </w:rPr>
              <w:t>不达标结论：a）□；b）□</w:t>
            </w:r>
          </w:p>
        </w:tc>
        <w:tc>
          <w:tcPr>
            <w:tcW w:w="1485" w:type="dxa"/>
            <w:vAlign w:val="center"/>
          </w:tcPr>
          <w:p w14:paraId="2DC3609A">
            <w:pPr>
              <w:spacing w:line="240" w:lineRule="atLeast"/>
              <w:jc w:val="center"/>
              <w:rPr>
                <w:rFonts w:hint="eastAsia" w:ascii="宋体" w:hAnsi="宋体" w:cs="宋体"/>
                <w:color w:val="auto"/>
                <w:szCs w:val="21"/>
              </w:rPr>
            </w:pPr>
          </w:p>
        </w:tc>
      </w:tr>
      <w:tr w14:paraId="1E65345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restart"/>
            <w:vAlign w:val="center"/>
          </w:tcPr>
          <w:p w14:paraId="178FD67F">
            <w:pPr>
              <w:spacing w:line="240" w:lineRule="atLeast"/>
              <w:jc w:val="center"/>
              <w:rPr>
                <w:rFonts w:hint="eastAsia" w:ascii="宋体" w:hAnsi="宋体" w:cs="宋体"/>
                <w:color w:val="auto"/>
                <w:szCs w:val="21"/>
              </w:rPr>
            </w:pPr>
            <w:r>
              <w:rPr>
                <w:rFonts w:hint="eastAsia" w:ascii="宋体" w:hAnsi="宋体" w:cs="宋体"/>
                <w:color w:val="auto"/>
                <w:szCs w:val="21"/>
              </w:rPr>
              <w:t>防治措施</w:t>
            </w:r>
          </w:p>
        </w:tc>
        <w:tc>
          <w:tcPr>
            <w:tcW w:w="1679" w:type="dxa"/>
            <w:vAlign w:val="center"/>
          </w:tcPr>
          <w:p w14:paraId="04249185">
            <w:pPr>
              <w:spacing w:line="240" w:lineRule="atLeast"/>
              <w:jc w:val="center"/>
              <w:rPr>
                <w:rFonts w:hint="eastAsia" w:ascii="宋体" w:hAnsi="宋体" w:cs="宋体"/>
                <w:color w:val="auto"/>
                <w:szCs w:val="21"/>
              </w:rPr>
            </w:pPr>
            <w:r>
              <w:rPr>
                <w:rFonts w:hint="eastAsia" w:ascii="宋体" w:hAnsi="宋体" w:cs="宋体"/>
                <w:color w:val="auto"/>
                <w:szCs w:val="21"/>
              </w:rPr>
              <w:t>防控措施</w:t>
            </w:r>
          </w:p>
        </w:tc>
        <w:tc>
          <w:tcPr>
            <w:tcW w:w="5387" w:type="dxa"/>
            <w:gridSpan w:val="6"/>
            <w:vAlign w:val="center"/>
          </w:tcPr>
          <w:p w14:paraId="09EF4475">
            <w:pPr>
              <w:spacing w:line="240" w:lineRule="atLeast"/>
              <w:jc w:val="left"/>
              <w:rPr>
                <w:rFonts w:hint="eastAsia" w:ascii="宋体" w:hAnsi="宋体" w:cs="宋体"/>
                <w:color w:val="auto"/>
                <w:szCs w:val="21"/>
              </w:rPr>
            </w:pPr>
            <w:r>
              <w:rPr>
                <w:rFonts w:hint="eastAsia" w:ascii="宋体" w:hAnsi="宋体" w:cs="宋体"/>
                <w:color w:val="auto"/>
                <w:szCs w:val="21"/>
              </w:rPr>
              <w:t>土壤环境质量现状保障□；源头控制</w:t>
            </w:r>
            <w:r>
              <w:rPr>
                <w:rFonts w:hint="eastAsia" w:ascii="宋体" w:hAnsi="宋体" w:cs="宋体"/>
                <w:color w:val="auto"/>
                <w:szCs w:val="21"/>
              </w:rPr>
              <w:sym w:font="Wingdings 2" w:char="0052"/>
            </w:r>
            <w:r>
              <w:rPr>
                <w:rFonts w:hint="eastAsia" w:ascii="宋体" w:hAnsi="宋体" w:cs="宋体"/>
                <w:color w:val="auto"/>
                <w:szCs w:val="21"/>
              </w:rPr>
              <w:t>；过程防控</w:t>
            </w:r>
            <w:r>
              <w:rPr>
                <w:rFonts w:hint="eastAsia" w:ascii="宋体" w:hAnsi="宋体" w:cs="宋体"/>
                <w:color w:val="auto"/>
                <w:szCs w:val="21"/>
              </w:rPr>
              <w:sym w:font="Wingdings 2" w:char="0052"/>
            </w:r>
            <w:r>
              <w:rPr>
                <w:rFonts w:hint="eastAsia" w:ascii="宋体" w:hAnsi="宋体" w:cs="宋体"/>
                <w:color w:val="auto"/>
                <w:szCs w:val="21"/>
              </w:rPr>
              <w:t>；其他（）</w:t>
            </w:r>
          </w:p>
        </w:tc>
        <w:tc>
          <w:tcPr>
            <w:tcW w:w="1485" w:type="dxa"/>
            <w:vAlign w:val="center"/>
          </w:tcPr>
          <w:p w14:paraId="3B21E544">
            <w:pPr>
              <w:spacing w:line="240" w:lineRule="atLeast"/>
              <w:jc w:val="center"/>
              <w:rPr>
                <w:rFonts w:hint="eastAsia" w:ascii="宋体" w:hAnsi="宋体" w:cs="宋体"/>
                <w:color w:val="auto"/>
                <w:szCs w:val="21"/>
              </w:rPr>
            </w:pPr>
          </w:p>
        </w:tc>
      </w:tr>
      <w:tr w14:paraId="7842DC0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2B962196">
            <w:pPr>
              <w:spacing w:line="240" w:lineRule="atLeast"/>
              <w:jc w:val="center"/>
              <w:rPr>
                <w:rFonts w:hint="eastAsia" w:ascii="宋体" w:hAnsi="宋体" w:cs="宋体"/>
                <w:color w:val="auto"/>
                <w:szCs w:val="21"/>
              </w:rPr>
            </w:pPr>
          </w:p>
        </w:tc>
        <w:tc>
          <w:tcPr>
            <w:tcW w:w="1679" w:type="dxa"/>
            <w:vMerge w:val="restart"/>
            <w:vAlign w:val="center"/>
          </w:tcPr>
          <w:p w14:paraId="39933682">
            <w:pPr>
              <w:spacing w:line="240" w:lineRule="atLeast"/>
              <w:jc w:val="center"/>
              <w:rPr>
                <w:rFonts w:hint="eastAsia" w:ascii="宋体" w:hAnsi="宋体" w:cs="宋体"/>
                <w:color w:val="auto"/>
                <w:szCs w:val="21"/>
              </w:rPr>
            </w:pPr>
            <w:r>
              <w:rPr>
                <w:rFonts w:hint="eastAsia" w:ascii="宋体" w:hAnsi="宋体" w:cs="宋体"/>
                <w:color w:val="auto"/>
                <w:szCs w:val="21"/>
              </w:rPr>
              <w:t>跟踪监测</w:t>
            </w:r>
          </w:p>
        </w:tc>
        <w:tc>
          <w:tcPr>
            <w:tcW w:w="1795" w:type="dxa"/>
            <w:gridSpan w:val="2"/>
            <w:tcBorders>
              <w:right w:val="single" w:color="000000" w:sz="2" w:space="0"/>
            </w:tcBorders>
            <w:vAlign w:val="center"/>
          </w:tcPr>
          <w:p w14:paraId="5F9EE9D9">
            <w:pPr>
              <w:spacing w:line="240" w:lineRule="atLeast"/>
              <w:jc w:val="center"/>
              <w:rPr>
                <w:rFonts w:hint="eastAsia" w:ascii="宋体" w:hAnsi="宋体" w:cs="宋体"/>
                <w:color w:val="auto"/>
                <w:szCs w:val="21"/>
              </w:rPr>
            </w:pPr>
            <w:r>
              <w:rPr>
                <w:rFonts w:hint="eastAsia" w:ascii="宋体" w:hAnsi="宋体" w:cs="宋体"/>
                <w:color w:val="auto"/>
                <w:szCs w:val="21"/>
              </w:rPr>
              <w:t>监测点数</w:t>
            </w:r>
          </w:p>
        </w:tc>
        <w:tc>
          <w:tcPr>
            <w:tcW w:w="1795" w:type="dxa"/>
            <w:gridSpan w:val="2"/>
            <w:tcBorders>
              <w:left w:val="single" w:color="000000" w:sz="2" w:space="0"/>
              <w:right w:val="single" w:color="000000" w:sz="2" w:space="0"/>
            </w:tcBorders>
            <w:vAlign w:val="center"/>
          </w:tcPr>
          <w:p w14:paraId="6E7E14C1">
            <w:pPr>
              <w:spacing w:line="240" w:lineRule="atLeast"/>
              <w:jc w:val="center"/>
              <w:rPr>
                <w:rFonts w:hint="eastAsia" w:ascii="宋体" w:hAnsi="宋体" w:cs="宋体"/>
                <w:color w:val="auto"/>
                <w:szCs w:val="21"/>
              </w:rPr>
            </w:pPr>
            <w:r>
              <w:rPr>
                <w:rFonts w:hint="eastAsia" w:ascii="宋体" w:hAnsi="宋体" w:cs="宋体"/>
                <w:color w:val="auto"/>
                <w:szCs w:val="21"/>
              </w:rPr>
              <w:t>监测指标</w:t>
            </w:r>
          </w:p>
        </w:tc>
        <w:tc>
          <w:tcPr>
            <w:tcW w:w="1797" w:type="dxa"/>
            <w:gridSpan w:val="2"/>
            <w:tcBorders>
              <w:left w:val="single" w:color="000000" w:sz="2" w:space="0"/>
            </w:tcBorders>
            <w:vAlign w:val="center"/>
          </w:tcPr>
          <w:p w14:paraId="75EF11AB">
            <w:pPr>
              <w:spacing w:line="240" w:lineRule="atLeast"/>
              <w:jc w:val="center"/>
              <w:rPr>
                <w:rFonts w:hint="eastAsia" w:ascii="宋体" w:hAnsi="宋体" w:cs="宋体"/>
                <w:color w:val="auto"/>
                <w:szCs w:val="21"/>
              </w:rPr>
            </w:pPr>
            <w:r>
              <w:rPr>
                <w:rFonts w:hint="eastAsia" w:ascii="宋体" w:hAnsi="宋体" w:cs="宋体"/>
                <w:color w:val="auto"/>
                <w:szCs w:val="21"/>
              </w:rPr>
              <w:t>监测频次</w:t>
            </w:r>
          </w:p>
        </w:tc>
        <w:tc>
          <w:tcPr>
            <w:tcW w:w="1485" w:type="dxa"/>
            <w:vMerge w:val="restart"/>
            <w:vAlign w:val="center"/>
          </w:tcPr>
          <w:p w14:paraId="6F85BA24">
            <w:pPr>
              <w:spacing w:line="240" w:lineRule="atLeast"/>
              <w:jc w:val="center"/>
              <w:rPr>
                <w:rFonts w:hint="eastAsia" w:ascii="宋体" w:hAnsi="宋体" w:cs="宋体"/>
                <w:color w:val="auto"/>
                <w:szCs w:val="21"/>
              </w:rPr>
            </w:pPr>
          </w:p>
        </w:tc>
      </w:tr>
      <w:tr w14:paraId="05353B4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37FF05FA">
            <w:pPr>
              <w:spacing w:line="240" w:lineRule="atLeast"/>
              <w:jc w:val="center"/>
              <w:rPr>
                <w:rFonts w:hint="eastAsia" w:ascii="宋体" w:hAnsi="宋体" w:cs="宋体"/>
                <w:color w:val="auto"/>
                <w:szCs w:val="21"/>
              </w:rPr>
            </w:pPr>
          </w:p>
        </w:tc>
        <w:tc>
          <w:tcPr>
            <w:tcW w:w="1679" w:type="dxa"/>
            <w:vMerge w:val="continue"/>
            <w:vAlign w:val="center"/>
          </w:tcPr>
          <w:p w14:paraId="4D952C26">
            <w:pPr>
              <w:spacing w:line="240" w:lineRule="atLeast"/>
              <w:jc w:val="center"/>
              <w:rPr>
                <w:rFonts w:hint="eastAsia" w:ascii="宋体" w:hAnsi="宋体" w:cs="宋体"/>
                <w:color w:val="auto"/>
                <w:szCs w:val="21"/>
              </w:rPr>
            </w:pPr>
          </w:p>
        </w:tc>
        <w:tc>
          <w:tcPr>
            <w:tcW w:w="1795" w:type="dxa"/>
            <w:gridSpan w:val="2"/>
            <w:tcBorders>
              <w:right w:val="single" w:color="000000" w:sz="2" w:space="0"/>
            </w:tcBorders>
            <w:vAlign w:val="center"/>
          </w:tcPr>
          <w:p w14:paraId="6ECB8FF5">
            <w:pPr>
              <w:spacing w:line="240" w:lineRule="atLeast"/>
              <w:jc w:val="center"/>
              <w:rPr>
                <w:rFonts w:hint="eastAsia" w:ascii="宋体" w:hAnsi="宋体" w:cs="宋体"/>
                <w:color w:val="auto"/>
                <w:szCs w:val="21"/>
              </w:rPr>
            </w:pPr>
            <w:r>
              <w:rPr>
                <w:rFonts w:hint="eastAsia" w:ascii="宋体" w:hAnsi="宋体" w:cs="宋体"/>
                <w:color w:val="auto"/>
                <w:szCs w:val="21"/>
              </w:rPr>
              <w:t>4</w:t>
            </w:r>
          </w:p>
        </w:tc>
        <w:tc>
          <w:tcPr>
            <w:tcW w:w="1795" w:type="dxa"/>
            <w:gridSpan w:val="2"/>
            <w:tcBorders>
              <w:left w:val="single" w:color="000000" w:sz="2" w:space="0"/>
              <w:right w:val="single" w:color="000000" w:sz="2" w:space="0"/>
            </w:tcBorders>
            <w:vAlign w:val="center"/>
          </w:tcPr>
          <w:p w14:paraId="125EA843">
            <w:pPr>
              <w:spacing w:line="240" w:lineRule="atLeast"/>
              <w:jc w:val="center"/>
              <w:rPr>
                <w:rFonts w:hint="eastAsia" w:ascii="宋体" w:hAnsi="宋体" w:cs="宋体"/>
                <w:color w:val="auto"/>
                <w:szCs w:val="21"/>
              </w:rPr>
            </w:pPr>
            <w:r>
              <w:rPr>
                <w:rFonts w:hint="eastAsia" w:ascii="宋体" w:hAnsi="宋体" w:cs="宋体"/>
                <w:color w:val="auto"/>
                <w:szCs w:val="21"/>
              </w:rPr>
              <w:t>石油烃</w:t>
            </w:r>
          </w:p>
        </w:tc>
        <w:tc>
          <w:tcPr>
            <w:tcW w:w="1797" w:type="dxa"/>
            <w:gridSpan w:val="2"/>
            <w:tcBorders>
              <w:left w:val="single" w:color="000000" w:sz="2" w:space="0"/>
            </w:tcBorders>
            <w:vAlign w:val="center"/>
          </w:tcPr>
          <w:p w14:paraId="5469C85D">
            <w:pPr>
              <w:spacing w:line="240" w:lineRule="atLeast"/>
              <w:jc w:val="center"/>
              <w:rPr>
                <w:rFonts w:hint="eastAsia" w:ascii="宋体" w:hAnsi="宋体" w:cs="宋体"/>
                <w:color w:val="auto"/>
                <w:szCs w:val="21"/>
              </w:rPr>
            </w:pPr>
            <w:r>
              <w:rPr>
                <w:rFonts w:hint="eastAsia" w:ascii="宋体" w:hAnsi="宋体" w:cs="宋体"/>
                <w:color w:val="auto"/>
                <w:szCs w:val="21"/>
              </w:rPr>
              <w:t>1次/年</w:t>
            </w:r>
          </w:p>
        </w:tc>
        <w:tc>
          <w:tcPr>
            <w:tcW w:w="1485" w:type="dxa"/>
            <w:vMerge w:val="continue"/>
            <w:vAlign w:val="center"/>
          </w:tcPr>
          <w:p w14:paraId="79387033">
            <w:pPr>
              <w:spacing w:line="240" w:lineRule="atLeast"/>
              <w:jc w:val="center"/>
              <w:rPr>
                <w:rFonts w:hint="eastAsia" w:ascii="宋体" w:hAnsi="宋体" w:cs="宋体"/>
                <w:color w:val="auto"/>
                <w:szCs w:val="21"/>
              </w:rPr>
            </w:pPr>
          </w:p>
        </w:tc>
      </w:tr>
      <w:tr w14:paraId="4ADEB54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95" w:type="dxa"/>
            <w:vMerge w:val="continue"/>
            <w:vAlign w:val="center"/>
          </w:tcPr>
          <w:p w14:paraId="662F07A6">
            <w:pPr>
              <w:spacing w:line="240" w:lineRule="atLeast"/>
              <w:jc w:val="center"/>
              <w:rPr>
                <w:rFonts w:hint="eastAsia" w:ascii="宋体" w:hAnsi="宋体" w:cs="宋体"/>
                <w:color w:val="auto"/>
                <w:szCs w:val="21"/>
              </w:rPr>
            </w:pPr>
          </w:p>
        </w:tc>
        <w:tc>
          <w:tcPr>
            <w:tcW w:w="1679" w:type="dxa"/>
            <w:vAlign w:val="center"/>
          </w:tcPr>
          <w:p w14:paraId="35455FBF">
            <w:pPr>
              <w:spacing w:line="240" w:lineRule="atLeast"/>
              <w:jc w:val="center"/>
              <w:rPr>
                <w:rFonts w:hint="eastAsia" w:ascii="宋体" w:hAnsi="宋体" w:cs="宋体"/>
                <w:color w:val="auto"/>
                <w:szCs w:val="21"/>
              </w:rPr>
            </w:pPr>
            <w:r>
              <w:rPr>
                <w:rFonts w:hint="eastAsia" w:ascii="宋体" w:hAnsi="宋体" w:cs="宋体"/>
                <w:color w:val="auto"/>
                <w:szCs w:val="21"/>
              </w:rPr>
              <w:t>信息公开指标</w:t>
            </w:r>
          </w:p>
        </w:tc>
        <w:tc>
          <w:tcPr>
            <w:tcW w:w="5387" w:type="dxa"/>
            <w:gridSpan w:val="6"/>
            <w:vAlign w:val="center"/>
          </w:tcPr>
          <w:p w14:paraId="4176E034">
            <w:pPr>
              <w:spacing w:line="240" w:lineRule="atLeast"/>
              <w:jc w:val="center"/>
              <w:rPr>
                <w:rFonts w:hint="eastAsia" w:ascii="宋体" w:hAnsi="宋体" w:cs="宋体"/>
                <w:color w:val="auto"/>
                <w:szCs w:val="21"/>
              </w:rPr>
            </w:pPr>
            <w:r>
              <w:rPr>
                <w:rFonts w:hint="eastAsia" w:ascii="宋体" w:hAnsi="宋体" w:cs="宋体"/>
                <w:color w:val="auto"/>
                <w:szCs w:val="21"/>
              </w:rPr>
              <w:t>石油烃</w:t>
            </w:r>
          </w:p>
        </w:tc>
        <w:tc>
          <w:tcPr>
            <w:tcW w:w="1485" w:type="dxa"/>
            <w:vMerge w:val="continue"/>
            <w:vAlign w:val="center"/>
          </w:tcPr>
          <w:p w14:paraId="0883FF1D">
            <w:pPr>
              <w:spacing w:line="240" w:lineRule="atLeast"/>
              <w:jc w:val="center"/>
              <w:rPr>
                <w:rFonts w:hint="eastAsia" w:ascii="宋体" w:hAnsi="宋体" w:cs="宋体"/>
                <w:color w:val="auto"/>
                <w:szCs w:val="21"/>
              </w:rPr>
            </w:pPr>
          </w:p>
        </w:tc>
      </w:tr>
      <w:tr w14:paraId="2F32102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74" w:type="dxa"/>
            <w:gridSpan w:val="2"/>
            <w:vAlign w:val="center"/>
          </w:tcPr>
          <w:p w14:paraId="5CDE4CE6">
            <w:pPr>
              <w:spacing w:line="240" w:lineRule="atLeast"/>
              <w:jc w:val="center"/>
              <w:rPr>
                <w:rFonts w:hint="eastAsia" w:ascii="宋体" w:hAnsi="宋体" w:cs="宋体"/>
                <w:color w:val="auto"/>
                <w:szCs w:val="21"/>
              </w:rPr>
            </w:pPr>
            <w:r>
              <w:rPr>
                <w:rFonts w:hint="eastAsia" w:ascii="宋体" w:hAnsi="宋体" w:cs="宋体"/>
                <w:color w:val="auto"/>
                <w:szCs w:val="21"/>
              </w:rPr>
              <w:t>评价结论</w:t>
            </w:r>
          </w:p>
        </w:tc>
        <w:tc>
          <w:tcPr>
            <w:tcW w:w="5387" w:type="dxa"/>
            <w:gridSpan w:val="6"/>
            <w:vAlign w:val="center"/>
          </w:tcPr>
          <w:p w14:paraId="5738EC0B">
            <w:pPr>
              <w:spacing w:line="240" w:lineRule="atLeast"/>
              <w:jc w:val="left"/>
              <w:rPr>
                <w:rFonts w:hint="eastAsia" w:ascii="宋体" w:hAnsi="宋体" w:cs="宋体"/>
                <w:color w:val="auto"/>
                <w:szCs w:val="21"/>
              </w:rPr>
            </w:pPr>
            <w:r>
              <w:rPr>
                <w:rFonts w:hint="eastAsia" w:ascii="宋体" w:hAnsi="宋体" w:cs="宋体"/>
                <w:color w:val="auto"/>
                <w:szCs w:val="21"/>
              </w:rPr>
              <w:t>土壤环境影响可以接受，项目区土壤环境质量不因本项目的建设而产生恶化。</w:t>
            </w:r>
          </w:p>
        </w:tc>
        <w:tc>
          <w:tcPr>
            <w:tcW w:w="1485" w:type="dxa"/>
            <w:vAlign w:val="center"/>
          </w:tcPr>
          <w:p w14:paraId="3DC44FB1">
            <w:pPr>
              <w:spacing w:line="240" w:lineRule="atLeast"/>
              <w:jc w:val="center"/>
              <w:rPr>
                <w:rFonts w:hint="eastAsia" w:ascii="宋体" w:hAnsi="宋体" w:cs="宋体"/>
                <w:color w:val="auto"/>
                <w:szCs w:val="21"/>
              </w:rPr>
            </w:pPr>
          </w:p>
        </w:tc>
      </w:tr>
    </w:tbl>
    <w:p w14:paraId="2EA222ED">
      <w:pPr>
        <w:pStyle w:val="2"/>
        <w:spacing w:before="0" w:after="0"/>
        <w:rPr>
          <w:color w:val="auto"/>
          <w:sz w:val="24"/>
          <w:szCs w:val="24"/>
        </w:rPr>
      </w:pPr>
      <w:bookmarkStart w:id="1041" w:name="_Toc178250500"/>
      <w:bookmarkStart w:id="1042" w:name="_Toc224406052"/>
      <w:bookmarkStart w:id="1043" w:name="_Toc217311595"/>
      <w:r>
        <w:rPr>
          <w:rFonts w:hint="eastAsia" w:ascii="宋体" w:hAnsi="宋体"/>
          <w:color w:val="auto"/>
          <w:sz w:val="24"/>
          <w:szCs w:val="24"/>
        </w:rPr>
        <w:t>附件7</w:t>
      </w:r>
      <w:r>
        <w:rPr>
          <w:rFonts w:ascii="宋体" w:hAnsi="宋体"/>
          <w:color w:val="auto"/>
          <w:sz w:val="24"/>
          <w:szCs w:val="24"/>
        </w:rPr>
        <w:t xml:space="preserve">  </w:t>
      </w:r>
      <w:r>
        <w:rPr>
          <w:rFonts w:hint="eastAsia" w:ascii="宋体" w:hAnsi="宋体"/>
          <w:color w:val="auto"/>
          <w:sz w:val="24"/>
          <w:szCs w:val="24"/>
        </w:rPr>
        <w:t>生态</w:t>
      </w:r>
      <w:r>
        <w:rPr>
          <w:rFonts w:hint="eastAsia"/>
          <w:color w:val="auto"/>
          <w:sz w:val="24"/>
          <w:szCs w:val="24"/>
        </w:rPr>
        <w:t>环境影响自查表</w:t>
      </w:r>
      <w:bookmarkEnd w:id="1041"/>
      <w:bookmarkEnd w:id="1042"/>
      <w:bookmarkEnd w:id="1043"/>
    </w:p>
    <w:tbl>
      <w:tblPr>
        <w:tblStyle w:val="51"/>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976"/>
        <w:gridCol w:w="1802"/>
        <w:gridCol w:w="6003"/>
      </w:tblGrid>
      <w:tr w14:paraId="1B47C4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82" w:type="pct"/>
            <w:gridSpan w:val="2"/>
            <w:vAlign w:val="center"/>
          </w:tcPr>
          <w:p w14:paraId="1D229C84">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工作内容</w:t>
            </w:r>
          </w:p>
        </w:tc>
        <w:tc>
          <w:tcPr>
            <w:tcW w:w="3418" w:type="pct"/>
            <w:vAlign w:val="center"/>
          </w:tcPr>
          <w:p w14:paraId="53DB3331">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自查项目</w:t>
            </w:r>
          </w:p>
        </w:tc>
      </w:tr>
      <w:tr w14:paraId="11AF46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restart"/>
            <w:vAlign w:val="center"/>
          </w:tcPr>
          <w:p w14:paraId="2B43A914">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生态影响识别</w:t>
            </w:r>
          </w:p>
        </w:tc>
        <w:tc>
          <w:tcPr>
            <w:tcW w:w="1026" w:type="pct"/>
            <w:vAlign w:val="center"/>
          </w:tcPr>
          <w:p w14:paraId="5DBA2095">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生态保护目标</w:t>
            </w:r>
          </w:p>
        </w:tc>
        <w:tc>
          <w:tcPr>
            <w:tcW w:w="3418" w:type="pct"/>
            <w:vAlign w:val="center"/>
          </w:tcPr>
          <w:p w14:paraId="4880D66F">
            <w:pPr>
              <w:spacing w:line="0" w:lineRule="atLeast"/>
              <w:rPr>
                <w:rFonts w:hint="eastAsia" w:ascii="宋体" w:hAnsi="宋体" w:cs="宋体"/>
                <w:color w:val="auto"/>
                <w:spacing w:val="-10"/>
                <w:szCs w:val="21"/>
                <w:lang w:bidi="ar"/>
              </w:rPr>
            </w:pPr>
            <w:r>
              <w:rPr>
                <w:rFonts w:hint="eastAsia" w:ascii="宋体" w:hAnsi="宋体" w:cs="宋体"/>
                <w:color w:val="auto"/>
                <w:spacing w:val="-10"/>
                <w:szCs w:val="21"/>
                <w:lang w:bidi="ar"/>
              </w:rPr>
              <w:t>重要物种</w:t>
            </w:r>
            <w:r>
              <w:rPr>
                <w:rFonts w:hint="eastAsia" w:ascii="宋体" w:hAnsi="宋体" w:cs="宋体"/>
                <w:color w:val="auto"/>
                <w:spacing w:val="-10"/>
                <w:szCs w:val="21"/>
              </w:rPr>
              <w:t>□；国家公园□；自然保护区□自然公园□；世界自然遗产□；生态保护红线□；重要生境□；其他具有重要生态功能、对保护生物多样性具有重要意义的区域□；其他□</w:t>
            </w:r>
          </w:p>
        </w:tc>
      </w:tr>
      <w:tr w14:paraId="7F904C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continue"/>
            <w:vAlign w:val="center"/>
          </w:tcPr>
          <w:p w14:paraId="0C231A3E">
            <w:pPr>
              <w:spacing w:line="0" w:lineRule="atLeast"/>
              <w:jc w:val="center"/>
              <w:rPr>
                <w:rFonts w:hint="eastAsia" w:ascii="宋体" w:hAnsi="宋体" w:cs="宋体"/>
                <w:color w:val="auto"/>
                <w:spacing w:val="-10"/>
                <w:szCs w:val="21"/>
                <w:lang w:bidi="ar"/>
              </w:rPr>
            </w:pPr>
          </w:p>
        </w:tc>
        <w:tc>
          <w:tcPr>
            <w:tcW w:w="1026" w:type="pct"/>
            <w:vAlign w:val="center"/>
          </w:tcPr>
          <w:p w14:paraId="39B2685B">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影响方式</w:t>
            </w:r>
          </w:p>
        </w:tc>
        <w:tc>
          <w:tcPr>
            <w:tcW w:w="3418" w:type="pct"/>
            <w:vAlign w:val="center"/>
          </w:tcPr>
          <w:p w14:paraId="0C5A4EDE">
            <w:pPr>
              <w:spacing w:line="0" w:lineRule="atLeast"/>
              <w:rPr>
                <w:rFonts w:hint="eastAsia" w:ascii="宋体" w:hAnsi="宋体" w:cs="宋体"/>
                <w:color w:val="auto"/>
                <w:spacing w:val="-10"/>
                <w:szCs w:val="21"/>
                <w:lang w:bidi="ar"/>
              </w:rPr>
            </w:pPr>
            <w:r>
              <w:rPr>
                <w:rFonts w:hint="eastAsia" w:ascii="宋体" w:hAnsi="宋体" w:cs="宋体"/>
                <w:color w:val="auto"/>
                <w:spacing w:val="-10"/>
                <w:szCs w:val="21"/>
                <w:lang w:bidi="ar"/>
              </w:rPr>
              <w:t>工程占用</w:t>
            </w:r>
            <w:r>
              <w:rPr>
                <w:rFonts w:ascii="Segoe UI Symbol" w:hAnsi="Segoe UI Symbol" w:cs="Segoe UI Symbol"/>
                <w:color w:val="auto"/>
                <w:spacing w:val="-10"/>
                <w:szCs w:val="21"/>
              </w:rPr>
              <w:t>☑</w:t>
            </w:r>
            <w:r>
              <w:rPr>
                <w:rFonts w:hint="eastAsia" w:ascii="宋体" w:hAnsi="宋体" w:cs="宋体"/>
                <w:color w:val="auto"/>
                <w:spacing w:val="-10"/>
                <w:szCs w:val="21"/>
              </w:rPr>
              <w:t>；施工活动干扰</w:t>
            </w:r>
            <w:r>
              <w:rPr>
                <w:rFonts w:ascii="Segoe UI Symbol" w:hAnsi="Segoe UI Symbol" w:cs="Segoe UI Symbol"/>
                <w:color w:val="auto"/>
                <w:spacing w:val="-10"/>
                <w:szCs w:val="21"/>
              </w:rPr>
              <w:t>☑</w:t>
            </w:r>
            <w:r>
              <w:rPr>
                <w:rFonts w:hint="eastAsia" w:ascii="宋体" w:hAnsi="宋体" w:cs="宋体"/>
                <w:color w:val="auto"/>
                <w:spacing w:val="-10"/>
                <w:szCs w:val="21"/>
              </w:rPr>
              <w:t>；改变环境条件□；其他□</w:t>
            </w:r>
          </w:p>
        </w:tc>
      </w:tr>
      <w:tr w14:paraId="51FC32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continue"/>
            <w:vAlign w:val="center"/>
          </w:tcPr>
          <w:p w14:paraId="5DC176EB">
            <w:pPr>
              <w:spacing w:line="0" w:lineRule="atLeast"/>
              <w:jc w:val="center"/>
              <w:rPr>
                <w:rFonts w:hint="eastAsia" w:ascii="宋体" w:hAnsi="宋体" w:cs="宋体"/>
                <w:color w:val="auto"/>
                <w:spacing w:val="-10"/>
                <w:szCs w:val="21"/>
                <w:lang w:bidi="ar"/>
              </w:rPr>
            </w:pPr>
          </w:p>
        </w:tc>
        <w:tc>
          <w:tcPr>
            <w:tcW w:w="1026" w:type="pct"/>
            <w:vAlign w:val="center"/>
          </w:tcPr>
          <w:p w14:paraId="61FBEF35">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评价因子</w:t>
            </w:r>
          </w:p>
        </w:tc>
        <w:tc>
          <w:tcPr>
            <w:tcW w:w="3418" w:type="pct"/>
            <w:vAlign w:val="center"/>
          </w:tcPr>
          <w:p w14:paraId="1914BC4B">
            <w:pPr>
              <w:spacing w:line="0" w:lineRule="atLeast"/>
              <w:rPr>
                <w:rFonts w:hint="eastAsia" w:ascii="宋体" w:hAnsi="宋体" w:cs="宋体"/>
                <w:color w:val="auto"/>
                <w:spacing w:val="-10"/>
                <w:szCs w:val="21"/>
              </w:rPr>
            </w:pPr>
            <w:r>
              <w:rPr>
                <w:rFonts w:hint="eastAsia" w:ascii="宋体" w:hAnsi="宋体" w:cs="宋体"/>
                <w:color w:val="auto"/>
                <w:spacing w:val="-10"/>
                <w:szCs w:val="21"/>
                <w:lang w:bidi="ar"/>
              </w:rPr>
              <w:t>物种</w:t>
            </w:r>
            <w:r>
              <w:rPr>
                <w:rFonts w:hint="eastAsia" w:ascii="宋体" w:hAnsi="宋体" w:cs="宋体"/>
                <w:color w:val="auto"/>
                <w:spacing w:val="-10"/>
                <w:szCs w:val="21"/>
              </w:rPr>
              <w:t xml:space="preserve">□( </w:t>
            </w:r>
            <w:r>
              <w:rPr>
                <w:rFonts w:ascii="宋体" w:hAnsi="宋体" w:cs="宋体"/>
                <w:color w:val="auto"/>
                <w:spacing w:val="-10"/>
                <w:szCs w:val="21"/>
              </w:rPr>
              <w:t xml:space="preserve">                  </w:t>
            </w:r>
            <w:r>
              <w:rPr>
                <w:rFonts w:hint="eastAsia" w:ascii="宋体" w:hAnsi="宋体" w:cs="宋体"/>
                <w:color w:val="auto"/>
                <w:spacing w:val="-10"/>
                <w:szCs w:val="21"/>
              </w:rPr>
              <w:t>)</w:t>
            </w:r>
          </w:p>
          <w:p w14:paraId="4B883C46">
            <w:pPr>
              <w:spacing w:line="0" w:lineRule="atLeast"/>
              <w:rPr>
                <w:rFonts w:hint="eastAsia" w:ascii="宋体" w:hAnsi="宋体" w:cs="宋体"/>
                <w:color w:val="auto"/>
                <w:spacing w:val="-10"/>
                <w:szCs w:val="21"/>
              </w:rPr>
            </w:pPr>
            <w:r>
              <w:rPr>
                <w:rFonts w:hint="eastAsia" w:ascii="宋体" w:hAnsi="宋体" w:cs="宋体"/>
                <w:color w:val="auto"/>
                <w:spacing w:val="-10"/>
                <w:szCs w:val="21"/>
              </w:rPr>
              <w:t xml:space="preserve">生境□( </w:t>
            </w:r>
            <w:r>
              <w:rPr>
                <w:rFonts w:ascii="宋体" w:hAnsi="宋体" w:cs="宋体"/>
                <w:color w:val="auto"/>
                <w:spacing w:val="-10"/>
                <w:szCs w:val="21"/>
              </w:rPr>
              <w:t xml:space="preserve">                  </w:t>
            </w:r>
            <w:r>
              <w:rPr>
                <w:rFonts w:hint="eastAsia" w:ascii="宋体" w:hAnsi="宋体" w:cs="宋体"/>
                <w:color w:val="auto"/>
                <w:spacing w:val="-10"/>
                <w:szCs w:val="21"/>
              </w:rPr>
              <w:t>)</w:t>
            </w:r>
          </w:p>
          <w:p w14:paraId="447D17A8">
            <w:pPr>
              <w:spacing w:line="0" w:lineRule="atLeast"/>
              <w:rPr>
                <w:rFonts w:hint="eastAsia" w:ascii="宋体" w:hAnsi="宋体" w:cs="宋体"/>
                <w:color w:val="auto"/>
                <w:spacing w:val="-10"/>
                <w:szCs w:val="21"/>
              </w:rPr>
            </w:pPr>
            <w:r>
              <w:rPr>
                <w:rFonts w:hint="eastAsia" w:ascii="宋体" w:hAnsi="宋体" w:cs="宋体"/>
                <w:color w:val="auto"/>
                <w:spacing w:val="-10"/>
                <w:szCs w:val="21"/>
              </w:rPr>
              <w:t xml:space="preserve">生物群落□( </w:t>
            </w:r>
            <w:r>
              <w:rPr>
                <w:rFonts w:ascii="宋体" w:hAnsi="宋体" w:cs="宋体"/>
                <w:color w:val="auto"/>
                <w:spacing w:val="-10"/>
                <w:szCs w:val="21"/>
              </w:rPr>
              <w:t xml:space="preserve">                </w:t>
            </w:r>
            <w:r>
              <w:rPr>
                <w:rFonts w:hint="eastAsia" w:ascii="宋体" w:hAnsi="宋体" w:cs="宋体"/>
                <w:color w:val="auto"/>
                <w:spacing w:val="-10"/>
                <w:szCs w:val="21"/>
              </w:rPr>
              <w:t>)</w:t>
            </w:r>
          </w:p>
          <w:p w14:paraId="0E0153CA">
            <w:pPr>
              <w:spacing w:line="0" w:lineRule="atLeast"/>
              <w:rPr>
                <w:rFonts w:hint="eastAsia" w:ascii="宋体" w:hAnsi="宋体" w:cs="宋体"/>
                <w:color w:val="auto"/>
                <w:spacing w:val="-10"/>
                <w:szCs w:val="21"/>
              </w:rPr>
            </w:pPr>
            <w:r>
              <w:rPr>
                <w:rFonts w:hint="eastAsia" w:ascii="宋体" w:hAnsi="宋体" w:cs="宋体"/>
                <w:color w:val="auto"/>
                <w:spacing w:val="-10"/>
                <w:szCs w:val="21"/>
              </w:rPr>
              <w:t>生态系统</w:t>
            </w:r>
            <w:r>
              <w:rPr>
                <w:rFonts w:ascii="Segoe UI Symbol" w:hAnsi="Segoe UI Symbol" w:cs="Segoe UI Symbol"/>
                <w:color w:val="auto"/>
                <w:spacing w:val="-10"/>
                <w:szCs w:val="21"/>
              </w:rPr>
              <w:t>☑</w:t>
            </w:r>
            <w:r>
              <w:rPr>
                <w:rFonts w:hint="eastAsia" w:ascii="Segoe UI Symbol" w:hAnsi="Segoe UI Symbol" w:cs="Segoe UI Symbol"/>
                <w:color w:val="auto"/>
                <w:spacing w:val="-10"/>
                <w:szCs w:val="21"/>
              </w:rPr>
              <w:t>（</w:t>
            </w:r>
            <w:r>
              <w:rPr>
                <w:rFonts w:hint="eastAsia" w:ascii="宋体" w:hAnsi="宋体" w:cs="宋体"/>
                <w:color w:val="auto"/>
                <w:spacing w:val="-10"/>
                <w:szCs w:val="21"/>
              </w:rPr>
              <w:t>植被覆盖度、生产力、生物量、生态系统功能）</w:t>
            </w:r>
          </w:p>
          <w:p w14:paraId="63F811FF">
            <w:pPr>
              <w:spacing w:line="0" w:lineRule="atLeast"/>
              <w:rPr>
                <w:rFonts w:hint="eastAsia" w:ascii="宋体" w:hAnsi="宋体" w:cs="宋体"/>
                <w:color w:val="auto"/>
                <w:spacing w:val="-10"/>
                <w:szCs w:val="21"/>
              </w:rPr>
            </w:pPr>
            <w:r>
              <w:rPr>
                <w:rFonts w:hint="eastAsia" w:ascii="宋体" w:hAnsi="宋体" w:cs="宋体"/>
                <w:color w:val="auto"/>
                <w:spacing w:val="-10"/>
                <w:szCs w:val="21"/>
              </w:rPr>
              <w:t>生物多样性□(                                 )</w:t>
            </w:r>
          </w:p>
          <w:p w14:paraId="3ED74485">
            <w:pPr>
              <w:spacing w:line="0" w:lineRule="atLeast"/>
              <w:rPr>
                <w:rFonts w:hint="eastAsia" w:ascii="宋体" w:hAnsi="宋体" w:cs="宋体"/>
                <w:color w:val="auto"/>
                <w:spacing w:val="-10"/>
                <w:szCs w:val="21"/>
              </w:rPr>
            </w:pPr>
            <w:r>
              <w:rPr>
                <w:rFonts w:hint="eastAsia" w:ascii="宋体" w:hAnsi="宋体" w:cs="宋体"/>
                <w:color w:val="auto"/>
                <w:spacing w:val="-10"/>
                <w:szCs w:val="21"/>
              </w:rPr>
              <w:t xml:space="preserve">生态敏感区□( </w:t>
            </w:r>
            <w:r>
              <w:rPr>
                <w:rFonts w:ascii="宋体" w:hAnsi="宋体" w:cs="宋体"/>
                <w:color w:val="auto"/>
                <w:spacing w:val="-10"/>
                <w:szCs w:val="21"/>
              </w:rPr>
              <w:t xml:space="preserve">     </w:t>
            </w:r>
            <w:r>
              <w:rPr>
                <w:rFonts w:hint="eastAsia" w:ascii="宋体" w:hAnsi="宋体" w:cs="宋体"/>
                <w:color w:val="auto"/>
                <w:spacing w:val="-10"/>
                <w:szCs w:val="21"/>
              </w:rPr>
              <w:t>)</w:t>
            </w:r>
          </w:p>
          <w:p w14:paraId="636C76D5">
            <w:pPr>
              <w:spacing w:line="0" w:lineRule="atLeast"/>
              <w:rPr>
                <w:rFonts w:hint="eastAsia" w:ascii="宋体" w:hAnsi="宋体" w:cs="宋体"/>
                <w:color w:val="auto"/>
                <w:spacing w:val="-10"/>
                <w:szCs w:val="21"/>
              </w:rPr>
            </w:pPr>
            <w:r>
              <w:rPr>
                <w:rFonts w:hint="eastAsia" w:ascii="宋体" w:hAnsi="宋体" w:cs="宋体"/>
                <w:color w:val="auto"/>
                <w:spacing w:val="-10"/>
                <w:szCs w:val="21"/>
              </w:rPr>
              <w:t>自然景观□（景观多样性、完整性）</w:t>
            </w:r>
          </w:p>
          <w:p w14:paraId="5317C562">
            <w:pPr>
              <w:spacing w:line="0" w:lineRule="atLeast"/>
              <w:rPr>
                <w:rFonts w:hint="eastAsia" w:ascii="宋体" w:hAnsi="宋体" w:cs="宋体"/>
                <w:color w:val="auto"/>
                <w:spacing w:val="-10"/>
                <w:szCs w:val="21"/>
                <w:lang w:bidi="ar"/>
              </w:rPr>
            </w:pPr>
            <w:r>
              <w:rPr>
                <w:rFonts w:hint="eastAsia" w:ascii="宋体" w:hAnsi="宋体" w:cs="宋体"/>
                <w:color w:val="auto"/>
                <w:spacing w:val="-10"/>
                <w:szCs w:val="21"/>
              </w:rPr>
              <w:t>自然遗迹□(                                   )</w:t>
            </w:r>
          </w:p>
        </w:tc>
      </w:tr>
      <w:tr w14:paraId="0ACBB7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82" w:type="pct"/>
            <w:gridSpan w:val="2"/>
            <w:vAlign w:val="center"/>
          </w:tcPr>
          <w:p w14:paraId="5318A9FC">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评价等级</w:t>
            </w:r>
          </w:p>
        </w:tc>
        <w:tc>
          <w:tcPr>
            <w:tcW w:w="3418" w:type="pct"/>
            <w:vAlign w:val="center"/>
          </w:tcPr>
          <w:p w14:paraId="743E0827">
            <w:pPr>
              <w:spacing w:line="0" w:lineRule="atLeast"/>
              <w:rPr>
                <w:rFonts w:hint="eastAsia" w:ascii="宋体" w:hAnsi="宋体" w:cs="宋体"/>
                <w:color w:val="auto"/>
                <w:spacing w:val="-10"/>
                <w:szCs w:val="21"/>
                <w:lang w:bidi="ar"/>
              </w:rPr>
            </w:pPr>
            <w:r>
              <w:rPr>
                <w:rFonts w:hint="eastAsia" w:ascii="宋体" w:hAnsi="宋体" w:cs="宋体"/>
                <w:color w:val="auto"/>
                <w:spacing w:val="-10"/>
                <w:szCs w:val="21"/>
                <w:lang w:bidi="ar"/>
              </w:rPr>
              <w:t>一级</w:t>
            </w:r>
            <w:r>
              <w:rPr>
                <w:rFonts w:hint="eastAsia" w:ascii="宋体" w:hAnsi="宋体" w:cs="宋体"/>
                <w:color w:val="auto"/>
                <w:spacing w:val="-10"/>
                <w:szCs w:val="21"/>
              </w:rPr>
              <w:t>□       二级□        三级</w:t>
            </w:r>
            <w:r>
              <w:rPr>
                <w:rFonts w:ascii="Segoe UI Symbol" w:hAnsi="Segoe UI Symbol" w:cs="Segoe UI Symbol"/>
                <w:color w:val="auto"/>
                <w:spacing w:val="-10"/>
                <w:szCs w:val="21"/>
              </w:rPr>
              <w:t>☑</w:t>
            </w:r>
            <w:r>
              <w:rPr>
                <w:rFonts w:hint="eastAsia" w:ascii="宋体" w:hAnsi="宋体" w:cs="宋体"/>
                <w:color w:val="auto"/>
                <w:spacing w:val="-10"/>
                <w:szCs w:val="21"/>
              </w:rPr>
              <w:t xml:space="preserve">    生态影响简单分析□</w:t>
            </w:r>
          </w:p>
        </w:tc>
      </w:tr>
      <w:tr w14:paraId="2C7147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582" w:type="pct"/>
            <w:gridSpan w:val="2"/>
            <w:vAlign w:val="center"/>
          </w:tcPr>
          <w:p w14:paraId="44525D43">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评价范围</w:t>
            </w:r>
          </w:p>
        </w:tc>
        <w:tc>
          <w:tcPr>
            <w:tcW w:w="3418" w:type="pct"/>
            <w:vAlign w:val="center"/>
          </w:tcPr>
          <w:p w14:paraId="26D09F05">
            <w:pPr>
              <w:spacing w:line="0" w:lineRule="atLeast"/>
              <w:rPr>
                <w:rFonts w:hint="eastAsia" w:ascii="宋体" w:hAnsi="宋体" w:cs="宋体"/>
                <w:color w:val="auto"/>
                <w:spacing w:val="-10"/>
                <w:szCs w:val="21"/>
                <w:lang w:bidi="ar"/>
              </w:rPr>
            </w:pPr>
            <w:r>
              <w:rPr>
                <w:rFonts w:hint="eastAsia" w:ascii="宋体" w:hAnsi="宋体" w:cs="宋体"/>
                <w:color w:val="auto"/>
                <w:spacing w:val="-10"/>
                <w:szCs w:val="21"/>
                <w:lang w:bidi="ar"/>
              </w:rPr>
              <w:t>陆域面积：(0.006km</w:t>
            </w:r>
            <w:r>
              <w:rPr>
                <w:rFonts w:hint="eastAsia" w:ascii="宋体" w:hAnsi="宋体" w:cs="宋体"/>
                <w:color w:val="auto"/>
                <w:spacing w:val="-10"/>
                <w:szCs w:val="21"/>
                <w:vertAlign w:val="superscript"/>
                <w:lang w:bidi="ar"/>
              </w:rPr>
              <w:t>2</w:t>
            </w:r>
            <w:r>
              <w:rPr>
                <w:rFonts w:hint="eastAsia" w:ascii="宋体" w:hAnsi="宋体" w:cs="宋体"/>
                <w:color w:val="auto"/>
                <w:spacing w:val="-10"/>
                <w:szCs w:val="21"/>
                <w:lang w:bidi="ar"/>
              </w:rPr>
              <w:t>）；水域面积：(</w:t>
            </w:r>
            <w:r>
              <w:rPr>
                <w:rFonts w:ascii="宋体" w:hAnsi="宋体" w:cs="宋体"/>
                <w:color w:val="auto"/>
                <w:spacing w:val="-10"/>
                <w:szCs w:val="21"/>
                <w:lang w:bidi="ar"/>
              </w:rPr>
              <w:t>0</w:t>
            </w:r>
            <w:r>
              <w:rPr>
                <w:rFonts w:hint="eastAsia" w:ascii="宋体" w:hAnsi="宋体" w:cs="宋体"/>
                <w:color w:val="auto"/>
                <w:spacing w:val="-10"/>
                <w:szCs w:val="21"/>
                <w:lang w:bidi="ar"/>
              </w:rPr>
              <w:t>)km</w:t>
            </w:r>
            <w:r>
              <w:rPr>
                <w:rFonts w:hint="eastAsia" w:ascii="宋体" w:hAnsi="宋体" w:cs="宋体"/>
                <w:color w:val="auto"/>
                <w:spacing w:val="-10"/>
                <w:szCs w:val="21"/>
                <w:vertAlign w:val="superscript"/>
                <w:lang w:bidi="ar"/>
              </w:rPr>
              <w:t>2</w:t>
            </w:r>
          </w:p>
        </w:tc>
      </w:tr>
      <w:tr w14:paraId="457D74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restart"/>
            <w:vAlign w:val="center"/>
          </w:tcPr>
          <w:p w14:paraId="10DD4EA9">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生态现状调查与</w:t>
            </w:r>
          </w:p>
          <w:p w14:paraId="151F572E">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评价</w:t>
            </w:r>
          </w:p>
        </w:tc>
        <w:tc>
          <w:tcPr>
            <w:tcW w:w="1026" w:type="pct"/>
            <w:vAlign w:val="center"/>
          </w:tcPr>
          <w:p w14:paraId="6E603283">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调查方法</w:t>
            </w:r>
          </w:p>
        </w:tc>
        <w:tc>
          <w:tcPr>
            <w:tcW w:w="3418" w:type="pct"/>
            <w:vAlign w:val="center"/>
          </w:tcPr>
          <w:p w14:paraId="7B7EAB45">
            <w:pPr>
              <w:spacing w:line="0" w:lineRule="atLeast"/>
              <w:rPr>
                <w:rFonts w:hint="eastAsia" w:ascii="宋体" w:hAnsi="宋体" w:cs="宋体"/>
                <w:color w:val="auto"/>
                <w:spacing w:val="-10"/>
                <w:szCs w:val="21"/>
                <w:lang w:bidi="ar"/>
              </w:rPr>
            </w:pPr>
            <w:r>
              <w:rPr>
                <w:rFonts w:hint="eastAsia" w:ascii="宋体" w:hAnsi="宋体" w:cs="宋体"/>
                <w:color w:val="auto"/>
                <w:spacing w:val="-10"/>
                <w:szCs w:val="21"/>
                <w:lang w:bidi="ar"/>
              </w:rPr>
              <w:t>资料收集</w:t>
            </w:r>
            <w:r>
              <w:rPr>
                <w:rFonts w:ascii="Segoe UI Symbol" w:hAnsi="Segoe UI Symbol" w:cs="Segoe UI Symbol"/>
                <w:color w:val="auto"/>
                <w:spacing w:val="-10"/>
                <w:szCs w:val="21"/>
              </w:rPr>
              <w:t>☑</w:t>
            </w:r>
            <w:r>
              <w:rPr>
                <w:rFonts w:hint="eastAsia" w:ascii="宋体" w:hAnsi="宋体" w:cs="宋体"/>
                <w:color w:val="auto"/>
                <w:spacing w:val="-10"/>
                <w:szCs w:val="21"/>
              </w:rPr>
              <w:t>；遥感调查□；调查样方、样线□；调查点位、断面□；专家和公众咨询法□；其他□</w:t>
            </w:r>
          </w:p>
        </w:tc>
      </w:tr>
      <w:tr w14:paraId="0B1A36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continue"/>
            <w:vAlign w:val="center"/>
          </w:tcPr>
          <w:p w14:paraId="78EFC9A8">
            <w:pPr>
              <w:spacing w:line="0" w:lineRule="atLeast"/>
              <w:jc w:val="center"/>
              <w:rPr>
                <w:rFonts w:hint="eastAsia" w:ascii="宋体" w:hAnsi="宋体" w:cs="宋体"/>
                <w:color w:val="auto"/>
                <w:spacing w:val="-10"/>
                <w:szCs w:val="21"/>
                <w:lang w:bidi="ar"/>
              </w:rPr>
            </w:pPr>
          </w:p>
        </w:tc>
        <w:tc>
          <w:tcPr>
            <w:tcW w:w="1026" w:type="pct"/>
            <w:vAlign w:val="center"/>
          </w:tcPr>
          <w:p w14:paraId="22182054">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调查时间</w:t>
            </w:r>
          </w:p>
        </w:tc>
        <w:tc>
          <w:tcPr>
            <w:tcW w:w="3418" w:type="pct"/>
            <w:vAlign w:val="center"/>
          </w:tcPr>
          <w:p w14:paraId="129CF861">
            <w:pPr>
              <w:spacing w:line="0" w:lineRule="atLeast"/>
              <w:rPr>
                <w:rFonts w:hint="eastAsia" w:ascii="宋体" w:hAnsi="宋体" w:cs="宋体"/>
                <w:color w:val="auto"/>
                <w:spacing w:val="-10"/>
                <w:szCs w:val="21"/>
              </w:rPr>
            </w:pPr>
            <w:r>
              <w:rPr>
                <w:rFonts w:hint="eastAsia" w:ascii="宋体" w:hAnsi="宋体" w:cs="宋体"/>
                <w:color w:val="auto"/>
                <w:spacing w:val="-10"/>
                <w:szCs w:val="21"/>
                <w:lang w:bidi="ar"/>
              </w:rPr>
              <w:t>春季</w:t>
            </w:r>
            <w:r>
              <w:rPr>
                <w:rFonts w:hint="eastAsia" w:ascii="宋体" w:hAnsi="宋体" w:cs="宋体"/>
                <w:color w:val="auto"/>
                <w:spacing w:val="-10"/>
                <w:szCs w:val="21"/>
              </w:rPr>
              <w:t>□；夏季□；秋季</w:t>
            </w:r>
            <w:r>
              <w:rPr>
                <w:rFonts w:ascii="Segoe UI Symbol" w:hAnsi="Segoe UI Symbol" w:cs="Segoe UI Symbol"/>
                <w:color w:val="auto"/>
                <w:spacing w:val="-10"/>
                <w:szCs w:val="21"/>
              </w:rPr>
              <w:t>☑</w:t>
            </w:r>
            <w:r>
              <w:rPr>
                <w:rFonts w:hint="eastAsia" w:ascii="宋体" w:hAnsi="宋体" w:cs="宋体"/>
                <w:color w:val="auto"/>
                <w:spacing w:val="-10"/>
                <w:szCs w:val="21"/>
              </w:rPr>
              <w:t>；冬季□</w:t>
            </w:r>
          </w:p>
          <w:p w14:paraId="2AF16E1E">
            <w:pPr>
              <w:spacing w:line="0" w:lineRule="atLeast"/>
              <w:rPr>
                <w:rFonts w:hint="eastAsia" w:ascii="宋体" w:hAnsi="宋体" w:cs="宋体"/>
                <w:color w:val="auto"/>
                <w:spacing w:val="-10"/>
                <w:szCs w:val="21"/>
                <w:lang w:bidi="ar"/>
              </w:rPr>
            </w:pPr>
            <w:r>
              <w:rPr>
                <w:rFonts w:hint="eastAsia" w:ascii="宋体" w:hAnsi="宋体" w:cs="宋体"/>
                <w:color w:val="auto"/>
                <w:spacing w:val="-10"/>
                <w:szCs w:val="21"/>
              </w:rPr>
              <w:t>丰水期□；枯水期□；平水期□</w:t>
            </w:r>
          </w:p>
        </w:tc>
      </w:tr>
      <w:tr w14:paraId="45CC32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continue"/>
            <w:vAlign w:val="center"/>
          </w:tcPr>
          <w:p w14:paraId="07A2647F">
            <w:pPr>
              <w:spacing w:line="0" w:lineRule="atLeast"/>
              <w:jc w:val="center"/>
              <w:rPr>
                <w:rFonts w:hint="eastAsia" w:ascii="宋体" w:hAnsi="宋体" w:cs="宋体"/>
                <w:color w:val="auto"/>
                <w:spacing w:val="-10"/>
                <w:szCs w:val="21"/>
                <w:lang w:bidi="ar"/>
              </w:rPr>
            </w:pPr>
          </w:p>
        </w:tc>
        <w:tc>
          <w:tcPr>
            <w:tcW w:w="1026" w:type="pct"/>
            <w:vAlign w:val="center"/>
          </w:tcPr>
          <w:p w14:paraId="7BF60FE9">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所在区域的生态</w:t>
            </w:r>
          </w:p>
          <w:p w14:paraId="29CD4B31">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问题</w:t>
            </w:r>
          </w:p>
        </w:tc>
        <w:tc>
          <w:tcPr>
            <w:tcW w:w="3418" w:type="pct"/>
            <w:vAlign w:val="center"/>
          </w:tcPr>
          <w:p w14:paraId="43CA5FDB">
            <w:pPr>
              <w:spacing w:line="0" w:lineRule="atLeast"/>
              <w:rPr>
                <w:rFonts w:hint="eastAsia" w:ascii="宋体" w:hAnsi="宋体" w:cs="宋体"/>
                <w:color w:val="auto"/>
                <w:spacing w:val="-10"/>
                <w:szCs w:val="21"/>
                <w:lang w:bidi="ar"/>
              </w:rPr>
            </w:pPr>
            <w:r>
              <w:rPr>
                <w:rFonts w:hint="eastAsia" w:ascii="宋体" w:hAnsi="宋体" w:cs="宋体"/>
                <w:color w:val="auto"/>
                <w:spacing w:val="-10"/>
                <w:szCs w:val="21"/>
                <w:lang w:bidi="ar"/>
              </w:rPr>
              <w:t>水土流失</w:t>
            </w:r>
            <w:r>
              <w:rPr>
                <w:rFonts w:ascii="Segoe UI Symbol" w:hAnsi="Segoe UI Symbol" w:cs="Segoe UI Symbol"/>
                <w:color w:val="auto"/>
                <w:spacing w:val="-10"/>
                <w:szCs w:val="21"/>
              </w:rPr>
              <w:t>☑</w:t>
            </w:r>
            <w:r>
              <w:rPr>
                <w:rFonts w:hint="eastAsia" w:ascii="宋体" w:hAnsi="宋体" w:cs="宋体"/>
                <w:color w:val="auto"/>
                <w:spacing w:val="-10"/>
                <w:szCs w:val="21"/>
              </w:rPr>
              <w:t>；沙漠化</w:t>
            </w:r>
            <w:r>
              <w:rPr>
                <w:rFonts w:ascii="Segoe UI Symbol" w:hAnsi="Segoe UI Symbol" w:cs="Segoe UI Symbol"/>
                <w:color w:val="auto"/>
                <w:spacing w:val="-10"/>
                <w:szCs w:val="21"/>
              </w:rPr>
              <w:t>☑</w:t>
            </w:r>
            <w:r>
              <w:rPr>
                <w:rFonts w:hint="eastAsia" w:ascii="宋体" w:hAnsi="宋体" w:cs="宋体"/>
                <w:color w:val="auto"/>
                <w:spacing w:val="-10"/>
                <w:szCs w:val="21"/>
              </w:rPr>
              <w:t>；石漠化□；盐渍化□；生物入侵□；重要物种□；生态敏感区□；其他□</w:t>
            </w:r>
          </w:p>
        </w:tc>
      </w:tr>
      <w:tr w14:paraId="247C21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Align w:val="center"/>
          </w:tcPr>
          <w:p w14:paraId="45AF6A22">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生态现状调查与评价</w:t>
            </w:r>
          </w:p>
        </w:tc>
        <w:tc>
          <w:tcPr>
            <w:tcW w:w="1026" w:type="pct"/>
            <w:vAlign w:val="center"/>
          </w:tcPr>
          <w:p w14:paraId="75876161">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评价内容</w:t>
            </w:r>
          </w:p>
        </w:tc>
        <w:tc>
          <w:tcPr>
            <w:tcW w:w="3418" w:type="pct"/>
            <w:vAlign w:val="center"/>
          </w:tcPr>
          <w:p w14:paraId="65AFCDEE">
            <w:pPr>
              <w:spacing w:line="0" w:lineRule="atLeast"/>
              <w:rPr>
                <w:rFonts w:hint="eastAsia" w:ascii="宋体" w:hAnsi="宋体" w:cs="宋体"/>
                <w:color w:val="auto"/>
                <w:spacing w:val="-10"/>
                <w:szCs w:val="21"/>
                <w:lang w:bidi="ar"/>
              </w:rPr>
            </w:pPr>
            <w:r>
              <w:rPr>
                <w:rFonts w:hint="eastAsia" w:ascii="宋体" w:hAnsi="宋体" w:cs="宋体"/>
                <w:color w:val="auto"/>
                <w:spacing w:val="-10"/>
                <w:szCs w:val="21"/>
                <w:lang w:bidi="ar"/>
              </w:rPr>
              <w:t>植被/植物群落</w:t>
            </w:r>
            <w:r>
              <w:rPr>
                <w:rFonts w:ascii="Segoe UI Symbol" w:hAnsi="Segoe UI Symbol" w:cs="Segoe UI Symbol"/>
                <w:color w:val="auto"/>
                <w:spacing w:val="-10"/>
                <w:szCs w:val="21"/>
              </w:rPr>
              <w:t>☑</w:t>
            </w:r>
            <w:r>
              <w:rPr>
                <w:rFonts w:hint="eastAsia" w:ascii="宋体" w:hAnsi="宋体" w:cs="宋体"/>
                <w:color w:val="auto"/>
                <w:spacing w:val="-10"/>
                <w:szCs w:val="21"/>
              </w:rPr>
              <w:t>；土地利用</w:t>
            </w:r>
            <w:r>
              <w:rPr>
                <w:rFonts w:ascii="Segoe UI Symbol" w:hAnsi="Segoe UI Symbol" w:cs="Segoe UI Symbol"/>
                <w:color w:val="auto"/>
                <w:spacing w:val="-10"/>
                <w:szCs w:val="21"/>
              </w:rPr>
              <w:t>☑</w:t>
            </w:r>
            <w:r>
              <w:rPr>
                <w:rFonts w:hint="eastAsia" w:ascii="宋体" w:hAnsi="宋体" w:cs="宋体"/>
                <w:color w:val="auto"/>
                <w:spacing w:val="-10"/>
                <w:szCs w:val="21"/>
              </w:rPr>
              <w:t>；生态系统</w:t>
            </w:r>
            <w:r>
              <w:rPr>
                <w:rFonts w:ascii="Segoe UI Symbol" w:hAnsi="Segoe UI Symbol" w:cs="Segoe UI Symbol"/>
                <w:color w:val="auto"/>
                <w:spacing w:val="-10"/>
                <w:szCs w:val="21"/>
              </w:rPr>
              <w:t>☑</w:t>
            </w:r>
            <w:r>
              <w:rPr>
                <w:rFonts w:hint="eastAsia" w:ascii="宋体" w:hAnsi="宋体" w:cs="宋体"/>
                <w:color w:val="auto"/>
                <w:spacing w:val="-10"/>
                <w:szCs w:val="21"/>
              </w:rPr>
              <w:t>；生物多样性</w:t>
            </w:r>
            <w:r>
              <w:rPr>
                <w:rFonts w:ascii="Segoe UI Symbol" w:hAnsi="Segoe UI Symbol" w:cs="Segoe UI Symbol"/>
                <w:color w:val="auto"/>
                <w:spacing w:val="-10"/>
                <w:szCs w:val="21"/>
              </w:rPr>
              <w:t>☑</w:t>
            </w:r>
            <w:r>
              <w:rPr>
                <w:rFonts w:hint="eastAsia" w:ascii="宋体" w:hAnsi="宋体" w:cs="宋体"/>
                <w:color w:val="auto"/>
                <w:spacing w:val="-10"/>
                <w:szCs w:val="21"/>
              </w:rPr>
              <w:t>；重要物种□；生态敏感区</w:t>
            </w:r>
            <w:r>
              <w:rPr>
                <w:rFonts w:ascii="Segoe UI Symbol" w:hAnsi="Segoe UI Symbol" w:cs="Segoe UI Symbol"/>
                <w:color w:val="auto"/>
                <w:spacing w:val="-10"/>
                <w:szCs w:val="21"/>
              </w:rPr>
              <w:t>☑</w:t>
            </w:r>
            <w:r>
              <w:rPr>
                <w:rFonts w:hint="eastAsia" w:ascii="宋体" w:hAnsi="宋体" w:cs="宋体"/>
                <w:color w:val="auto"/>
                <w:spacing w:val="-10"/>
                <w:szCs w:val="21"/>
              </w:rPr>
              <w:t>；其他□</w:t>
            </w:r>
          </w:p>
        </w:tc>
      </w:tr>
      <w:tr w14:paraId="6C6F8B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restart"/>
            <w:vAlign w:val="center"/>
          </w:tcPr>
          <w:p w14:paraId="492C0589">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生态影响预测与</w:t>
            </w:r>
          </w:p>
          <w:p w14:paraId="38DD21FA">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评价</w:t>
            </w:r>
          </w:p>
        </w:tc>
        <w:tc>
          <w:tcPr>
            <w:tcW w:w="1026" w:type="pct"/>
            <w:vAlign w:val="center"/>
          </w:tcPr>
          <w:p w14:paraId="166D390F">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评价方法</w:t>
            </w:r>
          </w:p>
        </w:tc>
        <w:tc>
          <w:tcPr>
            <w:tcW w:w="3418" w:type="pct"/>
            <w:vAlign w:val="center"/>
          </w:tcPr>
          <w:p w14:paraId="7732A1A1">
            <w:pPr>
              <w:spacing w:line="0" w:lineRule="atLeast"/>
              <w:rPr>
                <w:rFonts w:hint="eastAsia" w:ascii="宋体" w:hAnsi="宋体" w:cs="宋体"/>
                <w:color w:val="auto"/>
                <w:spacing w:val="-10"/>
                <w:szCs w:val="21"/>
                <w:lang w:bidi="ar"/>
              </w:rPr>
            </w:pPr>
            <w:r>
              <w:rPr>
                <w:rFonts w:hint="eastAsia" w:ascii="宋体" w:hAnsi="宋体" w:cs="宋体"/>
                <w:color w:val="auto"/>
                <w:spacing w:val="-10"/>
                <w:szCs w:val="21"/>
                <w:lang w:bidi="ar"/>
              </w:rPr>
              <w:t>定性</w:t>
            </w:r>
            <w:r>
              <w:rPr>
                <w:rFonts w:ascii="Segoe UI Symbol" w:hAnsi="Segoe UI Symbol" w:cs="Segoe UI Symbol"/>
                <w:color w:val="auto"/>
                <w:spacing w:val="-10"/>
                <w:szCs w:val="21"/>
              </w:rPr>
              <w:t>☑</w:t>
            </w:r>
            <w:r>
              <w:rPr>
                <w:rFonts w:hint="eastAsia" w:ascii="宋体" w:hAnsi="宋体" w:cs="宋体"/>
                <w:color w:val="auto"/>
                <w:spacing w:val="-10"/>
                <w:szCs w:val="21"/>
              </w:rPr>
              <w:t>；定性和定量□</w:t>
            </w:r>
          </w:p>
        </w:tc>
      </w:tr>
      <w:tr w14:paraId="6DFA8D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continue"/>
            <w:vAlign w:val="center"/>
          </w:tcPr>
          <w:p w14:paraId="0E4CA04B">
            <w:pPr>
              <w:spacing w:line="0" w:lineRule="atLeast"/>
              <w:jc w:val="center"/>
              <w:rPr>
                <w:rFonts w:hint="eastAsia" w:ascii="宋体" w:hAnsi="宋体" w:cs="宋体"/>
                <w:color w:val="auto"/>
                <w:spacing w:val="-10"/>
                <w:szCs w:val="21"/>
                <w:lang w:bidi="ar"/>
              </w:rPr>
            </w:pPr>
          </w:p>
        </w:tc>
        <w:tc>
          <w:tcPr>
            <w:tcW w:w="1026" w:type="pct"/>
            <w:vAlign w:val="center"/>
          </w:tcPr>
          <w:p w14:paraId="2CAE1A04">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评价内容</w:t>
            </w:r>
          </w:p>
        </w:tc>
        <w:tc>
          <w:tcPr>
            <w:tcW w:w="3418" w:type="pct"/>
            <w:vAlign w:val="center"/>
          </w:tcPr>
          <w:p w14:paraId="2E28CAD8">
            <w:pPr>
              <w:spacing w:line="0" w:lineRule="atLeast"/>
              <w:rPr>
                <w:rFonts w:hint="eastAsia" w:ascii="宋体" w:hAnsi="宋体" w:cs="宋体"/>
                <w:color w:val="auto"/>
                <w:spacing w:val="-10"/>
                <w:szCs w:val="21"/>
              </w:rPr>
            </w:pPr>
            <w:r>
              <w:rPr>
                <w:rFonts w:hint="eastAsia" w:ascii="宋体" w:hAnsi="宋体" w:cs="宋体"/>
                <w:color w:val="auto"/>
                <w:spacing w:val="-10"/>
                <w:szCs w:val="21"/>
                <w:lang w:bidi="ar"/>
              </w:rPr>
              <w:t>植被/植物群落</w:t>
            </w:r>
            <w:r>
              <w:rPr>
                <w:rFonts w:ascii="Segoe UI Symbol" w:hAnsi="Segoe UI Symbol" w:cs="Segoe UI Symbol"/>
                <w:color w:val="auto"/>
                <w:spacing w:val="-10"/>
                <w:szCs w:val="21"/>
              </w:rPr>
              <w:t>☑</w:t>
            </w:r>
            <w:r>
              <w:rPr>
                <w:rFonts w:hint="eastAsia" w:ascii="宋体" w:hAnsi="宋体" w:cs="宋体"/>
                <w:color w:val="auto"/>
                <w:spacing w:val="-10"/>
                <w:szCs w:val="21"/>
              </w:rPr>
              <w:t>；土地利用</w:t>
            </w:r>
            <w:r>
              <w:rPr>
                <w:rFonts w:ascii="Segoe UI Symbol" w:hAnsi="Segoe UI Symbol" w:cs="Segoe UI Symbol"/>
                <w:color w:val="auto"/>
                <w:spacing w:val="-10"/>
                <w:szCs w:val="21"/>
              </w:rPr>
              <w:t>☑</w:t>
            </w:r>
            <w:r>
              <w:rPr>
                <w:rFonts w:hint="eastAsia" w:ascii="宋体" w:hAnsi="宋体" w:cs="宋体"/>
                <w:color w:val="auto"/>
                <w:spacing w:val="-10"/>
                <w:szCs w:val="21"/>
              </w:rPr>
              <w:t>；生态系统</w:t>
            </w:r>
            <w:r>
              <w:rPr>
                <w:rFonts w:ascii="Segoe UI Symbol" w:hAnsi="Segoe UI Symbol" w:cs="Segoe UI Symbol"/>
                <w:color w:val="auto"/>
                <w:spacing w:val="-10"/>
                <w:szCs w:val="21"/>
              </w:rPr>
              <w:t>☑</w:t>
            </w:r>
            <w:r>
              <w:rPr>
                <w:rFonts w:hint="eastAsia" w:ascii="宋体" w:hAnsi="宋体" w:cs="宋体"/>
                <w:color w:val="auto"/>
                <w:spacing w:val="-10"/>
                <w:szCs w:val="21"/>
              </w:rPr>
              <w:t>；生物多样性□；重要物种□；生态敏感区□；生物入侵风险□；其他□</w:t>
            </w:r>
          </w:p>
        </w:tc>
      </w:tr>
      <w:tr w14:paraId="30930D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restart"/>
            <w:vAlign w:val="center"/>
          </w:tcPr>
          <w:p w14:paraId="4015F05B">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生态保护对策措施</w:t>
            </w:r>
          </w:p>
        </w:tc>
        <w:tc>
          <w:tcPr>
            <w:tcW w:w="1026" w:type="pct"/>
            <w:vAlign w:val="center"/>
          </w:tcPr>
          <w:p w14:paraId="24B2B67E">
            <w:pPr>
              <w:spacing w:line="0" w:lineRule="atLeast"/>
              <w:ind w:firstLine="400"/>
              <w:jc w:val="center"/>
              <w:rPr>
                <w:rFonts w:hint="eastAsia" w:ascii="宋体" w:hAnsi="宋体" w:cs="宋体"/>
                <w:color w:val="auto"/>
                <w:spacing w:val="-10"/>
                <w:szCs w:val="21"/>
              </w:rPr>
            </w:pPr>
            <w:r>
              <w:rPr>
                <w:rFonts w:hint="eastAsia" w:ascii="宋体" w:hAnsi="宋体" w:cs="宋体"/>
                <w:color w:val="auto"/>
                <w:spacing w:val="-10"/>
                <w:szCs w:val="21"/>
              </w:rPr>
              <w:t>对策措施</w:t>
            </w:r>
          </w:p>
        </w:tc>
        <w:tc>
          <w:tcPr>
            <w:tcW w:w="3418" w:type="pct"/>
            <w:vAlign w:val="center"/>
          </w:tcPr>
          <w:p w14:paraId="770FB4AB">
            <w:pPr>
              <w:spacing w:line="0" w:lineRule="atLeast"/>
              <w:ind w:firstLine="400"/>
              <w:rPr>
                <w:rFonts w:hint="eastAsia" w:ascii="宋体" w:hAnsi="宋体" w:cs="宋体"/>
                <w:color w:val="auto"/>
                <w:spacing w:val="-10"/>
                <w:szCs w:val="21"/>
              </w:rPr>
            </w:pPr>
            <w:r>
              <w:rPr>
                <w:rFonts w:hint="eastAsia" w:ascii="宋体" w:hAnsi="宋体" w:cs="宋体"/>
                <w:color w:val="auto"/>
                <w:spacing w:val="-10"/>
                <w:szCs w:val="21"/>
              </w:rPr>
              <w:t>避让</w:t>
            </w:r>
            <w:r>
              <w:rPr>
                <w:rFonts w:ascii="Segoe UI Symbol" w:hAnsi="Segoe UI Symbol" w:cs="Segoe UI Symbol"/>
                <w:color w:val="auto"/>
                <w:spacing w:val="-10"/>
                <w:szCs w:val="21"/>
              </w:rPr>
              <w:t>☑</w:t>
            </w:r>
            <w:r>
              <w:rPr>
                <w:rFonts w:hint="eastAsia" w:ascii="宋体" w:hAnsi="宋体" w:cs="宋体"/>
                <w:color w:val="auto"/>
                <w:spacing w:val="-10"/>
                <w:szCs w:val="21"/>
              </w:rPr>
              <w:t>；减缓</w:t>
            </w:r>
            <w:r>
              <w:rPr>
                <w:rFonts w:ascii="Segoe UI Symbol" w:hAnsi="Segoe UI Symbol" w:cs="Segoe UI Symbol"/>
                <w:color w:val="auto"/>
                <w:spacing w:val="-10"/>
                <w:szCs w:val="21"/>
              </w:rPr>
              <w:t>☑</w:t>
            </w:r>
            <w:r>
              <w:rPr>
                <w:rFonts w:hint="eastAsia" w:ascii="宋体" w:hAnsi="宋体" w:cs="宋体"/>
                <w:color w:val="auto"/>
                <w:spacing w:val="-10"/>
                <w:szCs w:val="21"/>
              </w:rPr>
              <w:t>；生态修复</w:t>
            </w:r>
            <w:r>
              <w:rPr>
                <w:rFonts w:hint="eastAsia" w:ascii="宋体" w:hAnsi="宋体" w:cs="宋体"/>
                <w:color w:val="auto"/>
                <w:spacing w:val="-10"/>
                <w:sz w:val="24"/>
                <w:szCs w:val="21"/>
              </w:rPr>
              <w:t>□</w:t>
            </w:r>
            <w:r>
              <w:rPr>
                <w:rFonts w:hint="eastAsia" w:ascii="宋体" w:hAnsi="宋体" w:cs="宋体"/>
                <w:color w:val="auto"/>
                <w:spacing w:val="-10"/>
                <w:szCs w:val="21"/>
              </w:rPr>
              <w:t>；生态补偿</w:t>
            </w:r>
            <w:r>
              <w:rPr>
                <w:rFonts w:ascii="Segoe UI Symbol" w:hAnsi="Segoe UI Symbol" w:cs="Segoe UI Symbol"/>
                <w:color w:val="auto"/>
                <w:spacing w:val="-10"/>
                <w:szCs w:val="21"/>
              </w:rPr>
              <w:t>☑</w:t>
            </w:r>
            <w:r>
              <w:rPr>
                <w:rFonts w:hint="eastAsia" w:ascii="宋体" w:hAnsi="宋体" w:cs="宋体"/>
                <w:color w:val="auto"/>
                <w:spacing w:val="-10"/>
                <w:szCs w:val="21"/>
              </w:rPr>
              <w:t>；科研□；其他</w:t>
            </w:r>
            <w:r>
              <w:rPr>
                <w:rFonts w:ascii="Segoe UI Symbol" w:hAnsi="Segoe UI Symbol" w:cs="Segoe UI Symbol"/>
                <w:color w:val="auto"/>
                <w:spacing w:val="-10"/>
                <w:szCs w:val="21"/>
              </w:rPr>
              <w:t>☑</w:t>
            </w:r>
          </w:p>
        </w:tc>
      </w:tr>
      <w:tr w14:paraId="16EB2E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continue"/>
            <w:vAlign w:val="center"/>
          </w:tcPr>
          <w:p w14:paraId="14786620">
            <w:pPr>
              <w:spacing w:line="0" w:lineRule="atLeast"/>
              <w:jc w:val="center"/>
              <w:rPr>
                <w:rFonts w:hint="eastAsia" w:ascii="宋体" w:hAnsi="宋体" w:cs="宋体"/>
                <w:color w:val="auto"/>
                <w:spacing w:val="-10"/>
                <w:szCs w:val="21"/>
                <w:lang w:bidi="ar"/>
              </w:rPr>
            </w:pPr>
          </w:p>
        </w:tc>
        <w:tc>
          <w:tcPr>
            <w:tcW w:w="1026" w:type="pct"/>
            <w:vAlign w:val="center"/>
          </w:tcPr>
          <w:p w14:paraId="69F28F92">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生态监测计划</w:t>
            </w:r>
          </w:p>
        </w:tc>
        <w:tc>
          <w:tcPr>
            <w:tcW w:w="3418" w:type="pct"/>
            <w:vAlign w:val="center"/>
          </w:tcPr>
          <w:p w14:paraId="197ACBDA">
            <w:pPr>
              <w:spacing w:line="0" w:lineRule="atLeast"/>
              <w:rPr>
                <w:rFonts w:hint="eastAsia" w:ascii="宋体" w:hAnsi="宋体" w:cs="宋体"/>
                <w:color w:val="auto"/>
                <w:spacing w:val="-10"/>
                <w:szCs w:val="21"/>
              </w:rPr>
            </w:pPr>
            <w:r>
              <w:rPr>
                <w:rFonts w:hint="eastAsia" w:ascii="宋体" w:hAnsi="宋体" w:cs="宋体"/>
                <w:color w:val="auto"/>
                <w:spacing w:val="-10"/>
                <w:szCs w:val="21"/>
              </w:rPr>
              <w:t>全生命周期</w:t>
            </w:r>
            <w:r>
              <w:rPr>
                <w:rFonts w:ascii="Segoe UI Symbol" w:hAnsi="Segoe UI Symbol" w:cs="Segoe UI Symbol"/>
                <w:color w:val="auto"/>
                <w:spacing w:val="-10"/>
                <w:szCs w:val="21"/>
              </w:rPr>
              <w:t>☑</w:t>
            </w:r>
            <w:r>
              <w:rPr>
                <w:rFonts w:hint="eastAsia" w:ascii="宋体" w:hAnsi="宋体" w:cs="宋体"/>
                <w:color w:val="auto"/>
                <w:spacing w:val="-10"/>
                <w:szCs w:val="21"/>
              </w:rPr>
              <w:t>；长期跟踪□；常规□；无□</w:t>
            </w:r>
          </w:p>
        </w:tc>
      </w:tr>
      <w:tr w14:paraId="7B56B4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Merge w:val="continue"/>
            <w:vAlign w:val="center"/>
          </w:tcPr>
          <w:p w14:paraId="576AA3CC">
            <w:pPr>
              <w:spacing w:line="0" w:lineRule="atLeast"/>
              <w:jc w:val="center"/>
              <w:rPr>
                <w:rFonts w:hint="eastAsia" w:ascii="宋体" w:hAnsi="宋体" w:cs="宋体"/>
                <w:color w:val="auto"/>
                <w:spacing w:val="-10"/>
                <w:szCs w:val="21"/>
                <w:lang w:bidi="ar"/>
              </w:rPr>
            </w:pPr>
          </w:p>
        </w:tc>
        <w:tc>
          <w:tcPr>
            <w:tcW w:w="1026" w:type="pct"/>
            <w:vAlign w:val="center"/>
          </w:tcPr>
          <w:p w14:paraId="311ABA1A">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环境管理</w:t>
            </w:r>
          </w:p>
        </w:tc>
        <w:tc>
          <w:tcPr>
            <w:tcW w:w="3418" w:type="pct"/>
            <w:vAlign w:val="center"/>
          </w:tcPr>
          <w:p w14:paraId="69624DFC">
            <w:pPr>
              <w:spacing w:line="0" w:lineRule="atLeast"/>
              <w:rPr>
                <w:rFonts w:hint="eastAsia" w:ascii="宋体" w:hAnsi="宋体" w:cs="宋体"/>
                <w:color w:val="auto"/>
                <w:spacing w:val="-10"/>
                <w:szCs w:val="21"/>
                <w:lang w:bidi="ar"/>
              </w:rPr>
            </w:pPr>
            <w:r>
              <w:rPr>
                <w:rFonts w:hint="eastAsia" w:ascii="宋体" w:hAnsi="宋体" w:cs="宋体"/>
                <w:color w:val="auto"/>
                <w:spacing w:val="-10"/>
                <w:szCs w:val="21"/>
                <w:lang w:bidi="ar"/>
              </w:rPr>
              <w:t>环境监理</w:t>
            </w:r>
            <w:r>
              <w:rPr>
                <w:rFonts w:ascii="Segoe UI Symbol" w:hAnsi="Segoe UI Symbol" w:cs="Segoe UI Symbol"/>
                <w:color w:val="auto"/>
                <w:spacing w:val="-10"/>
                <w:szCs w:val="21"/>
              </w:rPr>
              <w:t>☑</w:t>
            </w:r>
            <w:r>
              <w:rPr>
                <w:rFonts w:hint="eastAsia" w:ascii="宋体" w:hAnsi="宋体" w:cs="宋体"/>
                <w:color w:val="auto"/>
                <w:spacing w:val="-10"/>
                <w:szCs w:val="21"/>
              </w:rPr>
              <w:t>；环境影响后评价</w:t>
            </w:r>
            <w:r>
              <w:rPr>
                <w:rFonts w:ascii="Segoe UI Symbol" w:hAnsi="Segoe UI Symbol" w:cs="Segoe UI Symbol"/>
                <w:color w:val="auto"/>
                <w:spacing w:val="-10"/>
                <w:szCs w:val="21"/>
              </w:rPr>
              <w:t>☑</w:t>
            </w:r>
            <w:r>
              <w:rPr>
                <w:rFonts w:hint="eastAsia" w:ascii="宋体" w:hAnsi="宋体" w:cs="宋体"/>
                <w:color w:val="auto"/>
                <w:spacing w:val="-10"/>
                <w:szCs w:val="21"/>
              </w:rPr>
              <w:t>；其他□</w:t>
            </w:r>
          </w:p>
        </w:tc>
      </w:tr>
      <w:tr w14:paraId="6663BB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6" w:type="pct"/>
            <w:vAlign w:val="center"/>
          </w:tcPr>
          <w:p w14:paraId="48661100">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评价结论</w:t>
            </w:r>
          </w:p>
        </w:tc>
        <w:tc>
          <w:tcPr>
            <w:tcW w:w="1026" w:type="pct"/>
            <w:vAlign w:val="center"/>
          </w:tcPr>
          <w:p w14:paraId="0EA7112F">
            <w:pPr>
              <w:spacing w:line="0" w:lineRule="atLeast"/>
              <w:jc w:val="center"/>
              <w:rPr>
                <w:rFonts w:hint="eastAsia" w:ascii="宋体" w:hAnsi="宋体" w:cs="宋体"/>
                <w:color w:val="auto"/>
                <w:spacing w:val="-10"/>
                <w:szCs w:val="21"/>
                <w:lang w:bidi="ar"/>
              </w:rPr>
            </w:pPr>
            <w:r>
              <w:rPr>
                <w:rFonts w:hint="eastAsia" w:ascii="宋体" w:hAnsi="宋体" w:cs="宋体"/>
                <w:color w:val="auto"/>
                <w:spacing w:val="-10"/>
                <w:szCs w:val="21"/>
                <w:lang w:bidi="ar"/>
              </w:rPr>
              <w:t>生态影响</w:t>
            </w:r>
          </w:p>
        </w:tc>
        <w:tc>
          <w:tcPr>
            <w:tcW w:w="3418" w:type="pct"/>
            <w:vAlign w:val="center"/>
          </w:tcPr>
          <w:p w14:paraId="3A4AE5EE">
            <w:pPr>
              <w:spacing w:line="0" w:lineRule="atLeast"/>
              <w:ind w:left="1280" w:firstLine="400"/>
              <w:rPr>
                <w:rFonts w:hint="eastAsia" w:ascii="Cambria" w:hAnsi="宋体" w:cs="宋体"/>
                <w:b/>
                <w:bCs/>
                <w:color w:val="auto"/>
                <w:spacing w:val="-10"/>
                <w:szCs w:val="21"/>
              </w:rPr>
            </w:pPr>
            <w:r>
              <w:rPr>
                <w:rFonts w:ascii="Cambria" w:hAnsi="宋体" w:cs="宋体"/>
                <w:b/>
                <w:color w:val="auto"/>
                <w:spacing w:val="-10"/>
                <w:szCs w:val="21"/>
              </w:rPr>
              <w:t>可行</w:t>
            </w:r>
            <w:r>
              <w:rPr>
                <w:rFonts w:ascii="Segoe UI Symbol" w:hAnsi="Segoe UI Symbol" w:cs="Segoe UI Symbol"/>
                <w:b/>
                <w:color w:val="auto"/>
                <w:spacing w:val="-10"/>
                <w:szCs w:val="21"/>
              </w:rPr>
              <w:t>☑</w:t>
            </w:r>
            <w:r>
              <w:rPr>
                <w:rFonts w:ascii="Cambria" w:hAnsi="宋体" w:cs="宋体"/>
                <w:b/>
                <w:color w:val="auto"/>
                <w:spacing w:val="-10"/>
                <w:szCs w:val="21"/>
              </w:rPr>
              <w:t>；不可行□</w:t>
            </w:r>
          </w:p>
        </w:tc>
      </w:tr>
      <w:tr w14:paraId="4B857E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00" w:type="pct"/>
            <w:gridSpan w:val="3"/>
            <w:vAlign w:val="center"/>
          </w:tcPr>
          <w:p w14:paraId="1B2091C9">
            <w:pPr>
              <w:spacing w:line="0" w:lineRule="atLeast"/>
              <w:ind w:left="1280" w:firstLine="400"/>
              <w:rPr>
                <w:rFonts w:hint="eastAsia" w:ascii="Cambria" w:hAnsi="宋体" w:cs="宋体"/>
                <w:b/>
                <w:bCs/>
                <w:color w:val="auto"/>
                <w:spacing w:val="-10"/>
                <w:szCs w:val="21"/>
              </w:rPr>
            </w:pPr>
            <w:r>
              <w:rPr>
                <w:rFonts w:ascii="Cambria" w:hAnsi="宋体" w:cs="宋体"/>
                <w:b/>
                <w:bCs/>
                <w:color w:val="auto"/>
                <w:spacing w:val="-10"/>
                <w:szCs w:val="21"/>
              </w:rPr>
              <w:t>注：“</w:t>
            </w:r>
            <w:r>
              <w:rPr>
                <w:rFonts w:ascii="Cambria" w:hAnsi="宋体" w:cs="宋体"/>
                <w:b/>
                <w:color w:val="auto"/>
                <w:spacing w:val="-10"/>
                <w:szCs w:val="21"/>
              </w:rPr>
              <w:t>□</w:t>
            </w:r>
            <w:r>
              <w:rPr>
                <w:rFonts w:ascii="Cambria" w:hAnsi="宋体" w:cs="宋体"/>
                <w:b/>
                <w:bCs/>
                <w:color w:val="auto"/>
                <w:spacing w:val="-10"/>
                <w:szCs w:val="21"/>
              </w:rPr>
              <w:t>”为勾选项，可√；“(   )”为内容填写项。</w:t>
            </w:r>
          </w:p>
        </w:tc>
      </w:tr>
    </w:tbl>
    <w:p w14:paraId="5B453F23">
      <w:pPr>
        <w:pStyle w:val="86"/>
        <w:ind w:firstLine="480"/>
        <w:rPr>
          <w:rFonts w:hint="eastAsia"/>
          <w:color w:val="auto"/>
        </w:rPr>
      </w:pPr>
    </w:p>
    <w:p w14:paraId="0A93F88F">
      <w:pPr>
        <w:pStyle w:val="86"/>
        <w:ind w:firstLine="480"/>
        <w:rPr>
          <w:rFonts w:hint="eastAsia"/>
          <w:color w:val="auto"/>
        </w:rPr>
        <w:sectPr>
          <w:pgSz w:w="11906" w:h="16838"/>
          <w:pgMar w:top="1418" w:right="1588" w:bottom="1418" w:left="1588" w:header="1020" w:footer="1020" w:gutter="0"/>
          <w:cols w:space="720" w:num="1"/>
          <w:docGrid w:type="lines" w:linePitch="312" w:charSpace="0"/>
        </w:sectPr>
      </w:pPr>
    </w:p>
    <w:p w14:paraId="69B34D6E">
      <w:pPr>
        <w:pStyle w:val="2"/>
        <w:spacing w:before="0" w:after="0"/>
        <w:rPr>
          <w:color w:val="auto"/>
          <w:sz w:val="24"/>
          <w:szCs w:val="24"/>
        </w:rPr>
      </w:pPr>
      <w:bookmarkStart w:id="1044" w:name="_Toc217311596"/>
      <w:bookmarkStart w:id="1045" w:name="_Toc224406053"/>
      <w:bookmarkStart w:id="1046" w:name="_Toc178250501"/>
      <w:r>
        <w:rPr>
          <w:rFonts w:hint="eastAsia"/>
          <w:color w:val="auto"/>
          <w:sz w:val="24"/>
          <w:szCs w:val="24"/>
        </w:rPr>
        <w:t>附</w:t>
      </w:r>
      <w:r>
        <w:rPr>
          <w:rFonts w:hint="eastAsia" w:ascii="宋体" w:hAnsi="宋体"/>
          <w:color w:val="auto"/>
          <w:sz w:val="24"/>
          <w:szCs w:val="24"/>
        </w:rPr>
        <w:t>件8  环境风险影</w:t>
      </w:r>
      <w:r>
        <w:rPr>
          <w:rFonts w:hint="eastAsia"/>
          <w:color w:val="auto"/>
          <w:sz w:val="24"/>
          <w:szCs w:val="24"/>
        </w:rPr>
        <w:t>响自查表</w:t>
      </w:r>
      <w:bookmarkEnd w:id="1044"/>
      <w:bookmarkEnd w:id="1045"/>
      <w:bookmarkEnd w:id="1046"/>
    </w:p>
    <w:tbl>
      <w:tblPr>
        <w:tblStyle w:val="51"/>
        <w:tblW w:w="8928"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48"/>
        <w:gridCol w:w="1134"/>
        <w:gridCol w:w="1006"/>
        <w:gridCol w:w="369"/>
        <w:gridCol w:w="379"/>
        <w:gridCol w:w="441"/>
        <w:gridCol w:w="640"/>
        <w:gridCol w:w="409"/>
        <w:gridCol w:w="867"/>
        <w:gridCol w:w="567"/>
        <w:gridCol w:w="116"/>
        <w:gridCol w:w="124"/>
        <w:gridCol w:w="562"/>
        <w:gridCol w:w="12"/>
        <w:gridCol w:w="47"/>
        <w:gridCol w:w="473"/>
        <w:gridCol w:w="934"/>
      </w:tblGrid>
      <w:tr w14:paraId="4CF928D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982" w:type="dxa"/>
            <w:gridSpan w:val="2"/>
            <w:tcMar>
              <w:left w:w="0" w:type="dxa"/>
              <w:right w:w="0" w:type="dxa"/>
            </w:tcMar>
            <w:vAlign w:val="center"/>
          </w:tcPr>
          <w:p w14:paraId="1EAE59BE">
            <w:pPr>
              <w:jc w:val="center"/>
              <w:rPr>
                <w:rFonts w:hint="eastAsia" w:ascii="宋体" w:hAnsi="宋体" w:cs="宋体"/>
                <w:color w:val="auto"/>
                <w:szCs w:val="21"/>
              </w:rPr>
            </w:pPr>
            <w:bookmarkStart w:id="1047" w:name="_Hlk175848179"/>
            <w:r>
              <w:rPr>
                <w:rFonts w:hint="eastAsia" w:ascii="宋体" w:hAnsi="宋体" w:cs="宋体"/>
                <w:color w:val="auto"/>
                <w:szCs w:val="21"/>
              </w:rPr>
              <w:t>工作内容</w:t>
            </w:r>
          </w:p>
        </w:tc>
        <w:tc>
          <w:tcPr>
            <w:tcW w:w="6946" w:type="dxa"/>
            <w:gridSpan w:val="15"/>
            <w:tcMar>
              <w:left w:w="0" w:type="dxa"/>
              <w:right w:w="0" w:type="dxa"/>
            </w:tcMar>
            <w:vAlign w:val="center"/>
          </w:tcPr>
          <w:p w14:paraId="21B58D44">
            <w:pPr>
              <w:jc w:val="center"/>
              <w:rPr>
                <w:rFonts w:hint="eastAsia" w:ascii="宋体" w:hAnsi="宋体" w:cs="宋体"/>
                <w:color w:val="auto"/>
                <w:szCs w:val="21"/>
              </w:rPr>
            </w:pPr>
            <w:r>
              <w:rPr>
                <w:rFonts w:hint="eastAsia" w:ascii="宋体" w:hAnsi="宋体" w:cs="宋体"/>
                <w:color w:val="auto"/>
                <w:szCs w:val="21"/>
              </w:rPr>
              <w:t>完成情况</w:t>
            </w:r>
          </w:p>
        </w:tc>
      </w:tr>
      <w:tr w14:paraId="7E1D29A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restart"/>
            <w:tcMar>
              <w:left w:w="0" w:type="dxa"/>
              <w:right w:w="0" w:type="dxa"/>
            </w:tcMar>
            <w:vAlign w:val="center"/>
          </w:tcPr>
          <w:p w14:paraId="0DA1AB36">
            <w:pPr>
              <w:jc w:val="center"/>
              <w:rPr>
                <w:rFonts w:hint="eastAsia" w:ascii="宋体" w:hAnsi="宋体" w:cs="宋体"/>
                <w:color w:val="auto"/>
                <w:szCs w:val="21"/>
              </w:rPr>
            </w:pPr>
            <w:r>
              <w:rPr>
                <w:rFonts w:hint="eastAsia" w:ascii="宋体" w:hAnsi="宋体" w:cs="宋体"/>
                <w:color w:val="auto"/>
                <w:szCs w:val="21"/>
              </w:rPr>
              <w:t>风险</w:t>
            </w:r>
          </w:p>
          <w:p w14:paraId="0E31F2F0">
            <w:pPr>
              <w:jc w:val="center"/>
              <w:rPr>
                <w:rFonts w:hint="eastAsia" w:ascii="宋体" w:hAnsi="宋体" w:cs="宋体"/>
                <w:color w:val="auto"/>
                <w:szCs w:val="21"/>
              </w:rPr>
            </w:pPr>
            <w:r>
              <w:rPr>
                <w:rFonts w:hint="eastAsia" w:ascii="宋体" w:hAnsi="宋体" w:cs="宋体"/>
                <w:color w:val="auto"/>
                <w:szCs w:val="21"/>
              </w:rPr>
              <w:t>调查</w:t>
            </w:r>
          </w:p>
        </w:tc>
        <w:tc>
          <w:tcPr>
            <w:tcW w:w="1134" w:type="dxa"/>
            <w:vMerge w:val="restart"/>
            <w:tcMar>
              <w:left w:w="0" w:type="dxa"/>
              <w:right w:w="0" w:type="dxa"/>
            </w:tcMar>
            <w:vAlign w:val="center"/>
          </w:tcPr>
          <w:p w14:paraId="2D419D22">
            <w:pPr>
              <w:jc w:val="center"/>
              <w:rPr>
                <w:rFonts w:hint="eastAsia" w:ascii="宋体" w:hAnsi="宋体" w:cs="宋体"/>
                <w:color w:val="auto"/>
                <w:szCs w:val="21"/>
              </w:rPr>
            </w:pPr>
            <w:r>
              <w:rPr>
                <w:rFonts w:hint="eastAsia" w:ascii="宋体" w:hAnsi="宋体" w:cs="宋体"/>
                <w:color w:val="auto"/>
                <w:szCs w:val="21"/>
              </w:rPr>
              <w:t>危险物质</w:t>
            </w:r>
          </w:p>
        </w:tc>
        <w:tc>
          <w:tcPr>
            <w:tcW w:w="1006" w:type="dxa"/>
            <w:tcMar>
              <w:left w:w="0" w:type="dxa"/>
              <w:right w:w="0" w:type="dxa"/>
            </w:tcMar>
            <w:vAlign w:val="center"/>
          </w:tcPr>
          <w:p w14:paraId="4935E0D1">
            <w:pPr>
              <w:jc w:val="center"/>
              <w:rPr>
                <w:rFonts w:hint="eastAsia" w:ascii="宋体" w:hAnsi="宋体" w:cs="宋体"/>
                <w:color w:val="auto"/>
                <w:szCs w:val="21"/>
              </w:rPr>
            </w:pPr>
            <w:r>
              <w:rPr>
                <w:rFonts w:hint="eastAsia" w:ascii="宋体" w:hAnsi="宋体" w:cs="宋体"/>
                <w:color w:val="auto"/>
                <w:szCs w:val="21"/>
              </w:rPr>
              <w:t>名称</w:t>
            </w:r>
          </w:p>
        </w:tc>
        <w:tc>
          <w:tcPr>
            <w:tcW w:w="1829" w:type="dxa"/>
            <w:gridSpan w:val="4"/>
            <w:tcMar>
              <w:left w:w="0" w:type="dxa"/>
              <w:right w:w="0" w:type="dxa"/>
            </w:tcMar>
            <w:vAlign w:val="center"/>
          </w:tcPr>
          <w:p w14:paraId="32FE85FF">
            <w:pPr>
              <w:jc w:val="center"/>
              <w:rPr>
                <w:rFonts w:hint="eastAsia" w:ascii="宋体" w:hAnsi="宋体" w:cs="宋体"/>
                <w:color w:val="auto"/>
                <w:szCs w:val="21"/>
              </w:rPr>
            </w:pPr>
            <w:r>
              <w:rPr>
                <w:rFonts w:hint="eastAsia"/>
                <w:color w:val="auto"/>
              </w:rPr>
              <w:t>原油</w:t>
            </w:r>
          </w:p>
        </w:tc>
        <w:tc>
          <w:tcPr>
            <w:tcW w:w="1276" w:type="dxa"/>
            <w:gridSpan w:val="2"/>
            <w:tcMar>
              <w:left w:w="0" w:type="dxa"/>
              <w:right w:w="0" w:type="dxa"/>
            </w:tcMar>
            <w:vAlign w:val="center"/>
          </w:tcPr>
          <w:p w14:paraId="696759D5">
            <w:pPr>
              <w:jc w:val="center"/>
              <w:rPr>
                <w:rFonts w:hint="eastAsia" w:ascii="宋体" w:hAnsi="宋体" w:cs="宋体"/>
                <w:color w:val="auto"/>
                <w:szCs w:val="21"/>
              </w:rPr>
            </w:pPr>
            <w:r>
              <w:rPr>
                <w:rFonts w:hint="eastAsia" w:ascii="宋体" w:hAnsi="宋体" w:cs="宋体"/>
                <w:color w:val="auto"/>
                <w:szCs w:val="21"/>
              </w:rPr>
              <w:t>伴生气</w:t>
            </w:r>
          </w:p>
        </w:tc>
        <w:tc>
          <w:tcPr>
            <w:tcW w:w="1428" w:type="dxa"/>
            <w:gridSpan w:val="6"/>
            <w:tcMar>
              <w:left w:w="0" w:type="dxa"/>
              <w:right w:w="0" w:type="dxa"/>
            </w:tcMar>
            <w:vAlign w:val="center"/>
          </w:tcPr>
          <w:p w14:paraId="3CEE242F">
            <w:pPr>
              <w:jc w:val="center"/>
              <w:rPr>
                <w:rFonts w:hint="eastAsia" w:ascii="宋体" w:hAnsi="宋体" w:cs="宋体"/>
                <w:color w:val="auto"/>
                <w:szCs w:val="21"/>
              </w:rPr>
            </w:pPr>
            <w:r>
              <w:rPr>
                <w:rFonts w:hint="eastAsia" w:ascii="宋体" w:hAnsi="宋体" w:cs="宋体"/>
                <w:color w:val="auto"/>
                <w:szCs w:val="21"/>
              </w:rPr>
              <w:t>混烃</w:t>
            </w:r>
          </w:p>
        </w:tc>
        <w:tc>
          <w:tcPr>
            <w:tcW w:w="473" w:type="dxa"/>
            <w:tcBorders>
              <w:right w:val="single" w:color="auto" w:sz="4" w:space="0"/>
            </w:tcBorders>
            <w:tcMar>
              <w:left w:w="0" w:type="dxa"/>
              <w:right w:w="0" w:type="dxa"/>
            </w:tcMar>
            <w:vAlign w:val="center"/>
          </w:tcPr>
          <w:p w14:paraId="16EEF6D1">
            <w:pPr>
              <w:jc w:val="center"/>
              <w:rPr>
                <w:rFonts w:hint="eastAsia" w:ascii="宋体" w:hAnsi="宋体" w:cs="宋体"/>
                <w:color w:val="auto"/>
                <w:szCs w:val="21"/>
              </w:rPr>
            </w:pPr>
          </w:p>
        </w:tc>
        <w:tc>
          <w:tcPr>
            <w:tcW w:w="934" w:type="dxa"/>
            <w:tcBorders>
              <w:left w:val="single" w:color="auto" w:sz="4" w:space="0"/>
            </w:tcBorders>
            <w:vAlign w:val="center"/>
          </w:tcPr>
          <w:p w14:paraId="687F7E4C">
            <w:pPr>
              <w:jc w:val="center"/>
              <w:rPr>
                <w:rFonts w:hint="eastAsia" w:ascii="宋体" w:hAnsi="宋体" w:cs="宋体"/>
                <w:color w:val="auto"/>
                <w:szCs w:val="21"/>
              </w:rPr>
            </w:pPr>
          </w:p>
        </w:tc>
      </w:tr>
      <w:tr w14:paraId="4367A64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continue"/>
            <w:tcMar>
              <w:left w:w="0" w:type="dxa"/>
              <w:right w:w="0" w:type="dxa"/>
            </w:tcMar>
            <w:vAlign w:val="center"/>
          </w:tcPr>
          <w:p w14:paraId="3FD4227E">
            <w:pPr>
              <w:jc w:val="center"/>
              <w:rPr>
                <w:rFonts w:hint="eastAsia" w:ascii="宋体" w:hAnsi="宋体" w:cs="宋体"/>
                <w:color w:val="auto"/>
                <w:szCs w:val="21"/>
              </w:rPr>
            </w:pPr>
          </w:p>
        </w:tc>
        <w:tc>
          <w:tcPr>
            <w:tcW w:w="1134" w:type="dxa"/>
            <w:vMerge w:val="continue"/>
            <w:tcMar>
              <w:left w:w="0" w:type="dxa"/>
              <w:right w:w="0" w:type="dxa"/>
            </w:tcMar>
            <w:vAlign w:val="center"/>
          </w:tcPr>
          <w:p w14:paraId="483C1D68">
            <w:pPr>
              <w:jc w:val="center"/>
              <w:rPr>
                <w:rFonts w:hint="eastAsia" w:ascii="宋体" w:hAnsi="宋体" w:cs="宋体"/>
                <w:color w:val="auto"/>
                <w:szCs w:val="21"/>
              </w:rPr>
            </w:pPr>
          </w:p>
        </w:tc>
        <w:tc>
          <w:tcPr>
            <w:tcW w:w="1006" w:type="dxa"/>
            <w:tcMar>
              <w:left w:w="0" w:type="dxa"/>
              <w:right w:w="0" w:type="dxa"/>
            </w:tcMar>
            <w:vAlign w:val="center"/>
          </w:tcPr>
          <w:p w14:paraId="4540EC42">
            <w:pPr>
              <w:ind w:left="-105" w:leftChars="-50" w:right="-105" w:rightChars="-50"/>
              <w:jc w:val="center"/>
              <w:rPr>
                <w:rFonts w:hint="eastAsia" w:ascii="宋体" w:hAnsi="宋体" w:cs="宋体"/>
                <w:color w:val="auto"/>
                <w:szCs w:val="21"/>
              </w:rPr>
            </w:pPr>
            <w:r>
              <w:rPr>
                <w:rFonts w:hint="eastAsia" w:ascii="宋体" w:hAnsi="宋体" w:cs="宋体"/>
                <w:color w:val="auto"/>
                <w:szCs w:val="21"/>
              </w:rPr>
              <w:t>存在总量/t</w:t>
            </w:r>
          </w:p>
        </w:tc>
        <w:tc>
          <w:tcPr>
            <w:tcW w:w="1829" w:type="dxa"/>
            <w:gridSpan w:val="4"/>
            <w:tcMar>
              <w:left w:w="0" w:type="dxa"/>
              <w:right w:w="0" w:type="dxa"/>
            </w:tcMar>
            <w:vAlign w:val="center"/>
          </w:tcPr>
          <w:p w14:paraId="66B472C5">
            <w:pPr>
              <w:jc w:val="center"/>
              <w:rPr>
                <w:rFonts w:hint="eastAsia" w:ascii="宋体" w:hAnsi="宋体" w:cs="宋体"/>
                <w:color w:val="auto"/>
                <w:szCs w:val="21"/>
              </w:rPr>
            </w:pPr>
            <w:r>
              <w:rPr>
                <w:rFonts w:hint="eastAsia" w:ascii="宋体" w:hAnsi="宋体" w:cs="宋体"/>
                <w:color w:val="auto"/>
                <w:szCs w:val="21"/>
              </w:rPr>
              <w:t>229.23</w:t>
            </w:r>
          </w:p>
        </w:tc>
        <w:tc>
          <w:tcPr>
            <w:tcW w:w="1276" w:type="dxa"/>
            <w:gridSpan w:val="2"/>
            <w:tcMar>
              <w:left w:w="0" w:type="dxa"/>
              <w:right w:w="0" w:type="dxa"/>
            </w:tcMar>
            <w:vAlign w:val="center"/>
          </w:tcPr>
          <w:p w14:paraId="33A3E4C1">
            <w:pPr>
              <w:jc w:val="center"/>
              <w:rPr>
                <w:rFonts w:hint="eastAsia" w:ascii="宋体" w:hAnsi="宋体" w:cs="宋体"/>
                <w:color w:val="auto"/>
                <w:szCs w:val="21"/>
              </w:rPr>
            </w:pPr>
            <w:r>
              <w:rPr>
                <w:rFonts w:hint="eastAsia" w:ascii="宋体" w:hAnsi="宋体" w:cs="宋体"/>
                <w:color w:val="auto"/>
                <w:szCs w:val="21"/>
              </w:rPr>
              <w:t>8.808</w:t>
            </w:r>
          </w:p>
        </w:tc>
        <w:tc>
          <w:tcPr>
            <w:tcW w:w="1428" w:type="dxa"/>
            <w:gridSpan w:val="6"/>
            <w:tcMar>
              <w:left w:w="0" w:type="dxa"/>
              <w:right w:w="0" w:type="dxa"/>
            </w:tcMar>
            <w:vAlign w:val="center"/>
          </w:tcPr>
          <w:p w14:paraId="318B9D40">
            <w:pPr>
              <w:jc w:val="center"/>
              <w:rPr>
                <w:rFonts w:hint="eastAsia" w:ascii="宋体" w:hAnsi="宋体" w:cs="宋体"/>
                <w:color w:val="auto"/>
                <w:szCs w:val="21"/>
              </w:rPr>
            </w:pPr>
            <w:r>
              <w:rPr>
                <w:rFonts w:hint="eastAsia" w:ascii="宋体" w:hAnsi="宋体" w:cs="宋体"/>
                <w:color w:val="auto"/>
                <w:szCs w:val="21"/>
              </w:rPr>
              <w:t>48.27</w:t>
            </w:r>
          </w:p>
        </w:tc>
        <w:tc>
          <w:tcPr>
            <w:tcW w:w="473" w:type="dxa"/>
            <w:tcBorders>
              <w:right w:val="single" w:color="auto" w:sz="4" w:space="0"/>
            </w:tcBorders>
            <w:tcMar>
              <w:left w:w="0" w:type="dxa"/>
              <w:right w:w="0" w:type="dxa"/>
            </w:tcMar>
            <w:vAlign w:val="center"/>
          </w:tcPr>
          <w:p w14:paraId="541C719F">
            <w:pPr>
              <w:jc w:val="center"/>
              <w:rPr>
                <w:rFonts w:hint="eastAsia" w:ascii="宋体" w:hAnsi="宋体" w:cs="宋体"/>
                <w:color w:val="auto"/>
                <w:szCs w:val="21"/>
              </w:rPr>
            </w:pPr>
          </w:p>
        </w:tc>
        <w:tc>
          <w:tcPr>
            <w:tcW w:w="934" w:type="dxa"/>
            <w:tcBorders>
              <w:left w:val="single" w:color="auto" w:sz="4" w:space="0"/>
            </w:tcBorders>
            <w:vAlign w:val="center"/>
          </w:tcPr>
          <w:p w14:paraId="623FC4A4">
            <w:pPr>
              <w:jc w:val="center"/>
              <w:rPr>
                <w:rFonts w:hint="eastAsia" w:ascii="宋体" w:hAnsi="宋体" w:cs="宋体"/>
                <w:color w:val="auto"/>
                <w:szCs w:val="21"/>
              </w:rPr>
            </w:pPr>
          </w:p>
        </w:tc>
      </w:tr>
      <w:tr w14:paraId="5B8D3D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continue"/>
            <w:tcMar>
              <w:left w:w="0" w:type="dxa"/>
              <w:right w:w="0" w:type="dxa"/>
            </w:tcMar>
            <w:vAlign w:val="center"/>
          </w:tcPr>
          <w:p w14:paraId="7A632F22">
            <w:pPr>
              <w:jc w:val="center"/>
              <w:rPr>
                <w:rFonts w:hint="eastAsia" w:ascii="宋体" w:hAnsi="宋体" w:cs="宋体"/>
                <w:color w:val="auto"/>
                <w:szCs w:val="21"/>
              </w:rPr>
            </w:pPr>
          </w:p>
        </w:tc>
        <w:tc>
          <w:tcPr>
            <w:tcW w:w="1134" w:type="dxa"/>
            <w:vMerge w:val="restart"/>
            <w:tcMar>
              <w:left w:w="0" w:type="dxa"/>
              <w:right w:w="0" w:type="dxa"/>
            </w:tcMar>
            <w:vAlign w:val="center"/>
          </w:tcPr>
          <w:p w14:paraId="4A142BC7">
            <w:pPr>
              <w:jc w:val="center"/>
              <w:rPr>
                <w:rFonts w:hint="eastAsia" w:ascii="宋体" w:hAnsi="宋体" w:cs="宋体"/>
                <w:color w:val="auto"/>
                <w:szCs w:val="21"/>
              </w:rPr>
            </w:pPr>
            <w:r>
              <w:rPr>
                <w:rFonts w:hint="eastAsia" w:ascii="宋体" w:hAnsi="宋体" w:cs="宋体"/>
                <w:color w:val="auto"/>
                <w:szCs w:val="21"/>
              </w:rPr>
              <w:t>环境敏感性</w:t>
            </w:r>
          </w:p>
        </w:tc>
        <w:tc>
          <w:tcPr>
            <w:tcW w:w="1006" w:type="dxa"/>
            <w:vMerge w:val="restart"/>
            <w:tcMar>
              <w:left w:w="0" w:type="dxa"/>
              <w:right w:w="0" w:type="dxa"/>
            </w:tcMar>
            <w:vAlign w:val="center"/>
          </w:tcPr>
          <w:p w14:paraId="02E05806">
            <w:pPr>
              <w:jc w:val="center"/>
              <w:rPr>
                <w:rFonts w:hint="eastAsia" w:ascii="宋体" w:hAnsi="宋体" w:cs="宋体"/>
                <w:color w:val="auto"/>
                <w:szCs w:val="21"/>
              </w:rPr>
            </w:pPr>
            <w:r>
              <w:rPr>
                <w:rFonts w:hint="eastAsia" w:ascii="宋体" w:hAnsi="宋体" w:cs="宋体"/>
                <w:color w:val="auto"/>
                <w:szCs w:val="21"/>
              </w:rPr>
              <w:t>大气</w:t>
            </w:r>
          </w:p>
        </w:tc>
        <w:tc>
          <w:tcPr>
            <w:tcW w:w="3105" w:type="dxa"/>
            <w:gridSpan w:val="6"/>
            <w:tcMar>
              <w:left w:w="0" w:type="dxa"/>
              <w:right w:w="0" w:type="dxa"/>
            </w:tcMar>
            <w:vAlign w:val="center"/>
          </w:tcPr>
          <w:p w14:paraId="739D92C7">
            <w:pPr>
              <w:jc w:val="center"/>
              <w:rPr>
                <w:rFonts w:hint="eastAsia" w:ascii="宋体" w:hAnsi="宋体" w:cs="宋体"/>
                <w:color w:val="auto"/>
                <w:szCs w:val="21"/>
              </w:rPr>
            </w:pPr>
            <w:r>
              <w:rPr>
                <w:rFonts w:hint="eastAsia" w:ascii="宋体" w:hAnsi="宋体" w:cs="宋体"/>
                <w:color w:val="auto"/>
                <w:szCs w:val="21"/>
              </w:rPr>
              <w:t>500m范围内人口数</w:t>
            </w:r>
            <w:r>
              <w:rPr>
                <w:rFonts w:hint="eastAsia" w:ascii="宋体" w:hAnsi="宋体" w:cs="宋体"/>
                <w:color w:val="auto"/>
                <w:szCs w:val="21"/>
                <w:u w:val="single"/>
              </w:rPr>
              <w:t>0</w:t>
            </w:r>
            <w:r>
              <w:rPr>
                <w:rFonts w:hint="eastAsia" w:ascii="宋体" w:hAnsi="宋体" w:cs="宋体"/>
                <w:color w:val="auto"/>
                <w:szCs w:val="21"/>
              </w:rPr>
              <w:t>人</w:t>
            </w:r>
          </w:p>
        </w:tc>
        <w:tc>
          <w:tcPr>
            <w:tcW w:w="2835" w:type="dxa"/>
            <w:gridSpan w:val="8"/>
            <w:tcMar>
              <w:left w:w="0" w:type="dxa"/>
              <w:right w:w="0" w:type="dxa"/>
            </w:tcMar>
            <w:vAlign w:val="center"/>
          </w:tcPr>
          <w:p w14:paraId="7F14C9C3">
            <w:pPr>
              <w:jc w:val="center"/>
              <w:rPr>
                <w:rFonts w:hint="eastAsia" w:ascii="宋体" w:hAnsi="宋体" w:cs="宋体"/>
                <w:color w:val="auto"/>
                <w:szCs w:val="21"/>
              </w:rPr>
            </w:pPr>
            <w:r>
              <w:rPr>
                <w:rFonts w:hint="eastAsia" w:ascii="宋体" w:hAnsi="宋体" w:cs="宋体"/>
                <w:color w:val="auto"/>
                <w:szCs w:val="21"/>
              </w:rPr>
              <w:t>5km范围内人口数</w:t>
            </w:r>
            <w:r>
              <w:rPr>
                <w:rFonts w:hint="eastAsia" w:ascii="宋体" w:hAnsi="宋体" w:cs="宋体"/>
                <w:color w:val="auto"/>
                <w:szCs w:val="21"/>
                <w:u w:val="single"/>
              </w:rPr>
              <w:t>0</w:t>
            </w:r>
            <w:r>
              <w:rPr>
                <w:rFonts w:hint="eastAsia" w:ascii="宋体" w:hAnsi="宋体" w:cs="宋体"/>
                <w:color w:val="auto"/>
                <w:szCs w:val="21"/>
              </w:rPr>
              <w:t>人</w:t>
            </w:r>
          </w:p>
        </w:tc>
      </w:tr>
      <w:tr w14:paraId="622B485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continue"/>
            <w:tcMar>
              <w:left w:w="0" w:type="dxa"/>
              <w:right w:w="0" w:type="dxa"/>
            </w:tcMar>
            <w:vAlign w:val="center"/>
          </w:tcPr>
          <w:p w14:paraId="546F7F4B">
            <w:pPr>
              <w:jc w:val="center"/>
              <w:rPr>
                <w:rFonts w:hint="eastAsia" w:ascii="宋体" w:hAnsi="宋体" w:cs="宋体"/>
                <w:color w:val="auto"/>
                <w:szCs w:val="21"/>
              </w:rPr>
            </w:pPr>
          </w:p>
        </w:tc>
        <w:tc>
          <w:tcPr>
            <w:tcW w:w="1134" w:type="dxa"/>
            <w:vMerge w:val="continue"/>
            <w:tcMar>
              <w:left w:w="0" w:type="dxa"/>
              <w:right w:w="0" w:type="dxa"/>
            </w:tcMar>
            <w:vAlign w:val="center"/>
          </w:tcPr>
          <w:p w14:paraId="54734BB1">
            <w:pPr>
              <w:jc w:val="center"/>
              <w:rPr>
                <w:rFonts w:hint="eastAsia" w:ascii="宋体" w:hAnsi="宋体" w:cs="宋体"/>
                <w:color w:val="auto"/>
                <w:szCs w:val="21"/>
              </w:rPr>
            </w:pPr>
          </w:p>
        </w:tc>
        <w:tc>
          <w:tcPr>
            <w:tcW w:w="1006" w:type="dxa"/>
            <w:vMerge w:val="continue"/>
            <w:tcMar>
              <w:left w:w="0" w:type="dxa"/>
              <w:right w:w="0" w:type="dxa"/>
            </w:tcMar>
            <w:vAlign w:val="center"/>
          </w:tcPr>
          <w:p w14:paraId="662BB145">
            <w:pPr>
              <w:jc w:val="center"/>
              <w:rPr>
                <w:rFonts w:hint="eastAsia" w:ascii="宋体" w:hAnsi="宋体" w:cs="宋体"/>
                <w:color w:val="auto"/>
                <w:szCs w:val="21"/>
              </w:rPr>
            </w:pPr>
          </w:p>
        </w:tc>
        <w:tc>
          <w:tcPr>
            <w:tcW w:w="4474" w:type="dxa"/>
            <w:gridSpan w:val="10"/>
            <w:tcMar>
              <w:left w:w="0" w:type="dxa"/>
              <w:right w:w="0" w:type="dxa"/>
            </w:tcMar>
            <w:vAlign w:val="center"/>
          </w:tcPr>
          <w:p w14:paraId="353C9A74">
            <w:pPr>
              <w:jc w:val="center"/>
              <w:rPr>
                <w:rFonts w:hint="eastAsia" w:ascii="宋体" w:hAnsi="宋体" w:cs="宋体"/>
                <w:color w:val="auto"/>
                <w:szCs w:val="21"/>
              </w:rPr>
            </w:pPr>
            <w:r>
              <w:rPr>
                <w:rFonts w:hint="eastAsia" w:ascii="宋体" w:hAnsi="宋体" w:cs="宋体"/>
                <w:color w:val="auto"/>
                <w:szCs w:val="21"/>
              </w:rPr>
              <w:t>每公里管段周边200m范围内人口数（最大）</w:t>
            </w:r>
          </w:p>
        </w:tc>
        <w:tc>
          <w:tcPr>
            <w:tcW w:w="1466" w:type="dxa"/>
            <w:gridSpan w:val="4"/>
            <w:tcMar>
              <w:left w:w="0" w:type="dxa"/>
              <w:right w:w="0" w:type="dxa"/>
            </w:tcMar>
            <w:vAlign w:val="center"/>
          </w:tcPr>
          <w:p w14:paraId="70FE2DAD">
            <w:pPr>
              <w:jc w:val="center"/>
              <w:rPr>
                <w:rFonts w:hint="eastAsia" w:ascii="宋体" w:hAnsi="宋体" w:cs="宋体"/>
                <w:color w:val="auto"/>
                <w:szCs w:val="21"/>
              </w:rPr>
            </w:pPr>
            <w:r>
              <w:rPr>
                <w:rFonts w:hint="eastAsia" w:ascii="宋体" w:hAnsi="宋体" w:cs="宋体"/>
                <w:color w:val="auto"/>
                <w:szCs w:val="21"/>
                <w:u w:val="single"/>
              </w:rPr>
              <w:t>0</w:t>
            </w:r>
            <w:r>
              <w:rPr>
                <w:rFonts w:hint="eastAsia" w:ascii="宋体" w:hAnsi="宋体" w:cs="宋体"/>
                <w:color w:val="auto"/>
                <w:szCs w:val="21"/>
              </w:rPr>
              <w:t>人</w:t>
            </w:r>
          </w:p>
        </w:tc>
      </w:tr>
      <w:tr w14:paraId="28B3707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continue"/>
            <w:tcMar>
              <w:left w:w="0" w:type="dxa"/>
              <w:right w:w="0" w:type="dxa"/>
            </w:tcMar>
            <w:vAlign w:val="center"/>
          </w:tcPr>
          <w:p w14:paraId="31844E89">
            <w:pPr>
              <w:jc w:val="center"/>
              <w:rPr>
                <w:rFonts w:hint="eastAsia" w:ascii="宋体" w:hAnsi="宋体" w:cs="宋体"/>
                <w:color w:val="auto"/>
                <w:szCs w:val="21"/>
              </w:rPr>
            </w:pPr>
          </w:p>
        </w:tc>
        <w:tc>
          <w:tcPr>
            <w:tcW w:w="1134" w:type="dxa"/>
            <w:vMerge w:val="continue"/>
            <w:tcMar>
              <w:left w:w="0" w:type="dxa"/>
              <w:right w:w="0" w:type="dxa"/>
            </w:tcMar>
            <w:vAlign w:val="center"/>
          </w:tcPr>
          <w:p w14:paraId="3BC5B86F">
            <w:pPr>
              <w:jc w:val="center"/>
              <w:rPr>
                <w:rFonts w:hint="eastAsia" w:ascii="宋体" w:hAnsi="宋体" w:cs="宋体"/>
                <w:color w:val="auto"/>
                <w:szCs w:val="21"/>
              </w:rPr>
            </w:pPr>
          </w:p>
        </w:tc>
        <w:tc>
          <w:tcPr>
            <w:tcW w:w="1006" w:type="dxa"/>
            <w:vMerge w:val="restart"/>
            <w:tcMar>
              <w:left w:w="0" w:type="dxa"/>
              <w:right w:w="0" w:type="dxa"/>
            </w:tcMar>
            <w:vAlign w:val="center"/>
          </w:tcPr>
          <w:p w14:paraId="2B414BEC">
            <w:pPr>
              <w:jc w:val="center"/>
              <w:rPr>
                <w:rFonts w:hint="eastAsia" w:ascii="宋体" w:hAnsi="宋体" w:cs="宋体"/>
                <w:color w:val="auto"/>
                <w:szCs w:val="21"/>
              </w:rPr>
            </w:pPr>
            <w:r>
              <w:rPr>
                <w:rFonts w:hint="eastAsia" w:ascii="宋体" w:hAnsi="宋体" w:cs="宋体"/>
                <w:color w:val="auto"/>
                <w:szCs w:val="21"/>
              </w:rPr>
              <w:t>地表水</w:t>
            </w:r>
          </w:p>
        </w:tc>
        <w:tc>
          <w:tcPr>
            <w:tcW w:w="1829" w:type="dxa"/>
            <w:gridSpan w:val="4"/>
            <w:tcMar>
              <w:left w:w="0" w:type="dxa"/>
              <w:right w:w="0" w:type="dxa"/>
            </w:tcMar>
            <w:vAlign w:val="center"/>
          </w:tcPr>
          <w:p w14:paraId="030A6F29">
            <w:pPr>
              <w:jc w:val="center"/>
              <w:rPr>
                <w:rFonts w:hint="eastAsia" w:ascii="宋体" w:hAnsi="宋体" w:cs="宋体"/>
                <w:color w:val="auto"/>
                <w:szCs w:val="21"/>
              </w:rPr>
            </w:pPr>
            <w:r>
              <w:rPr>
                <w:rFonts w:hint="eastAsia" w:ascii="宋体" w:hAnsi="宋体" w:cs="宋体"/>
                <w:color w:val="auto"/>
                <w:szCs w:val="21"/>
              </w:rPr>
              <w:t>地表水功能敏感性</w:t>
            </w:r>
          </w:p>
        </w:tc>
        <w:tc>
          <w:tcPr>
            <w:tcW w:w="1276" w:type="dxa"/>
            <w:gridSpan w:val="2"/>
            <w:tcMar>
              <w:left w:w="0" w:type="dxa"/>
              <w:right w:w="0" w:type="dxa"/>
            </w:tcMar>
            <w:vAlign w:val="center"/>
          </w:tcPr>
          <w:p w14:paraId="425723E1">
            <w:pPr>
              <w:jc w:val="center"/>
              <w:rPr>
                <w:rFonts w:hint="eastAsia" w:ascii="宋体" w:hAnsi="宋体" w:cs="宋体"/>
                <w:color w:val="auto"/>
                <w:szCs w:val="21"/>
              </w:rPr>
            </w:pPr>
            <w:r>
              <w:rPr>
                <w:rFonts w:hint="eastAsia" w:ascii="宋体" w:hAnsi="宋体" w:cs="宋体"/>
                <w:color w:val="auto"/>
                <w:szCs w:val="21"/>
              </w:rPr>
              <w:t>F1□</w:t>
            </w:r>
          </w:p>
        </w:tc>
        <w:tc>
          <w:tcPr>
            <w:tcW w:w="1369" w:type="dxa"/>
            <w:gridSpan w:val="4"/>
            <w:tcMar>
              <w:left w:w="0" w:type="dxa"/>
              <w:right w:w="0" w:type="dxa"/>
            </w:tcMar>
            <w:vAlign w:val="center"/>
          </w:tcPr>
          <w:p w14:paraId="24083A1F">
            <w:pPr>
              <w:jc w:val="center"/>
              <w:rPr>
                <w:rFonts w:hint="eastAsia" w:ascii="宋体" w:hAnsi="宋体" w:cs="宋体"/>
                <w:color w:val="auto"/>
                <w:szCs w:val="21"/>
              </w:rPr>
            </w:pPr>
            <w:r>
              <w:rPr>
                <w:rFonts w:hint="eastAsia" w:ascii="宋体" w:hAnsi="宋体" w:cs="宋体"/>
                <w:color w:val="auto"/>
                <w:szCs w:val="21"/>
              </w:rPr>
              <w:t>F2□</w:t>
            </w:r>
          </w:p>
        </w:tc>
        <w:tc>
          <w:tcPr>
            <w:tcW w:w="1466" w:type="dxa"/>
            <w:gridSpan w:val="4"/>
            <w:tcMar>
              <w:left w:w="0" w:type="dxa"/>
              <w:right w:w="0" w:type="dxa"/>
            </w:tcMar>
            <w:vAlign w:val="center"/>
          </w:tcPr>
          <w:p w14:paraId="6AAA7766">
            <w:pPr>
              <w:jc w:val="center"/>
              <w:rPr>
                <w:rFonts w:hint="eastAsia" w:ascii="宋体" w:hAnsi="宋体" w:cs="宋体"/>
                <w:color w:val="auto"/>
                <w:szCs w:val="21"/>
              </w:rPr>
            </w:pPr>
            <w:r>
              <w:rPr>
                <w:rFonts w:hint="eastAsia" w:ascii="宋体" w:hAnsi="宋体" w:cs="宋体"/>
                <w:color w:val="auto"/>
                <w:szCs w:val="21"/>
              </w:rPr>
              <w:t>F3□</w:t>
            </w:r>
          </w:p>
        </w:tc>
      </w:tr>
      <w:tr w14:paraId="57ADA74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continue"/>
            <w:tcMar>
              <w:left w:w="0" w:type="dxa"/>
              <w:right w:w="0" w:type="dxa"/>
            </w:tcMar>
            <w:vAlign w:val="center"/>
          </w:tcPr>
          <w:p w14:paraId="06EECBCB">
            <w:pPr>
              <w:jc w:val="center"/>
              <w:rPr>
                <w:rFonts w:hint="eastAsia" w:ascii="宋体" w:hAnsi="宋体" w:cs="宋体"/>
                <w:color w:val="auto"/>
                <w:szCs w:val="21"/>
              </w:rPr>
            </w:pPr>
          </w:p>
        </w:tc>
        <w:tc>
          <w:tcPr>
            <w:tcW w:w="1134" w:type="dxa"/>
            <w:vMerge w:val="continue"/>
            <w:tcMar>
              <w:left w:w="0" w:type="dxa"/>
              <w:right w:w="0" w:type="dxa"/>
            </w:tcMar>
            <w:vAlign w:val="center"/>
          </w:tcPr>
          <w:p w14:paraId="120CEB90">
            <w:pPr>
              <w:jc w:val="center"/>
              <w:rPr>
                <w:rFonts w:hint="eastAsia" w:ascii="宋体" w:hAnsi="宋体" w:cs="宋体"/>
                <w:color w:val="auto"/>
                <w:szCs w:val="21"/>
              </w:rPr>
            </w:pPr>
          </w:p>
        </w:tc>
        <w:tc>
          <w:tcPr>
            <w:tcW w:w="1006" w:type="dxa"/>
            <w:vMerge w:val="continue"/>
            <w:tcMar>
              <w:left w:w="0" w:type="dxa"/>
              <w:right w:w="0" w:type="dxa"/>
            </w:tcMar>
            <w:vAlign w:val="center"/>
          </w:tcPr>
          <w:p w14:paraId="14B5AB5D">
            <w:pPr>
              <w:jc w:val="center"/>
              <w:rPr>
                <w:rFonts w:hint="eastAsia" w:ascii="宋体" w:hAnsi="宋体" w:cs="宋体"/>
                <w:color w:val="auto"/>
                <w:szCs w:val="21"/>
              </w:rPr>
            </w:pPr>
          </w:p>
        </w:tc>
        <w:tc>
          <w:tcPr>
            <w:tcW w:w="1829" w:type="dxa"/>
            <w:gridSpan w:val="4"/>
            <w:tcMar>
              <w:left w:w="0" w:type="dxa"/>
              <w:right w:w="0" w:type="dxa"/>
            </w:tcMar>
            <w:vAlign w:val="center"/>
          </w:tcPr>
          <w:p w14:paraId="187BBD2B">
            <w:pPr>
              <w:jc w:val="center"/>
              <w:rPr>
                <w:rFonts w:hint="eastAsia" w:ascii="宋体" w:hAnsi="宋体" w:cs="宋体"/>
                <w:color w:val="auto"/>
                <w:szCs w:val="21"/>
              </w:rPr>
            </w:pPr>
            <w:r>
              <w:rPr>
                <w:rFonts w:hint="eastAsia" w:ascii="宋体" w:hAnsi="宋体" w:cs="宋体"/>
                <w:color w:val="auto"/>
                <w:szCs w:val="21"/>
              </w:rPr>
              <w:t>环境敏感目标分级</w:t>
            </w:r>
          </w:p>
        </w:tc>
        <w:tc>
          <w:tcPr>
            <w:tcW w:w="1276" w:type="dxa"/>
            <w:gridSpan w:val="2"/>
            <w:tcMar>
              <w:left w:w="0" w:type="dxa"/>
              <w:right w:w="0" w:type="dxa"/>
            </w:tcMar>
            <w:vAlign w:val="center"/>
          </w:tcPr>
          <w:p w14:paraId="5E14DECE">
            <w:pPr>
              <w:jc w:val="center"/>
              <w:rPr>
                <w:rFonts w:hint="eastAsia" w:ascii="宋体" w:hAnsi="宋体" w:cs="宋体"/>
                <w:color w:val="auto"/>
                <w:szCs w:val="21"/>
              </w:rPr>
            </w:pPr>
            <w:r>
              <w:rPr>
                <w:rFonts w:hint="eastAsia" w:ascii="宋体" w:hAnsi="宋体" w:cs="宋体"/>
                <w:color w:val="auto"/>
                <w:szCs w:val="21"/>
              </w:rPr>
              <w:t>S1□</w:t>
            </w:r>
          </w:p>
        </w:tc>
        <w:tc>
          <w:tcPr>
            <w:tcW w:w="1369" w:type="dxa"/>
            <w:gridSpan w:val="4"/>
            <w:tcMar>
              <w:left w:w="0" w:type="dxa"/>
              <w:right w:w="0" w:type="dxa"/>
            </w:tcMar>
            <w:vAlign w:val="center"/>
          </w:tcPr>
          <w:p w14:paraId="61B469EA">
            <w:pPr>
              <w:jc w:val="center"/>
              <w:rPr>
                <w:rFonts w:hint="eastAsia" w:ascii="宋体" w:hAnsi="宋体" w:cs="宋体"/>
                <w:color w:val="auto"/>
                <w:szCs w:val="21"/>
              </w:rPr>
            </w:pPr>
            <w:r>
              <w:rPr>
                <w:rFonts w:hint="eastAsia" w:ascii="宋体" w:hAnsi="宋体" w:cs="宋体"/>
                <w:color w:val="auto"/>
                <w:szCs w:val="21"/>
              </w:rPr>
              <w:t>S2□</w:t>
            </w:r>
          </w:p>
        </w:tc>
        <w:tc>
          <w:tcPr>
            <w:tcW w:w="1466" w:type="dxa"/>
            <w:gridSpan w:val="4"/>
            <w:tcMar>
              <w:left w:w="0" w:type="dxa"/>
              <w:right w:w="0" w:type="dxa"/>
            </w:tcMar>
            <w:vAlign w:val="center"/>
          </w:tcPr>
          <w:p w14:paraId="6150111E">
            <w:pPr>
              <w:jc w:val="center"/>
              <w:rPr>
                <w:rFonts w:hint="eastAsia" w:ascii="宋体" w:hAnsi="宋体" w:cs="宋体"/>
                <w:color w:val="auto"/>
                <w:szCs w:val="21"/>
              </w:rPr>
            </w:pPr>
            <w:r>
              <w:rPr>
                <w:rFonts w:hint="eastAsia" w:ascii="宋体" w:hAnsi="宋体" w:cs="宋体"/>
                <w:color w:val="auto"/>
                <w:szCs w:val="21"/>
              </w:rPr>
              <w:t>S3□</w:t>
            </w:r>
          </w:p>
        </w:tc>
      </w:tr>
      <w:tr w14:paraId="70DD37C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continue"/>
            <w:tcMar>
              <w:left w:w="0" w:type="dxa"/>
              <w:right w:w="0" w:type="dxa"/>
            </w:tcMar>
            <w:vAlign w:val="center"/>
          </w:tcPr>
          <w:p w14:paraId="3BF83B65">
            <w:pPr>
              <w:jc w:val="center"/>
              <w:rPr>
                <w:rFonts w:hint="eastAsia" w:ascii="宋体" w:hAnsi="宋体" w:cs="宋体"/>
                <w:color w:val="auto"/>
                <w:szCs w:val="21"/>
              </w:rPr>
            </w:pPr>
          </w:p>
        </w:tc>
        <w:tc>
          <w:tcPr>
            <w:tcW w:w="1134" w:type="dxa"/>
            <w:vMerge w:val="continue"/>
            <w:tcMar>
              <w:left w:w="0" w:type="dxa"/>
              <w:right w:w="0" w:type="dxa"/>
            </w:tcMar>
            <w:vAlign w:val="center"/>
          </w:tcPr>
          <w:p w14:paraId="3D0B6649">
            <w:pPr>
              <w:jc w:val="center"/>
              <w:rPr>
                <w:rFonts w:hint="eastAsia" w:ascii="宋体" w:hAnsi="宋体" w:cs="宋体"/>
                <w:color w:val="auto"/>
                <w:szCs w:val="21"/>
              </w:rPr>
            </w:pPr>
          </w:p>
        </w:tc>
        <w:tc>
          <w:tcPr>
            <w:tcW w:w="1006" w:type="dxa"/>
            <w:vMerge w:val="restart"/>
            <w:tcMar>
              <w:left w:w="0" w:type="dxa"/>
              <w:right w:w="0" w:type="dxa"/>
            </w:tcMar>
            <w:vAlign w:val="center"/>
          </w:tcPr>
          <w:p w14:paraId="795FDB21">
            <w:pPr>
              <w:jc w:val="center"/>
              <w:rPr>
                <w:rFonts w:hint="eastAsia" w:ascii="宋体" w:hAnsi="宋体" w:cs="宋体"/>
                <w:color w:val="auto"/>
                <w:szCs w:val="21"/>
              </w:rPr>
            </w:pPr>
            <w:r>
              <w:rPr>
                <w:rFonts w:hint="eastAsia" w:ascii="宋体" w:hAnsi="宋体" w:cs="宋体"/>
                <w:color w:val="auto"/>
                <w:szCs w:val="21"/>
              </w:rPr>
              <w:t>地下水</w:t>
            </w:r>
          </w:p>
        </w:tc>
        <w:tc>
          <w:tcPr>
            <w:tcW w:w="1829" w:type="dxa"/>
            <w:gridSpan w:val="4"/>
            <w:tcMar>
              <w:left w:w="0" w:type="dxa"/>
              <w:right w:w="0" w:type="dxa"/>
            </w:tcMar>
            <w:vAlign w:val="center"/>
          </w:tcPr>
          <w:p w14:paraId="6D666E4E">
            <w:pPr>
              <w:jc w:val="center"/>
              <w:rPr>
                <w:rFonts w:hint="eastAsia" w:ascii="宋体" w:hAnsi="宋体" w:cs="宋体"/>
                <w:color w:val="auto"/>
                <w:szCs w:val="21"/>
              </w:rPr>
            </w:pPr>
            <w:r>
              <w:rPr>
                <w:rFonts w:hint="eastAsia" w:ascii="宋体" w:hAnsi="宋体" w:cs="宋体"/>
                <w:color w:val="auto"/>
                <w:szCs w:val="21"/>
              </w:rPr>
              <w:t>地下水功能敏感性</w:t>
            </w:r>
          </w:p>
        </w:tc>
        <w:tc>
          <w:tcPr>
            <w:tcW w:w="1276" w:type="dxa"/>
            <w:gridSpan w:val="2"/>
            <w:tcMar>
              <w:left w:w="0" w:type="dxa"/>
              <w:right w:w="0" w:type="dxa"/>
            </w:tcMar>
            <w:vAlign w:val="center"/>
          </w:tcPr>
          <w:p w14:paraId="0DA2A724">
            <w:pPr>
              <w:jc w:val="center"/>
              <w:rPr>
                <w:rFonts w:hint="eastAsia" w:ascii="宋体" w:hAnsi="宋体" w:cs="宋体"/>
                <w:color w:val="auto"/>
                <w:szCs w:val="21"/>
              </w:rPr>
            </w:pPr>
            <w:r>
              <w:rPr>
                <w:rFonts w:hint="eastAsia" w:ascii="宋体" w:hAnsi="宋体" w:cs="宋体"/>
                <w:color w:val="auto"/>
                <w:szCs w:val="21"/>
              </w:rPr>
              <w:t>G1□</w:t>
            </w:r>
          </w:p>
        </w:tc>
        <w:tc>
          <w:tcPr>
            <w:tcW w:w="1369" w:type="dxa"/>
            <w:gridSpan w:val="4"/>
            <w:tcMar>
              <w:left w:w="0" w:type="dxa"/>
              <w:right w:w="0" w:type="dxa"/>
            </w:tcMar>
            <w:vAlign w:val="center"/>
          </w:tcPr>
          <w:p w14:paraId="33F2CCD9">
            <w:pPr>
              <w:jc w:val="center"/>
              <w:rPr>
                <w:rFonts w:hint="eastAsia" w:ascii="宋体" w:hAnsi="宋体" w:cs="宋体"/>
                <w:color w:val="auto"/>
                <w:szCs w:val="21"/>
              </w:rPr>
            </w:pPr>
            <w:r>
              <w:rPr>
                <w:rFonts w:hint="eastAsia" w:ascii="宋体" w:hAnsi="宋体" w:cs="宋体"/>
                <w:color w:val="auto"/>
                <w:szCs w:val="21"/>
              </w:rPr>
              <w:t>G2□</w:t>
            </w:r>
          </w:p>
        </w:tc>
        <w:tc>
          <w:tcPr>
            <w:tcW w:w="1466" w:type="dxa"/>
            <w:gridSpan w:val="4"/>
            <w:tcMar>
              <w:left w:w="0" w:type="dxa"/>
              <w:right w:w="0" w:type="dxa"/>
            </w:tcMar>
            <w:vAlign w:val="center"/>
          </w:tcPr>
          <w:p w14:paraId="04A9603A">
            <w:pPr>
              <w:jc w:val="center"/>
              <w:rPr>
                <w:rFonts w:hint="eastAsia" w:ascii="宋体" w:hAnsi="宋体" w:cs="宋体"/>
                <w:color w:val="auto"/>
                <w:szCs w:val="21"/>
              </w:rPr>
            </w:pPr>
            <w:r>
              <w:rPr>
                <w:rFonts w:hint="eastAsia" w:ascii="宋体" w:hAnsi="宋体" w:cs="宋体"/>
                <w:color w:val="auto"/>
                <w:szCs w:val="21"/>
              </w:rPr>
              <w:t>G3□</w:t>
            </w:r>
          </w:p>
        </w:tc>
      </w:tr>
      <w:tr w14:paraId="050B811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continue"/>
            <w:tcMar>
              <w:left w:w="0" w:type="dxa"/>
              <w:right w:w="0" w:type="dxa"/>
            </w:tcMar>
            <w:vAlign w:val="center"/>
          </w:tcPr>
          <w:p w14:paraId="71B2D684">
            <w:pPr>
              <w:jc w:val="center"/>
              <w:rPr>
                <w:rFonts w:hint="eastAsia" w:ascii="宋体" w:hAnsi="宋体" w:cs="宋体"/>
                <w:color w:val="auto"/>
                <w:szCs w:val="21"/>
              </w:rPr>
            </w:pPr>
          </w:p>
        </w:tc>
        <w:tc>
          <w:tcPr>
            <w:tcW w:w="1134" w:type="dxa"/>
            <w:vMerge w:val="continue"/>
            <w:tcMar>
              <w:left w:w="0" w:type="dxa"/>
              <w:right w:w="0" w:type="dxa"/>
            </w:tcMar>
            <w:vAlign w:val="center"/>
          </w:tcPr>
          <w:p w14:paraId="74DC6961">
            <w:pPr>
              <w:jc w:val="center"/>
              <w:rPr>
                <w:rFonts w:hint="eastAsia" w:ascii="宋体" w:hAnsi="宋体" w:cs="宋体"/>
                <w:color w:val="auto"/>
                <w:szCs w:val="21"/>
              </w:rPr>
            </w:pPr>
          </w:p>
        </w:tc>
        <w:tc>
          <w:tcPr>
            <w:tcW w:w="1006" w:type="dxa"/>
            <w:vMerge w:val="continue"/>
            <w:tcMar>
              <w:left w:w="0" w:type="dxa"/>
              <w:right w:w="0" w:type="dxa"/>
            </w:tcMar>
            <w:vAlign w:val="center"/>
          </w:tcPr>
          <w:p w14:paraId="46C3AFF0">
            <w:pPr>
              <w:jc w:val="center"/>
              <w:rPr>
                <w:rFonts w:hint="eastAsia" w:ascii="宋体" w:hAnsi="宋体" w:cs="宋体"/>
                <w:color w:val="auto"/>
                <w:szCs w:val="21"/>
              </w:rPr>
            </w:pPr>
          </w:p>
        </w:tc>
        <w:tc>
          <w:tcPr>
            <w:tcW w:w="1829" w:type="dxa"/>
            <w:gridSpan w:val="4"/>
            <w:tcMar>
              <w:left w:w="0" w:type="dxa"/>
              <w:right w:w="0" w:type="dxa"/>
            </w:tcMar>
            <w:vAlign w:val="center"/>
          </w:tcPr>
          <w:p w14:paraId="5C417436">
            <w:pPr>
              <w:jc w:val="center"/>
              <w:rPr>
                <w:rFonts w:hint="eastAsia" w:ascii="宋体" w:hAnsi="宋体" w:cs="宋体"/>
                <w:color w:val="auto"/>
                <w:szCs w:val="21"/>
              </w:rPr>
            </w:pPr>
            <w:r>
              <w:rPr>
                <w:rFonts w:hint="eastAsia" w:ascii="宋体" w:hAnsi="宋体" w:cs="宋体"/>
                <w:color w:val="auto"/>
                <w:szCs w:val="21"/>
              </w:rPr>
              <w:t>包气带防污性能</w:t>
            </w:r>
          </w:p>
        </w:tc>
        <w:tc>
          <w:tcPr>
            <w:tcW w:w="1276" w:type="dxa"/>
            <w:gridSpan w:val="2"/>
            <w:tcMar>
              <w:left w:w="0" w:type="dxa"/>
              <w:right w:w="0" w:type="dxa"/>
            </w:tcMar>
            <w:vAlign w:val="center"/>
          </w:tcPr>
          <w:p w14:paraId="56141648">
            <w:pPr>
              <w:jc w:val="center"/>
              <w:rPr>
                <w:rFonts w:hint="eastAsia" w:ascii="宋体" w:hAnsi="宋体" w:cs="宋体"/>
                <w:color w:val="auto"/>
                <w:szCs w:val="21"/>
              </w:rPr>
            </w:pPr>
            <w:r>
              <w:rPr>
                <w:rFonts w:hint="eastAsia" w:ascii="宋体" w:hAnsi="宋体" w:cs="宋体"/>
                <w:color w:val="auto"/>
                <w:szCs w:val="21"/>
              </w:rPr>
              <w:t>D1□</w:t>
            </w:r>
          </w:p>
        </w:tc>
        <w:tc>
          <w:tcPr>
            <w:tcW w:w="1369" w:type="dxa"/>
            <w:gridSpan w:val="4"/>
            <w:tcMar>
              <w:left w:w="0" w:type="dxa"/>
              <w:right w:w="0" w:type="dxa"/>
            </w:tcMar>
            <w:vAlign w:val="center"/>
          </w:tcPr>
          <w:p w14:paraId="5BA799C0">
            <w:pPr>
              <w:jc w:val="center"/>
              <w:rPr>
                <w:rFonts w:hint="eastAsia" w:ascii="宋体" w:hAnsi="宋体" w:cs="宋体"/>
                <w:color w:val="auto"/>
                <w:szCs w:val="21"/>
              </w:rPr>
            </w:pPr>
            <w:r>
              <w:rPr>
                <w:rFonts w:hint="eastAsia" w:ascii="宋体" w:hAnsi="宋体" w:cs="宋体"/>
                <w:color w:val="auto"/>
                <w:szCs w:val="21"/>
              </w:rPr>
              <w:t>D2□</w:t>
            </w:r>
          </w:p>
        </w:tc>
        <w:tc>
          <w:tcPr>
            <w:tcW w:w="1466" w:type="dxa"/>
            <w:gridSpan w:val="4"/>
            <w:tcMar>
              <w:left w:w="0" w:type="dxa"/>
              <w:right w:w="0" w:type="dxa"/>
            </w:tcMar>
            <w:vAlign w:val="center"/>
          </w:tcPr>
          <w:p w14:paraId="47C25389">
            <w:pPr>
              <w:jc w:val="center"/>
              <w:rPr>
                <w:rFonts w:hint="eastAsia" w:ascii="宋体" w:hAnsi="宋体" w:cs="宋体"/>
                <w:color w:val="auto"/>
                <w:szCs w:val="21"/>
              </w:rPr>
            </w:pPr>
            <w:r>
              <w:rPr>
                <w:rFonts w:hint="eastAsia" w:ascii="宋体" w:hAnsi="宋体" w:cs="宋体"/>
                <w:color w:val="auto"/>
                <w:szCs w:val="21"/>
              </w:rPr>
              <w:t>D3□</w:t>
            </w:r>
          </w:p>
        </w:tc>
      </w:tr>
      <w:tr w14:paraId="4AEAF9E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982" w:type="dxa"/>
            <w:gridSpan w:val="2"/>
            <w:vMerge w:val="restart"/>
            <w:tcMar>
              <w:left w:w="0" w:type="dxa"/>
              <w:right w:w="0" w:type="dxa"/>
            </w:tcMar>
            <w:vAlign w:val="center"/>
          </w:tcPr>
          <w:p w14:paraId="25652747">
            <w:pPr>
              <w:jc w:val="center"/>
              <w:rPr>
                <w:rFonts w:hint="eastAsia" w:ascii="宋体" w:hAnsi="宋体" w:cs="宋体"/>
                <w:color w:val="auto"/>
                <w:szCs w:val="21"/>
              </w:rPr>
            </w:pPr>
            <w:r>
              <w:rPr>
                <w:rFonts w:hint="eastAsia" w:ascii="宋体" w:hAnsi="宋体" w:cs="宋体"/>
                <w:color w:val="auto"/>
                <w:szCs w:val="21"/>
              </w:rPr>
              <w:t>物质及工艺系统危险性</w:t>
            </w:r>
          </w:p>
        </w:tc>
        <w:tc>
          <w:tcPr>
            <w:tcW w:w="1006" w:type="dxa"/>
            <w:tcMar>
              <w:left w:w="0" w:type="dxa"/>
              <w:right w:w="0" w:type="dxa"/>
            </w:tcMar>
            <w:vAlign w:val="center"/>
          </w:tcPr>
          <w:p w14:paraId="34A09E4B">
            <w:pPr>
              <w:jc w:val="center"/>
              <w:rPr>
                <w:rFonts w:hint="eastAsia" w:ascii="宋体" w:hAnsi="宋体" w:cs="宋体"/>
                <w:color w:val="auto"/>
                <w:szCs w:val="21"/>
              </w:rPr>
            </w:pPr>
            <w:r>
              <w:rPr>
                <w:rFonts w:hint="eastAsia" w:ascii="宋体" w:hAnsi="宋体" w:cs="宋体"/>
                <w:color w:val="auto"/>
                <w:szCs w:val="21"/>
              </w:rPr>
              <w:t>Q值</w:t>
            </w:r>
          </w:p>
        </w:tc>
        <w:tc>
          <w:tcPr>
            <w:tcW w:w="1829" w:type="dxa"/>
            <w:gridSpan w:val="4"/>
            <w:tcMar>
              <w:left w:w="0" w:type="dxa"/>
              <w:right w:w="0" w:type="dxa"/>
            </w:tcMar>
            <w:vAlign w:val="center"/>
          </w:tcPr>
          <w:p w14:paraId="10E57260">
            <w:pPr>
              <w:jc w:val="center"/>
              <w:rPr>
                <w:rFonts w:hint="eastAsia" w:ascii="宋体" w:hAnsi="宋体" w:cs="宋体"/>
                <w:color w:val="auto"/>
                <w:szCs w:val="21"/>
              </w:rPr>
            </w:pPr>
            <w:r>
              <w:rPr>
                <w:rFonts w:hint="eastAsia" w:ascii="宋体" w:hAnsi="宋体" w:cs="宋体"/>
                <w:color w:val="auto"/>
                <w:szCs w:val="21"/>
              </w:rPr>
              <w:t>Q＜1</w:t>
            </w:r>
            <w:r>
              <w:rPr>
                <w:rFonts w:hint="eastAsia" w:ascii="宋体" w:hAnsi="宋体" w:cs="宋体"/>
                <w:color w:val="auto"/>
                <w:szCs w:val="21"/>
              </w:rPr>
              <w:sym w:font="Wingdings 2" w:char="0052"/>
            </w:r>
          </w:p>
        </w:tc>
        <w:tc>
          <w:tcPr>
            <w:tcW w:w="1276" w:type="dxa"/>
            <w:gridSpan w:val="2"/>
            <w:tcMar>
              <w:left w:w="0" w:type="dxa"/>
              <w:right w:w="0" w:type="dxa"/>
            </w:tcMar>
            <w:vAlign w:val="center"/>
          </w:tcPr>
          <w:p w14:paraId="4D617928">
            <w:pPr>
              <w:jc w:val="center"/>
              <w:rPr>
                <w:rFonts w:hint="eastAsia" w:ascii="宋体" w:hAnsi="宋体" w:cs="宋体"/>
                <w:color w:val="auto"/>
                <w:szCs w:val="21"/>
              </w:rPr>
            </w:pPr>
            <w:r>
              <w:rPr>
                <w:rFonts w:hint="eastAsia" w:ascii="宋体" w:hAnsi="宋体" w:cs="宋体"/>
                <w:color w:val="auto"/>
                <w:szCs w:val="21"/>
              </w:rPr>
              <w:t>1≤Q＜10□</w:t>
            </w:r>
          </w:p>
        </w:tc>
        <w:tc>
          <w:tcPr>
            <w:tcW w:w="1369" w:type="dxa"/>
            <w:gridSpan w:val="4"/>
            <w:tcMar>
              <w:left w:w="0" w:type="dxa"/>
              <w:right w:w="0" w:type="dxa"/>
            </w:tcMar>
            <w:vAlign w:val="center"/>
          </w:tcPr>
          <w:p w14:paraId="2F71DAC9">
            <w:pPr>
              <w:jc w:val="center"/>
              <w:rPr>
                <w:rFonts w:hint="eastAsia" w:ascii="宋体" w:hAnsi="宋体" w:cs="宋体"/>
                <w:color w:val="auto"/>
                <w:szCs w:val="21"/>
              </w:rPr>
            </w:pPr>
            <w:r>
              <w:rPr>
                <w:rFonts w:hint="eastAsia" w:ascii="宋体" w:hAnsi="宋体" w:cs="宋体"/>
                <w:color w:val="auto"/>
                <w:szCs w:val="21"/>
              </w:rPr>
              <w:t>10≤Q＜100□</w:t>
            </w:r>
          </w:p>
        </w:tc>
        <w:tc>
          <w:tcPr>
            <w:tcW w:w="1466" w:type="dxa"/>
            <w:gridSpan w:val="4"/>
            <w:tcMar>
              <w:left w:w="0" w:type="dxa"/>
              <w:right w:w="0" w:type="dxa"/>
            </w:tcMar>
            <w:vAlign w:val="center"/>
          </w:tcPr>
          <w:p w14:paraId="3DE31009">
            <w:pPr>
              <w:jc w:val="center"/>
              <w:rPr>
                <w:rFonts w:hint="eastAsia" w:ascii="宋体" w:hAnsi="宋体" w:cs="宋体"/>
                <w:color w:val="auto"/>
                <w:szCs w:val="21"/>
              </w:rPr>
            </w:pPr>
            <w:r>
              <w:rPr>
                <w:rFonts w:hint="eastAsia" w:ascii="宋体" w:hAnsi="宋体" w:cs="宋体"/>
                <w:color w:val="auto"/>
                <w:szCs w:val="21"/>
              </w:rPr>
              <w:t>Q＞100□</w:t>
            </w:r>
          </w:p>
        </w:tc>
      </w:tr>
      <w:tr w14:paraId="7EA4FD2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982" w:type="dxa"/>
            <w:gridSpan w:val="2"/>
            <w:vMerge w:val="continue"/>
            <w:tcMar>
              <w:left w:w="0" w:type="dxa"/>
              <w:right w:w="0" w:type="dxa"/>
            </w:tcMar>
            <w:vAlign w:val="center"/>
          </w:tcPr>
          <w:p w14:paraId="33818AC0">
            <w:pPr>
              <w:jc w:val="center"/>
              <w:rPr>
                <w:rFonts w:hint="eastAsia" w:ascii="宋体" w:hAnsi="宋体" w:cs="宋体"/>
                <w:color w:val="auto"/>
                <w:szCs w:val="21"/>
              </w:rPr>
            </w:pPr>
          </w:p>
        </w:tc>
        <w:tc>
          <w:tcPr>
            <w:tcW w:w="1006" w:type="dxa"/>
            <w:tcMar>
              <w:left w:w="0" w:type="dxa"/>
              <w:right w:w="0" w:type="dxa"/>
            </w:tcMar>
            <w:vAlign w:val="center"/>
          </w:tcPr>
          <w:p w14:paraId="0BB4C94F">
            <w:pPr>
              <w:jc w:val="center"/>
              <w:rPr>
                <w:rFonts w:hint="eastAsia" w:ascii="宋体" w:hAnsi="宋体" w:cs="宋体"/>
                <w:color w:val="auto"/>
                <w:szCs w:val="21"/>
              </w:rPr>
            </w:pPr>
            <w:r>
              <w:rPr>
                <w:rFonts w:hint="eastAsia" w:ascii="宋体" w:hAnsi="宋体" w:cs="宋体"/>
                <w:color w:val="auto"/>
                <w:szCs w:val="21"/>
              </w:rPr>
              <w:t>M值</w:t>
            </w:r>
          </w:p>
        </w:tc>
        <w:tc>
          <w:tcPr>
            <w:tcW w:w="1829" w:type="dxa"/>
            <w:gridSpan w:val="4"/>
            <w:tcMar>
              <w:left w:w="0" w:type="dxa"/>
              <w:right w:w="0" w:type="dxa"/>
            </w:tcMar>
            <w:vAlign w:val="center"/>
          </w:tcPr>
          <w:p w14:paraId="319BA235">
            <w:pPr>
              <w:jc w:val="center"/>
              <w:rPr>
                <w:rFonts w:hint="eastAsia" w:ascii="宋体" w:hAnsi="宋体" w:cs="宋体"/>
                <w:color w:val="auto"/>
                <w:szCs w:val="21"/>
              </w:rPr>
            </w:pPr>
            <w:r>
              <w:rPr>
                <w:rFonts w:hint="eastAsia" w:ascii="宋体" w:hAnsi="宋体" w:cs="宋体"/>
                <w:color w:val="auto"/>
                <w:szCs w:val="21"/>
              </w:rPr>
              <w:t>M1□</w:t>
            </w:r>
          </w:p>
        </w:tc>
        <w:tc>
          <w:tcPr>
            <w:tcW w:w="1276" w:type="dxa"/>
            <w:gridSpan w:val="2"/>
            <w:tcMar>
              <w:left w:w="0" w:type="dxa"/>
              <w:right w:w="0" w:type="dxa"/>
            </w:tcMar>
            <w:vAlign w:val="center"/>
          </w:tcPr>
          <w:p w14:paraId="3AAAA22C">
            <w:pPr>
              <w:jc w:val="center"/>
              <w:rPr>
                <w:rFonts w:hint="eastAsia" w:ascii="宋体" w:hAnsi="宋体" w:cs="宋体"/>
                <w:color w:val="auto"/>
                <w:szCs w:val="21"/>
              </w:rPr>
            </w:pPr>
            <w:r>
              <w:rPr>
                <w:rFonts w:hint="eastAsia" w:ascii="宋体" w:hAnsi="宋体" w:cs="宋体"/>
                <w:color w:val="auto"/>
                <w:szCs w:val="21"/>
              </w:rPr>
              <w:t>M2□</w:t>
            </w:r>
          </w:p>
        </w:tc>
        <w:tc>
          <w:tcPr>
            <w:tcW w:w="1369" w:type="dxa"/>
            <w:gridSpan w:val="4"/>
            <w:tcMar>
              <w:left w:w="0" w:type="dxa"/>
              <w:right w:w="0" w:type="dxa"/>
            </w:tcMar>
            <w:vAlign w:val="center"/>
          </w:tcPr>
          <w:p w14:paraId="3F1C406F">
            <w:pPr>
              <w:jc w:val="center"/>
              <w:rPr>
                <w:rFonts w:hint="eastAsia" w:ascii="宋体" w:hAnsi="宋体" w:cs="宋体"/>
                <w:color w:val="auto"/>
                <w:szCs w:val="21"/>
              </w:rPr>
            </w:pPr>
            <w:r>
              <w:rPr>
                <w:rFonts w:hint="eastAsia" w:ascii="宋体" w:hAnsi="宋体" w:cs="宋体"/>
                <w:color w:val="auto"/>
                <w:szCs w:val="21"/>
              </w:rPr>
              <w:t>M3□</w:t>
            </w:r>
          </w:p>
        </w:tc>
        <w:tc>
          <w:tcPr>
            <w:tcW w:w="1466" w:type="dxa"/>
            <w:gridSpan w:val="4"/>
            <w:tcMar>
              <w:left w:w="0" w:type="dxa"/>
              <w:right w:w="0" w:type="dxa"/>
            </w:tcMar>
            <w:vAlign w:val="center"/>
          </w:tcPr>
          <w:p w14:paraId="39E0C2FB">
            <w:pPr>
              <w:jc w:val="center"/>
              <w:rPr>
                <w:rFonts w:hint="eastAsia" w:ascii="宋体" w:hAnsi="宋体" w:cs="宋体"/>
                <w:color w:val="auto"/>
                <w:szCs w:val="21"/>
              </w:rPr>
            </w:pPr>
            <w:r>
              <w:rPr>
                <w:rFonts w:hint="eastAsia" w:ascii="宋体" w:hAnsi="宋体" w:cs="宋体"/>
                <w:color w:val="auto"/>
                <w:szCs w:val="21"/>
              </w:rPr>
              <w:t>M4□</w:t>
            </w:r>
          </w:p>
        </w:tc>
      </w:tr>
      <w:tr w14:paraId="1CC43A7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982" w:type="dxa"/>
            <w:gridSpan w:val="2"/>
            <w:vMerge w:val="continue"/>
            <w:tcMar>
              <w:left w:w="0" w:type="dxa"/>
              <w:right w:w="0" w:type="dxa"/>
            </w:tcMar>
            <w:vAlign w:val="center"/>
          </w:tcPr>
          <w:p w14:paraId="1A90EFE7">
            <w:pPr>
              <w:jc w:val="center"/>
              <w:rPr>
                <w:rFonts w:hint="eastAsia" w:ascii="宋体" w:hAnsi="宋体" w:cs="宋体"/>
                <w:color w:val="auto"/>
                <w:szCs w:val="21"/>
              </w:rPr>
            </w:pPr>
          </w:p>
        </w:tc>
        <w:tc>
          <w:tcPr>
            <w:tcW w:w="1006" w:type="dxa"/>
            <w:tcMar>
              <w:left w:w="0" w:type="dxa"/>
              <w:right w:w="0" w:type="dxa"/>
            </w:tcMar>
            <w:vAlign w:val="center"/>
          </w:tcPr>
          <w:p w14:paraId="45503ADF">
            <w:pPr>
              <w:jc w:val="center"/>
              <w:rPr>
                <w:rFonts w:hint="eastAsia" w:ascii="宋体" w:hAnsi="宋体" w:cs="宋体"/>
                <w:color w:val="auto"/>
                <w:szCs w:val="21"/>
              </w:rPr>
            </w:pPr>
            <w:r>
              <w:rPr>
                <w:rFonts w:hint="eastAsia" w:ascii="宋体" w:hAnsi="宋体" w:cs="宋体"/>
                <w:color w:val="auto"/>
                <w:szCs w:val="21"/>
              </w:rPr>
              <w:t>P值</w:t>
            </w:r>
          </w:p>
        </w:tc>
        <w:tc>
          <w:tcPr>
            <w:tcW w:w="1829" w:type="dxa"/>
            <w:gridSpan w:val="4"/>
            <w:tcMar>
              <w:left w:w="0" w:type="dxa"/>
              <w:right w:w="0" w:type="dxa"/>
            </w:tcMar>
            <w:vAlign w:val="center"/>
          </w:tcPr>
          <w:p w14:paraId="31EF6191">
            <w:pPr>
              <w:jc w:val="center"/>
              <w:rPr>
                <w:rFonts w:hint="eastAsia" w:ascii="宋体" w:hAnsi="宋体" w:cs="宋体"/>
                <w:color w:val="auto"/>
                <w:szCs w:val="21"/>
              </w:rPr>
            </w:pPr>
            <w:r>
              <w:rPr>
                <w:rFonts w:hint="eastAsia" w:ascii="宋体" w:hAnsi="宋体" w:cs="宋体"/>
                <w:color w:val="auto"/>
                <w:szCs w:val="21"/>
              </w:rPr>
              <w:t>P1□</w:t>
            </w:r>
          </w:p>
        </w:tc>
        <w:tc>
          <w:tcPr>
            <w:tcW w:w="1276" w:type="dxa"/>
            <w:gridSpan w:val="2"/>
            <w:tcMar>
              <w:left w:w="0" w:type="dxa"/>
              <w:right w:w="0" w:type="dxa"/>
            </w:tcMar>
            <w:vAlign w:val="center"/>
          </w:tcPr>
          <w:p w14:paraId="477EC860">
            <w:pPr>
              <w:jc w:val="center"/>
              <w:rPr>
                <w:rFonts w:hint="eastAsia" w:ascii="宋体" w:hAnsi="宋体" w:cs="宋体"/>
                <w:color w:val="auto"/>
                <w:szCs w:val="21"/>
              </w:rPr>
            </w:pPr>
            <w:r>
              <w:rPr>
                <w:rFonts w:hint="eastAsia" w:ascii="宋体" w:hAnsi="宋体" w:cs="宋体"/>
                <w:color w:val="auto"/>
                <w:szCs w:val="21"/>
              </w:rPr>
              <w:t>P2□</w:t>
            </w:r>
          </w:p>
        </w:tc>
        <w:tc>
          <w:tcPr>
            <w:tcW w:w="1369" w:type="dxa"/>
            <w:gridSpan w:val="4"/>
            <w:tcMar>
              <w:left w:w="0" w:type="dxa"/>
              <w:right w:w="0" w:type="dxa"/>
            </w:tcMar>
            <w:vAlign w:val="center"/>
          </w:tcPr>
          <w:p w14:paraId="65D9D667">
            <w:pPr>
              <w:jc w:val="center"/>
              <w:rPr>
                <w:rFonts w:hint="eastAsia" w:ascii="宋体" w:hAnsi="宋体" w:cs="宋体"/>
                <w:color w:val="auto"/>
                <w:szCs w:val="21"/>
              </w:rPr>
            </w:pPr>
            <w:r>
              <w:rPr>
                <w:rFonts w:hint="eastAsia" w:ascii="宋体" w:hAnsi="宋体" w:cs="宋体"/>
                <w:color w:val="auto"/>
                <w:szCs w:val="21"/>
              </w:rPr>
              <w:t>P3□</w:t>
            </w:r>
          </w:p>
        </w:tc>
        <w:tc>
          <w:tcPr>
            <w:tcW w:w="1466" w:type="dxa"/>
            <w:gridSpan w:val="4"/>
            <w:tcMar>
              <w:left w:w="0" w:type="dxa"/>
              <w:right w:w="0" w:type="dxa"/>
            </w:tcMar>
            <w:vAlign w:val="center"/>
          </w:tcPr>
          <w:p w14:paraId="71030ADA">
            <w:pPr>
              <w:jc w:val="center"/>
              <w:rPr>
                <w:rFonts w:hint="eastAsia" w:ascii="宋体" w:hAnsi="宋体" w:cs="宋体"/>
                <w:color w:val="auto"/>
                <w:szCs w:val="21"/>
              </w:rPr>
            </w:pPr>
            <w:r>
              <w:rPr>
                <w:rFonts w:hint="eastAsia" w:ascii="宋体" w:hAnsi="宋体" w:cs="宋体"/>
                <w:color w:val="auto"/>
                <w:szCs w:val="21"/>
              </w:rPr>
              <w:t>P4□</w:t>
            </w:r>
          </w:p>
        </w:tc>
      </w:tr>
      <w:tr w14:paraId="652A15F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982" w:type="dxa"/>
            <w:gridSpan w:val="2"/>
            <w:vMerge w:val="restart"/>
            <w:tcMar>
              <w:left w:w="0" w:type="dxa"/>
              <w:right w:w="0" w:type="dxa"/>
            </w:tcMar>
            <w:vAlign w:val="center"/>
          </w:tcPr>
          <w:p w14:paraId="2F02D499">
            <w:pPr>
              <w:jc w:val="center"/>
              <w:rPr>
                <w:rFonts w:hint="eastAsia" w:ascii="宋体" w:hAnsi="宋体" w:cs="宋体"/>
                <w:color w:val="auto"/>
                <w:szCs w:val="21"/>
              </w:rPr>
            </w:pPr>
            <w:r>
              <w:rPr>
                <w:rFonts w:hint="eastAsia" w:ascii="宋体" w:hAnsi="宋体" w:cs="宋体"/>
                <w:color w:val="auto"/>
                <w:szCs w:val="21"/>
              </w:rPr>
              <w:t>环境敏感程度</w:t>
            </w:r>
          </w:p>
        </w:tc>
        <w:tc>
          <w:tcPr>
            <w:tcW w:w="1754" w:type="dxa"/>
            <w:gridSpan w:val="3"/>
            <w:tcMar>
              <w:left w:w="0" w:type="dxa"/>
              <w:right w:w="0" w:type="dxa"/>
            </w:tcMar>
            <w:vAlign w:val="center"/>
          </w:tcPr>
          <w:p w14:paraId="1AA2B95E">
            <w:pPr>
              <w:jc w:val="center"/>
              <w:rPr>
                <w:rFonts w:hint="eastAsia" w:ascii="宋体" w:hAnsi="宋体" w:cs="宋体"/>
                <w:color w:val="auto"/>
                <w:szCs w:val="21"/>
              </w:rPr>
            </w:pPr>
            <w:r>
              <w:rPr>
                <w:rFonts w:hint="eastAsia" w:ascii="宋体" w:hAnsi="宋体" w:cs="宋体"/>
                <w:color w:val="auto"/>
                <w:szCs w:val="21"/>
              </w:rPr>
              <w:t>大气</w:t>
            </w:r>
          </w:p>
        </w:tc>
        <w:tc>
          <w:tcPr>
            <w:tcW w:w="1490" w:type="dxa"/>
            <w:gridSpan w:val="3"/>
            <w:tcMar>
              <w:left w:w="0" w:type="dxa"/>
              <w:right w:w="0" w:type="dxa"/>
            </w:tcMar>
            <w:vAlign w:val="center"/>
          </w:tcPr>
          <w:p w14:paraId="6FADFF12">
            <w:pPr>
              <w:jc w:val="center"/>
              <w:rPr>
                <w:rFonts w:hint="eastAsia" w:ascii="宋体" w:hAnsi="宋体" w:cs="宋体"/>
                <w:color w:val="auto"/>
                <w:szCs w:val="21"/>
              </w:rPr>
            </w:pPr>
            <w:r>
              <w:rPr>
                <w:rFonts w:hint="eastAsia" w:ascii="宋体" w:hAnsi="宋体" w:cs="宋体"/>
                <w:color w:val="auto"/>
                <w:szCs w:val="21"/>
              </w:rPr>
              <w:t>E1□</w:t>
            </w:r>
          </w:p>
        </w:tc>
        <w:tc>
          <w:tcPr>
            <w:tcW w:w="1674" w:type="dxa"/>
            <w:gridSpan w:val="4"/>
            <w:tcMar>
              <w:left w:w="0" w:type="dxa"/>
              <w:right w:w="0" w:type="dxa"/>
            </w:tcMar>
            <w:vAlign w:val="center"/>
          </w:tcPr>
          <w:p w14:paraId="011F5106">
            <w:pPr>
              <w:jc w:val="center"/>
              <w:rPr>
                <w:rFonts w:hint="eastAsia" w:ascii="宋体" w:hAnsi="宋体" w:cs="宋体"/>
                <w:color w:val="auto"/>
                <w:szCs w:val="21"/>
              </w:rPr>
            </w:pPr>
            <w:r>
              <w:rPr>
                <w:rFonts w:hint="eastAsia" w:ascii="宋体" w:hAnsi="宋体" w:cs="宋体"/>
                <w:color w:val="auto"/>
                <w:szCs w:val="21"/>
              </w:rPr>
              <w:t>E2□</w:t>
            </w:r>
          </w:p>
        </w:tc>
        <w:tc>
          <w:tcPr>
            <w:tcW w:w="2028" w:type="dxa"/>
            <w:gridSpan w:val="5"/>
            <w:tcMar>
              <w:left w:w="0" w:type="dxa"/>
              <w:right w:w="0" w:type="dxa"/>
            </w:tcMar>
            <w:vAlign w:val="center"/>
          </w:tcPr>
          <w:p w14:paraId="297413D8">
            <w:pPr>
              <w:jc w:val="center"/>
              <w:rPr>
                <w:rFonts w:hint="eastAsia" w:ascii="宋体" w:hAnsi="宋体" w:cs="宋体"/>
                <w:color w:val="auto"/>
                <w:szCs w:val="21"/>
              </w:rPr>
            </w:pPr>
            <w:r>
              <w:rPr>
                <w:rFonts w:hint="eastAsia" w:ascii="宋体" w:hAnsi="宋体" w:cs="宋体"/>
                <w:color w:val="auto"/>
                <w:szCs w:val="21"/>
              </w:rPr>
              <w:t>E3□</w:t>
            </w:r>
          </w:p>
        </w:tc>
      </w:tr>
      <w:tr w14:paraId="4031675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982" w:type="dxa"/>
            <w:gridSpan w:val="2"/>
            <w:vMerge w:val="continue"/>
            <w:tcMar>
              <w:left w:w="0" w:type="dxa"/>
              <w:right w:w="0" w:type="dxa"/>
            </w:tcMar>
            <w:vAlign w:val="center"/>
          </w:tcPr>
          <w:p w14:paraId="1A98A70A">
            <w:pPr>
              <w:jc w:val="center"/>
              <w:rPr>
                <w:rFonts w:hint="eastAsia" w:ascii="宋体" w:hAnsi="宋体" w:cs="宋体"/>
                <w:color w:val="auto"/>
                <w:szCs w:val="21"/>
              </w:rPr>
            </w:pPr>
          </w:p>
        </w:tc>
        <w:tc>
          <w:tcPr>
            <w:tcW w:w="1754" w:type="dxa"/>
            <w:gridSpan w:val="3"/>
            <w:tcMar>
              <w:left w:w="0" w:type="dxa"/>
              <w:right w:w="0" w:type="dxa"/>
            </w:tcMar>
            <w:vAlign w:val="center"/>
          </w:tcPr>
          <w:p w14:paraId="6D4CFCC0">
            <w:pPr>
              <w:jc w:val="center"/>
              <w:rPr>
                <w:rFonts w:hint="eastAsia" w:ascii="宋体" w:hAnsi="宋体" w:cs="宋体"/>
                <w:color w:val="auto"/>
                <w:szCs w:val="21"/>
              </w:rPr>
            </w:pPr>
            <w:r>
              <w:rPr>
                <w:rFonts w:hint="eastAsia" w:ascii="宋体" w:hAnsi="宋体" w:cs="宋体"/>
                <w:color w:val="auto"/>
                <w:szCs w:val="21"/>
              </w:rPr>
              <w:t>地表水</w:t>
            </w:r>
          </w:p>
        </w:tc>
        <w:tc>
          <w:tcPr>
            <w:tcW w:w="1490" w:type="dxa"/>
            <w:gridSpan w:val="3"/>
            <w:tcMar>
              <w:left w:w="0" w:type="dxa"/>
              <w:right w:w="0" w:type="dxa"/>
            </w:tcMar>
            <w:vAlign w:val="center"/>
          </w:tcPr>
          <w:p w14:paraId="3D8954F3">
            <w:pPr>
              <w:jc w:val="center"/>
              <w:rPr>
                <w:rFonts w:hint="eastAsia" w:ascii="宋体" w:hAnsi="宋体" w:cs="宋体"/>
                <w:color w:val="auto"/>
                <w:szCs w:val="21"/>
              </w:rPr>
            </w:pPr>
            <w:r>
              <w:rPr>
                <w:rFonts w:hint="eastAsia" w:ascii="宋体" w:hAnsi="宋体" w:cs="宋体"/>
                <w:color w:val="auto"/>
                <w:szCs w:val="21"/>
              </w:rPr>
              <w:t>E1□</w:t>
            </w:r>
          </w:p>
        </w:tc>
        <w:tc>
          <w:tcPr>
            <w:tcW w:w="1674" w:type="dxa"/>
            <w:gridSpan w:val="4"/>
            <w:tcMar>
              <w:left w:w="0" w:type="dxa"/>
              <w:right w:w="0" w:type="dxa"/>
            </w:tcMar>
            <w:vAlign w:val="center"/>
          </w:tcPr>
          <w:p w14:paraId="588CCA37">
            <w:pPr>
              <w:jc w:val="center"/>
              <w:rPr>
                <w:rFonts w:hint="eastAsia" w:ascii="宋体" w:hAnsi="宋体" w:cs="宋体"/>
                <w:color w:val="auto"/>
                <w:szCs w:val="21"/>
              </w:rPr>
            </w:pPr>
            <w:r>
              <w:rPr>
                <w:rFonts w:hint="eastAsia" w:ascii="宋体" w:hAnsi="宋体" w:cs="宋体"/>
                <w:color w:val="auto"/>
                <w:szCs w:val="21"/>
              </w:rPr>
              <w:t>E2□</w:t>
            </w:r>
          </w:p>
        </w:tc>
        <w:tc>
          <w:tcPr>
            <w:tcW w:w="2028" w:type="dxa"/>
            <w:gridSpan w:val="5"/>
            <w:tcMar>
              <w:left w:w="0" w:type="dxa"/>
              <w:right w:w="0" w:type="dxa"/>
            </w:tcMar>
            <w:vAlign w:val="center"/>
          </w:tcPr>
          <w:p w14:paraId="2C3674F3">
            <w:pPr>
              <w:jc w:val="center"/>
              <w:rPr>
                <w:rFonts w:hint="eastAsia" w:ascii="宋体" w:hAnsi="宋体" w:cs="宋体"/>
                <w:color w:val="auto"/>
                <w:szCs w:val="21"/>
              </w:rPr>
            </w:pPr>
            <w:r>
              <w:rPr>
                <w:rFonts w:hint="eastAsia" w:ascii="宋体" w:hAnsi="宋体" w:cs="宋体"/>
                <w:color w:val="auto"/>
                <w:szCs w:val="21"/>
              </w:rPr>
              <w:t>E3□</w:t>
            </w:r>
          </w:p>
        </w:tc>
      </w:tr>
      <w:tr w14:paraId="460511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982" w:type="dxa"/>
            <w:gridSpan w:val="2"/>
            <w:vMerge w:val="continue"/>
            <w:tcMar>
              <w:left w:w="0" w:type="dxa"/>
              <w:right w:w="0" w:type="dxa"/>
            </w:tcMar>
            <w:vAlign w:val="center"/>
          </w:tcPr>
          <w:p w14:paraId="425759DD">
            <w:pPr>
              <w:jc w:val="center"/>
              <w:rPr>
                <w:rFonts w:hint="eastAsia" w:ascii="宋体" w:hAnsi="宋体" w:cs="宋体"/>
                <w:color w:val="auto"/>
                <w:szCs w:val="21"/>
              </w:rPr>
            </w:pPr>
          </w:p>
        </w:tc>
        <w:tc>
          <w:tcPr>
            <w:tcW w:w="1754" w:type="dxa"/>
            <w:gridSpan w:val="3"/>
            <w:tcMar>
              <w:left w:w="0" w:type="dxa"/>
              <w:right w:w="0" w:type="dxa"/>
            </w:tcMar>
            <w:vAlign w:val="center"/>
          </w:tcPr>
          <w:p w14:paraId="2C1F4F86">
            <w:pPr>
              <w:jc w:val="center"/>
              <w:rPr>
                <w:rFonts w:hint="eastAsia" w:ascii="宋体" w:hAnsi="宋体" w:cs="宋体"/>
                <w:color w:val="auto"/>
                <w:szCs w:val="21"/>
              </w:rPr>
            </w:pPr>
            <w:r>
              <w:rPr>
                <w:rFonts w:hint="eastAsia" w:ascii="宋体" w:hAnsi="宋体" w:cs="宋体"/>
                <w:color w:val="auto"/>
                <w:szCs w:val="21"/>
              </w:rPr>
              <w:t>地下水</w:t>
            </w:r>
          </w:p>
        </w:tc>
        <w:tc>
          <w:tcPr>
            <w:tcW w:w="1490" w:type="dxa"/>
            <w:gridSpan w:val="3"/>
            <w:tcMar>
              <w:left w:w="0" w:type="dxa"/>
              <w:right w:w="0" w:type="dxa"/>
            </w:tcMar>
            <w:vAlign w:val="center"/>
          </w:tcPr>
          <w:p w14:paraId="483A9229">
            <w:pPr>
              <w:jc w:val="center"/>
              <w:rPr>
                <w:rFonts w:hint="eastAsia" w:ascii="宋体" w:hAnsi="宋体" w:cs="宋体"/>
                <w:color w:val="auto"/>
                <w:szCs w:val="21"/>
              </w:rPr>
            </w:pPr>
            <w:r>
              <w:rPr>
                <w:rFonts w:hint="eastAsia" w:ascii="宋体" w:hAnsi="宋体" w:cs="宋体"/>
                <w:color w:val="auto"/>
                <w:szCs w:val="21"/>
              </w:rPr>
              <w:t>E1□</w:t>
            </w:r>
          </w:p>
        </w:tc>
        <w:tc>
          <w:tcPr>
            <w:tcW w:w="1674" w:type="dxa"/>
            <w:gridSpan w:val="4"/>
            <w:tcMar>
              <w:left w:w="0" w:type="dxa"/>
              <w:right w:w="0" w:type="dxa"/>
            </w:tcMar>
            <w:vAlign w:val="center"/>
          </w:tcPr>
          <w:p w14:paraId="0A05F781">
            <w:pPr>
              <w:jc w:val="center"/>
              <w:rPr>
                <w:rFonts w:hint="eastAsia" w:ascii="宋体" w:hAnsi="宋体" w:cs="宋体"/>
                <w:color w:val="auto"/>
                <w:szCs w:val="21"/>
              </w:rPr>
            </w:pPr>
            <w:r>
              <w:rPr>
                <w:rFonts w:hint="eastAsia" w:ascii="宋体" w:hAnsi="宋体" w:cs="宋体"/>
                <w:color w:val="auto"/>
                <w:szCs w:val="21"/>
              </w:rPr>
              <w:t>E2□</w:t>
            </w:r>
          </w:p>
        </w:tc>
        <w:tc>
          <w:tcPr>
            <w:tcW w:w="2028" w:type="dxa"/>
            <w:gridSpan w:val="5"/>
            <w:tcMar>
              <w:left w:w="0" w:type="dxa"/>
              <w:right w:w="0" w:type="dxa"/>
            </w:tcMar>
            <w:vAlign w:val="center"/>
          </w:tcPr>
          <w:p w14:paraId="21F4C3B7">
            <w:pPr>
              <w:jc w:val="center"/>
              <w:rPr>
                <w:rFonts w:hint="eastAsia" w:ascii="宋体" w:hAnsi="宋体" w:cs="宋体"/>
                <w:color w:val="auto"/>
                <w:szCs w:val="21"/>
              </w:rPr>
            </w:pPr>
            <w:r>
              <w:rPr>
                <w:rFonts w:hint="eastAsia" w:ascii="宋体" w:hAnsi="宋体" w:cs="宋体"/>
                <w:color w:val="auto"/>
                <w:szCs w:val="21"/>
              </w:rPr>
              <w:t>E3□</w:t>
            </w:r>
          </w:p>
        </w:tc>
      </w:tr>
      <w:tr w14:paraId="39DA832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982" w:type="dxa"/>
            <w:gridSpan w:val="2"/>
            <w:tcMar>
              <w:left w:w="0" w:type="dxa"/>
              <w:right w:w="0" w:type="dxa"/>
            </w:tcMar>
            <w:vAlign w:val="center"/>
          </w:tcPr>
          <w:p w14:paraId="4B8238A3">
            <w:pPr>
              <w:jc w:val="center"/>
              <w:rPr>
                <w:rFonts w:hint="eastAsia" w:ascii="宋体" w:hAnsi="宋体" w:cs="宋体"/>
                <w:color w:val="auto"/>
                <w:szCs w:val="21"/>
              </w:rPr>
            </w:pPr>
            <w:r>
              <w:rPr>
                <w:rFonts w:hint="eastAsia" w:ascii="宋体" w:hAnsi="宋体" w:cs="宋体"/>
                <w:color w:val="auto"/>
                <w:szCs w:val="21"/>
              </w:rPr>
              <w:t>环境风险潜势</w:t>
            </w:r>
          </w:p>
        </w:tc>
        <w:tc>
          <w:tcPr>
            <w:tcW w:w="1375" w:type="dxa"/>
            <w:gridSpan w:val="2"/>
            <w:tcMar>
              <w:left w:w="0" w:type="dxa"/>
              <w:right w:w="0" w:type="dxa"/>
            </w:tcMar>
            <w:vAlign w:val="center"/>
          </w:tcPr>
          <w:p w14:paraId="5DC39550">
            <w:pPr>
              <w:jc w:val="center"/>
              <w:rPr>
                <w:rFonts w:hint="eastAsia" w:ascii="宋体" w:hAnsi="宋体" w:cs="宋体"/>
                <w:color w:val="auto"/>
                <w:szCs w:val="21"/>
              </w:rPr>
            </w:pPr>
            <w:r>
              <w:rPr>
                <w:rFonts w:hint="eastAsia" w:ascii="宋体" w:hAnsi="宋体" w:cs="宋体"/>
                <w:color w:val="auto"/>
                <w:szCs w:val="21"/>
              </w:rPr>
              <w:t>IV</w:t>
            </w:r>
            <w:r>
              <w:rPr>
                <w:rFonts w:hint="eastAsia" w:ascii="宋体" w:hAnsi="宋体" w:cs="宋体"/>
                <w:color w:val="auto"/>
                <w:szCs w:val="21"/>
                <w:vertAlign w:val="superscript"/>
              </w:rPr>
              <w:t>+</w:t>
            </w:r>
            <w:r>
              <w:rPr>
                <w:rFonts w:hint="eastAsia" w:ascii="宋体" w:hAnsi="宋体" w:cs="宋体"/>
                <w:color w:val="auto"/>
                <w:szCs w:val="21"/>
              </w:rPr>
              <w:t>□</w:t>
            </w:r>
          </w:p>
        </w:tc>
        <w:tc>
          <w:tcPr>
            <w:tcW w:w="1460" w:type="dxa"/>
            <w:gridSpan w:val="3"/>
            <w:tcMar>
              <w:left w:w="0" w:type="dxa"/>
              <w:right w:w="0" w:type="dxa"/>
            </w:tcMar>
            <w:vAlign w:val="center"/>
          </w:tcPr>
          <w:p w14:paraId="3343FE92">
            <w:pPr>
              <w:jc w:val="center"/>
              <w:rPr>
                <w:rFonts w:hint="eastAsia" w:ascii="宋体" w:hAnsi="宋体" w:cs="宋体"/>
                <w:color w:val="auto"/>
                <w:szCs w:val="21"/>
              </w:rPr>
            </w:pPr>
            <w:r>
              <w:rPr>
                <w:rFonts w:hint="eastAsia" w:ascii="宋体" w:hAnsi="宋体" w:cs="宋体"/>
                <w:color w:val="auto"/>
                <w:szCs w:val="21"/>
              </w:rPr>
              <w:t>IV□</w:t>
            </w:r>
          </w:p>
        </w:tc>
        <w:tc>
          <w:tcPr>
            <w:tcW w:w="1276" w:type="dxa"/>
            <w:gridSpan w:val="2"/>
            <w:tcMar>
              <w:left w:w="0" w:type="dxa"/>
              <w:right w:w="0" w:type="dxa"/>
            </w:tcMar>
            <w:vAlign w:val="center"/>
          </w:tcPr>
          <w:p w14:paraId="5289FF14">
            <w:pPr>
              <w:jc w:val="center"/>
              <w:rPr>
                <w:rFonts w:hint="eastAsia" w:ascii="宋体" w:hAnsi="宋体" w:cs="宋体"/>
                <w:color w:val="auto"/>
                <w:szCs w:val="21"/>
              </w:rPr>
            </w:pPr>
            <w:r>
              <w:rPr>
                <w:rFonts w:hint="eastAsia" w:ascii="宋体" w:hAnsi="宋体" w:cs="宋体"/>
                <w:color w:val="auto"/>
                <w:szCs w:val="21"/>
              </w:rPr>
              <w:t>Ⅲ□</w:t>
            </w:r>
          </w:p>
        </w:tc>
        <w:tc>
          <w:tcPr>
            <w:tcW w:w="1381" w:type="dxa"/>
            <w:gridSpan w:val="5"/>
            <w:tcMar>
              <w:left w:w="0" w:type="dxa"/>
              <w:right w:w="0" w:type="dxa"/>
            </w:tcMar>
            <w:vAlign w:val="center"/>
          </w:tcPr>
          <w:p w14:paraId="130B8C84">
            <w:pPr>
              <w:jc w:val="center"/>
              <w:rPr>
                <w:rFonts w:hint="eastAsia" w:ascii="宋体" w:hAnsi="宋体" w:cs="宋体"/>
                <w:color w:val="auto"/>
                <w:szCs w:val="21"/>
              </w:rPr>
            </w:pPr>
            <w:r>
              <w:rPr>
                <w:rFonts w:hint="eastAsia" w:ascii="宋体" w:hAnsi="宋体" w:cs="宋体"/>
                <w:color w:val="auto"/>
                <w:szCs w:val="21"/>
              </w:rPr>
              <w:t>II□</w:t>
            </w:r>
          </w:p>
        </w:tc>
        <w:tc>
          <w:tcPr>
            <w:tcW w:w="1454" w:type="dxa"/>
            <w:gridSpan w:val="3"/>
            <w:tcMar>
              <w:left w:w="0" w:type="dxa"/>
              <w:right w:w="0" w:type="dxa"/>
            </w:tcMar>
            <w:vAlign w:val="center"/>
          </w:tcPr>
          <w:p w14:paraId="3D1A6D29">
            <w:pPr>
              <w:jc w:val="center"/>
              <w:rPr>
                <w:rFonts w:hint="eastAsia" w:ascii="宋体" w:hAnsi="宋体" w:cs="宋体"/>
                <w:color w:val="auto"/>
                <w:szCs w:val="21"/>
              </w:rPr>
            </w:pPr>
            <w:r>
              <w:rPr>
                <w:rFonts w:hint="eastAsia" w:ascii="宋体" w:hAnsi="宋体" w:cs="宋体"/>
                <w:color w:val="auto"/>
                <w:szCs w:val="21"/>
              </w:rPr>
              <w:t>I</w:t>
            </w:r>
            <w:r>
              <w:rPr>
                <w:rFonts w:hint="eastAsia" w:ascii="宋体" w:hAnsi="宋体" w:cs="宋体"/>
                <w:color w:val="auto"/>
                <w:szCs w:val="21"/>
              </w:rPr>
              <w:sym w:font="Wingdings 2" w:char="0052"/>
            </w:r>
          </w:p>
        </w:tc>
      </w:tr>
      <w:tr w14:paraId="5AD62F2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982" w:type="dxa"/>
            <w:gridSpan w:val="2"/>
            <w:tcMar>
              <w:left w:w="0" w:type="dxa"/>
              <w:right w:w="0" w:type="dxa"/>
            </w:tcMar>
            <w:vAlign w:val="center"/>
          </w:tcPr>
          <w:p w14:paraId="0EE55C89">
            <w:pPr>
              <w:jc w:val="center"/>
              <w:rPr>
                <w:rFonts w:hint="eastAsia" w:ascii="宋体" w:hAnsi="宋体" w:cs="宋体"/>
                <w:color w:val="auto"/>
                <w:szCs w:val="21"/>
              </w:rPr>
            </w:pPr>
            <w:r>
              <w:rPr>
                <w:rFonts w:hint="eastAsia" w:ascii="宋体" w:hAnsi="宋体" w:cs="宋体"/>
                <w:color w:val="auto"/>
                <w:szCs w:val="21"/>
              </w:rPr>
              <w:t>评价等级</w:t>
            </w:r>
          </w:p>
        </w:tc>
        <w:tc>
          <w:tcPr>
            <w:tcW w:w="1754" w:type="dxa"/>
            <w:gridSpan w:val="3"/>
            <w:tcMar>
              <w:left w:w="0" w:type="dxa"/>
              <w:right w:w="0" w:type="dxa"/>
            </w:tcMar>
            <w:vAlign w:val="center"/>
          </w:tcPr>
          <w:p w14:paraId="101BBB8E">
            <w:pPr>
              <w:jc w:val="center"/>
              <w:rPr>
                <w:rFonts w:hint="eastAsia" w:ascii="宋体" w:hAnsi="宋体" w:cs="宋体"/>
                <w:color w:val="auto"/>
                <w:szCs w:val="21"/>
              </w:rPr>
            </w:pPr>
            <w:r>
              <w:rPr>
                <w:rFonts w:hint="eastAsia" w:ascii="宋体" w:hAnsi="宋体" w:cs="宋体"/>
                <w:color w:val="auto"/>
                <w:szCs w:val="21"/>
              </w:rPr>
              <w:t>一级□</w:t>
            </w:r>
          </w:p>
        </w:tc>
        <w:tc>
          <w:tcPr>
            <w:tcW w:w="1490" w:type="dxa"/>
            <w:gridSpan w:val="3"/>
            <w:tcMar>
              <w:left w:w="0" w:type="dxa"/>
              <w:right w:w="0" w:type="dxa"/>
            </w:tcMar>
            <w:vAlign w:val="center"/>
          </w:tcPr>
          <w:p w14:paraId="12F6EA84">
            <w:pPr>
              <w:jc w:val="center"/>
              <w:rPr>
                <w:rFonts w:hint="eastAsia" w:ascii="宋体" w:hAnsi="宋体" w:cs="宋体"/>
                <w:color w:val="auto"/>
                <w:szCs w:val="21"/>
              </w:rPr>
            </w:pPr>
            <w:r>
              <w:rPr>
                <w:rFonts w:hint="eastAsia" w:ascii="宋体" w:hAnsi="宋体" w:cs="宋体"/>
                <w:color w:val="auto"/>
                <w:szCs w:val="21"/>
              </w:rPr>
              <w:t>二级□</w:t>
            </w:r>
          </w:p>
        </w:tc>
        <w:tc>
          <w:tcPr>
            <w:tcW w:w="1674" w:type="dxa"/>
            <w:gridSpan w:val="4"/>
            <w:tcMar>
              <w:left w:w="0" w:type="dxa"/>
              <w:right w:w="0" w:type="dxa"/>
            </w:tcMar>
            <w:vAlign w:val="center"/>
          </w:tcPr>
          <w:p w14:paraId="258F78B6">
            <w:pPr>
              <w:jc w:val="center"/>
              <w:rPr>
                <w:rFonts w:hint="eastAsia" w:ascii="宋体" w:hAnsi="宋体" w:cs="宋体"/>
                <w:color w:val="auto"/>
                <w:szCs w:val="21"/>
              </w:rPr>
            </w:pPr>
            <w:r>
              <w:rPr>
                <w:rFonts w:hint="eastAsia" w:ascii="宋体" w:hAnsi="宋体" w:cs="宋体"/>
                <w:color w:val="auto"/>
                <w:szCs w:val="21"/>
              </w:rPr>
              <w:t>三级□</w:t>
            </w:r>
          </w:p>
        </w:tc>
        <w:tc>
          <w:tcPr>
            <w:tcW w:w="2028" w:type="dxa"/>
            <w:gridSpan w:val="5"/>
            <w:tcMar>
              <w:left w:w="0" w:type="dxa"/>
              <w:right w:w="0" w:type="dxa"/>
            </w:tcMar>
            <w:vAlign w:val="center"/>
          </w:tcPr>
          <w:p w14:paraId="0C169EC9">
            <w:pPr>
              <w:jc w:val="center"/>
              <w:rPr>
                <w:rFonts w:hint="eastAsia" w:ascii="宋体" w:hAnsi="宋体" w:cs="宋体"/>
                <w:color w:val="auto"/>
                <w:szCs w:val="21"/>
              </w:rPr>
            </w:pPr>
            <w:r>
              <w:rPr>
                <w:rFonts w:hint="eastAsia" w:ascii="宋体" w:hAnsi="宋体" w:cs="宋体"/>
                <w:color w:val="auto"/>
                <w:szCs w:val="21"/>
              </w:rPr>
              <w:t>简单分析</w:t>
            </w:r>
            <w:r>
              <w:rPr>
                <w:rFonts w:hint="eastAsia" w:ascii="宋体" w:hAnsi="宋体" w:cs="宋体"/>
                <w:color w:val="auto"/>
                <w:szCs w:val="21"/>
              </w:rPr>
              <w:sym w:font="Wingdings 2" w:char="0052"/>
            </w:r>
          </w:p>
        </w:tc>
      </w:tr>
      <w:tr w14:paraId="0D7EE9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restart"/>
            <w:tcMar>
              <w:left w:w="0" w:type="dxa"/>
              <w:right w:w="0" w:type="dxa"/>
            </w:tcMar>
            <w:vAlign w:val="center"/>
          </w:tcPr>
          <w:p w14:paraId="65DAE1F9">
            <w:pPr>
              <w:jc w:val="center"/>
              <w:rPr>
                <w:rFonts w:hint="eastAsia" w:ascii="宋体" w:hAnsi="宋体" w:cs="宋体"/>
                <w:color w:val="auto"/>
                <w:szCs w:val="21"/>
              </w:rPr>
            </w:pPr>
            <w:r>
              <w:rPr>
                <w:rFonts w:hint="eastAsia" w:ascii="宋体" w:hAnsi="宋体" w:cs="宋体"/>
                <w:color w:val="auto"/>
                <w:szCs w:val="21"/>
              </w:rPr>
              <w:t>风险</w:t>
            </w:r>
          </w:p>
          <w:p w14:paraId="191BF742">
            <w:pPr>
              <w:jc w:val="center"/>
              <w:rPr>
                <w:rFonts w:hint="eastAsia" w:ascii="宋体" w:hAnsi="宋体" w:cs="宋体"/>
                <w:color w:val="auto"/>
                <w:szCs w:val="21"/>
              </w:rPr>
            </w:pPr>
            <w:r>
              <w:rPr>
                <w:rFonts w:hint="eastAsia" w:ascii="宋体" w:hAnsi="宋体" w:cs="宋体"/>
                <w:color w:val="auto"/>
                <w:szCs w:val="21"/>
              </w:rPr>
              <w:t>识别</w:t>
            </w:r>
          </w:p>
        </w:tc>
        <w:tc>
          <w:tcPr>
            <w:tcW w:w="1134" w:type="dxa"/>
            <w:tcMar>
              <w:left w:w="0" w:type="dxa"/>
              <w:right w:w="0" w:type="dxa"/>
            </w:tcMar>
            <w:vAlign w:val="center"/>
          </w:tcPr>
          <w:p w14:paraId="60E964BC">
            <w:pPr>
              <w:jc w:val="center"/>
              <w:rPr>
                <w:rFonts w:hint="eastAsia" w:ascii="宋体" w:hAnsi="宋体" w:cs="宋体"/>
                <w:color w:val="auto"/>
                <w:szCs w:val="21"/>
              </w:rPr>
            </w:pPr>
            <w:r>
              <w:rPr>
                <w:rFonts w:hint="eastAsia" w:ascii="宋体" w:hAnsi="宋体" w:cs="宋体"/>
                <w:color w:val="auto"/>
                <w:szCs w:val="21"/>
              </w:rPr>
              <w:t>物质危险性</w:t>
            </w:r>
          </w:p>
        </w:tc>
        <w:tc>
          <w:tcPr>
            <w:tcW w:w="3244" w:type="dxa"/>
            <w:gridSpan w:val="6"/>
            <w:tcMar>
              <w:left w:w="0" w:type="dxa"/>
              <w:right w:w="0" w:type="dxa"/>
            </w:tcMar>
            <w:vAlign w:val="center"/>
          </w:tcPr>
          <w:p w14:paraId="74CA5E41">
            <w:pPr>
              <w:jc w:val="center"/>
              <w:rPr>
                <w:rFonts w:hint="eastAsia" w:ascii="宋体" w:hAnsi="宋体" w:cs="宋体"/>
                <w:color w:val="auto"/>
                <w:szCs w:val="21"/>
              </w:rPr>
            </w:pPr>
            <w:r>
              <w:rPr>
                <w:rFonts w:hint="eastAsia" w:ascii="宋体" w:hAnsi="宋体" w:cs="宋体"/>
                <w:color w:val="auto"/>
                <w:szCs w:val="21"/>
              </w:rPr>
              <w:t>有毒有害</w:t>
            </w:r>
            <w:r>
              <w:rPr>
                <w:rFonts w:hint="eastAsia" w:ascii="宋体" w:hAnsi="宋体" w:cs="宋体"/>
                <w:color w:val="auto"/>
                <w:szCs w:val="21"/>
              </w:rPr>
              <w:sym w:font="Wingdings 2" w:char="0052"/>
            </w:r>
          </w:p>
        </w:tc>
        <w:tc>
          <w:tcPr>
            <w:tcW w:w="3702" w:type="dxa"/>
            <w:gridSpan w:val="9"/>
            <w:tcMar>
              <w:left w:w="0" w:type="dxa"/>
              <w:right w:w="0" w:type="dxa"/>
            </w:tcMar>
            <w:vAlign w:val="center"/>
          </w:tcPr>
          <w:p w14:paraId="128EDB47">
            <w:pPr>
              <w:jc w:val="center"/>
              <w:rPr>
                <w:rFonts w:hint="eastAsia" w:ascii="宋体" w:hAnsi="宋体" w:cs="宋体"/>
                <w:color w:val="auto"/>
                <w:szCs w:val="21"/>
              </w:rPr>
            </w:pPr>
            <w:r>
              <w:rPr>
                <w:rFonts w:hint="eastAsia" w:ascii="宋体" w:hAnsi="宋体" w:cs="宋体"/>
                <w:color w:val="auto"/>
                <w:szCs w:val="21"/>
              </w:rPr>
              <w:t>易燃易爆</w:t>
            </w:r>
            <w:r>
              <w:rPr>
                <w:rFonts w:hint="eastAsia" w:ascii="宋体" w:hAnsi="宋体" w:cs="宋体"/>
                <w:color w:val="auto"/>
                <w:szCs w:val="21"/>
              </w:rPr>
              <w:sym w:font="Wingdings 2" w:char="0052"/>
            </w:r>
          </w:p>
        </w:tc>
      </w:tr>
      <w:tr w14:paraId="759EC8F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continue"/>
            <w:tcMar>
              <w:left w:w="0" w:type="dxa"/>
              <w:right w:w="0" w:type="dxa"/>
            </w:tcMar>
            <w:vAlign w:val="center"/>
          </w:tcPr>
          <w:p w14:paraId="58CD714E">
            <w:pPr>
              <w:jc w:val="center"/>
              <w:rPr>
                <w:rFonts w:hint="eastAsia" w:ascii="宋体" w:hAnsi="宋体" w:cs="宋体"/>
                <w:color w:val="auto"/>
                <w:szCs w:val="21"/>
              </w:rPr>
            </w:pPr>
          </w:p>
        </w:tc>
        <w:tc>
          <w:tcPr>
            <w:tcW w:w="1134" w:type="dxa"/>
            <w:tcMar>
              <w:left w:w="0" w:type="dxa"/>
              <w:right w:w="0" w:type="dxa"/>
            </w:tcMar>
            <w:vAlign w:val="center"/>
          </w:tcPr>
          <w:p w14:paraId="5C80A975">
            <w:pPr>
              <w:jc w:val="center"/>
              <w:rPr>
                <w:rFonts w:hint="eastAsia" w:ascii="宋体" w:hAnsi="宋体" w:cs="宋体"/>
                <w:color w:val="auto"/>
                <w:szCs w:val="21"/>
              </w:rPr>
            </w:pPr>
            <w:r>
              <w:rPr>
                <w:rFonts w:hint="eastAsia" w:ascii="宋体" w:hAnsi="宋体" w:cs="宋体"/>
                <w:color w:val="auto"/>
                <w:spacing w:val="-11"/>
                <w:szCs w:val="21"/>
              </w:rPr>
              <w:t>环境风险类型</w:t>
            </w:r>
          </w:p>
        </w:tc>
        <w:tc>
          <w:tcPr>
            <w:tcW w:w="3244" w:type="dxa"/>
            <w:gridSpan w:val="6"/>
            <w:tcMar>
              <w:left w:w="0" w:type="dxa"/>
              <w:right w:w="0" w:type="dxa"/>
            </w:tcMar>
            <w:vAlign w:val="center"/>
          </w:tcPr>
          <w:p w14:paraId="4EF1CB77">
            <w:pPr>
              <w:jc w:val="center"/>
              <w:rPr>
                <w:rFonts w:hint="eastAsia" w:ascii="宋体" w:hAnsi="宋体" w:cs="宋体"/>
                <w:color w:val="auto"/>
                <w:szCs w:val="21"/>
              </w:rPr>
            </w:pPr>
            <w:r>
              <w:rPr>
                <w:rFonts w:hint="eastAsia" w:ascii="宋体" w:hAnsi="宋体" w:cs="宋体"/>
                <w:color w:val="auto"/>
                <w:szCs w:val="21"/>
              </w:rPr>
              <w:t>泄漏</w:t>
            </w:r>
            <w:r>
              <w:rPr>
                <w:rFonts w:hint="eastAsia" w:ascii="宋体" w:hAnsi="宋体" w:cs="宋体"/>
                <w:color w:val="auto"/>
                <w:szCs w:val="21"/>
              </w:rPr>
              <w:sym w:font="Wingdings 2" w:char="0052"/>
            </w:r>
          </w:p>
        </w:tc>
        <w:tc>
          <w:tcPr>
            <w:tcW w:w="3702" w:type="dxa"/>
            <w:gridSpan w:val="9"/>
            <w:tcMar>
              <w:left w:w="0" w:type="dxa"/>
              <w:right w:w="0" w:type="dxa"/>
            </w:tcMar>
            <w:vAlign w:val="center"/>
          </w:tcPr>
          <w:p w14:paraId="2D176587">
            <w:pPr>
              <w:jc w:val="center"/>
              <w:rPr>
                <w:rFonts w:hint="eastAsia" w:ascii="宋体" w:hAnsi="宋体" w:cs="宋体"/>
                <w:color w:val="auto"/>
                <w:szCs w:val="21"/>
              </w:rPr>
            </w:pPr>
            <w:r>
              <w:rPr>
                <w:rFonts w:hint="eastAsia" w:ascii="宋体" w:hAnsi="宋体" w:cs="宋体"/>
                <w:color w:val="auto"/>
                <w:szCs w:val="21"/>
              </w:rPr>
              <w:t>火灾、爆炸引发伴生/次生污染物排放</w:t>
            </w:r>
            <w:r>
              <w:rPr>
                <w:rFonts w:hint="eastAsia" w:ascii="宋体" w:hAnsi="宋体" w:cs="宋体"/>
                <w:color w:val="auto"/>
                <w:szCs w:val="21"/>
              </w:rPr>
              <w:sym w:font="Wingdings 2" w:char="0052"/>
            </w:r>
          </w:p>
        </w:tc>
      </w:tr>
      <w:tr w14:paraId="4C79990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continue"/>
            <w:tcMar>
              <w:left w:w="0" w:type="dxa"/>
              <w:right w:w="0" w:type="dxa"/>
            </w:tcMar>
            <w:vAlign w:val="center"/>
          </w:tcPr>
          <w:p w14:paraId="67901B78">
            <w:pPr>
              <w:jc w:val="center"/>
              <w:rPr>
                <w:rFonts w:hint="eastAsia" w:ascii="宋体" w:hAnsi="宋体" w:cs="宋体"/>
                <w:color w:val="auto"/>
                <w:szCs w:val="21"/>
              </w:rPr>
            </w:pPr>
          </w:p>
        </w:tc>
        <w:tc>
          <w:tcPr>
            <w:tcW w:w="1134" w:type="dxa"/>
            <w:tcMar>
              <w:left w:w="0" w:type="dxa"/>
              <w:right w:w="0" w:type="dxa"/>
            </w:tcMar>
            <w:vAlign w:val="center"/>
          </w:tcPr>
          <w:p w14:paraId="1E7ABAEA">
            <w:pPr>
              <w:jc w:val="center"/>
              <w:rPr>
                <w:rFonts w:hint="eastAsia" w:ascii="宋体" w:hAnsi="宋体" w:cs="宋体"/>
                <w:color w:val="auto"/>
                <w:szCs w:val="21"/>
              </w:rPr>
            </w:pPr>
            <w:r>
              <w:rPr>
                <w:rFonts w:hint="eastAsia" w:ascii="宋体" w:hAnsi="宋体" w:cs="宋体"/>
                <w:color w:val="auto"/>
                <w:szCs w:val="21"/>
              </w:rPr>
              <w:t>影响途径</w:t>
            </w:r>
          </w:p>
        </w:tc>
        <w:tc>
          <w:tcPr>
            <w:tcW w:w="2195" w:type="dxa"/>
            <w:gridSpan w:val="4"/>
            <w:tcMar>
              <w:left w:w="0" w:type="dxa"/>
              <w:right w:w="0" w:type="dxa"/>
            </w:tcMar>
            <w:vAlign w:val="center"/>
          </w:tcPr>
          <w:p w14:paraId="65616132">
            <w:pPr>
              <w:jc w:val="center"/>
              <w:rPr>
                <w:rFonts w:hint="eastAsia" w:ascii="宋体" w:hAnsi="宋体" w:cs="宋体"/>
                <w:color w:val="auto"/>
                <w:szCs w:val="21"/>
              </w:rPr>
            </w:pPr>
            <w:r>
              <w:rPr>
                <w:rFonts w:hint="eastAsia" w:ascii="宋体" w:hAnsi="宋体" w:cs="宋体"/>
                <w:color w:val="auto"/>
                <w:szCs w:val="21"/>
              </w:rPr>
              <w:t>大气</w:t>
            </w:r>
            <w:r>
              <w:rPr>
                <w:rFonts w:hint="eastAsia" w:ascii="宋体" w:hAnsi="宋体" w:cs="宋体"/>
                <w:color w:val="auto"/>
                <w:szCs w:val="21"/>
              </w:rPr>
              <w:sym w:font="Wingdings 2" w:char="0052"/>
            </w:r>
          </w:p>
        </w:tc>
        <w:tc>
          <w:tcPr>
            <w:tcW w:w="2599" w:type="dxa"/>
            <w:gridSpan w:val="5"/>
            <w:tcMar>
              <w:left w:w="0" w:type="dxa"/>
              <w:right w:w="0" w:type="dxa"/>
            </w:tcMar>
            <w:vAlign w:val="center"/>
          </w:tcPr>
          <w:p w14:paraId="63DAB239">
            <w:pPr>
              <w:jc w:val="center"/>
              <w:rPr>
                <w:rFonts w:hint="eastAsia" w:ascii="宋体" w:hAnsi="宋体" w:cs="宋体"/>
                <w:color w:val="auto"/>
                <w:szCs w:val="21"/>
              </w:rPr>
            </w:pPr>
            <w:r>
              <w:rPr>
                <w:rFonts w:hint="eastAsia" w:ascii="宋体" w:hAnsi="宋体" w:cs="宋体"/>
                <w:color w:val="auto"/>
                <w:szCs w:val="21"/>
              </w:rPr>
              <w:t>地表水□</w:t>
            </w:r>
          </w:p>
        </w:tc>
        <w:tc>
          <w:tcPr>
            <w:tcW w:w="2152" w:type="dxa"/>
            <w:gridSpan w:val="6"/>
            <w:tcMar>
              <w:left w:w="0" w:type="dxa"/>
              <w:right w:w="0" w:type="dxa"/>
            </w:tcMar>
            <w:vAlign w:val="center"/>
          </w:tcPr>
          <w:p w14:paraId="57F42699">
            <w:pPr>
              <w:jc w:val="center"/>
              <w:rPr>
                <w:rFonts w:hint="eastAsia" w:ascii="宋体" w:hAnsi="宋体" w:cs="宋体"/>
                <w:color w:val="auto"/>
                <w:szCs w:val="21"/>
              </w:rPr>
            </w:pPr>
            <w:r>
              <w:rPr>
                <w:rFonts w:hint="eastAsia" w:ascii="宋体" w:hAnsi="宋体" w:cs="宋体"/>
                <w:color w:val="auto"/>
                <w:szCs w:val="21"/>
              </w:rPr>
              <w:t>地下水</w:t>
            </w:r>
            <w:r>
              <w:rPr>
                <w:rFonts w:hint="eastAsia" w:ascii="宋体" w:hAnsi="宋体" w:cs="宋体"/>
                <w:color w:val="auto"/>
                <w:szCs w:val="21"/>
              </w:rPr>
              <w:sym w:font="Wingdings 2" w:char="0052"/>
            </w:r>
          </w:p>
        </w:tc>
      </w:tr>
      <w:tr w14:paraId="3566B76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982" w:type="dxa"/>
            <w:gridSpan w:val="2"/>
            <w:tcMar>
              <w:left w:w="0" w:type="dxa"/>
              <w:right w:w="0" w:type="dxa"/>
            </w:tcMar>
            <w:vAlign w:val="center"/>
          </w:tcPr>
          <w:p w14:paraId="6FF01BB2">
            <w:pPr>
              <w:jc w:val="center"/>
              <w:rPr>
                <w:rFonts w:hint="eastAsia" w:ascii="宋体" w:hAnsi="宋体" w:cs="宋体"/>
                <w:color w:val="auto"/>
                <w:szCs w:val="21"/>
              </w:rPr>
            </w:pPr>
            <w:r>
              <w:rPr>
                <w:rFonts w:hint="eastAsia" w:ascii="宋体" w:hAnsi="宋体" w:cs="宋体"/>
                <w:color w:val="auto"/>
                <w:szCs w:val="21"/>
              </w:rPr>
              <w:t>事故情形分析</w:t>
            </w:r>
          </w:p>
        </w:tc>
        <w:tc>
          <w:tcPr>
            <w:tcW w:w="1754" w:type="dxa"/>
            <w:gridSpan w:val="3"/>
            <w:tcMar>
              <w:left w:w="0" w:type="dxa"/>
              <w:right w:w="0" w:type="dxa"/>
            </w:tcMar>
            <w:vAlign w:val="center"/>
          </w:tcPr>
          <w:p w14:paraId="6963756C">
            <w:pPr>
              <w:jc w:val="center"/>
              <w:rPr>
                <w:rFonts w:hint="eastAsia" w:ascii="宋体" w:hAnsi="宋体" w:cs="宋体"/>
                <w:color w:val="auto"/>
                <w:szCs w:val="21"/>
              </w:rPr>
            </w:pPr>
            <w:r>
              <w:rPr>
                <w:rFonts w:hint="eastAsia" w:ascii="宋体" w:hAnsi="宋体" w:cs="宋体"/>
                <w:color w:val="auto"/>
                <w:szCs w:val="21"/>
              </w:rPr>
              <w:t>源强设定方法</w:t>
            </w:r>
          </w:p>
        </w:tc>
        <w:tc>
          <w:tcPr>
            <w:tcW w:w="1490" w:type="dxa"/>
            <w:gridSpan w:val="3"/>
            <w:tcMar>
              <w:left w:w="0" w:type="dxa"/>
              <w:right w:w="0" w:type="dxa"/>
            </w:tcMar>
            <w:vAlign w:val="center"/>
          </w:tcPr>
          <w:p w14:paraId="279C9085">
            <w:pPr>
              <w:jc w:val="center"/>
              <w:rPr>
                <w:rFonts w:hint="eastAsia" w:ascii="宋体" w:hAnsi="宋体" w:cs="宋体"/>
                <w:color w:val="auto"/>
                <w:szCs w:val="21"/>
              </w:rPr>
            </w:pPr>
            <w:r>
              <w:rPr>
                <w:rFonts w:hint="eastAsia" w:ascii="宋体" w:hAnsi="宋体" w:cs="宋体"/>
                <w:color w:val="auto"/>
                <w:szCs w:val="21"/>
              </w:rPr>
              <w:t>计算法□</w:t>
            </w:r>
          </w:p>
        </w:tc>
        <w:tc>
          <w:tcPr>
            <w:tcW w:w="1550" w:type="dxa"/>
            <w:gridSpan w:val="3"/>
            <w:tcMar>
              <w:left w:w="0" w:type="dxa"/>
              <w:right w:w="0" w:type="dxa"/>
            </w:tcMar>
            <w:vAlign w:val="center"/>
          </w:tcPr>
          <w:p w14:paraId="3C610174">
            <w:pPr>
              <w:jc w:val="center"/>
              <w:rPr>
                <w:rFonts w:hint="eastAsia" w:ascii="宋体" w:hAnsi="宋体" w:cs="宋体"/>
                <w:color w:val="auto"/>
                <w:szCs w:val="21"/>
              </w:rPr>
            </w:pPr>
            <w:r>
              <w:rPr>
                <w:rFonts w:hint="eastAsia" w:ascii="宋体" w:hAnsi="宋体" w:cs="宋体"/>
                <w:color w:val="auto"/>
                <w:szCs w:val="21"/>
              </w:rPr>
              <w:t>经验估算法□</w:t>
            </w:r>
          </w:p>
        </w:tc>
        <w:tc>
          <w:tcPr>
            <w:tcW w:w="2152" w:type="dxa"/>
            <w:gridSpan w:val="6"/>
            <w:tcMar>
              <w:left w:w="0" w:type="dxa"/>
              <w:right w:w="0" w:type="dxa"/>
            </w:tcMar>
            <w:vAlign w:val="center"/>
          </w:tcPr>
          <w:p w14:paraId="70818F63">
            <w:pPr>
              <w:jc w:val="center"/>
              <w:rPr>
                <w:rFonts w:hint="eastAsia" w:ascii="宋体" w:hAnsi="宋体" w:cs="宋体"/>
                <w:color w:val="auto"/>
                <w:szCs w:val="21"/>
              </w:rPr>
            </w:pPr>
            <w:r>
              <w:rPr>
                <w:rFonts w:hint="eastAsia" w:ascii="宋体" w:hAnsi="宋体" w:cs="宋体"/>
                <w:color w:val="auto"/>
                <w:szCs w:val="21"/>
              </w:rPr>
              <w:t>其他估算法□</w:t>
            </w:r>
          </w:p>
        </w:tc>
      </w:tr>
      <w:tr w14:paraId="67E5ACB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restart"/>
            <w:tcMar>
              <w:left w:w="0" w:type="dxa"/>
              <w:right w:w="0" w:type="dxa"/>
            </w:tcMar>
            <w:vAlign w:val="center"/>
          </w:tcPr>
          <w:p w14:paraId="40970718">
            <w:pPr>
              <w:jc w:val="center"/>
              <w:rPr>
                <w:rFonts w:hint="eastAsia" w:ascii="宋体" w:hAnsi="宋体" w:cs="宋体"/>
                <w:color w:val="auto"/>
                <w:szCs w:val="21"/>
              </w:rPr>
            </w:pPr>
            <w:r>
              <w:rPr>
                <w:rFonts w:hint="eastAsia" w:ascii="宋体" w:hAnsi="宋体" w:cs="宋体"/>
                <w:color w:val="auto"/>
                <w:szCs w:val="21"/>
              </w:rPr>
              <w:t>风险预测与评价</w:t>
            </w:r>
          </w:p>
        </w:tc>
        <w:tc>
          <w:tcPr>
            <w:tcW w:w="1134" w:type="dxa"/>
            <w:vMerge w:val="restart"/>
            <w:tcMar>
              <w:left w:w="0" w:type="dxa"/>
              <w:right w:w="0" w:type="dxa"/>
            </w:tcMar>
            <w:vAlign w:val="center"/>
          </w:tcPr>
          <w:p w14:paraId="7CF7F649">
            <w:pPr>
              <w:jc w:val="center"/>
              <w:rPr>
                <w:rFonts w:hint="eastAsia" w:ascii="宋体" w:hAnsi="宋体" w:cs="宋体"/>
                <w:color w:val="auto"/>
                <w:szCs w:val="21"/>
              </w:rPr>
            </w:pPr>
            <w:r>
              <w:rPr>
                <w:rFonts w:hint="eastAsia" w:ascii="宋体" w:hAnsi="宋体" w:cs="宋体"/>
                <w:color w:val="auto"/>
                <w:szCs w:val="21"/>
              </w:rPr>
              <w:t>大气</w:t>
            </w:r>
          </w:p>
        </w:tc>
        <w:tc>
          <w:tcPr>
            <w:tcW w:w="1754" w:type="dxa"/>
            <w:gridSpan w:val="3"/>
            <w:tcMar>
              <w:left w:w="0" w:type="dxa"/>
              <w:right w:w="0" w:type="dxa"/>
            </w:tcMar>
            <w:vAlign w:val="center"/>
          </w:tcPr>
          <w:p w14:paraId="4FB0552A">
            <w:pPr>
              <w:jc w:val="center"/>
              <w:rPr>
                <w:rFonts w:hint="eastAsia" w:ascii="宋体" w:hAnsi="宋体" w:cs="宋体"/>
                <w:color w:val="auto"/>
                <w:szCs w:val="21"/>
              </w:rPr>
            </w:pPr>
            <w:r>
              <w:rPr>
                <w:rFonts w:hint="eastAsia" w:ascii="宋体" w:hAnsi="宋体" w:cs="宋体"/>
                <w:color w:val="auto"/>
                <w:szCs w:val="21"/>
              </w:rPr>
              <w:t>预测模型</w:t>
            </w:r>
          </w:p>
        </w:tc>
        <w:tc>
          <w:tcPr>
            <w:tcW w:w="1490" w:type="dxa"/>
            <w:gridSpan w:val="3"/>
            <w:tcMar>
              <w:left w:w="0" w:type="dxa"/>
              <w:right w:w="0" w:type="dxa"/>
            </w:tcMar>
            <w:vAlign w:val="center"/>
          </w:tcPr>
          <w:p w14:paraId="3AC015D5">
            <w:pPr>
              <w:jc w:val="center"/>
              <w:rPr>
                <w:rFonts w:hint="eastAsia" w:ascii="宋体" w:hAnsi="宋体" w:cs="宋体"/>
                <w:color w:val="auto"/>
                <w:szCs w:val="21"/>
              </w:rPr>
            </w:pPr>
            <w:r>
              <w:rPr>
                <w:rFonts w:hint="eastAsia" w:ascii="宋体" w:hAnsi="宋体" w:cs="宋体"/>
                <w:color w:val="auto"/>
                <w:szCs w:val="21"/>
              </w:rPr>
              <w:t>SLAB□</w:t>
            </w:r>
          </w:p>
        </w:tc>
        <w:tc>
          <w:tcPr>
            <w:tcW w:w="1434" w:type="dxa"/>
            <w:gridSpan w:val="2"/>
            <w:tcMar>
              <w:left w:w="0" w:type="dxa"/>
              <w:right w:w="0" w:type="dxa"/>
            </w:tcMar>
            <w:vAlign w:val="center"/>
          </w:tcPr>
          <w:p w14:paraId="76126398">
            <w:pPr>
              <w:jc w:val="center"/>
              <w:rPr>
                <w:rFonts w:hint="eastAsia" w:ascii="宋体" w:hAnsi="宋体" w:cs="宋体"/>
                <w:color w:val="auto"/>
                <w:szCs w:val="21"/>
              </w:rPr>
            </w:pPr>
            <w:r>
              <w:rPr>
                <w:rFonts w:hint="eastAsia" w:ascii="宋体" w:hAnsi="宋体" w:cs="宋体"/>
                <w:color w:val="auto"/>
                <w:szCs w:val="21"/>
              </w:rPr>
              <w:t>AFTOX□</w:t>
            </w:r>
          </w:p>
        </w:tc>
        <w:tc>
          <w:tcPr>
            <w:tcW w:w="2268" w:type="dxa"/>
            <w:gridSpan w:val="7"/>
            <w:tcMar>
              <w:left w:w="0" w:type="dxa"/>
              <w:right w:w="0" w:type="dxa"/>
            </w:tcMar>
            <w:vAlign w:val="center"/>
          </w:tcPr>
          <w:p w14:paraId="3A83A88B">
            <w:pPr>
              <w:jc w:val="center"/>
              <w:rPr>
                <w:rFonts w:hint="eastAsia" w:ascii="宋体" w:hAnsi="宋体" w:cs="宋体"/>
                <w:color w:val="auto"/>
                <w:szCs w:val="21"/>
              </w:rPr>
            </w:pPr>
            <w:r>
              <w:rPr>
                <w:rFonts w:hint="eastAsia" w:ascii="宋体" w:hAnsi="宋体" w:cs="宋体"/>
                <w:color w:val="auto"/>
                <w:szCs w:val="21"/>
              </w:rPr>
              <w:t>其他□</w:t>
            </w:r>
          </w:p>
        </w:tc>
      </w:tr>
      <w:tr w14:paraId="3E85E07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continue"/>
            <w:tcMar>
              <w:left w:w="0" w:type="dxa"/>
              <w:right w:w="0" w:type="dxa"/>
            </w:tcMar>
            <w:vAlign w:val="center"/>
          </w:tcPr>
          <w:p w14:paraId="7120E377">
            <w:pPr>
              <w:jc w:val="center"/>
              <w:rPr>
                <w:rFonts w:hint="eastAsia" w:ascii="宋体" w:hAnsi="宋体" w:cs="宋体"/>
                <w:color w:val="auto"/>
                <w:szCs w:val="21"/>
              </w:rPr>
            </w:pPr>
          </w:p>
        </w:tc>
        <w:tc>
          <w:tcPr>
            <w:tcW w:w="1134" w:type="dxa"/>
            <w:vMerge w:val="continue"/>
            <w:tcMar>
              <w:left w:w="0" w:type="dxa"/>
              <w:right w:w="0" w:type="dxa"/>
            </w:tcMar>
            <w:vAlign w:val="center"/>
          </w:tcPr>
          <w:p w14:paraId="15C34265">
            <w:pPr>
              <w:jc w:val="center"/>
              <w:rPr>
                <w:rFonts w:hint="eastAsia" w:ascii="宋体" w:hAnsi="宋体" w:cs="宋体"/>
                <w:color w:val="auto"/>
                <w:szCs w:val="21"/>
              </w:rPr>
            </w:pPr>
          </w:p>
        </w:tc>
        <w:tc>
          <w:tcPr>
            <w:tcW w:w="1754" w:type="dxa"/>
            <w:gridSpan w:val="3"/>
            <w:vMerge w:val="restart"/>
            <w:tcMar>
              <w:left w:w="0" w:type="dxa"/>
              <w:right w:w="0" w:type="dxa"/>
            </w:tcMar>
            <w:vAlign w:val="center"/>
          </w:tcPr>
          <w:p w14:paraId="7ED6E166">
            <w:pPr>
              <w:jc w:val="center"/>
              <w:rPr>
                <w:rFonts w:hint="eastAsia" w:ascii="宋体" w:hAnsi="宋体" w:cs="宋体"/>
                <w:color w:val="auto"/>
                <w:szCs w:val="21"/>
              </w:rPr>
            </w:pPr>
            <w:r>
              <w:rPr>
                <w:rFonts w:hint="eastAsia" w:ascii="宋体" w:hAnsi="宋体" w:cs="宋体"/>
                <w:color w:val="auto"/>
                <w:szCs w:val="21"/>
              </w:rPr>
              <w:t>预测结果</w:t>
            </w:r>
          </w:p>
        </w:tc>
        <w:tc>
          <w:tcPr>
            <w:tcW w:w="5192" w:type="dxa"/>
            <w:gridSpan w:val="12"/>
            <w:tcMar>
              <w:left w:w="0" w:type="dxa"/>
              <w:right w:w="0" w:type="dxa"/>
            </w:tcMar>
            <w:vAlign w:val="center"/>
          </w:tcPr>
          <w:p w14:paraId="1491F58D">
            <w:pPr>
              <w:jc w:val="center"/>
              <w:rPr>
                <w:rFonts w:hint="eastAsia" w:ascii="宋体" w:hAnsi="宋体" w:cs="宋体"/>
                <w:color w:val="auto"/>
                <w:szCs w:val="21"/>
              </w:rPr>
            </w:pPr>
            <w:r>
              <w:rPr>
                <w:rFonts w:hint="eastAsia" w:ascii="宋体" w:hAnsi="宋体" w:cs="宋体"/>
                <w:color w:val="auto"/>
                <w:szCs w:val="21"/>
              </w:rPr>
              <w:t>大气毒性终点浓度-1  最大影响范围___m</w:t>
            </w:r>
          </w:p>
        </w:tc>
      </w:tr>
      <w:tr w14:paraId="7461E25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continue"/>
            <w:tcMar>
              <w:left w:w="0" w:type="dxa"/>
              <w:right w:w="0" w:type="dxa"/>
            </w:tcMar>
            <w:vAlign w:val="center"/>
          </w:tcPr>
          <w:p w14:paraId="3101F314">
            <w:pPr>
              <w:jc w:val="center"/>
              <w:rPr>
                <w:rFonts w:hint="eastAsia" w:ascii="宋体" w:hAnsi="宋体" w:cs="宋体"/>
                <w:color w:val="auto"/>
                <w:szCs w:val="21"/>
              </w:rPr>
            </w:pPr>
          </w:p>
        </w:tc>
        <w:tc>
          <w:tcPr>
            <w:tcW w:w="1134" w:type="dxa"/>
            <w:vMerge w:val="continue"/>
            <w:tcMar>
              <w:left w:w="0" w:type="dxa"/>
              <w:right w:w="0" w:type="dxa"/>
            </w:tcMar>
            <w:vAlign w:val="center"/>
          </w:tcPr>
          <w:p w14:paraId="32D70DAC">
            <w:pPr>
              <w:jc w:val="center"/>
              <w:rPr>
                <w:rFonts w:hint="eastAsia" w:ascii="宋体" w:hAnsi="宋体" w:cs="宋体"/>
                <w:color w:val="auto"/>
                <w:szCs w:val="21"/>
              </w:rPr>
            </w:pPr>
          </w:p>
        </w:tc>
        <w:tc>
          <w:tcPr>
            <w:tcW w:w="1754" w:type="dxa"/>
            <w:gridSpan w:val="3"/>
            <w:vMerge w:val="continue"/>
            <w:tcMar>
              <w:left w:w="0" w:type="dxa"/>
              <w:right w:w="0" w:type="dxa"/>
            </w:tcMar>
            <w:vAlign w:val="center"/>
          </w:tcPr>
          <w:p w14:paraId="7F345D4B">
            <w:pPr>
              <w:jc w:val="center"/>
              <w:rPr>
                <w:rFonts w:hint="eastAsia" w:ascii="宋体" w:hAnsi="宋体" w:cs="宋体"/>
                <w:color w:val="auto"/>
                <w:szCs w:val="21"/>
              </w:rPr>
            </w:pPr>
          </w:p>
        </w:tc>
        <w:tc>
          <w:tcPr>
            <w:tcW w:w="5192" w:type="dxa"/>
            <w:gridSpan w:val="12"/>
            <w:tcMar>
              <w:left w:w="0" w:type="dxa"/>
              <w:right w:w="0" w:type="dxa"/>
            </w:tcMar>
            <w:vAlign w:val="center"/>
          </w:tcPr>
          <w:p w14:paraId="16EBEFF9">
            <w:pPr>
              <w:jc w:val="center"/>
              <w:rPr>
                <w:rFonts w:hint="eastAsia" w:ascii="宋体" w:hAnsi="宋体" w:cs="宋体"/>
                <w:color w:val="auto"/>
                <w:szCs w:val="21"/>
              </w:rPr>
            </w:pPr>
            <w:r>
              <w:rPr>
                <w:rFonts w:hint="eastAsia" w:ascii="宋体" w:hAnsi="宋体" w:cs="宋体"/>
                <w:color w:val="auto"/>
                <w:szCs w:val="21"/>
              </w:rPr>
              <w:t>大气毒性终点浓度-2  最大影响范围___m</w:t>
            </w:r>
          </w:p>
        </w:tc>
      </w:tr>
      <w:tr w14:paraId="0B1BA4D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continue"/>
            <w:tcMar>
              <w:left w:w="0" w:type="dxa"/>
              <w:right w:w="0" w:type="dxa"/>
            </w:tcMar>
            <w:vAlign w:val="center"/>
          </w:tcPr>
          <w:p w14:paraId="6A344CD6">
            <w:pPr>
              <w:jc w:val="center"/>
              <w:rPr>
                <w:rFonts w:hint="eastAsia" w:ascii="宋体" w:hAnsi="宋体" w:cs="宋体"/>
                <w:color w:val="auto"/>
                <w:szCs w:val="21"/>
              </w:rPr>
            </w:pPr>
          </w:p>
        </w:tc>
        <w:tc>
          <w:tcPr>
            <w:tcW w:w="1134" w:type="dxa"/>
            <w:tcMar>
              <w:left w:w="0" w:type="dxa"/>
              <w:right w:w="0" w:type="dxa"/>
            </w:tcMar>
            <w:vAlign w:val="center"/>
          </w:tcPr>
          <w:p w14:paraId="7374A10E">
            <w:pPr>
              <w:jc w:val="center"/>
              <w:rPr>
                <w:rFonts w:hint="eastAsia" w:ascii="宋体" w:hAnsi="宋体" w:cs="宋体"/>
                <w:color w:val="auto"/>
                <w:szCs w:val="21"/>
              </w:rPr>
            </w:pPr>
            <w:r>
              <w:rPr>
                <w:rFonts w:hint="eastAsia" w:ascii="宋体" w:hAnsi="宋体" w:cs="宋体"/>
                <w:color w:val="auto"/>
                <w:szCs w:val="21"/>
              </w:rPr>
              <w:t>地表水</w:t>
            </w:r>
          </w:p>
        </w:tc>
        <w:tc>
          <w:tcPr>
            <w:tcW w:w="6946" w:type="dxa"/>
            <w:gridSpan w:val="15"/>
            <w:tcMar>
              <w:left w:w="0" w:type="dxa"/>
              <w:right w:w="0" w:type="dxa"/>
            </w:tcMar>
            <w:vAlign w:val="center"/>
          </w:tcPr>
          <w:p w14:paraId="5C5384D4">
            <w:pPr>
              <w:jc w:val="center"/>
              <w:rPr>
                <w:rFonts w:hint="eastAsia" w:ascii="宋体" w:hAnsi="宋体" w:cs="宋体"/>
                <w:color w:val="auto"/>
                <w:szCs w:val="21"/>
              </w:rPr>
            </w:pPr>
            <w:r>
              <w:rPr>
                <w:rFonts w:hint="eastAsia" w:ascii="宋体" w:hAnsi="宋体" w:cs="宋体"/>
                <w:color w:val="auto"/>
                <w:szCs w:val="21"/>
              </w:rPr>
              <w:t>最近环境敏感目标_____，到达时间______h</w:t>
            </w:r>
          </w:p>
        </w:tc>
      </w:tr>
      <w:tr w14:paraId="5197390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continue"/>
            <w:tcMar>
              <w:left w:w="0" w:type="dxa"/>
              <w:right w:w="0" w:type="dxa"/>
            </w:tcMar>
            <w:vAlign w:val="center"/>
          </w:tcPr>
          <w:p w14:paraId="3E8F8E31">
            <w:pPr>
              <w:jc w:val="center"/>
              <w:rPr>
                <w:rFonts w:hint="eastAsia" w:ascii="宋体" w:hAnsi="宋体" w:cs="宋体"/>
                <w:color w:val="auto"/>
                <w:szCs w:val="21"/>
              </w:rPr>
            </w:pPr>
          </w:p>
        </w:tc>
        <w:tc>
          <w:tcPr>
            <w:tcW w:w="1134" w:type="dxa"/>
            <w:vMerge w:val="restart"/>
            <w:tcMar>
              <w:left w:w="0" w:type="dxa"/>
              <w:right w:w="0" w:type="dxa"/>
            </w:tcMar>
            <w:vAlign w:val="center"/>
          </w:tcPr>
          <w:p w14:paraId="244ECF96">
            <w:pPr>
              <w:jc w:val="center"/>
              <w:rPr>
                <w:rFonts w:hint="eastAsia" w:ascii="宋体" w:hAnsi="宋体" w:cs="宋体"/>
                <w:color w:val="auto"/>
                <w:szCs w:val="21"/>
              </w:rPr>
            </w:pPr>
            <w:r>
              <w:rPr>
                <w:rFonts w:hint="eastAsia" w:ascii="宋体" w:hAnsi="宋体" w:cs="宋体"/>
                <w:color w:val="auto"/>
                <w:szCs w:val="21"/>
              </w:rPr>
              <w:t>地下水</w:t>
            </w:r>
          </w:p>
        </w:tc>
        <w:tc>
          <w:tcPr>
            <w:tcW w:w="6946" w:type="dxa"/>
            <w:gridSpan w:val="15"/>
            <w:tcMar>
              <w:left w:w="0" w:type="dxa"/>
              <w:right w:w="0" w:type="dxa"/>
            </w:tcMar>
            <w:vAlign w:val="center"/>
          </w:tcPr>
          <w:p w14:paraId="7E7E628A">
            <w:pPr>
              <w:jc w:val="center"/>
              <w:rPr>
                <w:rFonts w:hint="eastAsia" w:ascii="宋体" w:hAnsi="宋体" w:cs="宋体"/>
                <w:color w:val="auto"/>
                <w:szCs w:val="21"/>
              </w:rPr>
            </w:pPr>
            <w:r>
              <w:rPr>
                <w:rFonts w:hint="eastAsia" w:ascii="宋体" w:hAnsi="宋体" w:cs="宋体"/>
                <w:color w:val="auto"/>
                <w:szCs w:val="21"/>
              </w:rPr>
              <w:t>下游厂区边界到达时间_____d</w:t>
            </w:r>
          </w:p>
        </w:tc>
      </w:tr>
      <w:tr w14:paraId="1BD1A7D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48" w:type="dxa"/>
            <w:vMerge w:val="continue"/>
            <w:tcMar>
              <w:left w:w="0" w:type="dxa"/>
              <w:right w:w="0" w:type="dxa"/>
            </w:tcMar>
            <w:vAlign w:val="center"/>
          </w:tcPr>
          <w:p w14:paraId="3174775F">
            <w:pPr>
              <w:jc w:val="center"/>
              <w:rPr>
                <w:rFonts w:hint="eastAsia" w:ascii="宋体" w:hAnsi="宋体" w:cs="宋体"/>
                <w:color w:val="auto"/>
                <w:szCs w:val="21"/>
              </w:rPr>
            </w:pPr>
          </w:p>
        </w:tc>
        <w:tc>
          <w:tcPr>
            <w:tcW w:w="1134" w:type="dxa"/>
            <w:vMerge w:val="continue"/>
            <w:tcMar>
              <w:left w:w="0" w:type="dxa"/>
              <w:right w:w="0" w:type="dxa"/>
            </w:tcMar>
            <w:vAlign w:val="center"/>
          </w:tcPr>
          <w:p w14:paraId="5C145492">
            <w:pPr>
              <w:jc w:val="center"/>
              <w:rPr>
                <w:rFonts w:hint="eastAsia" w:ascii="宋体" w:hAnsi="宋体" w:cs="宋体"/>
                <w:color w:val="auto"/>
                <w:szCs w:val="21"/>
              </w:rPr>
            </w:pPr>
          </w:p>
        </w:tc>
        <w:tc>
          <w:tcPr>
            <w:tcW w:w="6946" w:type="dxa"/>
            <w:gridSpan w:val="15"/>
            <w:tcMar>
              <w:left w:w="0" w:type="dxa"/>
              <w:right w:w="0" w:type="dxa"/>
            </w:tcMar>
            <w:vAlign w:val="center"/>
          </w:tcPr>
          <w:p w14:paraId="12FD55CF">
            <w:pPr>
              <w:jc w:val="center"/>
              <w:rPr>
                <w:rFonts w:hint="eastAsia" w:ascii="宋体" w:hAnsi="宋体" w:cs="宋体"/>
                <w:color w:val="auto"/>
                <w:szCs w:val="21"/>
              </w:rPr>
            </w:pPr>
            <w:r>
              <w:rPr>
                <w:rFonts w:hint="eastAsia" w:ascii="宋体" w:hAnsi="宋体" w:cs="宋体"/>
                <w:color w:val="auto"/>
                <w:szCs w:val="21"/>
              </w:rPr>
              <w:t>最近环境敏感目标_____，到达时间______d</w:t>
            </w:r>
          </w:p>
        </w:tc>
      </w:tr>
      <w:tr w14:paraId="56429A4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278" w:hRule="atLeast"/>
          <w:jc w:val="center"/>
        </w:trPr>
        <w:tc>
          <w:tcPr>
            <w:tcW w:w="848" w:type="dxa"/>
            <w:tcMar>
              <w:left w:w="0" w:type="dxa"/>
              <w:right w:w="0" w:type="dxa"/>
            </w:tcMar>
            <w:vAlign w:val="center"/>
          </w:tcPr>
          <w:p w14:paraId="55209B13">
            <w:pPr>
              <w:jc w:val="left"/>
              <w:rPr>
                <w:rFonts w:hint="eastAsia" w:ascii="宋体" w:hAnsi="宋体" w:cs="宋体"/>
                <w:color w:val="auto"/>
                <w:szCs w:val="21"/>
              </w:rPr>
            </w:pPr>
            <w:r>
              <w:rPr>
                <w:rFonts w:hint="eastAsia" w:ascii="宋体" w:hAnsi="宋体" w:cs="宋体"/>
                <w:color w:val="auto"/>
                <w:szCs w:val="21"/>
              </w:rPr>
              <w:t>重点风险防范措施</w:t>
            </w:r>
          </w:p>
        </w:tc>
        <w:tc>
          <w:tcPr>
            <w:tcW w:w="8080" w:type="dxa"/>
            <w:gridSpan w:val="16"/>
            <w:tcMar>
              <w:left w:w="0" w:type="dxa"/>
              <w:right w:w="0" w:type="dxa"/>
            </w:tcMar>
            <w:vAlign w:val="center"/>
          </w:tcPr>
          <w:p w14:paraId="5EEA1C0A">
            <w:pPr>
              <w:pStyle w:val="86"/>
              <w:spacing w:line="240" w:lineRule="auto"/>
              <w:ind w:firstLine="420"/>
              <w:jc w:val="left"/>
              <w:rPr>
                <w:rFonts w:hint="eastAsia"/>
                <w:color w:val="auto"/>
                <w:sz w:val="21"/>
                <w:szCs w:val="21"/>
              </w:rPr>
            </w:pPr>
            <w:r>
              <w:rPr>
                <w:rFonts w:hint="eastAsia"/>
                <w:color w:val="auto"/>
                <w:sz w:val="21"/>
                <w:szCs w:val="21"/>
              </w:rPr>
              <w:t>在井口安装防喷器和控制装置；井场设置明显的禁止烟火标志；井下作业时要求带罐操作；按规定配置齐全各类消防设施；在油气可能泄漏和积聚的区域设置可燃气体浓度检测报警装置；定期对管线进行巡检；</w:t>
            </w:r>
            <w:r>
              <w:rPr>
                <w:color w:val="auto"/>
                <w:sz w:val="21"/>
                <w:szCs w:val="21"/>
              </w:rPr>
              <w:t>加强对管材和焊接质量的检查</w:t>
            </w:r>
            <w:r>
              <w:rPr>
                <w:rFonts w:hint="eastAsia"/>
                <w:color w:val="auto"/>
                <w:sz w:val="21"/>
                <w:szCs w:val="21"/>
              </w:rPr>
              <w:t>；</w:t>
            </w:r>
            <w:r>
              <w:rPr>
                <w:color w:val="auto"/>
                <w:sz w:val="21"/>
                <w:szCs w:val="21"/>
              </w:rPr>
              <w:t>定期对管线进行超声波检查</w:t>
            </w:r>
            <w:r>
              <w:rPr>
                <w:rFonts w:hint="eastAsia"/>
                <w:color w:val="auto"/>
                <w:sz w:val="21"/>
                <w:szCs w:val="21"/>
              </w:rPr>
              <w:t>；严禁在管线两侧各5m范围内修筑工程；项目投产后应纳入《中国石油新疆油田分公司石西油田作业区突发环境污染事件应急预案》。</w:t>
            </w:r>
          </w:p>
        </w:tc>
      </w:tr>
      <w:tr w14:paraId="415A775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59" w:hRule="atLeast"/>
          <w:jc w:val="center"/>
        </w:trPr>
        <w:tc>
          <w:tcPr>
            <w:tcW w:w="848" w:type="dxa"/>
            <w:tcMar>
              <w:left w:w="0" w:type="dxa"/>
              <w:right w:w="0" w:type="dxa"/>
            </w:tcMar>
            <w:vAlign w:val="center"/>
          </w:tcPr>
          <w:p w14:paraId="542660AD">
            <w:pPr>
              <w:jc w:val="center"/>
              <w:rPr>
                <w:rFonts w:hint="eastAsia" w:ascii="宋体" w:hAnsi="宋体" w:cs="宋体"/>
                <w:color w:val="auto"/>
                <w:szCs w:val="21"/>
              </w:rPr>
            </w:pPr>
            <w:r>
              <w:rPr>
                <w:rFonts w:hint="eastAsia" w:ascii="宋体" w:hAnsi="宋体" w:cs="宋体"/>
                <w:color w:val="auto"/>
                <w:szCs w:val="21"/>
              </w:rPr>
              <w:t>评价结论与建议</w:t>
            </w:r>
          </w:p>
        </w:tc>
        <w:tc>
          <w:tcPr>
            <w:tcW w:w="8080" w:type="dxa"/>
            <w:gridSpan w:val="16"/>
            <w:tcMar>
              <w:left w:w="0" w:type="dxa"/>
              <w:right w:w="0" w:type="dxa"/>
            </w:tcMar>
            <w:vAlign w:val="center"/>
          </w:tcPr>
          <w:p w14:paraId="5F57AB7B">
            <w:pPr>
              <w:jc w:val="left"/>
              <w:rPr>
                <w:rFonts w:hint="eastAsia" w:ascii="宋体" w:hAnsi="宋体" w:cs="宋体"/>
                <w:color w:val="auto"/>
                <w:szCs w:val="21"/>
              </w:rPr>
            </w:pPr>
            <w:r>
              <w:rPr>
                <w:rFonts w:hint="eastAsia" w:ascii="宋体" w:hAnsi="宋体" w:cs="宋体"/>
                <w:color w:val="auto"/>
                <w:szCs w:val="21"/>
              </w:rPr>
              <w:t>项目在运行过程中的环境风险较小，通过采取相应的环境风险防范措施后，其影响和风险是可以接受的。</w:t>
            </w:r>
          </w:p>
        </w:tc>
      </w:tr>
      <w:bookmarkEnd w:id="1047"/>
    </w:tbl>
    <w:p w14:paraId="46A0D610">
      <w:pPr>
        <w:pStyle w:val="86"/>
        <w:ind w:firstLine="0" w:firstLineChars="0"/>
        <w:rPr>
          <w:rFonts w:hint="eastAsia"/>
          <w:color w:val="auto"/>
        </w:rPr>
        <w:sectPr>
          <w:pgSz w:w="11906" w:h="16838"/>
          <w:pgMar w:top="1418" w:right="1588" w:bottom="1418" w:left="1588" w:header="851" w:footer="992" w:gutter="0"/>
          <w:cols w:space="425" w:num="1"/>
          <w:docGrid w:type="lines" w:linePitch="312" w:charSpace="0"/>
        </w:sectPr>
      </w:pPr>
    </w:p>
    <w:p w14:paraId="23410A04">
      <w:pPr>
        <w:pStyle w:val="86"/>
        <w:spacing w:line="240" w:lineRule="auto"/>
        <w:ind w:firstLine="0" w:firstLineChars="0"/>
        <w:jc w:val="center"/>
        <w:rPr>
          <w:rFonts w:hint="eastAsia"/>
          <w:color w:val="auto"/>
        </w:rPr>
      </w:pPr>
    </w:p>
    <w:p w14:paraId="112A0C01">
      <w:pPr>
        <w:pStyle w:val="86"/>
        <w:spacing w:line="240" w:lineRule="auto"/>
        <w:ind w:firstLine="0" w:firstLineChars="0"/>
        <w:rPr>
          <w:rFonts w:hint="eastAsia"/>
          <w:color w:val="auto"/>
        </w:rPr>
      </w:pPr>
    </w:p>
    <w:p w14:paraId="151B3FF5">
      <w:pPr>
        <w:pStyle w:val="86"/>
        <w:spacing w:line="240" w:lineRule="auto"/>
        <w:ind w:firstLine="0" w:firstLineChars="0"/>
        <w:jc w:val="center"/>
        <w:rPr>
          <w:rFonts w:hint="eastAsia"/>
          <w:color w:val="auto"/>
        </w:rPr>
      </w:pPr>
    </w:p>
    <w:bookmarkEnd w:id="1048"/>
    <w:sectPr>
      <w:headerReference r:id="rId34" w:type="default"/>
      <w:pgSz w:w="16838" w:h="11906" w:orient="landscape"/>
      <w:pgMar w:top="1588" w:right="1418" w:bottom="1588" w:left="1418"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Courier New">
    <w:panose1 w:val="02070309020205020404"/>
    <w:charset w:val="00"/>
    <w:family w:val="modern"/>
    <w:pitch w:val="default"/>
    <w:sig w:usb0="E0002EFF" w:usb1="C0007843" w:usb2="00000009" w:usb3="00000000" w:csb0="400001FF" w:csb1="FFFF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Arial">
    <w:panose1 w:val="020B0604020202020204"/>
    <w:charset w:val="00"/>
    <w:family w:val="swiss"/>
    <w:pitch w:val="default"/>
    <w:sig w:usb0="E0002EFF" w:usb1="C000785B" w:usb2="00000009" w:usb3="00000000" w:csb0="400001FF" w:csb1="FFFF0000"/>
  </w:font>
  <w:font w:name="楷体_GB2312">
    <w:altName w:val="楷体"/>
    <w:panose1 w:val="00000000000000000000"/>
    <w:charset w:val="86"/>
    <w:family w:val="auto"/>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Chiller">
    <w:altName w:val="Gabriola"/>
    <w:panose1 w:val="00000000000000000000"/>
    <w:charset w:val="00"/>
    <w:family w:val="decorative"/>
    <w:pitch w:val="default"/>
    <w:sig w:usb0="00000000" w:usb1="00000000" w:usb2="00000000" w:usb3="00000000" w:csb0="00000001" w:csb1="00000000"/>
  </w:font>
  <w:font w:name="Gabriola">
    <w:panose1 w:val="04040605051002020D02"/>
    <w:charset w:val="00"/>
    <w:family w:val="auto"/>
    <w:pitch w:val="default"/>
    <w:sig w:usb0="E00002EF" w:usb1="5000204B" w:usb2="00000000" w:usb3="00000000" w:csb0="2000009F" w:csb1="00000000"/>
  </w:font>
  <w:font w:name="仿宋">
    <w:panose1 w:val="02010609060101010101"/>
    <w:charset w:val="86"/>
    <w:family w:val="modern"/>
    <w:pitch w:val="default"/>
    <w:sig w:usb0="800002BF" w:usb1="38CF7CFA" w:usb2="00000016" w:usb3="00000000" w:csb0="00040001" w:csb1="00000000"/>
  </w:font>
  <w:font w:name="Microsoft YaHei UI">
    <w:panose1 w:val="020B0503020204020204"/>
    <w:charset w:val="86"/>
    <w:family w:val="swiss"/>
    <w:pitch w:val="default"/>
    <w:sig w:usb0="80000287" w:usb1="2ACF3C50" w:usb2="00000016" w:usb3="00000000" w:csb0="0004001F" w:csb1="00000000"/>
  </w:font>
  <w:font w:name="Verdana">
    <w:panose1 w:val="020B0604030504040204"/>
    <w:charset w:val="00"/>
    <w:family w:val="swiss"/>
    <w:pitch w:val="default"/>
    <w:sig w:usb0="A00006FF" w:usb1="4000205B" w:usb2="00000010" w:usb3="00000000" w:csb0="2000019F" w:csb1="00000000"/>
  </w:font>
  <w:font w:name="Arial Unicode MS">
    <w:altName w:val="Arial"/>
    <w:panose1 w:val="020B0604020202020204"/>
    <w:charset w:val="00"/>
    <w:family w:val="roman"/>
    <w:pitch w:val="default"/>
    <w:sig w:usb0="00000000" w:usb1="00000000" w:usb2="00000000" w:usb3="00000000" w:csb0="00000001" w:csb1="00000000"/>
  </w:font>
  <w:font w:name="Helvetica">
    <w:altName w:val="Arial"/>
    <w:panose1 w:val="020B0604020202020204"/>
    <w:charset w:val="00"/>
    <w:family w:val="swiss"/>
    <w:pitch w:val="default"/>
    <w:sig w:usb0="00000000" w:usb1="00000000" w:usb2="00000009" w:usb3="00000000" w:csb0="000001FF" w:csb1="00000000"/>
  </w:font>
  <w:font w:name="ST Song Std">
    <w:altName w:val="宋体"/>
    <w:panose1 w:val="00000000000000000000"/>
    <w:charset w:val="86"/>
    <w:family w:val="roman"/>
    <w:pitch w:val="default"/>
    <w:sig w:usb0="00000000" w:usb1="00000000" w:usb2="00000010" w:usb3="00000000" w:csb0="00040000" w:csb1="00000000"/>
  </w:font>
  <w:font w:name="方正仿宋_GBK">
    <w:altName w:val="微软雅黑"/>
    <w:panose1 w:val="00000000000000000000"/>
    <w:charset w:val="86"/>
    <w:family w:val="auto"/>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方正楷体简体">
    <w:altName w:val="微软雅黑"/>
    <w:panose1 w:val="00000000000000000000"/>
    <w:charset w:val="86"/>
    <w:family w:val="auto"/>
    <w:pitch w:val="default"/>
    <w:sig w:usb0="00000000" w:usb1="00000000" w:usb2="00000010" w:usb3="00000000" w:csb0="00040000" w:csb1="00000000"/>
  </w:font>
  <w:font w:name="FZYaSongS-R-GB">
    <w:altName w:val="宋体"/>
    <w:panose1 w:val="00000000000000000000"/>
    <w:charset w:val="00"/>
    <w:family w:val="roman"/>
    <w:pitch w:val="default"/>
    <w:sig w:usb0="00000000" w:usb1="00000000" w:usb2="00000000" w:usb3="00000000" w:csb0="00040001" w:csb1="00000000"/>
  </w:font>
  <w:font w:name="Segoe UI Emoji">
    <w:panose1 w:val="020B0502040204020203"/>
    <w:charset w:val="00"/>
    <w:family w:val="swiss"/>
    <w:pitch w:val="default"/>
    <w:sig w:usb0="00000001" w:usb1="02000000" w:usb2="08000000" w:usb3="00000000" w:csb0="00000001" w:csb1="00000000"/>
  </w:font>
  <w:font w:name="Cambria Math">
    <w:panose1 w:val="02040503050406030204"/>
    <w:charset w:val="00"/>
    <w:family w:val="roman"/>
    <w:pitch w:val="default"/>
    <w:sig w:usb0="E00006FF" w:usb1="420024FF" w:usb2="02000000" w:usb3="00000000" w:csb0="2000019F" w:csb1="00000000"/>
  </w:font>
  <w:font w:name="仿宋 .瑨.奶.">
    <w:altName w:val="宋体"/>
    <w:panose1 w:val="00000000000000000000"/>
    <w:charset w:val="86"/>
    <w:family w:val="roman"/>
    <w:pitch w:val="default"/>
    <w:sig w:usb0="00000000" w:usb1="00000000" w:usb2="00000010" w:usb3="00000000" w:csb0="00040000" w:csb1="00000000"/>
  </w:font>
  <w:font w:name="仿宋e眠副浡渀.">
    <w:altName w:val="宋体"/>
    <w:panose1 w:val="00000000000000000000"/>
    <w:charset w:val="86"/>
    <w:family w:val="roman"/>
    <w:pitch w:val="default"/>
    <w:sig w:usb0="00000000" w:usb1="00000000" w:usb2="00000010" w:usb3="00000000" w:csb0="00040000" w:csb1="00000000"/>
  </w:font>
  <w:font w:name="仿宋 .瑨..">
    <w:altName w:val="宋体"/>
    <w:panose1 w:val="00000000000000000000"/>
    <w:charset w:val="86"/>
    <w:family w:val="roman"/>
    <w:pitch w:val="default"/>
    <w:sig w:usb0="00000000" w:usb1="00000000" w:usb2="00000010" w:usb3="00000000" w:csb0="00040000" w:csb1="00000000"/>
  </w:font>
  <w:font w:name="Wingdings 2">
    <w:panose1 w:val="05020102010507070707"/>
    <w:charset w:val="02"/>
    <w:family w:val="roman"/>
    <w:pitch w:val="default"/>
    <w:sig w:usb0="00000000" w:usb1="00000000" w:usb2="00000000" w:usb3="00000000" w:csb0="80000000" w:csb1="00000000"/>
  </w:font>
  <w:font w:name="Segoe UI Symbol">
    <w:panose1 w:val="020B0502040204020203"/>
    <w:charset w:val="00"/>
    <w:family w:val="swiss"/>
    <w:pitch w:val="default"/>
    <w:sig w:usb0="800001E3" w:usb1="1200FFEF" w:usb2="00040000" w:usb3="04000000" w:csb0="00000001" w:csb1="4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517C08">
    <w:pPr>
      <w:pStyle w:val="29"/>
      <w:pBdr>
        <w:top w:val="single" w:color="auto" w:sz="4" w:space="1"/>
      </w:pBdr>
      <w:spacing w:line="300" w:lineRule="exact"/>
      <w:ind w:firstLine="720" w:firstLineChars="400"/>
      <w:rPr>
        <w:rFonts w:hint="eastAsia" w:ascii="宋体" w:hAnsi="宋体"/>
      </w:rPr>
    </w:pPr>
    <w:r>
      <w:rPr>
        <w:rFonts w:hint="eastAsia" w:ascii="宋体" w:hAnsi="宋体"/>
      </w:rPr>
      <w:t xml:space="preserve">中勘冶金勘察设计研究院有限责任公司                             </w:t>
    </w:r>
    <w:r>
      <w:rPr>
        <w:rFonts w:ascii="宋体" w:hAnsi="宋体"/>
      </w:rPr>
      <w:t xml:space="preserve"> </w:t>
    </w:r>
    <w:r>
      <w:rPr>
        <w:rFonts w:hint="eastAsia" w:ascii="宋体" w:hAnsi="宋体"/>
      </w:rPr>
      <w:t xml:space="preserve">                      </w:t>
    </w:r>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rPr>
      <w:t>62</w:t>
    </w:r>
    <w:r>
      <w:rPr>
        <w:rFonts w:ascii="宋体" w:hAnsi="宋体"/>
      </w:rPr>
      <w:fldChar w:fldCharType="end"/>
    </w:r>
    <w:r>
      <w:rPr>
        <w:rFonts w:hint="eastAsia" w:ascii="宋体" w:hAnsi="宋体"/>
        <w:lang w:val="zh-CN"/>
      </w:rPr>
      <w:drawing>
        <wp:anchor distT="0" distB="0" distL="114300" distR="114300" simplePos="0" relativeHeight="251660288" behindDoc="1" locked="0" layoutInCell="1" allowOverlap="1">
          <wp:simplePos x="0" y="0"/>
          <wp:positionH relativeFrom="column">
            <wp:posOffset>94615</wp:posOffset>
          </wp:positionH>
          <wp:positionV relativeFrom="paragraph">
            <wp:posOffset>6350</wp:posOffset>
          </wp:positionV>
          <wp:extent cx="365760" cy="229235"/>
          <wp:effectExtent l="0" t="0" r="0" b="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65760" cy="229235"/>
                  </a:xfrm>
                  <a:prstGeom prst="rect">
                    <a:avLst/>
                  </a:prstGeom>
                  <a:noFill/>
                  <a:ln>
                    <a:noFill/>
                  </a:ln>
                </pic:spPr>
              </pic:pic>
            </a:graphicData>
          </a:graphic>
        </wp:anchor>
      </w:drawing>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BB463F">
    <w:pPr>
      <w:pStyle w:val="29"/>
      <w:pBdr>
        <w:top w:val="single" w:color="auto" w:sz="4" w:space="1"/>
      </w:pBdr>
      <w:adjustRightInd w:val="0"/>
      <w:ind w:firstLine="450" w:firstLineChars="250"/>
      <w:rPr>
        <w:rFonts w:hint="eastAsia" w:ascii="宋体" w:hAnsi="宋体"/>
      </w:rPr>
    </w:pPr>
    <w:r>
      <mc:AlternateContent>
        <mc:Choice Requires="wps">
          <w:drawing>
            <wp:anchor distT="0" distB="0" distL="114300" distR="114300" simplePos="0" relativeHeight="251668480" behindDoc="0" locked="0" layoutInCell="1" allowOverlap="1">
              <wp:simplePos x="0" y="0"/>
              <wp:positionH relativeFrom="margin">
                <wp:posOffset>-10795</wp:posOffset>
              </wp:positionH>
              <wp:positionV relativeFrom="paragraph">
                <wp:posOffset>2409190</wp:posOffset>
              </wp:positionV>
              <wp:extent cx="5549900" cy="158750"/>
              <wp:effectExtent l="0" t="0" r="0" b="3810"/>
              <wp:wrapNone/>
              <wp:docPr id="1632236410" name="文本框 1040"/>
              <wp:cNvGraphicFramePr/>
              <a:graphic xmlns:a="http://schemas.openxmlformats.org/drawingml/2006/main">
                <a:graphicData uri="http://schemas.microsoft.com/office/word/2010/wordprocessingShape">
                  <wps:wsp>
                    <wps:cNvSpPr txBox="1">
                      <a:spLocks noChangeArrowheads="1"/>
                    </wps:cNvSpPr>
                    <wps:spPr bwMode="auto">
                      <a:xfrm>
                        <a:off x="0" y="0"/>
                        <a:ext cx="5549900" cy="158750"/>
                      </a:xfrm>
                      <a:prstGeom prst="rect">
                        <a:avLst/>
                      </a:prstGeom>
                      <a:noFill/>
                      <a:ln>
                        <a:noFill/>
                      </a:ln>
                    </wps:spPr>
                    <wps:txbx>
                      <w:txbxContent>
                        <w:p w14:paraId="4C051E88">
                          <w:pPr>
                            <w:pStyle w:val="29"/>
                            <w:pBdr>
                              <w:top w:val="single" w:color="auto" w:sz="4" w:space="1"/>
                            </w:pBdr>
                            <w:adjustRightInd w:val="0"/>
                            <w:ind w:firstLine="450" w:firstLineChars="250"/>
                          </w:pPr>
                        </w:p>
                      </w:txbxContent>
                    </wps:txbx>
                    <wps:bodyPr rot="0" vert="horz" wrap="square" lIns="0" tIns="0" rIns="0" bIns="0" anchor="t" anchorCtr="0" upright="1">
                      <a:spAutoFit/>
                    </wps:bodyPr>
                  </wps:wsp>
                </a:graphicData>
              </a:graphic>
            </wp:anchor>
          </w:drawing>
        </mc:Choice>
        <mc:Fallback>
          <w:pict>
            <v:shape id="文本框 1040" o:spid="_x0000_s1026" o:spt="202" type="#_x0000_t202" style="position:absolute;left:0pt;margin-left:-0.85pt;margin-top:189.7pt;height:12.5pt;width:437pt;mso-position-horizontal-relative:margin;z-index:251668480;mso-width-relative:page;mso-height-relative:page;" filled="f" stroked="f" coordsize="21600,21600" o:gfxdata="UEsDBAoAAAAAAIdO4kAAAAAAAAAAAAAAAAAEAAAAZHJzL1BLAwQUAAAACACHTuJAWZ+6J9gAAAAK&#10;AQAADwAAAGRycy9kb3ducmV2LnhtbE2PMU/DMBCFdyT+g3VILKi1nUZNG+J0QLCw0bKwufGRRNjn&#10;KHaT0F+PmWA8vU/vfVcdFmfZhGPoPSmQawEMqfGmp1bB++lltQMWoiajrSdU8I0BDvXtTaVL42d6&#10;w+kYW5ZKKJRaQRfjUHIemg6dDms/IKXs049Ox3SOLTejnlO5szwTYsud7iktdHrApw6br+PFKdgu&#10;z8PD6x6z+drYiT6uUkaUSt3fSfEILOIS/2D41U/qUCens7+QCcwqWMkikQo2xT4HloBdkW2AnRXk&#10;Is+B1xX//0L9A1BLAwQUAAAACACHTuJALZ0hIxcCAAARBAAADgAAAGRycy9lMm9Eb2MueG1srVNL&#10;btswFNwX6B0I7mtJju0mguUgjeGiQPoB0h6ApiiLqMTHPtKW0gO0N+iqm+57Lp+jj5TtpOkmi26I&#10;x88bzgyH88u+bdhOodNgCp6NUs6UkVBqsyn4p4+rF+ecOS9MKRowquB3yvHLxfNn887magw1NKVC&#10;RiDG5Z0teO29zZPEyVq1wo3AKkObFWArPE1xk5QoOkJvm2ScprOkAywtglTO0epy2OQHRHwKIFSV&#10;lmoJctsq4wdUVI3wJMnV2jq+iGyrSkn/vqqc8qwpOCn1caRLqF6HMVnMRb5BYWstDxTEUyg80tQK&#10;bejSE9RSeMG2qP+BarVEcFD5kYQ2GYRER0hFlj7y5rYWVkUtZLWzJ9Pd/4OV73YfkOmSkjA7G4/P&#10;ZpOMrDGipZff//i+//l7/+sby9JJtKqzLqeOW0s9vn8FPbVF2c7egPzsmIHrWpiNukKErlaiJKpZ&#10;MDl50Boex+UugKy7t1DSVWLrIQL1FbbBR3KGETpxuTs9k+o9k7Q4nU4uLlLakrSXTc9fTiO5ROTH&#10;bovOv1bQslAUHCkGEV3sbpwPbER+PBIuM7DSTROj0Ji/FuhgWInsA+GBuu/XPZ0OKtZQ3pEOhCFZ&#10;9K+oqAG/ctZRqgruvmwFKs6aN4a8INL+WOCxWB8LYSS1FtxzNpTXfojq1qLe1IR8dPuK/FrpKOWe&#10;xYEnJSUqPKQ6RPHhPJ66/8mL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mfuifYAAAACgEAAA8A&#10;AAAAAAAAAQAgAAAAIgAAAGRycy9kb3ducmV2LnhtbFBLAQIUABQAAAAIAIdO4kAtnSEjFwIAABEE&#10;AAAOAAAAAAAAAAEAIAAAACcBAABkcnMvZTJvRG9jLnhtbFBLBQYAAAAABgAGAFkBAACwBQAAAAA=&#10;">
              <v:fill on="f" focussize="0,0"/>
              <v:stroke on="f"/>
              <v:imagedata o:title=""/>
              <o:lock v:ext="edit" aspectratio="f"/>
              <v:textbox inset="0mm,0mm,0mm,0mm" style="mso-fit-shape-to-text:t;">
                <w:txbxContent>
                  <w:p w14:paraId="4C051E88">
                    <w:pPr>
                      <w:pStyle w:val="29"/>
                      <w:pBdr>
                        <w:top w:val="single" w:color="auto" w:sz="4" w:space="1"/>
                      </w:pBdr>
                      <w:adjustRightInd w:val="0"/>
                      <w:ind w:firstLine="450" w:firstLineChars="250"/>
                    </w:pPr>
                  </w:p>
                </w:txbxContent>
              </v:textbox>
            </v:shape>
          </w:pict>
        </mc:Fallback>
      </mc:AlternateContent>
    </w:r>
    <w:r>
      <w:rPr>
        <w:rFonts w:hint="eastAsia" w:ascii="宋体" w:hAnsi="宋体"/>
      </w:rPr>
      <w:t>中勘冶金勘察设计研究院有限责任公司</w:t>
    </w:r>
    <w:r>
      <w:rPr>
        <w:rFonts w:hint="eastAsia"/>
      </w:rPr>
      <w:t xml:space="preserve">                                                                                                                                                                                            </w:t>
    </w:r>
    <w:r>
      <w:t xml:space="preserve">                                                 </w:t>
    </w:r>
    <w:r>
      <w:rPr>
        <w:rFonts w:hint="eastAsia"/>
      </w:rPr>
      <w:t xml:space="preserve">        </w:t>
    </w:r>
    <w:r>
      <w:rPr>
        <w:rFonts w:hint="eastAsia" w:ascii="宋体" w:hAnsi="宋体"/>
      </w:rPr>
      <w:t xml:space="preserve">  </w:t>
    </w:r>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rPr>
      <w:t>71</w:t>
    </w:r>
    <w:r>
      <w:rPr>
        <w:rFonts w:ascii="宋体" w:hAnsi="宋体"/>
      </w:rPr>
      <w:fldChar w:fldCharType="end"/>
    </w:r>
    <w:r>
      <w:rPr>
        <w:rFonts w:hint="eastAsia" w:ascii="宋体" w:hAnsi="宋体"/>
        <w:lang w:val="zh-CN"/>
      </w:rPr>
      <w:drawing>
        <wp:anchor distT="0" distB="0" distL="114300" distR="114300" simplePos="0" relativeHeight="251667456" behindDoc="1" locked="0" layoutInCell="1" allowOverlap="1">
          <wp:simplePos x="0" y="0"/>
          <wp:positionH relativeFrom="column">
            <wp:posOffset>-106045</wp:posOffset>
          </wp:positionH>
          <wp:positionV relativeFrom="paragraph">
            <wp:posOffset>-4445</wp:posOffset>
          </wp:positionV>
          <wp:extent cx="365760" cy="229235"/>
          <wp:effectExtent l="0" t="0" r="0" b="0"/>
          <wp:wrapNone/>
          <wp:docPr id="280245437" name="图片 28024543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45437" name="图片 280245437"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65760" cy="229235"/>
                  </a:xfrm>
                  <a:prstGeom prst="rect">
                    <a:avLst/>
                  </a:prstGeom>
                  <a:noFill/>
                  <a:ln>
                    <a:noFill/>
                  </a:ln>
                </pic:spPr>
              </pic:pic>
            </a:graphicData>
          </a:graphic>
        </wp:anchor>
      </w:drawing>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5F8D70">
    <w:pPr>
      <w:pStyle w:val="29"/>
      <w:pBdr>
        <w:top w:val="single" w:color="auto" w:sz="4" w:space="1"/>
      </w:pBdr>
      <w:adjustRightInd w:val="0"/>
      <w:ind w:firstLine="450" w:firstLineChars="250"/>
      <w:rPr>
        <w:rFonts w:hint="eastAsia" w:ascii="宋体" w:hAnsi="宋体"/>
      </w:rPr>
    </w:pPr>
    <w:r>
      <mc:AlternateContent>
        <mc:Choice Requires="wps">
          <w:drawing>
            <wp:anchor distT="0" distB="0" distL="114300" distR="114300" simplePos="0" relativeHeight="251670528" behindDoc="0" locked="0" layoutInCell="1" allowOverlap="1">
              <wp:simplePos x="0" y="0"/>
              <wp:positionH relativeFrom="margin">
                <wp:posOffset>-10795</wp:posOffset>
              </wp:positionH>
              <wp:positionV relativeFrom="paragraph">
                <wp:posOffset>2409190</wp:posOffset>
              </wp:positionV>
              <wp:extent cx="5549900" cy="158750"/>
              <wp:effectExtent l="0" t="0" r="0" b="3810"/>
              <wp:wrapNone/>
              <wp:docPr id="1168433291" name="文本框 1040"/>
              <wp:cNvGraphicFramePr/>
              <a:graphic xmlns:a="http://schemas.openxmlformats.org/drawingml/2006/main">
                <a:graphicData uri="http://schemas.microsoft.com/office/word/2010/wordprocessingShape">
                  <wps:wsp>
                    <wps:cNvSpPr txBox="1">
                      <a:spLocks noChangeArrowheads="1"/>
                    </wps:cNvSpPr>
                    <wps:spPr bwMode="auto">
                      <a:xfrm>
                        <a:off x="0" y="0"/>
                        <a:ext cx="5549900" cy="158750"/>
                      </a:xfrm>
                      <a:prstGeom prst="rect">
                        <a:avLst/>
                      </a:prstGeom>
                      <a:noFill/>
                      <a:ln>
                        <a:noFill/>
                      </a:ln>
                    </wps:spPr>
                    <wps:txbx>
                      <w:txbxContent>
                        <w:p w14:paraId="3D436900">
                          <w:pPr>
                            <w:pStyle w:val="29"/>
                            <w:pBdr>
                              <w:top w:val="single" w:color="auto" w:sz="4" w:space="1"/>
                            </w:pBdr>
                            <w:adjustRightInd w:val="0"/>
                            <w:ind w:firstLine="450" w:firstLineChars="250"/>
                          </w:pPr>
                        </w:p>
                      </w:txbxContent>
                    </wps:txbx>
                    <wps:bodyPr rot="0" vert="horz" wrap="square" lIns="0" tIns="0" rIns="0" bIns="0" anchor="t" anchorCtr="0" upright="1">
                      <a:spAutoFit/>
                    </wps:bodyPr>
                  </wps:wsp>
                </a:graphicData>
              </a:graphic>
            </wp:anchor>
          </w:drawing>
        </mc:Choice>
        <mc:Fallback>
          <w:pict>
            <v:shape id="文本框 1040" o:spid="_x0000_s1026" o:spt="202" type="#_x0000_t202" style="position:absolute;left:0pt;margin-left:-0.85pt;margin-top:189.7pt;height:12.5pt;width:437pt;mso-position-horizontal-relative:margin;z-index:251670528;mso-width-relative:page;mso-height-relative:page;" filled="f" stroked="f" coordsize="21600,21600" o:gfxdata="UEsDBAoAAAAAAIdO4kAAAAAAAAAAAAAAAAAEAAAAZHJzL1BLAwQUAAAACACHTuJAWZ+6J9gAAAAK&#10;AQAADwAAAGRycy9kb3ducmV2LnhtbE2PMU/DMBCFdyT+g3VILKi1nUZNG+J0QLCw0bKwufGRRNjn&#10;KHaT0F+PmWA8vU/vfVcdFmfZhGPoPSmQawEMqfGmp1bB++lltQMWoiajrSdU8I0BDvXtTaVL42d6&#10;w+kYW5ZKKJRaQRfjUHIemg6dDms/IKXs049Ox3SOLTejnlO5szwTYsud7iktdHrApw6br+PFKdgu&#10;z8PD6x6z+drYiT6uUkaUSt3fSfEILOIS/2D41U/qUCens7+QCcwqWMkikQo2xT4HloBdkW2AnRXk&#10;Is+B1xX//0L9A1BLAwQUAAAACACHTuJAHO6reBgCAAARBAAADgAAAGRycy9lMm9Eb2MueG1srVPL&#10;jtMwFN0j8Q+W9zRJpx3aqOlomKoIaXhIAx/gOk5jEfsa221SPgD+gBUb9nxXv4Nrp+kMw2YWbKzr&#10;xz0+5/h4cdWphuyFdRJ0QbNRSonQHEqptwX99HH9YkaJ80yXrAEtCnoQjl4tnz9btCYXY6ihKYUl&#10;CKJd3pqC1t6bPEkcr4VibgRGaNyswCrmcWq3SWlZi+iqScZpepm0YEtjgQvncHXVb9ITon0KIFSV&#10;5GIFfKeE9j2qFQ3zKMnV0ji6jGyrSnD/vqqc8KQpKCr1ccRLsN6EMVkuWL61zNSSnyiwp1B4pEkx&#10;qfHSM9SKeUZ2Vv4DpSS34KDyIw4q6YVER1BFlj7y5q5mRkQtaLUzZ9Pd/4Pl7/YfLJElJiG7nE0u&#10;LsbzjBLNFL788cf348/fx1/fSJZOolWtcTl23Bns8d0r6LAtynbmFvhnRzTc1ExvxbW10NaClUg1&#10;CyYnD1rD47jcBZBN+xZKvIrtPESgrrIq+IjOEETHZzqcn0l0nnBcnE4n83mKWxz3suns5TSSS1g+&#10;dBvr/GsBioSioBZjENHZ/tb5wIblw5FwmYa1bJoYhUb/tYAHw0pkHwj31H236fB0ULGB8oA6LPTJ&#10;wn+FRQ32KyUtpqqg7suOWUFJ80ajFyGCQ2GHYjMUTHNsLainpC9vfB/VnbFyWyPy4PY1+rWWUco9&#10;ixNPTEpUeEp1iOLDeTx1/5OX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Zn7on2AAAAAoBAAAP&#10;AAAAAAAAAAEAIAAAACIAAABkcnMvZG93bnJldi54bWxQSwECFAAUAAAACACHTuJAHO6reBgCAAAR&#10;BAAADgAAAAAAAAABACAAAAAnAQAAZHJzL2Uyb0RvYy54bWxQSwUGAAAAAAYABgBZAQAAsQUAAAAA&#10;">
              <v:fill on="f" focussize="0,0"/>
              <v:stroke on="f"/>
              <v:imagedata o:title=""/>
              <o:lock v:ext="edit" aspectratio="f"/>
              <v:textbox inset="0mm,0mm,0mm,0mm" style="mso-fit-shape-to-text:t;">
                <w:txbxContent>
                  <w:p w14:paraId="3D436900">
                    <w:pPr>
                      <w:pStyle w:val="29"/>
                      <w:pBdr>
                        <w:top w:val="single" w:color="auto" w:sz="4" w:space="1"/>
                      </w:pBdr>
                      <w:adjustRightInd w:val="0"/>
                      <w:ind w:firstLine="450" w:firstLineChars="250"/>
                    </w:pPr>
                  </w:p>
                </w:txbxContent>
              </v:textbox>
            </v:shape>
          </w:pict>
        </mc:Fallback>
      </mc:AlternateContent>
    </w:r>
    <w:r>
      <w:rPr>
        <w:rFonts w:hint="eastAsia" w:ascii="宋体" w:hAnsi="宋体"/>
      </w:rPr>
      <w:t>中勘冶金勘察设计研究院有限责任公司</w:t>
    </w:r>
    <w:r>
      <w:rPr>
        <w:rFonts w:hint="eastAsia"/>
      </w:rPr>
      <w:t xml:space="preserve">                                                        </w:t>
    </w:r>
    <w:r>
      <w:t xml:space="preserve">                                                 </w:t>
    </w:r>
    <w:r>
      <w:rPr>
        <w:rFonts w:hint="eastAsia"/>
      </w:rPr>
      <w:t xml:space="preserve">        </w:t>
    </w:r>
    <w:r>
      <w:rPr>
        <w:rFonts w:hint="eastAsia" w:ascii="宋体" w:hAnsi="宋体"/>
      </w:rPr>
      <w:t xml:space="preserve">  </w:t>
    </w:r>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rPr>
      <w:t>71</w:t>
    </w:r>
    <w:r>
      <w:rPr>
        <w:rFonts w:ascii="宋体" w:hAnsi="宋体"/>
      </w:rPr>
      <w:fldChar w:fldCharType="end"/>
    </w:r>
    <w:r>
      <w:rPr>
        <w:rFonts w:hint="eastAsia" w:ascii="宋体" w:hAnsi="宋体"/>
        <w:lang w:val="zh-CN"/>
      </w:rPr>
      <w:drawing>
        <wp:anchor distT="0" distB="0" distL="114300" distR="114300" simplePos="0" relativeHeight="251669504" behindDoc="1" locked="0" layoutInCell="1" allowOverlap="1">
          <wp:simplePos x="0" y="0"/>
          <wp:positionH relativeFrom="column">
            <wp:posOffset>-106045</wp:posOffset>
          </wp:positionH>
          <wp:positionV relativeFrom="paragraph">
            <wp:posOffset>-4445</wp:posOffset>
          </wp:positionV>
          <wp:extent cx="365760" cy="229235"/>
          <wp:effectExtent l="0" t="0" r="0" b="0"/>
          <wp:wrapNone/>
          <wp:docPr id="823944442" name="图片 82394444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44442" name="图片 823944442"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65760" cy="229235"/>
                  </a:xfrm>
                  <a:prstGeom prst="rect">
                    <a:avLst/>
                  </a:prstGeom>
                  <a:noFill/>
                  <a:ln>
                    <a:noFill/>
                  </a:ln>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CC4C12">
    <w:pPr>
      <w:pStyle w:val="29"/>
      <w:pBdr>
        <w:top w:val="single" w:color="auto" w:sz="4" w:space="1"/>
      </w:pBdr>
      <w:spacing w:line="300" w:lineRule="exact"/>
      <w:ind w:firstLine="720" w:firstLineChars="400"/>
      <w:rPr>
        <w:rFonts w:hint="eastAsia" w:ascii="宋体" w:hAnsi="宋体"/>
      </w:rPr>
    </w:pPr>
    <w:r>
      <w:rPr>
        <w:rFonts w:hint="eastAsia" w:ascii="宋体" w:hAnsi="宋体"/>
      </w:rPr>
      <w:t xml:space="preserve">中勘冶金勘察设计研究院有限责任公司                             </w:t>
    </w:r>
    <w:r>
      <w:rPr>
        <w:rFonts w:ascii="宋体" w:hAnsi="宋体"/>
      </w:rPr>
      <w:t xml:space="preserve"> </w:t>
    </w:r>
    <w:r>
      <w:rPr>
        <w:rFonts w:hint="eastAsia" w:ascii="宋体" w:hAnsi="宋体"/>
      </w:rPr>
      <w:t xml:space="preserve">                      </w:t>
    </w:r>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rPr>
      <w:t>62</w:t>
    </w:r>
    <w:r>
      <w:rPr>
        <w:rFonts w:ascii="宋体" w:hAnsi="宋体"/>
      </w:rPr>
      <w:fldChar w:fldCharType="end"/>
    </w:r>
    <w:r>
      <w:rPr>
        <w:rFonts w:hint="eastAsia" w:ascii="宋体" w:hAnsi="宋体"/>
        <w:lang w:val="zh-CN"/>
      </w:rPr>
      <w:drawing>
        <wp:anchor distT="0" distB="0" distL="114300" distR="114300" simplePos="0" relativeHeight="251685888" behindDoc="1" locked="0" layoutInCell="1" allowOverlap="1">
          <wp:simplePos x="0" y="0"/>
          <wp:positionH relativeFrom="column">
            <wp:posOffset>94615</wp:posOffset>
          </wp:positionH>
          <wp:positionV relativeFrom="paragraph">
            <wp:posOffset>6350</wp:posOffset>
          </wp:positionV>
          <wp:extent cx="365760" cy="229235"/>
          <wp:effectExtent l="0" t="0" r="15240" b="18415"/>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65760" cy="229235"/>
                  </a:xfrm>
                  <a:prstGeom prst="rect">
                    <a:avLst/>
                  </a:prstGeom>
                  <a:noFill/>
                  <a:ln>
                    <a:noFill/>
                  </a:ln>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71C559">
    <w:pPr>
      <w:pStyle w:val="29"/>
      <w:pBdr>
        <w:top w:val="single" w:color="auto" w:sz="4" w:space="1"/>
      </w:pBdr>
      <w:spacing w:line="300" w:lineRule="exact"/>
      <w:ind w:firstLine="720" w:firstLineChars="400"/>
      <w:rPr>
        <w:rFonts w:hint="eastAsia" w:ascii="宋体" w:hAnsi="宋体"/>
      </w:rPr>
    </w:pPr>
    <w:r>
      <w:rPr>
        <w:rFonts w:hint="eastAsia" w:ascii="宋体" w:hAnsi="宋体"/>
      </w:rPr>
      <w:t xml:space="preserve">中勘冶金勘察设计研究院有限责任公司                             </w:t>
    </w:r>
    <w:r>
      <w:rPr>
        <w:rFonts w:ascii="宋体" w:hAnsi="宋体"/>
      </w:rPr>
      <w:t xml:space="preserve"> </w:t>
    </w:r>
    <w:r>
      <w:rPr>
        <w:rFonts w:hint="eastAsia" w:ascii="宋体" w:hAnsi="宋体"/>
      </w:rPr>
      <w:t xml:space="preserve">                      </w:t>
    </w:r>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rPr>
      <w:t>62</w:t>
    </w:r>
    <w:r>
      <w:rPr>
        <w:rFonts w:ascii="宋体" w:hAnsi="宋体"/>
      </w:rPr>
      <w:fldChar w:fldCharType="end"/>
    </w:r>
    <w:r>
      <w:rPr>
        <w:rFonts w:hint="eastAsia" w:ascii="宋体" w:hAnsi="宋体"/>
        <w:lang w:val="zh-CN"/>
      </w:rPr>
      <w:drawing>
        <wp:anchor distT="0" distB="0" distL="114300" distR="114300" simplePos="0" relativeHeight="251688960" behindDoc="1" locked="0" layoutInCell="1" allowOverlap="1">
          <wp:simplePos x="0" y="0"/>
          <wp:positionH relativeFrom="column">
            <wp:posOffset>94615</wp:posOffset>
          </wp:positionH>
          <wp:positionV relativeFrom="paragraph">
            <wp:posOffset>6350</wp:posOffset>
          </wp:positionV>
          <wp:extent cx="365760" cy="229235"/>
          <wp:effectExtent l="0" t="0" r="15240" b="18415"/>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65760" cy="229235"/>
                  </a:xfrm>
                  <a:prstGeom prst="rect">
                    <a:avLst/>
                  </a:prstGeom>
                  <a:noFill/>
                  <a:ln>
                    <a:noFill/>
                  </a:ln>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1D4DFF">
    <w:pPr>
      <w:pStyle w:val="29"/>
      <w:pBdr>
        <w:top w:val="single" w:color="auto" w:sz="4" w:space="1"/>
      </w:pBdr>
      <w:adjustRightInd w:val="0"/>
      <w:ind w:firstLine="450" w:firstLineChars="250"/>
      <w:rPr>
        <w:rFonts w:hint="eastAsia" w:ascii="宋体" w:hAnsi="宋体"/>
      </w:rPr>
    </w:pPr>
    <w:r>
      <mc:AlternateContent>
        <mc:Choice Requires="wps">
          <w:drawing>
            <wp:anchor distT="0" distB="0" distL="114300" distR="114300" simplePos="0" relativeHeight="251663360" behindDoc="0" locked="0" layoutInCell="1" allowOverlap="1">
              <wp:simplePos x="0" y="0"/>
              <wp:positionH relativeFrom="margin">
                <wp:posOffset>-10795</wp:posOffset>
              </wp:positionH>
              <wp:positionV relativeFrom="paragraph">
                <wp:posOffset>2409190</wp:posOffset>
              </wp:positionV>
              <wp:extent cx="5549900" cy="158750"/>
              <wp:effectExtent l="0" t="0" r="4445" b="3810"/>
              <wp:wrapNone/>
              <wp:docPr id="44" name="文本框 44"/>
              <wp:cNvGraphicFramePr/>
              <a:graphic xmlns:a="http://schemas.openxmlformats.org/drawingml/2006/main">
                <a:graphicData uri="http://schemas.microsoft.com/office/word/2010/wordprocessingShape">
                  <wps:wsp>
                    <wps:cNvSpPr txBox="1">
                      <a:spLocks noChangeArrowheads="1"/>
                    </wps:cNvSpPr>
                    <wps:spPr bwMode="auto">
                      <a:xfrm>
                        <a:off x="0" y="0"/>
                        <a:ext cx="5549900" cy="158750"/>
                      </a:xfrm>
                      <a:prstGeom prst="rect">
                        <a:avLst/>
                      </a:prstGeom>
                      <a:noFill/>
                      <a:ln>
                        <a:noFill/>
                      </a:ln>
                    </wps:spPr>
                    <wps:txbx>
                      <w:txbxContent>
                        <w:p w14:paraId="7CC8A973">
                          <w:pPr>
                            <w:pStyle w:val="29"/>
                            <w:pBdr>
                              <w:top w:val="single" w:color="auto" w:sz="4" w:space="1"/>
                            </w:pBdr>
                            <w:adjustRightInd w:val="0"/>
                            <w:ind w:firstLine="450" w:firstLineChars="250"/>
                          </w:pPr>
                        </w:p>
                      </w:txbxContent>
                    </wps:txbx>
                    <wps:bodyPr rot="0" vert="horz" wrap="square" lIns="0" tIns="0" rIns="0" bIns="0" anchor="t" anchorCtr="0" upright="1">
                      <a:spAutoFit/>
                    </wps:bodyPr>
                  </wps:wsp>
                </a:graphicData>
              </a:graphic>
            </wp:anchor>
          </w:drawing>
        </mc:Choice>
        <mc:Fallback>
          <w:pict>
            <v:shape id="_x0000_s1026" o:spid="_x0000_s1026" o:spt="202" type="#_x0000_t202" style="position:absolute;left:0pt;margin-left:-0.85pt;margin-top:189.7pt;height:12.5pt;width:437pt;mso-position-horizontal-relative:margin;z-index:251663360;mso-width-relative:page;mso-height-relative:page;" filled="f" stroked="f" coordsize="21600,21600" o:gfxdata="UEsDBAoAAAAAAIdO4kAAAAAAAAAAAAAAAAAEAAAAZHJzL1BLAwQUAAAACACHTuJAWZ+6J9gAAAAK&#10;AQAADwAAAGRycy9kb3ducmV2LnhtbE2PMU/DMBCFdyT+g3VILKi1nUZNG+J0QLCw0bKwufGRRNjn&#10;KHaT0F+PmWA8vU/vfVcdFmfZhGPoPSmQawEMqfGmp1bB++lltQMWoiajrSdU8I0BDvXtTaVL42d6&#10;w+kYW5ZKKJRaQRfjUHIemg6dDms/IKXs049Ox3SOLTejnlO5szwTYsud7iktdHrApw6br+PFKdgu&#10;z8PD6x6z+drYiT6uUkaUSt3fSfEILOIS/2D41U/qUCens7+QCcwqWMkikQo2xT4HloBdkW2AnRXk&#10;Is+B1xX//0L9A1BLAwQUAAAACACHTuJARlVXeA8CAAAHBAAADgAAAGRycy9lMm9Eb2MueG1srVPN&#10;bhMxEL4j8Q6W72STKoF2lU1VGgUhlR+p5QEcrzdrsfaYsZPd8ADwBpy4cOe58hwde7OhlEsPXKzx&#10;ePz5+74Zzy8707CdQq/BFnwyGnOmrIRS203BP92tXpxz5oOwpWjAqoLvleeXi+fP5q3L1RnU0JQK&#10;GYFYn7eu4HUILs8yL2tlhB+BU5YOK0AjAm1xk5UoWkI3TXY2Hr/MWsDSIUjlPWWX/SE/IuJTAKGq&#10;tFRLkFujbOhRUTUikCRfa+f5IrGtKiXDh6ryKrCm4KQ0pJUeoXgd12wxF/kGhau1PFIQT6HwSJMR&#10;2tKjJ6ilCIJtUf8DZbRE8FCFkQST9UKSI6RiMn7kzW0tnEpayGrvTqb7/wcr3+8+ItNlwadTzqww&#10;1PHDj++Hn78Pv74xypFBrfM51d06qgzda+hobJJY725AfvbMwnUt7EZdIUJbK1ESwUm8mT242uP4&#10;CLJu30FJD4ltgATUVWiie+QHI3Rqzv7UHNUFJik5m00vLsZ0JOlsMjt/NUvdy0Q+3HbowxsFhsWg&#10;4EjNT+hid+NDZCPyoSQ+ZmGlmyYNQGP/SlBhzCT2kXBPPXTr7ujGGso96UDo54l+EwU14FfOWpql&#10;gvsvW4GKs+atJS/i4A0BDsF6CISVdLXggbM+vA79gG4d6k1NyIPbV+TXSicp0diexZEnzUdSeJzl&#10;OIAP96nqz/9d3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Zn7on2AAAAAoBAAAPAAAAAAAAAAEA&#10;IAAAACIAAABkcnMvZG93bnJldi54bWxQSwECFAAUAAAACACHTuJARlVXeA8CAAAHBAAADgAAAAAA&#10;AAABACAAAAAnAQAAZHJzL2Uyb0RvYy54bWxQSwUGAAAAAAYABgBZAQAAqAUAAAAA&#10;">
              <v:fill on="f" focussize="0,0"/>
              <v:stroke on="f"/>
              <v:imagedata o:title=""/>
              <o:lock v:ext="edit" aspectratio="f"/>
              <v:textbox inset="0mm,0mm,0mm,0mm" style="mso-fit-shape-to-text:t;">
                <w:txbxContent>
                  <w:p w14:paraId="7CC8A973">
                    <w:pPr>
                      <w:pStyle w:val="29"/>
                      <w:pBdr>
                        <w:top w:val="single" w:color="auto" w:sz="4" w:space="1"/>
                      </w:pBdr>
                      <w:adjustRightInd w:val="0"/>
                      <w:ind w:firstLine="450" w:firstLineChars="250"/>
                    </w:pPr>
                  </w:p>
                </w:txbxContent>
              </v:textbox>
            </v:shape>
          </w:pict>
        </mc:Fallback>
      </mc:AlternateContent>
    </w:r>
    <w:r>
      <w:rPr>
        <w:rFonts w:hint="eastAsia" w:ascii="宋体" w:hAnsi="宋体"/>
      </w:rPr>
      <w:t>中勘冶金勘察设计研究院有限责任公司</w:t>
    </w:r>
    <w:r>
      <w:rPr>
        <w:rFonts w:hint="eastAsia"/>
      </w:rPr>
      <w:t xml:space="preserve">                                        </w:t>
    </w:r>
    <w:r>
      <w:t xml:space="preserve">                                                 </w:t>
    </w:r>
    <w:r>
      <w:rPr>
        <w:rFonts w:hint="eastAsia"/>
      </w:rPr>
      <w:t xml:space="preserve">        </w:t>
    </w:r>
    <w:r>
      <w:rPr>
        <w:rFonts w:hint="eastAsia" w:ascii="宋体" w:hAnsi="宋体"/>
      </w:rPr>
      <w:t xml:space="preserve">  </w:t>
    </w:r>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rPr>
      <w:t>71</w:t>
    </w:r>
    <w:r>
      <w:rPr>
        <w:rFonts w:ascii="宋体" w:hAnsi="宋体"/>
      </w:rPr>
      <w:fldChar w:fldCharType="end"/>
    </w:r>
    <w:r>
      <w:rPr>
        <w:rFonts w:hint="eastAsia" w:ascii="宋体" w:hAnsi="宋体"/>
        <w:lang w:val="zh-CN"/>
      </w:rPr>
      <w:drawing>
        <wp:anchor distT="0" distB="0" distL="114300" distR="114300" simplePos="0" relativeHeight="251662336" behindDoc="1" locked="0" layoutInCell="1" allowOverlap="1">
          <wp:simplePos x="0" y="0"/>
          <wp:positionH relativeFrom="column">
            <wp:posOffset>-106045</wp:posOffset>
          </wp:positionH>
          <wp:positionV relativeFrom="paragraph">
            <wp:posOffset>-4445</wp:posOffset>
          </wp:positionV>
          <wp:extent cx="365760" cy="229235"/>
          <wp:effectExtent l="0" t="0" r="0" b="0"/>
          <wp:wrapNone/>
          <wp:docPr id="470626782" name="图片 47062678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626782" name="图片 470626782"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65760" cy="229235"/>
                  </a:xfrm>
                  <a:prstGeom prst="rect">
                    <a:avLst/>
                  </a:prstGeom>
                  <a:noFill/>
                  <a:ln>
                    <a:noFill/>
                  </a:ln>
                </pic:spPr>
              </pic:pic>
            </a:graphicData>
          </a:graphic>
        </wp:anchor>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D7C166">
    <w:pPr>
      <w:pStyle w:val="29"/>
      <w:pBdr>
        <w:top w:val="single" w:color="auto" w:sz="4" w:space="1"/>
      </w:pBdr>
      <w:adjustRightInd w:val="0"/>
      <w:ind w:firstLine="450" w:firstLineChars="250"/>
      <w:rPr>
        <w:rFonts w:hint="eastAsia" w:ascii="宋体" w:hAnsi="宋体"/>
      </w:rPr>
    </w:pPr>
    <w:r>
      <mc:AlternateContent>
        <mc:Choice Requires="wps">
          <w:drawing>
            <wp:anchor distT="0" distB="0" distL="114300" distR="114300" simplePos="0" relativeHeight="251665408" behindDoc="0" locked="0" layoutInCell="1" allowOverlap="1">
              <wp:simplePos x="0" y="0"/>
              <wp:positionH relativeFrom="margin">
                <wp:posOffset>-10795</wp:posOffset>
              </wp:positionH>
              <wp:positionV relativeFrom="paragraph">
                <wp:posOffset>2409190</wp:posOffset>
              </wp:positionV>
              <wp:extent cx="5549900" cy="158750"/>
              <wp:effectExtent l="0" t="0" r="0" b="3810"/>
              <wp:wrapNone/>
              <wp:docPr id="1" name="文本框 1040"/>
              <wp:cNvGraphicFramePr/>
              <a:graphic xmlns:a="http://schemas.openxmlformats.org/drawingml/2006/main">
                <a:graphicData uri="http://schemas.microsoft.com/office/word/2010/wordprocessingShape">
                  <wps:wsp>
                    <wps:cNvSpPr txBox="1">
                      <a:spLocks noChangeArrowheads="1"/>
                    </wps:cNvSpPr>
                    <wps:spPr bwMode="auto">
                      <a:xfrm>
                        <a:off x="0" y="0"/>
                        <a:ext cx="5549900" cy="158750"/>
                      </a:xfrm>
                      <a:prstGeom prst="rect">
                        <a:avLst/>
                      </a:prstGeom>
                      <a:noFill/>
                      <a:ln>
                        <a:noFill/>
                      </a:ln>
                    </wps:spPr>
                    <wps:txbx>
                      <w:txbxContent>
                        <w:p w14:paraId="26E872DE">
                          <w:pPr>
                            <w:pStyle w:val="29"/>
                            <w:pBdr>
                              <w:top w:val="single" w:color="auto" w:sz="4" w:space="1"/>
                            </w:pBdr>
                            <w:adjustRightInd w:val="0"/>
                            <w:ind w:firstLine="450" w:firstLineChars="250"/>
                          </w:pPr>
                        </w:p>
                      </w:txbxContent>
                    </wps:txbx>
                    <wps:bodyPr rot="0" vert="horz" wrap="square" lIns="0" tIns="0" rIns="0" bIns="0" anchor="t" anchorCtr="0" upright="1">
                      <a:spAutoFit/>
                    </wps:bodyPr>
                  </wps:wsp>
                </a:graphicData>
              </a:graphic>
            </wp:anchor>
          </w:drawing>
        </mc:Choice>
        <mc:Fallback>
          <w:pict>
            <v:shape id="文本框 1040" o:spid="_x0000_s1026" o:spt="202" type="#_x0000_t202" style="position:absolute;left:0pt;margin-left:-0.85pt;margin-top:189.7pt;height:12.5pt;width:437pt;mso-position-horizontal-relative:margin;z-index:251665408;mso-width-relative:page;mso-height-relative:page;" filled="f" stroked="f" coordsize="21600,21600" o:gfxdata="UEsDBAoAAAAAAIdO4kAAAAAAAAAAAAAAAAAEAAAAZHJzL1BLAwQUAAAACACHTuJAWZ+6J9gAAAAK&#10;AQAADwAAAGRycy9kb3ducmV2LnhtbE2PMU/DMBCFdyT+g3VILKi1nUZNG+J0QLCw0bKwufGRRNjn&#10;KHaT0F+PmWA8vU/vfVcdFmfZhGPoPSmQawEMqfGmp1bB++lltQMWoiajrSdU8I0BDvXtTaVL42d6&#10;w+kYW5ZKKJRaQRfjUHIemg6dDms/IKXs049Ox3SOLTejnlO5szwTYsud7iktdHrApw6br+PFKdgu&#10;z8PD6x6z+drYiT6uUkaUSt3fSfEILOIS/2D41U/qUCens7+QCcwqWMkikQo2xT4HloBdkW2AnRXk&#10;Is+B1xX//0L9A1BLAwQUAAAACACHTuJA+5O4fw8CAAAIBAAADgAAAGRycy9lMm9Eb2MueG1srVNL&#10;btswEN0X6B0I7mvJQdwmguUgjeGiQPoB0h6ApiiLqMhhh7Sl9ADtDbLqpvuey+fokLKcNN1k0Y0w&#10;IoeP7715nF/0pmU7hV6DLfl0knOmrIRK203JP39avTjjzAdhK9GCVSW/VZ5fLJ4/m3euUCfQQFsp&#10;ZARifdG5kjchuCLLvGyUEX4CTlnarAGNCPSLm6xC0RG6abOTPH+ZdYCVQ5DKe1pdDpv8gIhPAYS6&#10;1lItQW6NsmFARdWKQJJ8o53ni8S2rpUMH+raq8DakpPSkL50CdXr+M0Wc1FsULhGywMF8RQKjzQZ&#10;oS1deoRaiiDYFvU/UEZLBA91mEgw2SAkOUIqpvkjb24a4VTSQlZ7dzTd/z9Y+X73EZmuKAmcWWFo&#10;4Pu7H/ufv/e/vrNpfpoc6pwvqPHGUWvoX0Mfu6Na765BfvHMwlUj7EZdIkLXKFERw2n0NntwNM7E&#10;0xECWXfvoKKrxDZAAuprNBGQDGGETtO5PU5H9YFJWpzNTs/Pc9qStDednb2aJXKZKMbTDn14o8Cw&#10;WJQcafoJXeyufYhsRDG2xMssrHTbpgS09q8FaowriX0kPFAP/bqn7qhiDdUt6UAYAkXPiYoG8Btn&#10;HYWp5P7rVqDirH1ryYuYvLHAsViPhbCSjpY8cDaUV2FI6Nah3jSEPLp9SX6tdJJyz+LAkwKSFB7C&#10;HBP48D913T/gx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Zn7on2AAAAAoBAAAPAAAAAAAAAAEA&#10;IAAAACIAAABkcnMvZG93bnJldi54bWxQSwECFAAUAAAACACHTuJA+5O4fw8CAAAIBAAADgAAAAAA&#10;AAABACAAAAAnAQAAZHJzL2Uyb0RvYy54bWxQSwUGAAAAAAYABgBZAQAAqAUAAAAA&#10;">
              <v:fill on="f" focussize="0,0"/>
              <v:stroke on="f"/>
              <v:imagedata o:title=""/>
              <o:lock v:ext="edit" aspectratio="f"/>
              <v:textbox inset="0mm,0mm,0mm,0mm" style="mso-fit-shape-to-text:t;">
                <w:txbxContent>
                  <w:p w14:paraId="26E872DE">
                    <w:pPr>
                      <w:pStyle w:val="29"/>
                      <w:pBdr>
                        <w:top w:val="single" w:color="auto" w:sz="4" w:space="1"/>
                      </w:pBdr>
                      <w:adjustRightInd w:val="0"/>
                      <w:ind w:firstLine="450" w:firstLineChars="250"/>
                    </w:pPr>
                  </w:p>
                </w:txbxContent>
              </v:textbox>
            </v:shape>
          </w:pict>
        </mc:Fallback>
      </mc:AlternateContent>
    </w:r>
    <w:r>
      <w:rPr>
        <w:rFonts w:hint="eastAsia" w:ascii="宋体" w:hAnsi="宋体"/>
      </w:rPr>
      <w:t>中勘冶金勘察设计研究院有限责任公司</w:t>
    </w:r>
    <w:r>
      <w:rPr>
        <w:rFonts w:hint="eastAsia"/>
      </w:rPr>
      <w:t xml:space="preserve">                                                        </w:t>
    </w:r>
    <w:r>
      <w:t xml:space="preserve">                                                 </w:t>
    </w:r>
    <w:r>
      <w:rPr>
        <w:rFonts w:hint="eastAsia"/>
      </w:rPr>
      <w:t xml:space="preserve">        </w:t>
    </w:r>
    <w:r>
      <w:rPr>
        <w:rFonts w:hint="eastAsia" w:ascii="宋体" w:hAnsi="宋体"/>
      </w:rPr>
      <w:t xml:space="preserve">  </w:t>
    </w:r>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rPr>
      <w:t>71</w:t>
    </w:r>
    <w:r>
      <w:rPr>
        <w:rFonts w:ascii="宋体" w:hAnsi="宋体"/>
      </w:rPr>
      <w:fldChar w:fldCharType="end"/>
    </w:r>
    <w:r>
      <w:rPr>
        <w:rFonts w:hint="eastAsia" w:ascii="宋体" w:hAnsi="宋体"/>
        <w:lang w:val="zh-CN"/>
      </w:rPr>
      <w:drawing>
        <wp:anchor distT="0" distB="0" distL="114300" distR="114300" simplePos="0" relativeHeight="251664384" behindDoc="1" locked="0" layoutInCell="1" allowOverlap="1">
          <wp:simplePos x="0" y="0"/>
          <wp:positionH relativeFrom="column">
            <wp:posOffset>-106045</wp:posOffset>
          </wp:positionH>
          <wp:positionV relativeFrom="paragraph">
            <wp:posOffset>-4445</wp:posOffset>
          </wp:positionV>
          <wp:extent cx="365760" cy="229235"/>
          <wp:effectExtent l="0" t="0" r="0" b="0"/>
          <wp:wrapNone/>
          <wp:docPr id="1344732129" name="图片 134473212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732129" name="图片 1344732129"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65760" cy="229235"/>
                  </a:xfrm>
                  <a:prstGeom prst="rect">
                    <a:avLst/>
                  </a:prstGeom>
                  <a:noFill/>
                  <a:ln>
                    <a:noFill/>
                  </a:ln>
                </pic:spPr>
              </pic:pic>
            </a:graphicData>
          </a:graphic>
        </wp:anchor>
      </w:drawing>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8C60C8">
    <w:pPr>
      <w:pStyle w:val="29"/>
      <w:pBdr>
        <w:top w:val="single" w:color="auto" w:sz="4" w:space="1"/>
      </w:pBdr>
      <w:adjustRightInd w:val="0"/>
      <w:ind w:firstLine="450" w:firstLineChars="250"/>
      <w:rPr>
        <w:rFonts w:hint="eastAsia" w:ascii="宋体" w:hAnsi="宋体"/>
      </w:rPr>
    </w:pPr>
    <w:r>
      <mc:AlternateContent>
        <mc:Choice Requires="wps">
          <w:drawing>
            <wp:anchor distT="0" distB="0" distL="114300" distR="114300" simplePos="0" relativeHeight="251676672" behindDoc="0" locked="0" layoutInCell="1" allowOverlap="1">
              <wp:simplePos x="0" y="0"/>
              <wp:positionH relativeFrom="margin">
                <wp:posOffset>-10795</wp:posOffset>
              </wp:positionH>
              <wp:positionV relativeFrom="paragraph">
                <wp:posOffset>2409190</wp:posOffset>
              </wp:positionV>
              <wp:extent cx="5549900" cy="158750"/>
              <wp:effectExtent l="0" t="0" r="0" b="3810"/>
              <wp:wrapNone/>
              <wp:docPr id="1299128048" name="文本框 1040"/>
              <wp:cNvGraphicFramePr/>
              <a:graphic xmlns:a="http://schemas.openxmlformats.org/drawingml/2006/main">
                <a:graphicData uri="http://schemas.microsoft.com/office/word/2010/wordprocessingShape">
                  <wps:wsp>
                    <wps:cNvSpPr txBox="1">
                      <a:spLocks noChangeArrowheads="1"/>
                    </wps:cNvSpPr>
                    <wps:spPr bwMode="auto">
                      <a:xfrm>
                        <a:off x="0" y="0"/>
                        <a:ext cx="5549900" cy="158750"/>
                      </a:xfrm>
                      <a:prstGeom prst="rect">
                        <a:avLst/>
                      </a:prstGeom>
                      <a:noFill/>
                      <a:ln>
                        <a:noFill/>
                      </a:ln>
                    </wps:spPr>
                    <wps:txbx>
                      <w:txbxContent>
                        <w:p w14:paraId="0614C238">
                          <w:pPr>
                            <w:pStyle w:val="29"/>
                            <w:pBdr>
                              <w:top w:val="single" w:color="auto" w:sz="4" w:space="1"/>
                            </w:pBdr>
                            <w:adjustRightInd w:val="0"/>
                            <w:ind w:firstLine="450" w:firstLineChars="250"/>
                          </w:pPr>
                        </w:p>
                      </w:txbxContent>
                    </wps:txbx>
                    <wps:bodyPr rot="0" vert="horz" wrap="square" lIns="0" tIns="0" rIns="0" bIns="0" anchor="t" anchorCtr="0" upright="1">
                      <a:spAutoFit/>
                    </wps:bodyPr>
                  </wps:wsp>
                </a:graphicData>
              </a:graphic>
            </wp:anchor>
          </w:drawing>
        </mc:Choice>
        <mc:Fallback>
          <w:pict>
            <v:shape id="文本框 1040" o:spid="_x0000_s1026" o:spt="202" type="#_x0000_t202" style="position:absolute;left:0pt;margin-left:-0.85pt;margin-top:189.7pt;height:12.5pt;width:437pt;mso-position-horizontal-relative:margin;z-index:251676672;mso-width-relative:page;mso-height-relative:page;" filled="f" stroked="f" coordsize="21600,21600" o:gfxdata="UEsDBAoAAAAAAIdO4kAAAAAAAAAAAAAAAAAEAAAAZHJzL1BLAwQUAAAACACHTuJAWZ+6J9gAAAAK&#10;AQAADwAAAGRycy9kb3ducmV2LnhtbE2PMU/DMBCFdyT+g3VILKi1nUZNG+J0QLCw0bKwufGRRNjn&#10;KHaT0F+PmWA8vU/vfVcdFmfZhGPoPSmQawEMqfGmp1bB++lltQMWoiajrSdU8I0BDvXtTaVL42d6&#10;w+kYW5ZKKJRaQRfjUHIemg6dDms/IKXs049Ox3SOLTejnlO5szwTYsud7iktdHrApw6br+PFKdgu&#10;z8PD6x6z+drYiT6uUkaUSt3fSfEILOIS/2D41U/qUCens7+QCcwqWMkikQo2xT4HloBdkW2AnRXk&#10;Is+B1xX//0L9A1BLAwQUAAAACACHTuJAAKTaQhcCAAARBAAADgAAAGRycy9lMm9Eb2MueG1srVNL&#10;btswEN0X6B0I7mtJht3GguUgjeGiQPoB0h6ApiiLqMRhh7Ql9wDtDbLqpvuey+fokLKdNN1k0Y0w&#10;IjmP7715nF/2bcN2Cp0GU/BslHKmjIRSm03BP39avbjgzHlhStGAUQXfK8cvF8+fzTubqzHU0JQK&#10;GYEYl3e24LX3Nk8SJ2vVCjcCqwxtVoCt8PSLm6RE0RF62yTjNH2ZdIClRZDKOVpdDpv8iIhPAYSq&#10;0lItQW5bZfyAiqoRniS5WlvHF5FtVSnpP1SVU541BSelPn7pEqrX4Zss5iLfoLC1lkcK4ikUHmlq&#10;hTZ06RlqKbxgW9T/QLVaIjio/EhCmwxCoiOkIksfeXNbC6uiFrLa2bPp7v/Byve7j8h0SUkYz2bZ&#10;+CKd0PyNaGnyh7sfh5+/D7++syydRKs663LquLXU4/vX0FNblO3sDcgvjhm4roXZqCtE6GolSqKa&#10;BZOTB61hOC53AWTdvYOSrhJbDxGor7ANPpIzjNBpTPvzmFTvmaTF6XQym6W0JWkvm168mkZyichP&#10;3Radf6OgZaEoOFIMIrrY3Tgf2Ij8dCRcZmClmyZGoTF/LdDBsBLZB8IDdd+vezodVKyh3JMOhCFZ&#10;9K6oqAG/cdZRqgruvm4FKs6at4a8CBE8FXgq1qdCGEmtBfecDeW1H6K6tag3NSGf3L4iv1Y6Srln&#10;ceRJSYkKj6kOUXz4H0/dv+TF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mfuifYAAAACgEAAA8A&#10;AAAAAAAAAQAgAAAAIgAAAGRycy9kb3ducmV2LnhtbFBLAQIUABQAAAAIAIdO4kAApNpCFwIAABEE&#10;AAAOAAAAAAAAAAEAIAAAACcBAABkcnMvZTJvRG9jLnhtbFBLBQYAAAAABgAGAFkBAACwBQAAAAA=&#10;">
              <v:fill on="f" focussize="0,0"/>
              <v:stroke on="f"/>
              <v:imagedata o:title=""/>
              <o:lock v:ext="edit" aspectratio="f"/>
              <v:textbox inset="0mm,0mm,0mm,0mm" style="mso-fit-shape-to-text:t;">
                <w:txbxContent>
                  <w:p w14:paraId="0614C238">
                    <w:pPr>
                      <w:pStyle w:val="29"/>
                      <w:pBdr>
                        <w:top w:val="single" w:color="auto" w:sz="4" w:space="1"/>
                      </w:pBdr>
                      <w:adjustRightInd w:val="0"/>
                      <w:ind w:firstLine="450" w:firstLineChars="250"/>
                    </w:pPr>
                  </w:p>
                </w:txbxContent>
              </v:textbox>
            </v:shape>
          </w:pict>
        </mc:Fallback>
      </mc:AlternateContent>
    </w:r>
    <w:r>
      <w:rPr>
        <w:rFonts w:hint="eastAsia" w:ascii="宋体" w:hAnsi="宋体"/>
      </w:rPr>
      <w:t>中勘冶金勘察设计研究院有限责任公司</w:t>
    </w:r>
    <w:r>
      <w:rPr>
        <w:rFonts w:hint="eastAsia"/>
      </w:rPr>
      <w:t xml:space="preserve">                                                        </w:t>
    </w:r>
    <w:r>
      <w:t xml:space="preserve">  </w:t>
    </w:r>
    <w:r>
      <w:rPr>
        <w:rFonts w:hint="eastAsia"/>
      </w:rPr>
      <w:t xml:space="preserve">                                                                                                                                </w:t>
    </w:r>
    <w:r>
      <w:t xml:space="preserve">                                               </w:t>
    </w:r>
    <w:r>
      <w:rPr>
        <w:rFonts w:hint="eastAsia"/>
      </w:rPr>
      <w:t xml:space="preserve">        </w:t>
    </w:r>
    <w:r>
      <w:rPr>
        <w:rFonts w:hint="eastAsia" w:ascii="宋体" w:hAnsi="宋体"/>
      </w:rPr>
      <w:t xml:space="preserve">  </w:t>
    </w:r>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rPr>
      <w:t>71</w:t>
    </w:r>
    <w:r>
      <w:rPr>
        <w:rFonts w:ascii="宋体" w:hAnsi="宋体"/>
      </w:rPr>
      <w:fldChar w:fldCharType="end"/>
    </w:r>
    <w:r>
      <w:rPr>
        <w:rFonts w:hint="eastAsia" w:ascii="宋体" w:hAnsi="宋体"/>
        <w:lang w:val="zh-CN"/>
      </w:rPr>
      <w:drawing>
        <wp:anchor distT="0" distB="0" distL="114300" distR="114300" simplePos="0" relativeHeight="251675648" behindDoc="1" locked="0" layoutInCell="1" allowOverlap="1">
          <wp:simplePos x="0" y="0"/>
          <wp:positionH relativeFrom="column">
            <wp:posOffset>-106045</wp:posOffset>
          </wp:positionH>
          <wp:positionV relativeFrom="paragraph">
            <wp:posOffset>-4445</wp:posOffset>
          </wp:positionV>
          <wp:extent cx="365760" cy="229235"/>
          <wp:effectExtent l="0" t="0" r="0" b="0"/>
          <wp:wrapNone/>
          <wp:docPr id="38786826" name="图片 3878682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6826" name="图片 38786826"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65760" cy="229235"/>
                  </a:xfrm>
                  <a:prstGeom prst="rect">
                    <a:avLst/>
                  </a:prstGeom>
                  <a:noFill/>
                  <a:ln>
                    <a:noFill/>
                  </a:ln>
                </pic:spPr>
              </pic:pic>
            </a:graphicData>
          </a:graphic>
        </wp:anchor>
      </w:drawing>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CEC349">
    <w:pPr>
      <w:pStyle w:val="29"/>
      <w:pBdr>
        <w:top w:val="single" w:color="auto" w:sz="4" w:space="1"/>
      </w:pBdr>
      <w:adjustRightInd w:val="0"/>
      <w:ind w:firstLine="450" w:firstLineChars="250"/>
      <w:rPr>
        <w:rFonts w:hint="eastAsia" w:ascii="宋体" w:hAnsi="宋体"/>
      </w:rPr>
    </w:pPr>
    <w:r>
      <mc:AlternateContent>
        <mc:Choice Requires="wps">
          <w:drawing>
            <wp:anchor distT="0" distB="0" distL="114300" distR="114300" simplePos="0" relativeHeight="251678720" behindDoc="0" locked="0" layoutInCell="1" allowOverlap="1">
              <wp:simplePos x="0" y="0"/>
              <wp:positionH relativeFrom="margin">
                <wp:posOffset>-10795</wp:posOffset>
              </wp:positionH>
              <wp:positionV relativeFrom="paragraph">
                <wp:posOffset>2409190</wp:posOffset>
              </wp:positionV>
              <wp:extent cx="5549900" cy="158750"/>
              <wp:effectExtent l="0" t="0" r="0" b="3810"/>
              <wp:wrapNone/>
              <wp:docPr id="664557583" name="文本框 1040"/>
              <wp:cNvGraphicFramePr/>
              <a:graphic xmlns:a="http://schemas.openxmlformats.org/drawingml/2006/main">
                <a:graphicData uri="http://schemas.microsoft.com/office/word/2010/wordprocessingShape">
                  <wps:wsp>
                    <wps:cNvSpPr txBox="1">
                      <a:spLocks noChangeArrowheads="1"/>
                    </wps:cNvSpPr>
                    <wps:spPr bwMode="auto">
                      <a:xfrm>
                        <a:off x="0" y="0"/>
                        <a:ext cx="5549900" cy="158750"/>
                      </a:xfrm>
                      <a:prstGeom prst="rect">
                        <a:avLst/>
                      </a:prstGeom>
                      <a:noFill/>
                      <a:ln>
                        <a:noFill/>
                      </a:ln>
                    </wps:spPr>
                    <wps:txbx>
                      <w:txbxContent>
                        <w:p w14:paraId="6D863746">
                          <w:pPr>
                            <w:pStyle w:val="29"/>
                            <w:pBdr>
                              <w:top w:val="single" w:color="auto" w:sz="4" w:space="1"/>
                            </w:pBdr>
                            <w:adjustRightInd w:val="0"/>
                            <w:ind w:firstLine="450" w:firstLineChars="250"/>
                          </w:pPr>
                        </w:p>
                      </w:txbxContent>
                    </wps:txbx>
                    <wps:bodyPr rot="0" vert="horz" wrap="square" lIns="0" tIns="0" rIns="0" bIns="0" anchor="t" anchorCtr="0" upright="1">
                      <a:spAutoFit/>
                    </wps:bodyPr>
                  </wps:wsp>
                </a:graphicData>
              </a:graphic>
            </wp:anchor>
          </w:drawing>
        </mc:Choice>
        <mc:Fallback>
          <w:pict>
            <v:shape id="文本框 1040" o:spid="_x0000_s1026" o:spt="202" type="#_x0000_t202" style="position:absolute;left:0pt;margin-left:-0.85pt;margin-top:189.7pt;height:12.5pt;width:437pt;mso-position-horizontal-relative:margin;z-index:251678720;mso-width-relative:page;mso-height-relative:page;" filled="f" stroked="f" coordsize="21600,21600" o:gfxdata="UEsDBAoAAAAAAIdO4kAAAAAAAAAAAAAAAAAEAAAAZHJzL1BLAwQUAAAACACHTuJAWZ+6J9gAAAAK&#10;AQAADwAAAGRycy9kb3ducmV2LnhtbE2PMU/DMBCFdyT+g3VILKi1nUZNG+J0QLCw0bKwufGRRNjn&#10;KHaT0F+PmWA8vU/vfVcdFmfZhGPoPSmQawEMqfGmp1bB++lltQMWoiajrSdU8I0BDvXtTaVL42d6&#10;w+kYW5ZKKJRaQRfjUHIemg6dDms/IKXs049Ox3SOLTejnlO5szwTYsud7iktdHrApw6br+PFKdgu&#10;z8PD6x6z+drYiT6uUkaUSt3fSfEILOIS/2D41U/qUCens7+QCcwqWMkikQo2xT4HloBdkW2AnRXk&#10;Is+B1xX//0L9A1BLAwQUAAAACACHTuJAiJCLdxgCAAAQBAAADgAAAGRycy9lMm9Eb2MueG1srVNL&#10;btswFNwX6B0I7mvJqeU4guUgjeGiQPoB0h6ApiiLqMTHPtKW0gO0N+iqm+57Lp+jj5TtpOkmi26I&#10;x88bzgyH88u+bdhOodNgCj4epZwpI6HUZlPwTx9XL2acOS9MKRowquB3yvHLxfNn887m6gxqaEqF&#10;jECMyztb8Np7myeJk7VqhRuBVYY2K8BWeJriJilRdITeNslZmk6TDrC0CFI5R6vLYZMfEPEpgFBV&#10;WqolyG2rjB9QUTXCkyRXa+v4IrKtKiX9+6pyyrOm4KTUx5EuoXodxmQxF/kGha21PFAQT6HwSFMr&#10;tKFLT1BL4QXbov4HqtUSwUHlRxLaZBASHSEV4/SRN7e1sCpqIaudPZnu/h+sfLf7gEyXBZ9OJ1l2&#10;ns1ecmZESw+///F9//P3/tc3Nk4n0anOupwabi21+P4V9JSfqNrZG5CfHTNwXQuzUVeI0NVKlMR0&#10;HDxOHrSGt3G5CyDr7i2UdJXYeohAfYVtsJGMYYROr3R3eiXVeyZpMcsmFxcpbUnaG2ez8yySS0R+&#10;7Lbo/GsFLQtFwZFSENHF7sb5wEbkxyPhMgMr3TQxCY35a4EOhpXIPhAeqPt+3dPpoGIN5R3pQBiC&#10;Rd+KihrwK2cdharg7stWoOKseWPIi5DAY4HHYn0shJHUWnDP2VBe+yGpW4t6UxPy0e0r8mulo5R7&#10;FgeeFJSo8BDqkMSH83jq/iMv/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Zn7on2AAAAAoBAAAP&#10;AAAAAAAAAAEAIAAAACIAAABkcnMvZG93bnJldi54bWxQSwECFAAUAAAACACHTuJAiJCLdxgCAAAQ&#10;BAAADgAAAAAAAAABACAAAAAnAQAAZHJzL2Uyb0RvYy54bWxQSwUGAAAAAAYABgBZAQAAsQUAAAAA&#10;">
              <v:fill on="f" focussize="0,0"/>
              <v:stroke on="f"/>
              <v:imagedata o:title=""/>
              <o:lock v:ext="edit" aspectratio="f"/>
              <v:textbox inset="0mm,0mm,0mm,0mm" style="mso-fit-shape-to-text:t;">
                <w:txbxContent>
                  <w:p w14:paraId="6D863746">
                    <w:pPr>
                      <w:pStyle w:val="29"/>
                      <w:pBdr>
                        <w:top w:val="single" w:color="auto" w:sz="4" w:space="1"/>
                      </w:pBdr>
                      <w:adjustRightInd w:val="0"/>
                      <w:ind w:firstLine="450" w:firstLineChars="250"/>
                    </w:pPr>
                  </w:p>
                </w:txbxContent>
              </v:textbox>
            </v:shape>
          </w:pict>
        </mc:Fallback>
      </mc:AlternateContent>
    </w:r>
    <w:r>
      <w:rPr>
        <w:rFonts w:hint="eastAsia" w:ascii="宋体" w:hAnsi="宋体"/>
      </w:rPr>
      <w:t>中勘冶金勘察设计研究院有限责任公司</w:t>
    </w:r>
    <w:r>
      <w:rPr>
        <w:rFonts w:hint="eastAsia"/>
      </w:rPr>
      <w:t xml:space="preserve">                                                        </w:t>
    </w:r>
    <w:r>
      <w:t xml:space="preserve">                                                 </w:t>
    </w:r>
    <w:r>
      <w:rPr>
        <w:rFonts w:hint="eastAsia"/>
      </w:rPr>
      <w:t xml:space="preserve">        </w:t>
    </w:r>
    <w:r>
      <w:rPr>
        <w:rFonts w:hint="eastAsia" w:ascii="宋体" w:hAnsi="宋体"/>
      </w:rPr>
      <w:t xml:space="preserve">  </w:t>
    </w:r>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rPr>
      <w:t>71</w:t>
    </w:r>
    <w:r>
      <w:rPr>
        <w:rFonts w:ascii="宋体" w:hAnsi="宋体"/>
      </w:rPr>
      <w:fldChar w:fldCharType="end"/>
    </w:r>
    <w:r>
      <w:rPr>
        <w:rFonts w:hint="eastAsia" w:ascii="宋体" w:hAnsi="宋体"/>
        <w:lang w:val="zh-CN"/>
      </w:rPr>
      <w:drawing>
        <wp:anchor distT="0" distB="0" distL="114300" distR="114300" simplePos="0" relativeHeight="251677696" behindDoc="1" locked="0" layoutInCell="1" allowOverlap="1">
          <wp:simplePos x="0" y="0"/>
          <wp:positionH relativeFrom="column">
            <wp:posOffset>-106045</wp:posOffset>
          </wp:positionH>
          <wp:positionV relativeFrom="paragraph">
            <wp:posOffset>-4445</wp:posOffset>
          </wp:positionV>
          <wp:extent cx="365760" cy="229235"/>
          <wp:effectExtent l="0" t="0" r="0" b="0"/>
          <wp:wrapNone/>
          <wp:docPr id="1837597580" name="图片 183759758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97580" name="图片 1837597580"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65760" cy="229235"/>
                  </a:xfrm>
                  <a:prstGeom prst="rect">
                    <a:avLst/>
                  </a:prstGeom>
                  <a:noFill/>
                  <a:ln>
                    <a:noFill/>
                  </a:ln>
                </pic:spPr>
              </pic:pic>
            </a:graphicData>
          </a:graphic>
        </wp:anchor>
      </w:drawing>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9B0375">
    <w:pPr>
      <w:pStyle w:val="29"/>
      <w:pBdr>
        <w:top w:val="single" w:color="auto" w:sz="4" w:space="1"/>
      </w:pBdr>
      <w:adjustRightInd w:val="0"/>
      <w:ind w:firstLine="450" w:firstLineChars="250"/>
      <w:rPr>
        <w:rFonts w:hint="eastAsia" w:ascii="宋体" w:hAnsi="宋体"/>
      </w:rPr>
    </w:pPr>
    <w:r>
      <mc:AlternateContent>
        <mc:Choice Requires="wps">
          <w:drawing>
            <wp:anchor distT="0" distB="0" distL="114300" distR="114300" simplePos="0" relativeHeight="251672576" behindDoc="0" locked="0" layoutInCell="1" allowOverlap="1">
              <wp:simplePos x="0" y="0"/>
              <wp:positionH relativeFrom="margin">
                <wp:posOffset>-10795</wp:posOffset>
              </wp:positionH>
              <wp:positionV relativeFrom="paragraph">
                <wp:posOffset>2409190</wp:posOffset>
              </wp:positionV>
              <wp:extent cx="5549900" cy="158750"/>
              <wp:effectExtent l="0" t="0" r="0" b="3810"/>
              <wp:wrapNone/>
              <wp:docPr id="2103653289" name="文本框 1040"/>
              <wp:cNvGraphicFramePr/>
              <a:graphic xmlns:a="http://schemas.openxmlformats.org/drawingml/2006/main">
                <a:graphicData uri="http://schemas.microsoft.com/office/word/2010/wordprocessingShape">
                  <wps:wsp>
                    <wps:cNvSpPr txBox="1">
                      <a:spLocks noChangeArrowheads="1"/>
                    </wps:cNvSpPr>
                    <wps:spPr bwMode="auto">
                      <a:xfrm>
                        <a:off x="0" y="0"/>
                        <a:ext cx="5549900" cy="158750"/>
                      </a:xfrm>
                      <a:prstGeom prst="rect">
                        <a:avLst/>
                      </a:prstGeom>
                      <a:noFill/>
                      <a:ln>
                        <a:noFill/>
                      </a:ln>
                    </wps:spPr>
                    <wps:txbx>
                      <w:txbxContent>
                        <w:p w14:paraId="0B51E688">
                          <w:pPr>
                            <w:pStyle w:val="29"/>
                            <w:pBdr>
                              <w:top w:val="single" w:color="auto" w:sz="4" w:space="1"/>
                            </w:pBdr>
                            <w:adjustRightInd w:val="0"/>
                            <w:ind w:firstLine="450" w:firstLineChars="250"/>
                          </w:pPr>
                        </w:p>
                      </w:txbxContent>
                    </wps:txbx>
                    <wps:bodyPr rot="0" vert="horz" wrap="square" lIns="0" tIns="0" rIns="0" bIns="0" anchor="t" anchorCtr="0" upright="1">
                      <a:spAutoFit/>
                    </wps:bodyPr>
                  </wps:wsp>
                </a:graphicData>
              </a:graphic>
            </wp:anchor>
          </w:drawing>
        </mc:Choice>
        <mc:Fallback>
          <w:pict>
            <v:shape id="文本框 1040" o:spid="_x0000_s1026" o:spt="202" type="#_x0000_t202" style="position:absolute;left:0pt;margin-left:-0.85pt;margin-top:189.7pt;height:12.5pt;width:437pt;mso-position-horizontal-relative:margin;z-index:251672576;mso-width-relative:page;mso-height-relative:page;" filled="f" stroked="f" coordsize="21600,21600" o:gfxdata="UEsDBAoAAAAAAIdO4kAAAAAAAAAAAAAAAAAEAAAAZHJzL1BLAwQUAAAACACHTuJAWZ+6J9gAAAAK&#10;AQAADwAAAGRycy9kb3ducmV2LnhtbE2PMU/DMBCFdyT+g3VILKi1nUZNG+J0QLCw0bKwufGRRNjn&#10;KHaT0F+PmWA8vU/vfVcdFmfZhGPoPSmQawEMqfGmp1bB++lltQMWoiajrSdU8I0BDvXtTaVL42d6&#10;w+kYW5ZKKJRaQRfjUHIemg6dDms/IKXs049Ox3SOLTejnlO5szwTYsud7iktdHrApw6br+PFKdgu&#10;z8PD6x6z+drYiT6uUkaUSt3fSfEILOIS/2D41U/qUCens7+QCcwqWMkikQo2xT4HloBdkW2AnRXk&#10;Is+B1xX//0L9A1BLAwQUAAAACACHTuJAZFKS+xkCAAARBAAADgAAAGRycy9lMm9Eb2MueG1srVNL&#10;btswFNwX6B0I7mtJTpzaguUgjeGiQPoB0h6ApiiLqMTHPtKW0gO0N+iqm+57Lp+jj5TtpOkmi26I&#10;x88bzgyH88u+bdhOodNgCp6NUs6UkVBqsyn4p4+rF1POnBemFA0YVfA75fjl4vmzeWdzNYYamlIh&#10;IxDj8s4WvPbe5kniZK1a4UZglaHNCrAVnqa4SUoUHaG3TTJO04ukAywtglTO0epy2OQHRHwKIFSV&#10;lmoJctsq4wdUVI3wJMnV2jq+iGyrSkn/vqqc8qwpOCn1caRLqF6HMVnMRb5BYWstDxTEUyg80tQK&#10;bejSE9RSeMG2qP+BarVEcFD5kYQ2GYRER0hFlj7y5rYWVkUtZLWzJ9Pd/4OV73YfkOmy4OMsPbuY&#10;nI2nM86MaOnl9z++73/+3v/6xrL0PFrVWZdTx62lHt+/gp4CFGU7ewPys2MGrmthNuoKEbpaiZKo&#10;ZsHk5EFreByXuwCy7t5CSVeJrYcI1FfYBh/JGUbo9Ex3p2dSvWeSFieT89kspS1Je9lk+nISySUi&#10;P3ZbdP61gpaFouBIMYjoYnfjfGAj8uORcJmBlW6aGIXG/LVAB8NKZB8ID9R9v+7pdFCxhvKOdCAM&#10;yaJ/RUUN+JWzjlJVcPdlK1Bx1rwx5EWI4LHAY7E+FsJIai2452wor/0Q1a1FvakJ+ej2Ffm10lHK&#10;PYsDT0pKVHhIdYjiw3k8df+TF3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WZ+6J9gAAAAKAQAA&#10;DwAAAAAAAAABACAAAAAiAAAAZHJzL2Rvd25yZXYueG1sUEsBAhQAFAAAAAgAh07iQGRSkvsZAgAA&#10;EQQAAA4AAAAAAAAAAQAgAAAAJwEAAGRycy9lMm9Eb2MueG1sUEsFBgAAAAAGAAYAWQEAALIFAAAA&#10;AA==&#10;">
              <v:fill on="f" focussize="0,0"/>
              <v:stroke on="f"/>
              <v:imagedata o:title=""/>
              <o:lock v:ext="edit" aspectratio="f"/>
              <v:textbox inset="0mm,0mm,0mm,0mm" style="mso-fit-shape-to-text:t;">
                <w:txbxContent>
                  <w:p w14:paraId="0B51E688">
                    <w:pPr>
                      <w:pStyle w:val="29"/>
                      <w:pBdr>
                        <w:top w:val="single" w:color="auto" w:sz="4" w:space="1"/>
                      </w:pBdr>
                      <w:adjustRightInd w:val="0"/>
                      <w:ind w:firstLine="450" w:firstLineChars="250"/>
                    </w:pPr>
                  </w:p>
                </w:txbxContent>
              </v:textbox>
            </v:shape>
          </w:pict>
        </mc:Fallback>
      </mc:AlternateContent>
    </w:r>
    <w:r>
      <w:rPr>
        <w:rFonts w:hint="eastAsia" w:ascii="宋体" w:hAnsi="宋体"/>
      </w:rPr>
      <w:t>中勘冶金勘察设计研究院有限责任公司</w:t>
    </w:r>
    <w:r>
      <w:rPr>
        <w:rFonts w:hint="eastAsia"/>
      </w:rPr>
      <w:t xml:space="preserve">                                                        </w:t>
    </w:r>
    <w:r>
      <w:t xml:space="preserve">             </w:t>
    </w:r>
    <w:r>
      <w:rPr>
        <w:rFonts w:hint="eastAsia"/>
      </w:rPr>
      <w:t xml:space="preserve">                                                                                                                           </w:t>
    </w:r>
    <w:r>
      <w:t xml:space="preserve">                                    </w:t>
    </w:r>
    <w:r>
      <w:rPr>
        <w:rFonts w:hint="eastAsia"/>
      </w:rPr>
      <w:t xml:space="preserve">        </w:t>
    </w:r>
    <w:r>
      <w:rPr>
        <w:rFonts w:hint="eastAsia" w:ascii="宋体" w:hAnsi="宋体"/>
      </w:rPr>
      <w:t xml:space="preserve">  </w:t>
    </w:r>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rPr>
      <w:t>71</w:t>
    </w:r>
    <w:r>
      <w:rPr>
        <w:rFonts w:ascii="宋体" w:hAnsi="宋体"/>
      </w:rPr>
      <w:fldChar w:fldCharType="end"/>
    </w:r>
    <w:r>
      <w:rPr>
        <w:rFonts w:hint="eastAsia" w:ascii="宋体" w:hAnsi="宋体"/>
        <w:lang w:val="zh-CN"/>
      </w:rPr>
      <w:drawing>
        <wp:anchor distT="0" distB="0" distL="114300" distR="114300" simplePos="0" relativeHeight="251671552" behindDoc="1" locked="0" layoutInCell="1" allowOverlap="1">
          <wp:simplePos x="0" y="0"/>
          <wp:positionH relativeFrom="column">
            <wp:posOffset>-106045</wp:posOffset>
          </wp:positionH>
          <wp:positionV relativeFrom="paragraph">
            <wp:posOffset>-4445</wp:posOffset>
          </wp:positionV>
          <wp:extent cx="365760" cy="229235"/>
          <wp:effectExtent l="0" t="0" r="0" b="0"/>
          <wp:wrapNone/>
          <wp:docPr id="834513785" name="图片 83451378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513785" name="图片 834513785"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65760" cy="229235"/>
                  </a:xfrm>
                  <a:prstGeom prst="rect">
                    <a:avLst/>
                  </a:prstGeom>
                  <a:noFill/>
                  <a:ln>
                    <a:noFill/>
                  </a:ln>
                </pic:spPr>
              </pic:pic>
            </a:graphicData>
          </a:graphic>
        </wp:anchor>
      </w:drawing>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25C4EC">
    <w:pPr>
      <w:pStyle w:val="29"/>
      <w:pBdr>
        <w:top w:val="single" w:color="auto" w:sz="4" w:space="1"/>
      </w:pBdr>
      <w:adjustRightInd w:val="0"/>
      <w:ind w:firstLine="450" w:firstLineChars="250"/>
      <w:rPr>
        <w:rFonts w:hint="eastAsia" w:ascii="宋体" w:hAnsi="宋体"/>
      </w:rPr>
    </w:pPr>
    <w:r>
      <mc:AlternateContent>
        <mc:Choice Requires="wps">
          <w:drawing>
            <wp:anchor distT="0" distB="0" distL="114300" distR="114300" simplePos="0" relativeHeight="251674624" behindDoc="0" locked="0" layoutInCell="1" allowOverlap="1">
              <wp:simplePos x="0" y="0"/>
              <wp:positionH relativeFrom="margin">
                <wp:posOffset>-10795</wp:posOffset>
              </wp:positionH>
              <wp:positionV relativeFrom="paragraph">
                <wp:posOffset>2409190</wp:posOffset>
              </wp:positionV>
              <wp:extent cx="5549900" cy="158750"/>
              <wp:effectExtent l="0" t="0" r="0" b="3810"/>
              <wp:wrapNone/>
              <wp:docPr id="1030980869" name="文本框 1040"/>
              <wp:cNvGraphicFramePr/>
              <a:graphic xmlns:a="http://schemas.openxmlformats.org/drawingml/2006/main">
                <a:graphicData uri="http://schemas.microsoft.com/office/word/2010/wordprocessingShape">
                  <wps:wsp>
                    <wps:cNvSpPr txBox="1">
                      <a:spLocks noChangeArrowheads="1"/>
                    </wps:cNvSpPr>
                    <wps:spPr bwMode="auto">
                      <a:xfrm>
                        <a:off x="0" y="0"/>
                        <a:ext cx="5549900" cy="158750"/>
                      </a:xfrm>
                      <a:prstGeom prst="rect">
                        <a:avLst/>
                      </a:prstGeom>
                      <a:noFill/>
                      <a:ln>
                        <a:noFill/>
                      </a:ln>
                    </wps:spPr>
                    <wps:txbx>
                      <w:txbxContent>
                        <w:p w14:paraId="562F0847">
                          <w:pPr>
                            <w:pStyle w:val="29"/>
                            <w:pBdr>
                              <w:top w:val="single" w:color="auto" w:sz="4" w:space="1"/>
                            </w:pBdr>
                            <w:adjustRightInd w:val="0"/>
                            <w:ind w:firstLine="450" w:firstLineChars="250"/>
                          </w:pPr>
                        </w:p>
                      </w:txbxContent>
                    </wps:txbx>
                    <wps:bodyPr rot="0" vert="horz" wrap="square" lIns="0" tIns="0" rIns="0" bIns="0" anchor="t" anchorCtr="0" upright="1">
                      <a:spAutoFit/>
                    </wps:bodyPr>
                  </wps:wsp>
                </a:graphicData>
              </a:graphic>
            </wp:anchor>
          </w:drawing>
        </mc:Choice>
        <mc:Fallback>
          <w:pict>
            <v:shape id="文本框 1040" o:spid="_x0000_s1026" o:spt="202" type="#_x0000_t202" style="position:absolute;left:0pt;margin-left:-0.85pt;margin-top:189.7pt;height:12.5pt;width:437pt;mso-position-horizontal-relative:margin;z-index:251674624;mso-width-relative:page;mso-height-relative:page;" filled="f" stroked="f" coordsize="21600,21600" o:gfxdata="UEsDBAoAAAAAAIdO4kAAAAAAAAAAAAAAAAAEAAAAZHJzL1BLAwQUAAAACACHTuJAWZ+6J9gAAAAK&#10;AQAADwAAAGRycy9kb3ducmV2LnhtbE2PMU/DMBCFdyT+g3VILKi1nUZNG+J0QLCw0bKwufGRRNjn&#10;KHaT0F+PmWA8vU/vfVcdFmfZhGPoPSmQawEMqfGmp1bB++lltQMWoiajrSdU8I0BDvXtTaVL42d6&#10;w+kYW5ZKKJRaQRfjUHIemg6dDms/IKXs049Ox3SOLTejnlO5szwTYsud7iktdHrApw6br+PFKdgu&#10;z8PD6x6z+drYiT6uUkaUSt3fSfEILOIS/2D41U/qUCens7+QCcwqWMkikQo2xT4HloBdkW2AnRXk&#10;Is+B1xX//0L9A1BLAwQUAAAACACHTuJA0EMmXhcCAAARBAAADgAAAGRycy9lMm9Eb2MueG1srVNL&#10;btswFNwX6B0I7mvJaZzaguUgjeGiQPoB0h6ApiiLqMTHPtKW3AM0N+iqm+57Lp+jj5TlpOkmi26I&#10;x88bzgyH88uuqdlOodNgcj4epZwpI6HQZpPzz59WL6acOS9MIWowKud75fjl4vmzeWszdQYV1IVC&#10;RiDGZa3NeeW9zZLEyUo1wo3AKkObJWAjPE1xkxQoWkJv6uQsTS+SFrCwCFI5R6vLfpMfEfEpgFCW&#10;WqolyG2jjO9RUdXCkyRXaev4IrItSyX9h7J0yrM656TUx5EuoXodxmQxF9kGha20PFIQT6HwSFMj&#10;tKFLT1BL4QXbov4HqtESwUHpRxKapBcSHSEV4/SRN7eVsCpqIaudPZnu/h+sfL/7iEwXlIT0ZTqb&#10;ptOLGWdGNPTyhx93h5+/D7++s3F6Hq1qrcuo49ZSj+9eQ0dtUbazNyC/OGbguhJmo64Qoa2UKIjq&#10;OJicPGgNj+MyF0DW7Tso6Cqx9RCBuhKb4CM5wwidnml/eibVeSZpcTI5n81S2pK0N55MX00iuURk&#10;Q7dF598oaFgoco4Ug4gudjfOBzYiG46EywysdF3HKNTmrwU6GFYi+0C4p+67dUeng4o1FHvSgdAn&#10;i/4VFRXgN85aSlXO3detQMVZ/daQFyGCQ4FDsR4KYSS15txz1pfXvo/q1qLeVIQ8uH1Ffq10lHLP&#10;4siTkhIVHlMdovhwHk/d/+TF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mfuifYAAAACgEAAA8A&#10;AAAAAAAAAQAgAAAAIgAAAGRycy9kb3ducmV2LnhtbFBLAQIUABQAAAAIAIdO4kDQQyZeFwIAABEE&#10;AAAOAAAAAAAAAAEAIAAAACcBAABkcnMvZTJvRG9jLnhtbFBLBQYAAAAABgAGAFkBAACwBQAAAAA=&#10;">
              <v:fill on="f" focussize="0,0"/>
              <v:stroke on="f"/>
              <v:imagedata o:title=""/>
              <o:lock v:ext="edit" aspectratio="f"/>
              <v:textbox inset="0mm,0mm,0mm,0mm" style="mso-fit-shape-to-text:t;">
                <w:txbxContent>
                  <w:p w14:paraId="562F0847">
                    <w:pPr>
                      <w:pStyle w:val="29"/>
                      <w:pBdr>
                        <w:top w:val="single" w:color="auto" w:sz="4" w:space="1"/>
                      </w:pBdr>
                      <w:adjustRightInd w:val="0"/>
                      <w:ind w:firstLine="450" w:firstLineChars="250"/>
                    </w:pPr>
                  </w:p>
                </w:txbxContent>
              </v:textbox>
            </v:shape>
          </w:pict>
        </mc:Fallback>
      </mc:AlternateContent>
    </w:r>
    <w:r>
      <w:rPr>
        <w:rFonts w:hint="eastAsia" w:ascii="宋体" w:hAnsi="宋体"/>
      </w:rPr>
      <w:t>中勘冶金勘察设计研究院有限责任公司</w:t>
    </w:r>
    <w:r>
      <w:rPr>
        <w:rFonts w:hint="eastAsia"/>
      </w:rPr>
      <w:t xml:space="preserve">                                                        </w:t>
    </w:r>
    <w:r>
      <w:t xml:space="preserve">                                                 </w:t>
    </w:r>
    <w:r>
      <w:rPr>
        <w:rFonts w:hint="eastAsia"/>
      </w:rPr>
      <w:t xml:space="preserve">        </w:t>
    </w:r>
    <w:r>
      <w:rPr>
        <w:rFonts w:hint="eastAsia" w:ascii="宋体" w:hAnsi="宋体"/>
      </w:rPr>
      <w:t xml:space="preserve">  </w:t>
    </w:r>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rPr>
      <w:t>71</w:t>
    </w:r>
    <w:r>
      <w:rPr>
        <w:rFonts w:ascii="宋体" w:hAnsi="宋体"/>
      </w:rPr>
      <w:fldChar w:fldCharType="end"/>
    </w:r>
    <w:r>
      <w:rPr>
        <w:rFonts w:hint="eastAsia" w:ascii="宋体" w:hAnsi="宋体"/>
        <w:lang w:val="zh-CN"/>
      </w:rPr>
      <w:drawing>
        <wp:anchor distT="0" distB="0" distL="114300" distR="114300" simplePos="0" relativeHeight="251673600" behindDoc="1" locked="0" layoutInCell="1" allowOverlap="1">
          <wp:simplePos x="0" y="0"/>
          <wp:positionH relativeFrom="column">
            <wp:posOffset>-106045</wp:posOffset>
          </wp:positionH>
          <wp:positionV relativeFrom="paragraph">
            <wp:posOffset>-4445</wp:posOffset>
          </wp:positionV>
          <wp:extent cx="365760" cy="229235"/>
          <wp:effectExtent l="0" t="0" r="0" b="0"/>
          <wp:wrapNone/>
          <wp:docPr id="1972938742" name="图片 197293874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938742" name="图片 1972938742"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65760" cy="229235"/>
                  </a:xfrm>
                  <a:prstGeom prst="rect">
                    <a:avLst/>
                  </a:prstGeom>
                  <a:noFill/>
                  <a:ln>
                    <a:noFill/>
                  </a:ln>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5B412E">
    <w:pPr>
      <w:pStyle w:val="30"/>
    </w:pPr>
    <w:r>
      <w:rPr>
        <w:rFonts w:hint="eastAsia" w:ascii="宋体" w:hAnsi="宋体"/>
        <w:spacing w:val="-10"/>
        <w14:ligatures w14:val="none"/>
      </w:rPr>
      <mc:AlternateContent>
        <mc:Choice Requires="wps">
          <w:drawing>
            <wp:anchor distT="0" distB="0" distL="114300" distR="114300" simplePos="0" relativeHeight="251679744" behindDoc="0" locked="0" layoutInCell="1" allowOverlap="1">
              <wp:simplePos x="0" y="0"/>
              <wp:positionH relativeFrom="column">
                <wp:posOffset>4445</wp:posOffset>
              </wp:positionH>
              <wp:positionV relativeFrom="paragraph">
                <wp:posOffset>140970</wp:posOffset>
              </wp:positionV>
              <wp:extent cx="5549265" cy="8890"/>
              <wp:effectExtent l="0" t="0" r="0" b="0"/>
              <wp:wrapNone/>
              <wp:docPr id="914869507" name="直接连接符 15"/>
              <wp:cNvGraphicFramePr/>
              <a:graphic xmlns:a="http://schemas.openxmlformats.org/drawingml/2006/main">
                <a:graphicData uri="http://schemas.microsoft.com/office/word/2010/wordprocessingShape">
                  <wps:wsp>
                    <wps:cNvCnPr/>
                    <wps:spPr>
                      <a:xfrm>
                        <a:off x="0" y="0"/>
                        <a:ext cx="5549153" cy="896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5" o:spid="_x0000_s1026" o:spt="20" style="position:absolute;left:0pt;margin-left:0.35pt;margin-top:11.1pt;height:0.7pt;width:436.95pt;z-index:251679744;mso-width-relative:page;mso-height-relative:page;" filled="f" stroked="t" coordsize="21600,21600" o:gfxdata="UEsDBAoAAAAAAIdO4kAAAAAAAAAAAAAAAAAEAAAAZHJzL1BLAwQUAAAACACHTuJArKDdytIAAAAG&#10;AQAADwAAAGRycy9kb3ducmV2LnhtbE2OzU7DMBCE70i8g7VIXCrq1KA0hDhVhcSdhoqzG2/iiHgd&#10;xW4b3p7lBMf50cxX7RY/igvOcQikYbPOQCC1wQ7Uazh+vD0UIGIyZM0YCDV8Y4RdfXtTmdKGKx3w&#10;0qRe8AjF0mhwKU2llLF16E1chwmJsy7M3iSWcy/tbK487kepsiyX3gzED85M+Oqw/WrOXsPzoo7h&#10;vetWn27fDLhfuaJpD1rf322yFxAJl/RXhl98RoeamU7hTDaKUcOWexqUUiA4LbZPOYgTG485yLqS&#10;//HrH1BLAwQUAAAACACHTuJAeNnsre8BAAC9AwAADgAAAGRycy9lMm9Eb2MueG1srVNNbhMxFN4j&#10;cQfLezKZtpMmo0y6aFQ2CCIBB3A89owl/8nPzSSX4AJI7GDFkj23aTkGz56QlrLpgll4nt/P9/x9&#10;fl5e7Y0mOxFAOdvQcjKlRFjuWmW7hn78cPNqTglEZlumnRUNPQigV6uXL5aDr8WZ651uRSAIYqEe&#10;fEP7GH1dFMB7YRhMnBcWg9IFwyJuQ1e0gQ2IbnRxNp3OisGF1gfHBQB612OQHhHDcwCdlIqLteO3&#10;Rtg4ogahWURK0CsPdJVPK6Xg8Z2UICLRDUWmMa/YBO1tWovVktVdYL5X/HgE9pwjPOFkmLLY9AS1&#10;ZpGR26D+gTKKBwdOxgl3phiJZEWQRTl9os37nnmRuaDU4E+iw/+D5W93m0BU29BFeTGfLarpJSWW&#10;Gbz4+88/7j59/fXzC67337+RskpqDR5qLLq2m3Dcgd+ERH0vg0l/JEX2WeHDSWGxj4Sjs6ouFmV1&#10;TgnH2Hwxy5DFQ60PEF8LZ0gyGqqVTfxZzXZvIGI/TP2TktzW3Sit8x1qS4aGnpeXFYIznEuJ84Cm&#10;8cgNbEcJ0x0OPI8hI4LTqk3VCQdCt73WgexYGpP8Ja7Y7a+01HrNoB/zcmgcIKMivgmtDJJ6XK0t&#10;giTFRo2StXXtIUuX/Xiruc1xAtPYPN7n6odXt/o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rKDd&#10;ytIAAAAGAQAADwAAAAAAAAABACAAAAAiAAAAZHJzL2Rvd25yZXYueG1sUEsBAhQAFAAAAAgAh07i&#10;QHjZ7K3vAQAAvQMAAA4AAAAAAAAAAQAgAAAAIQEAAGRycy9lMm9Eb2MueG1sUEsFBgAAAAAGAAYA&#10;WQEAAIIFAA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76EE60">
    <w:pPr>
      <w:pStyle w:val="30"/>
    </w:pPr>
    <w:r>
      <w:rPr>
        <w:rFonts w:hint="eastAsia" w:ascii="宋体" w:hAnsi="宋体"/>
        <w:spacing w:val="-10"/>
        <w14:ligatures w14:val="none"/>
      </w:rPr>
      <mc:AlternateContent>
        <mc:Choice Requires="wps">
          <w:drawing>
            <wp:anchor distT="0" distB="0" distL="114300" distR="114300" simplePos="0" relativeHeight="251693056" behindDoc="0" locked="0" layoutInCell="1" allowOverlap="1">
              <wp:simplePos x="0" y="0"/>
              <wp:positionH relativeFrom="column">
                <wp:posOffset>8890</wp:posOffset>
              </wp:positionH>
              <wp:positionV relativeFrom="paragraph">
                <wp:posOffset>188595</wp:posOffset>
              </wp:positionV>
              <wp:extent cx="8876665" cy="3810"/>
              <wp:effectExtent l="0" t="0" r="0" b="0"/>
              <wp:wrapNone/>
              <wp:docPr id="17" name="直接连接符 17"/>
              <wp:cNvGraphicFramePr/>
              <a:graphic xmlns:a="http://schemas.openxmlformats.org/drawingml/2006/main">
                <a:graphicData uri="http://schemas.microsoft.com/office/word/2010/wordprocessingShape">
                  <wps:wsp>
                    <wps:cNvCnPr/>
                    <wps:spPr>
                      <a:xfrm>
                        <a:off x="0" y="0"/>
                        <a:ext cx="8876665" cy="381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7pt;margin-top:14.85pt;height:0.3pt;width:698.95pt;z-index:251693056;mso-width-relative:page;mso-height-relative:page;" filled="f" stroked="t" coordsize="21600,21600" o:gfxdata="UEsDBAoAAAAAAIdO4kAAAAAAAAAAAAAAAAAEAAAAZHJzL1BLAwQUAAAACACHTuJA6kkMKdQAAAAI&#10;AQAADwAAAGRycy9kb3ducmV2LnhtbE2PwW7CMBBE75X4B2uRuKBik1QtCXEQQuq9BNSziTdxRLyO&#10;YgPp39ec2uNoRjNvit1ke3bH0XeOJKxXAhhS7XRHrYTz6fN1A8wHRVr1jlDCD3rYlbOXQuXaPeiI&#10;9yq0LJaQz5UEE8KQc+5rg1b5lRuQote40aoQ5dhyPapHLLc9T4R451Z1FBeMGvBgsL5WNyshm5Kz&#10;+2qa5bfZVx3ul2ZT1UcpF/O12AILOIW/MDzxIzqUkenibqQ966N+i0EJSfYB7GmnWZYCu0hIRQq8&#10;LPj/A+UvUEsDBBQAAAAIAIdO4kDcnqw15QEAALYDAAAOAAAAZHJzL2Uyb0RvYy54bWytU0uOEzEQ&#10;3SNxB8t70skgkqiVziwmGjYIIgEHcNx2tyX/VOVJJ5fgAkjsYMWSPbdh5hiU3SEzDJtZ0At3uT6v&#10;/J7Lq8uDs2yvAE3wDZ9NppwpL0NrfNfwjx+uXyw5wyR8K2zwquFHhfxy/fzZaoi1ugh9sK0CRiAe&#10;6yE2vE8p1lWFsldO4CRE5SmoAziRaAtd1YIYCN3Z6mI6nVdDgDZCkAqRvJsxyE+I8BTAoLWRahPk&#10;jVM+jaigrEhECXsTka/LabVWMr3TGlVituHENJWVmpC9y2u1Xom6AxF7I09HEE85wiNOThhPTc9Q&#10;G5EEuwHzD5QzEgIGnSYyuGokUhQhFrPpI23e9yKqwoWkxngWHf8frHy73wIzLU3CgjMvHN347ecf&#10;vz59vfv5hdbb798YRUimIWJN2Vd+C6cdxi1kzgcNLv+JDTsUaY9nadUhMUnO5XIxn89fcSYp9nI5&#10;K8pX97URML1WwbFsNNwan4mLWuzfYKJ+lPonJbt9uDbWlsuzng0EOVtkcEEDqWkQyHSRSKHvOBO2&#10;o0mXCQoiBmvaXJ1xELrdlQW2F3k+ype5Ure/0nLrjcB+zCuhcXKcSfQYrHHE8GG19QSSFRs1ytYu&#10;tMciXfHTdZY2p9HL8/JwX6rvn9v6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OpJDCnUAAAACAEA&#10;AA8AAAAAAAAAAQAgAAAAIgAAAGRycy9kb3ducmV2LnhtbFBLAQIUABQAAAAIAIdO4kDcnqw15QEA&#10;ALYDAAAOAAAAAAAAAAEAIAAAACMBAABkcnMvZTJvRG9jLnhtbFBLBQYAAAAABgAGAFkBAAB6BQAA&#10;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22902C">
    <w:pPr>
      <w:pStyle w:val="30"/>
    </w:pPr>
    <w:r>
      <w:rPr>
        <w:rFonts w:hint="eastAsia" w:ascii="宋体" w:hAnsi="宋体"/>
        <w:spacing w:val="-10"/>
        <w14:ligatures w14:val="none"/>
      </w:rPr>
      <mc:AlternateContent>
        <mc:Choice Requires="wps">
          <w:drawing>
            <wp:anchor distT="0" distB="0" distL="114300" distR="114300" simplePos="0" relativeHeight="251694080" behindDoc="0" locked="0" layoutInCell="1" allowOverlap="1">
              <wp:simplePos x="0" y="0"/>
              <wp:positionH relativeFrom="margin">
                <wp:align>left</wp:align>
              </wp:positionH>
              <wp:positionV relativeFrom="paragraph">
                <wp:posOffset>161925</wp:posOffset>
              </wp:positionV>
              <wp:extent cx="5542915" cy="12700"/>
              <wp:effectExtent l="0" t="0" r="19685" b="26035"/>
              <wp:wrapNone/>
              <wp:docPr id="20" name="直接连接符 20"/>
              <wp:cNvGraphicFramePr/>
              <a:graphic xmlns:a="http://schemas.openxmlformats.org/drawingml/2006/main">
                <a:graphicData uri="http://schemas.microsoft.com/office/word/2010/wordprocessingShape">
                  <wps:wsp>
                    <wps:cNvCnPr/>
                    <wps:spPr>
                      <a:xfrm>
                        <a:off x="0" y="0"/>
                        <a:ext cx="5542920" cy="12688"/>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top:12.75pt;height:1pt;width:436.45pt;mso-position-horizontal:left;mso-position-horizontal-relative:margin;z-index:251694080;mso-width-relative:page;mso-height-relative:page;" filled="f" stroked="t" coordsize="21600,21600" o:gfxdata="UEsDBAoAAAAAAIdO4kAAAAAAAAAAAAAAAAAEAAAAZHJzL1BLAwQUAAAACACHTuJAhrDXjNQAAAAG&#10;AQAADwAAAGRycy9kb3ducmV2LnhtbE2PwW7CMBBE75X4B2uRekHFIVJKSOMghMS9pKhnE2/iqPE6&#10;ig2kf9/tqT3uzGjmbbmf3SDuOIXek4LNOgGB1HjTU6fg8nF6yUGEqMnowRMq+MYA+2rxVOrC+Aed&#10;8V7HTnAJhUIrsDGOhZShseh0WPsRib3WT05HPqdOmkk/uNwNMk2SV+l0T7xg9YhHi81XfXMKdnN6&#10;8e9tu/q0h7rHw8rmdXNW6nm5Sd5ARJzjXxh+8RkdKma6+huZIAYF/EhUkGYZCHbzbboDcWVhm4Gs&#10;Svkfv/oBUEsDBBQAAAAIAIdO4kA0Z2le5wEAALcDAAAOAAAAZHJzL2Uyb0RvYy54bWytU81uEzEQ&#10;viPxDpbvZJNASrrKpodG5YIgEvAAE69315L/5HGzyUvwAkjc4MSRO2/T8hiMvdu0lEsP7ME7np9v&#10;/H0ery4ORrO9DKicrfhsMuVMWuFqZduKf/p49WLJGUawNWhnZcWPEvnF+vmzVe9LOXed07UMjEAs&#10;lr2veBejL4sCRScN4MR5aSnYuGAg0ja0RR2gJ3Sji/l0elb0LtQ+OCERybsZgnxEDE8BdE2jhNw4&#10;cW2kjQNqkBoiUcJOeeTrfNqmkSK+bxqUkemKE9OYV2pC9i6txXoFZRvAd0qMR4CnHOERJwPKUtMT&#10;1AYisOug/oEySgSHrokT4UwxEMmKEIvZ9JE2HzrwMnMhqdGfRMf/Byve7beBqbric5LEgqEbv/3y&#10;8+bzt9+/vtJ6++M7owjJ1HssKfvSbsO4Q78NifOhCSb9iQ07ZGmPJ2nlITJBzsXi1fw8tRAUm83P&#10;lsuEWdwX+4DxjXSGJaPiWtnEHErYv8U4pN6lJLd1V0pr8kOpLesr/nL2ekHoQBPZ0CSQaTyxQtty&#10;BrqlURcxZER0WtWpOhVjaHeXOrA9pAHJ33iwv9JS6w1gN+TlUEqD0qhIr0ErU/Hlw2ptiV2SbBAp&#10;WTtXH7N22U/3mfmPs5cG5uE+V9+/t/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hrDXjNQAAAAG&#10;AQAADwAAAAAAAAABACAAAAAiAAAAZHJzL2Rvd25yZXYueG1sUEsBAhQAFAAAAAgAh07iQDRnaV7n&#10;AQAAtwMAAA4AAAAAAAAAAQAgAAAAIwEAAGRycy9lMm9Eb2MueG1sUEsFBgAAAAAGAAYAWQEAAHwF&#10;AA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95DC21">
    <w:pPr>
      <w:pStyle w:val="30"/>
    </w:pPr>
    <w:r>
      <w:rPr>
        <w:rFonts w:hint="eastAsia" w:ascii="宋体" w:hAnsi="宋体"/>
        <w:spacing w:val="-10"/>
        <w14:ligatures w14:val="none"/>
      </w:rPr>
      <mc:AlternateContent>
        <mc:Choice Requires="wps">
          <w:drawing>
            <wp:anchor distT="0" distB="0" distL="114300" distR="114300" simplePos="0" relativeHeight="251696128" behindDoc="0" locked="0" layoutInCell="1" allowOverlap="1">
              <wp:simplePos x="0" y="0"/>
              <wp:positionH relativeFrom="margin">
                <wp:align>left</wp:align>
              </wp:positionH>
              <wp:positionV relativeFrom="paragraph">
                <wp:posOffset>161925</wp:posOffset>
              </wp:positionV>
              <wp:extent cx="8902065" cy="19050"/>
              <wp:effectExtent l="0" t="0" r="33020" b="19050"/>
              <wp:wrapNone/>
              <wp:docPr id="1513245812" name="直接连接符 1513245812"/>
              <wp:cNvGraphicFramePr/>
              <a:graphic xmlns:a="http://schemas.openxmlformats.org/drawingml/2006/main">
                <a:graphicData uri="http://schemas.microsoft.com/office/word/2010/wordprocessingShape">
                  <wps:wsp>
                    <wps:cNvCnPr/>
                    <wps:spPr>
                      <a:xfrm>
                        <a:off x="0" y="0"/>
                        <a:ext cx="8901953" cy="19166"/>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top:12.75pt;height:1.5pt;width:700.95pt;mso-position-horizontal:left;mso-position-horizontal-relative:margin;z-index:251696128;mso-width-relative:page;mso-height-relative:page;" filled="f" stroked="t" coordsize="21600,21600" o:gfxdata="UEsDBAoAAAAAAIdO4kAAAAAAAAAAAAAAAAAEAAAAZHJzL1BLAwQUAAAACACHTuJA5+FtmtQAAAAH&#10;AQAADwAAAGRycy9kb3ducmV2LnhtbE2PwW7CMBBE75X6D9Yi9YKKnaipQhoHoUq9lxT1bOJNHBGv&#10;o9hA+HvMCY47M5p5W25mO7AzTr53JCFZCWBIjdM9dRL2fz/vOTAfFGk1OEIJV/SwqV5fSlVod6Ed&#10;nuvQsVhCvlASTAhjwblvDFrlV25Eil7rJqtCPKeO60ldYrkdeCrEJ7eqp7hg1IjfBptjfbIS1nO6&#10;d79tu/w327rH7dLkdbOT8m2RiC9gAefwCMMdP6JDFZkO7kTas0FCfCRISLMM2N39EMka2CEqeQa8&#10;Kvkzf3UDUEsDBBQAAAAIAIdO4kBWal0l7wEAAMcDAAAOAAAAZHJzL2Uyb0RvYy54bWytU02O0zAU&#10;3iNxB8t7mqSlpY2azmKqYYOgEnAA13ESS/6Tn6dpL8EFkNjBiiV7bjPDMXh2QqcMm1mQhfP8fj6/&#10;7/Pz+uqoFTkID9KaihaTnBJhuK2laSv68cPNiyUlEJipmbJGVPQkgF5tnj9b964UU9tZVQtPEMRA&#10;2buKdiG4MsuAd0IzmFgnDAYb6zULuPVtVnvWI7pW2TTPF1lvfe285QIAvdshSEdE/xRA2zSSi63l&#10;t1qYMKB6oVhAStBJB3STum0awcO7pgERiKooMg1pxUPQ3sc126xZ2XrmOsnHFthTWnjESTNp8NAz&#10;1JYFRm69/AdKS+4t2CZMuNXZQCQpgiyK/JE27zvmROKCUoM7iw7/D5a/Pew8kTVOwryYTV/Ol8WU&#10;EsM03vz95x93n77++vkF1/vv38hFBsrWOyix+trs/LgDt/NRg2PjdfwjO3JMUp/OUotjIBydy1Ve&#10;rOYzSjjGilWxWMSryB6KnYfwWlhNolFRJU1UgpXs8AbCkPonJbqNvZFKoZ+VypC+orPi1RzRGU5o&#10;g5OBpnbIEkxLCVMtjj4PPiGCVbKO1bEYfLu/Vp4cWByY9I2N/ZUWj94y6Ia8FBpGScuAr0NJjRQv&#10;q5VBdlGyQaRo7W19StolP95v4j/OYhygy32qfnh/m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n&#10;4W2a1AAAAAcBAAAPAAAAAAAAAAEAIAAAACIAAABkcnMvZG93bnJldi54bWxQSwECFAAUAAAACACH&#10;TuJAVmpdJe8BAADHAwAADgAAAAAAAAABACAAAAAjAQAAZHJzL2Uyb0RvYy54bWxQSwUGAAAAAAYA&#10;BgBZAQAAhAUA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792042">
    <w:pPr>
      <w:pStyle w:val="30"/>
    </w:pPr>
    <w:r>
      <w:rPr>
        <w:rFonts w:hint="eastAsia" w:ascii="宋体" w:hAnsi="宋体"/>
        <w:spacing w:val="-10"/>
        <w14:ligatures w14:val="none"/>
      </w:rPr>
      <mc:AlternateContent>
        <mc:Choice Requires="wps">
          <w:drawing>
            <wp:anchor distT="0" distB="0" distL="114300" distR="114300" simplePos="0" relativeHeight="251695104" behindDoc="0" locked="0" layoutInCell="1" allowOverlap="1">
              <wp:simplePos x="0" y="0"/>
              <wp:positionH relativeFrom="column">
                <wp:posOffset>8890</wp:posOffset>
              </wp:positionH>
              <wp:positionV relativeFrom="paragraph">
                <wp:posOffset>188595</wp:posOffset>
              </wp:positionV>
              <wp:extent cx="5539740" cy="2540"/>
              <wp:effectExtent l="0" t="0" r="0" b="0"/>
              <wp:wrapNone/>
              <wp:docPr id="22" name="直接连接符 22"/>
              <wp:cNvGraphicFramePr/>
              <a:graphic xmlns:a="http://schemas.openxmlformats.org/drawingml/2006/main">
                <a:graphicData uri="http://schemas.microsoft.com/office/word/2010/wordprocessingShape">
                  <wps:wsp>
                    <wps:cNvCnPr/>
                    <wps:spPr>
                      <a:xfrm>
                        <a:off x="0" y="0"/>
                        <a:ext cx="5539740" cy="254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7pt;margin-top:14.85pt;height:0.2pt;width:436.2pt;z-index:251695104;mso-width-relative:page;mso-height-relative:page;" filled="f" stroked="t" coordsize="21600,21600" o:gfxdata="UEsDBAoAAAAAAIdO4kAAAAAAAAAAAAAAAAAEAAAAZHJzL1BLAwQUAAAACACHTuJAmmvtbdQAAAAH&#10;AQAADwAAAGRycy9kb3ducmV2LnhtbE2PwWrDMBBE74X+g9hAL6GR7ZTGcS2HUOi9cULPirW2TKyV&#10;sZTE/ftuT+1xmGHmTbmb3SBuOIXek4J0lYBAarzpqVNwOn485yBC1GT04AkVfGOAXfX4UOrC+Dsd&#10;8FbHTnAJhUIrsDGOhZShseh0WPkRib3WT05HllMnzaTvXO4GmSXJq3S6J16wesR3i82lvjoF2zk7&#10;+c+2XX7Zfd3jfmnzujko9bRIkzcQEef4F4ZffEaHipnO/komiIH1CwcVZNsNCLbzzZqfnBWskxRk&#10;Vcr//NUPUEsDBBQAAAAIAIdO4kB4EzJo5wEAALYDAAAOAAAAZHJzL2Uyb0RvYy54bWytU82O0zAQ&#10;viPxDpbvNG2WskvUdA9bLRcElYAHmDpOYsl/8nib9iV4ASRucOLInbdheQzGTuguy2UP5OCM5+fz&#10;fJ/Hq8uD0WwvAypna76YzTmTVrhG2a7mH95fP7vgDCPYBrSzsuZHifxy/fTJavCVLF3vdCMDIxCL&#10;1eBr3sfoq6JA0UsDOHNeWgq2LhiItA1d0QQYCN3oopzPXxSDC40PTkhE8m7GIJ8Qw2MAXdsqITdO&#10;3Bhp44gapIZIlLBXHvk6d9u2UsS3bYsyMl1zYhrzSoeQvUtrsV5B1QXwvRJTC/CYFh5wMqAsHXqC&#10;2kAEdhPUP1BGieDQtXEmnClGIlkRYrGYP9DmXQ9eZi4kNfqT6Pj/YMWb/TYw1dS8LDmzYOjGbz99&#10;//nxy68fn2m9/faVUYRkGjxWlH1lt2Haod+GxPnQBpP+xIYdsrTHk7TyEJkg53J59vL8OakuKFYu&#10;ySKQ4q7WB4yvpDMsGTXXyibiUMH+NcYx9U9Kclt3rbQmP1TasqHmZ4vzJYEDDWRLg0Cm8UQKbccZ&#10;6I4mXcSQEdFp1aTqVIyh213pwPaQ5iN/U2N/paWjN4D9mJdDKQ0qoyI9Bq1MzS/uV2tL7JJio0bJ&#10;2rnmmKXLfrrOzH8avTQv9/e5+u65rX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mmvtbdQAAAAH&#10;AQAADwAAAAAAAAABACAAAAAiAAAAZHJzL2Rvd25yZXYueG1sUEsBAhQAFAAAAAgAh07iQHgTMmjn&#10;AQAAtgMAAA4AAAAAAAAAAQAgAAAAIwEAAGRycy9lMm9Eb2MueG1sUEsFBgAAAAAGAAYAWQEAAHwF&#10;AA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858166">
    <w:pPr>
      <w:pStyle w:val="30"/>
      <w:rPr>
        <w:rFonts w:ascii="宋体" w:hAnsi="宋体"/>
        <w:spacing w:val="-10"/>
      </w:rPr>
    </w:pPr>
  </w:p>
  <w:p w14:paraId="11459A1C">
    <w:pPr>
      <w:pStyle w:val="30"/>
    </w:pPr>
    <w:r>
      <w:rPr>
        <w:rFonts w:hint="eastAsia" w:ascii="宋体" w:hAnsi="宋体"/>
        <w:spacing w:val="-10"/>
        <w14:ligatures w14:val="none"/>
      </w:rPr>
      <mc:AlternateContent>
        <mc:Choice Requires="wps">
          <w:drawing>
            <wp:anchor distT="0" distB="0" distL="114300" distR="114300" simplePos="0" relativeHeight="251697152" behindDoc="0" locked="0" layoutInCell="1" allowOverlap="1">
              <wp:simplePos x="0" y="0"/>
              <wp:positionH relativeFrom="margin">
                <wp:align>right</wp:align>
              </wp:positionH>
              <wp:positionV relativeFrom="paragraph">
                <wp:posOffset>185420</wp:posOffset>
              </wp:positionV>
              <wp:extent cx="8893175" cy="0"/>
              <wp:effectExtent l="0" t="0" r="0" b="0"/>
              <wp:wrapNone/>
              <wp:docPr id="1339951542" name="直接连接符 1339951542"/>
              <wp:cNvGraphicFramePr/>
              <a:graphic xmlns:a="http://schemas.openxmlformats.org/drawingml/2006/main">
                <a:graphicData uri="http://schemas.microsoft.com/office/word/2010/wordprocessingShape">
                  <wps:wsp>
                    <wps:cNvCnPr/>
                    <wps:spPr>
                      <a:xfrm>
                        <a:off x="0" y="0"/>
                        <a:ext cx="8892989"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top:14.6pt;height:0pt;width:700.25pt;mso-position-horizontal:right;mso-position-horizontal-relative:margin;z-index:251697152;mso-width-relative:page;mso-height-relative:page;" filled="f" stroked="t" coordsize="21600,21600" o:gfxdata="UEsDBAoAAAAAAIdO4kAAAAAAAAAAAAAAAAAEAAAAZHJzL1BLAwQUAAAACACHTuJAOn+hz9MAAAAH&#10;AQAADwAAAGRycy9kb3ducmV2LnhtbE2PwW7CMBBE75X4B2sr9YKKTdRWkGaDEFLvJUU9m3gTR43X&#10;UWwg/D1GPbTHnRnNvC02k+vFmcbQeUZYLhQI4tqbjluEw9fH8wpEiJqN7j0TwpUCbMrZQ6Fz4y+8&#10;p3MVW5FKOOQawcY45FKG2pLTYeEH4uQ1fnQ6pnNspRn1JZW7XmZKvUmnO04LVg+0s1T/VCeHsJ6y&#10;g/9smvm33VYdbed2VdV7xKfHpXoHEWmKf2G44yd0KBPT0Z/YBNEjpEciQrbOQNzdF6VeQRx/FVkW&#10;8j9/eQNQSwMEFAAAAAgAh07iQDy3fp3tAQAAwwMAAA4AAABkcnMvZTJvRG9jLnhtbK1TS44TMRDd&#10;I3EHy3vS+RBIt9KZxUTDBkEk4ACO2+625J9cnnRyCS6AxA5WLNlzmxmOQdmdyWRmNrOgF+6yXfXK&#10;7/l5ebE3muxEAOVsTSejMSXCctco29b0y+erVwtKIDLbMO2sqOlBAL1YvXyx7H0lpq5zuhGBIIiF&#10;qvc17WL0VVEA74RhMHJeWNyULhgWcRraogmsR3Sji+l4/KboXWh8cFwA4Op62KRHxPAcQCel4mLt&#10;+LURNg6oQWgWkRJ0ygNd5dNKKXj8KCWISHRNkWnMIzbBeJvGYrVkVRuY7xQ/HoE95wiPOBmmLDY9&#10;Qa1ZZOQ6qCdQRvHgwMk44s4UA5GsCLKYjB9p86ljXmQuKDX4k+jw/2D5h90mENWgE2azspxP5q+n&#10;lFhm8OZvv/2++frj75/vON7++knOMlC23kOF1Zd2E44z8JuQNNjLYNIf2ZF9lvpwklrsI+G4uFiU&#10;03JRUsLv9or7Qh8gvhPOkBTUVCubVGAV272HiM0w9S4lLVt3pbTON6kt6Ws6m7ydIzJDd0p0BYbG&#10;I0OwLSVMt2h7HkNGBKdVk6oTDoR2e6kD2bFklvwlf2C3B2mp9ZpBN+TlrcFGRkV8GVoZpHderS2C&#10;JLkGgVK0dc0h65bX8W5zm6MPk3nO57n6/u2t/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6f6HP&#10;0wAAAAcBAAAPAAAAAAAAAAEAIAAAACIAAABkcnMvZG93bnJldi54bWxQSwECFAAUAAAACACHTuJA&#10;PLd+ne0BAADDAwAADgAAAAAAAAABACAAAAAiAQAAZHJzL2Uyb0RvYy54bWxQSwUGAAAAAAYABgBZ&#10;AQAAgQUA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4ACDDA">
    <w:pPr>
      <w:pStyle w:val="30"/>
    </w:pPr>
    <w:r>
      <w:rPr>
        <w:rFonts w:hint="eastAsia" w:ascii="宋体" w:hAnsi="宋体"/>
        <w:spacing w:val="-10"/>
        <w14:ligatures w14:val="none"/>
      </w:rPr>
      <mc:AlternateContent>
        <mc:Choice Requires="wps">
          <w:drawing>
            <wp:anchor distT="0" distB="0" distL="114300" distR="114300" simplePos="0" relativeHeight="251698176" behindDoc="0" locked="0" layoutInCell="1" allowOverlap="1">
              <wp:simplePos x="0" y="0"/>
              <wp:positionH relativeFrom="margin">
                <wp:align>left</wp:align>
              </wp:positionH>
              <wp:positionV relativeFrom="paragraph">
                <wp:posOffset>182880</wp:posOffset>
              </wp:positionV>
              <wp:extent cx="8899525" cy="0"/>
              <wp:effectExtent l="0" t="0" r="0" b="0"/>
              <wp:wrapNone/>
              <wp:docPr id="768023699" name="直接连接符 768023699"/>
              <wp:cNvGraphicFramePr/>
              <a:graphic xmlns:a="http://schemas.openxmlformats.org/drawingml/2006/main">
                <a:graphicData uri="http://schemas.microsoft.com/office/word/2010/wordprocessingShape">
                  <wps:wsp>
                    <wps:cNvCnPr/>
                    <wps:spPr>
                      <a:xfrm flipV="1">
                        <a:off x="0" y="0"/>
                        <a:ext cx="8899694"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top:14.4pt;height:0pt;width:700.75pt;mso-position-horizontal:left;mso-position-horizontal-relative:margin;z-index:251698176;mso-width-relative:page;mso-height-relative:page;" filled="f" stroked="t" coordsize="21600,21600" o:gfxdata="UEsDBAoAAAAAAIdO4kAAAAAAAAAAAAAAAAAEAAAAZHJzL1BLAwQUAAAACACHTuJA4aGeBNcAAAAH&#10;AQAADwAAAGRycy9kb3ducmV2LnhtbE2PUUvDMBSF34X9h3AHvohLOnSM2nTQjQnCHtwUfE2ba1NN&#10;bkqTrdNfb4YP+njPOZzz3WJ1dpadcAidJwnZTABDarzuqJXw+rK9XQILUZFW1hNK+MIAq3JyVahc&#10;+5H2eDrElqUSCrmSYGLsc85DY9CpMPM9UvLe/eBUTOfQcj2oMZU7y+dCLLhTHaUFo3pcG2w+D0cn&#10;4em5NrvFbvtY3dDbd1dvKvsxVlJeTzPxACziOf6F4YKf0KFMTLU/kg7MSkiPRAnzZeK/uHciuwdW&#10;/yq8LPh//vIHUEsDBBQAAAAIAIdO4kDsXrP68wEAAMsDAAAOAAAAZHJzL2Uyb0RvYy54bWytU7tu&#10;2zAU3Qv0HwjutWSndSzBcoYY6VK0BvrYaYqUCPAFXsayf6I/UKBbO3Xsnr9p+hm9pBwnTZcM1UCQ&#10;93Euz+HR8mJvNNmJAMrZhk4nJSXCctcq2zX044erFwtKIDLbMu2saOhBAL1YPX+2HHwtZq53uhWB&#10;IIiFevAN7WP0dVEA74VhMHFeWExKFwyLeAxd0QY2ILrRxaws58XgQuuD4wIAo+sxSY+I4SmATkrF&#10;xdrxayNsHFGD0CwiJeiVB7rKt5VS8PhOShCR6IYi05hXHIL7bVqL1ZLVXWC+V/x4BfaUKzziZJiy&#10;OPQEtWaRkeug/oEyigcHTsYJd6YYiWRFkMW0fKTN+555kbmg1OBPosP/g+Vvd5tAVNvQ8/minJ3N&#10;q4oSyww+/O2Xn78+f/t98xXX2x/fyX0BijZ4qLH30m7C8QR+E5ICexkMkVr5T+iurAmyJPss+eEk&#10;udhHwjG4WFTVvHpJCb/LFSNEgvIB4mvhDEmbhmplkxqsZrs3EHEslt6VpLB1V0rr/KLakqGhZ9Pz&#10;V4jM0KUS3YFb45Ep2I4Spju0P48hI4LTqk3dCQdCt73UgexYMk3+kk9w2l9lafSaQT/W5dRoJ6Mi&#10;/iFaGaT3sFtbBEnCjVKl3da1h6xgjuMb5zFHPyYTPTzn7vt/cPU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4aGeBNcAAAAHAQAADwAAAAAAAAABACAAAAAiAAAAZHJzL2Rvd25yZXYueG1sUEsBAhQA&#10;FAAAAAgAh07iQOxes/rzAQAAywMAAA4AAAAAAAAAAQAgAAAAJgEAAGRycy9lMm9Eb2MueG1sUEsF&#10;BgAAAAAGAAYAWQEAAIsFAA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C85C9B">
    <w:pPr>
      <w:pStyle w:val="30"/>
    </w:pPr>
    <w:r>
      <w:rPr>
        <w:rFonts w:hint="eastAsia" w:ascii="宋体" w:hAnsi="宋体"/>
        <w:spacing w:val="-10"/>
        <w14:ligatures w14:val="none"/>
      </w:rPr>
      <mc:AlternateContent>
        <mc:Choice Requires="wps">
          <w:drawing>
            <wp:anchor distT="0" distB="0" distL="114300" distR="114300" simplePos="0" relativeHeight="251699200" behindDoc="0" locked="0" layoutInCell="1" allowOverlap="1">
              <wp:simplePos x="0" y="0"/>
              <wp:positionH relativeFrom="column">
                <wp:posOffset>8890</wp:posOffset>
              </wp:positionH>
              <wp:positionV relativeFrom="paragraph">
                <wp:posOffset>188595</wp:posOffset>
              </wp:positionV>
              <wp:extent cx="5539740" cy="2540"/>
              <wp:effectExtent l="0" t="0" r="0" b="0"/>
              <wp:wrapNone/>
              <wp:docPr id="1311637115" name="直接连接符 1311637115"/>
              <wp:cNvGraphicFramePr/>
              <a:graphic xmlns:a="http://schemas.openxmlformats.org/drawingml/2006/main">
                <a:graphicData uri="http://schemas.microsoft.com/office/word/2010/wordprocessingShape">
                  <wps:wsp>
                    <wps:cNvCnPr/>
                    <wps:spPr>
                      <a:xfrm>
                        <a:off x="0" y="0"/>
                        <a:ext cx="5539740" cy="254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7pt;margin-top:14.85pt;height:0.2pt;width:436.2pt;z-index:251699200;mso-width-relative:page;mso-height-relative:page;" filled="f" stroked="t" coordsize="21600,21600" o:gfxdata="UEsDBAoAAAAAAIdO4kAAAAAAAAAAAAAAAAAEAAAAZHJzL1BLAwQUAAAACACHTuJAmmvtbdQAAAAH&#10;AQAADwAAAGRycy9kb3ducmV2LnhtbE2PwWrDMBBE74X+g9hAL6GR7ZTGcS2HUOi9cULPirW2TKyV&#10;sZTE/ftuT+1xmGHmTbmb3SBuOIXek4J0lYBAarzpqVNwOn485yBC1GT04AkVfGOAXfX4UOrC+Dsd&#10;8FbHTnAJhUIrsDGOhZShseh0WPkRib3WT05HllMnzaTvXO4GmSXJq3S6J16wesR3i82lvjoF2zk7&#10;+c+2XX7Zfd3jfmnzujko9bRIkzcQEef4F4ZffEaHipnO/komiIH1CwcVZNsNCLbzzZqfnBWskxRk&#10;Vcr//NUPUEsDBBQAAAAIAIdO4kCIp3h27gEAAMYDAAAOAAAAZHJzL2Uyb0RvYy54bWytU02O0zAU&#10;3iNxB8t7mqal0yFqOouphg2CSsABXMdOLPlPfp6mvQQXQGIHK5bsuc0Mx+DZCZ0ybGZBFs7z+/n8&#10;vs/Pq6uD0WQvAihna1pOppQIy12jbFvTjx9uXlxSApHZhmlnRU2PAujV+vmzVe8rMXOd040IBEEs&#10;VL2vaRejr4oCeCcMg4nzwmJQumBYxG1oiyawHtGNLmbT6UXRu9D44LgAQO9mCNIRMTwF0EmpuNg4&#10;fmuEjQNqEJpFpASd8kDXuVspBY/vpAQRia4pMo15xUPQ3qW1WK9Y1QbmO8XHFthTWnjEyTBl8dAT&#10;1IZFRm6D+gfKKB4cOBkn3JliIJIVQRbl9JE27zvmReaCUoM/iQ7/D5a/3W8DUQ1OwrwsL+bLslxQ&#10;YpnBm7///OPu09dfP7/gev/9GznLQNl6DxVWX9ttGHfgtyFpcJDBpD+yI4cs9fEktThEwtG5WMxf&#10;LV/iLXCMzRZoIUjxUOsDxNfCGZKMmmplkxCsYvs3EIfUPynJbd2N0hr9rNKW9DWdl0vkwRkOqMTB&#10;QNN4JAm2pYTpFiefx5ARwWnVpOpUDKHdXetA9izNS/7Gxv5KS0dvGHRDXg4Nk2RUxMehlanp5Xm1&#10;tsguKTZolKyda45ZuuzH6838x1FM83O+z9UPz2/9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Jpr&#10;7W3UAAAABwEAAA8AAAAAAAAAAQAgAAAAIgAAAGRycy9kb3ducmV2LnhtbFBLAQIUABQAAAAIAIdO&#10;4kCIp3h27gEAAMYDAAAOAAAAAAAAAAEAIAAAACMBAABkcnMvZTJvRG9jLnhtbFBLBQYAAAAABgAG&#10;AFkBAACDBQA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7182D5">
    <w:pPr>
      <w:pStyle w:val="30"/>
    </w:pPr>
    <w:r>
      <w:rPr>
        <w:rFonts w:hint="eastAsia" w:ascii="宋体" w:hAnsi="宋体"/>
        <w:spacing w:val="-10"/>
        <w14:ligatures w14:val="none"/>
      </w:rPr>
      <mc:AlternateContent>
        <mc:Choice Requires="wps">
          <w:drawing>
            <wp:anchor distT="0" distB="0" distL="114300" distR="114300" simplePos="0" relativeHeight="251680768" behindDoc="0" locked="0" layoutInCell="1" allowOverlap="1">
              <wp:simplePos x="0" y="0"/>
              <wp:positionH relativeFrom="column">
                <wp:posOffset>4445</wp:posOffset>
              </wp:positionH>
              <wp:positionV relativeFrom="paragraph">
                <wp:posOffset>140970</wp:posOffset>
              </wp:positionV>
              <wp:extent cx="8888730" cy="1270"/>
              <wp:effectExtent l="0" t="0" r="0" b="0"/>
              <wp:wrapNone/>
              <wp:docPr id="2" name="直接连接符 15"/>
              <wp:cNvGraphicFramePr/>
              <a:graphic xmlns:a="http://schemas.openxmlformats.org/drawingml/2006/main">
                <a:graphicData uri="http://schemas.microsoft.com/office/word/2010/wordprocessingShape">
                  <wps:wsp>
                    <wps:cNvCnPr/>
                    <wps:spPr>
                      <a:xfrm>
                        <a:off x="0" y="0"/>
                        <a:ext cx="8888730" cy="127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5" o:spid="_x0000_s1026" o:spt="20" style="position:absolute;left:0pt;margin-left:0.35pt;margin-top:11.1pt;height:0.1pt;width:699.9pt;z-index:251680768;mso-width-relative:page;mso-height-relative:page;" filled="f" stroked="t" coordsize="21600,21600" o:gfxdata="UEsDBAoAAAAAAIdO4kAAAAAAAAAAAAAAAAAEAAAAZHJzL1BLAwQUAAAACACHTuJAxsCGRtIAAAAH&#10;AQAADwAAAGRycy9kb3ducmV2LnhtbE2OzW7CMBCE75V4B2uRuCCwsWgLaRyEkHovKerZxJs4aryO&#10;YgPp29c5tcf50cyXH0bXsTsOofWkYLMWwJAqb1pqFFw+31c7YCFqMrrzhAp+MMChmD3lOjP+QWe8&#10;l7FhaYRCphXYGPuM81BZdDqsfY+UstoPTsckh4abQT/SuOu4FOKFO91SerC6x5PF6ru8OQX7UV78&#10;R10vv+yxbPG4tLuyOiu1mG/EG7CIY/wrw4Sf0KFITFd/IxNYp+A19RRIKYFN6VaIZ2DXydkCL3L+&#10;n7/4BVBLAwQUAAAACACHTuJARerRcOUBAAC1AwAADgAAAGRycy9lMm9Eb2MueG1srVPNbhMxEL4j&#10;8Q6W72STVCXVKpseGpULgkjAAzhee9eS/zTjZpOX4AWQuMGJI3fehvIYjL0hLe2lh+7BO56fb/x9&#10;Hi8v986ynQI0wTd8NplyprwMrfFdwz99vH51wRkm4Vthg1cNPyjkl6uXL5ZDrNU89MG2ChiBeKyH&#10;2PA+pVhXFcpeOYGTEJWnoA7gRKItdFULYiB0Z6v5dPq6GgK0EYJUiORdj0F+RISnAAatjVTrIG+c&#10;8mlEBWVFIkrYm4h8VU6rtZLpvdaoErMNJ6aprNSE7G1eq9VS1B2I2Bt5PIJ4yhEecHLCeGp6glqL&#10;JNgNmEdQzkgIGHSayOCqkUhRhFjMpg+0+dCLqAoXkhrjSXR8Plj5brcBZtqGzznzwtGF3375+fvz&#10;tz+/vtJ6++M7m51nlYaINSVf+Q0cdxg3kCnvNbj8JzJsX5Q9nJRV+8QkOS/oW5yR6JJis/miCF/d&#10;1UbA9EYFx7LRcGt85i1qsXuLifpR6r+U7Pbh2lhb7s56NjT8bLY4J3BB86hpDsh0kTih7zgTtqNB&#10;lwkKIgZr2lydcRC67ZUFthN5PMqXuVK3/9Jy67XAfswroXFwnEn0FqxxxPB+tfUEkhUbNcrWNrSH&#10;Il3x022WNsfJy+Nyf1+q717b6i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GwIZG0gAAAAcBAAAP&#10;AAAAAAAAAAEAIAAAACIAAABkcnMvZG93bnJldi54bWxQSwECFAAUAAAACACHTuJARerRcOUBAAC1&#10;AwAADgAAAAAAAAABACAAAAAhAQAAZHJzL2Uyb0RvYy54bWxQSwUGAAAAAAYABgBZAQAAeAUA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5AA1F4">
    <w:pPr>
      <w:pStyle w:val="30"/>
    </w:pPr>
    <w:r>
      <w:rPr>
        <w:rFonts w:hint="eastAsia" w:ascii="宋体" w:hAnsi="宋体"/>
        <w:spacing w:val="-10"/>
        <w14:ligatures w14:val="none"/>
      </w:rPr>
      <mc:AlternateContent>
        <mc:Choice Requires="wps">
          <w:drawing>
            <wp:anchor distT="0" distB="0" distL="114300" distR="114300" simplePos="0" relativeHeight="251681792" behindDoc="0" locked="0" layoutInCell="1" allowOverlap="1">
              <wp:simplePos x="0" y="0"/>
              <wp:positionH relativeFrom="column">
                <wp:posOffset>4445</wp:posOffset>
              </wp:positionH>
              <wp:positionV relativeFrom="paragraph">
                <wp:posOffset>140970</wp:posOffset>
              </wp:positionV>
              <wp:extent cx="5549265" cy="8890"/>
              <wp:effectExtent l="0" t="0" r="0" b="0"/>
              <wp:wrapNone/>
              <wp:docPr id="3" name="直接连接符 15"/>
              <wp:cNvGraphicFramePr/>
              <a:graphic xmlns:a="http://schemas.openxmlformats.org/drawingml/2006/main">
                <a:graphicData uri="http://schemas.microsoft.com/office/word/2010/wordprocessingShape">
                  <wps:wsp>
                    <wps:cNvCnPr/>
                    <wps:spPr>
                      <a:xfrm>
                        <a:off x="0" y="0"/>
                        <a:ext cx="5549153" cy="896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5" o:spid="_x0000_s1026" o:spt="20" style="position:absolute;left:0pt;margin-left:0.35pt;margin-top:11.1pt;height:0.7pt;width:436.95pt;z-index:251681792;mso-width-relative:page;mso-height-relative:page;" filled="f" stroked="t" coordsize="21600,21600" o:gfxdata="UEsDBAoAAAAAAIdO4kAAAAAAAAAAAAAAAAAEAAAAZHJzL1BLAwQUAAAACACHTuJArKDdytIAAAAG&#10;AQAADwAAAGRycy9kb3ducmV2LnhtbE2OzU7DMBCE70i8g7VIXCrq1KA0hDhVhcSdhoqzG2/iiHgd&#10;xW4b3p7lBMf50cxX7RY/igvOcQikYbPOQCC1wQ7Uazh+vD0UIGIyZM0YCDV8Y4RdfXtTmdKGKx3w&#10;0qRe8AjF0mhwKU2llLF16E1chwmJsy7M3iSWcy/tbK487kepsiyX3gzED85M+Oqw/WrOXsPzoo7h&#10;vetWn27fDLhfuaJpD1rf322yFxAJl/RXhl98RoeamU7hTDaKUcOWexqUUiA4LbZPOYgTG485yLqS&#10;//HrH1BLAwQUAAAACACHTuJATHbRtucBAAC1AwAADgAAAGRycy9lMm9Eb2MueG1srVPNbtQwEL4j&#10;8Q6W72w2hZQ22mwPXZULgpWgDzDrOIkl/8njbnZfghdA4gYnjtx5G8pjMHa221IuPZCDMx7PfDPf&#10;5/HiYmc028qAytmGl7M5Z9IK1yrbN/z649WLM84wgm1BOysbvpfIL5bPny1GX8sTNzjdysAIxGI9&#10;+oYPMfq6KFAM0gDOnJeWDjsXDETahr5oA4yEbnRxMp+fFqMLrQ9OSETyrqZDfkAMTwF0XaeEXDlx&#10;Y6SNE2qQGiJRwkF55MvcbddJEd93HcrIdMOJacwrFSF7k9ZiuYC6D+AHJQ4twFNaeMTJgLJU9Ai1&#10;ggjsJqh/oIwSwaHr4kw4U0xEsiLEopw/0ubDAF5mLiQ1+qPo+P9gxbvtOjDVNvwlZxYMXfjt5x+/&#10;Pn39/fMLrbffv7GySiqNHmsKvrTrcNihX4dEedcFk/5Ehu2ysvujsnIXmSBnVb06LysqIejs7Pw0&#10;Qxb3uT5gfCOdYclouFY28YYatm8xUj0KvQtJbuuulNb57rRlIzVfvq4IHGgeO5oDMo0nTmh7zkD3&#10;NOgihoyITqs2ZSccDP3mUge2hTQe+UtcqdpfYan0CnCY4vLRNDhGRXoLWhki9TBbWwJJik0aJWvj&#10;2n2WLvvpNnOZw+SlcXm4z9n3r235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Kyg3crSAAAABgEA&#10;AA8AAAAAAAAAAQAgAAAAIgAAAGRycy9kb3ducmV2LnhtbFBLAQIUABQAAAAIAIdO4kBMdtG25wEA&#10;ALUDAAAOAAAAAAAAAAEAIAAAACEBAABkcnMvZTJvRG9jLnhtbFBLBQYAAAAABgAGAFkBAAB6BQAA&#10;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1E8865">
    <w:pPr>
      <w:pStyle w:val="30"/>
    </w:pPr>
    <w:r>
      <w:rPr>
        <w:rFonts w:hint="eastAsia" w:ascii="宋体" w:hAnsi="宋体"/>
        <w:spacing w:val="-10"/>
        <w14:ligatures w14:val="none"/>
      </w:rPr>
      <mc:AlternateContent>
        <mc:Choice Requires="wps">
          <w:drawing>
            <wp:anchor distT="0" distB="0" distL="114300" distR="114300" simplePos="0" relativeHeight="251700224" behindDoc="0" locked="0" layoutInCell="1" allowOverlap="1">
              <wp:simplePos x="0" y="0"/>
              <wp:positionH relativeFrom="column">
                <wp:posOffset>6985</wp:posOffset>
              </wp:positionH>
              <wp:positionV relativeFrom="paragraph">
                <wp:posOffset>140970</wp:posOffset>
              </wp:positionV>
              <wp:extent cx="8927465" cy="0"/>
              <wp:effectExtent l="0" t="0" r="0" b="0"/>
              <wp:wrapNone/>
              <wp:docPr id="665978183" name="直接连接符 15"/>
              <wp:cNvGraphicFramePr/>
              <a:graphic xmlns:a="http://schemas.openxmlformats.org/drawingml/2006/main">
                <a:graphicData uri="http://schemas.microsoft.com/office/word/2010/wordprocessingShape">
                  <wps:wsp>
                    <wps:cNvCnPr/>
                    <wps:spPr>
                      <a:xfrm>
                        <a:off x="0" y="0"/>
                        <a:ext cx="8927615"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5" o:spid="_x0000_s1026" o:spt="20" style="position:absolute;left:0pt;margin-left:0.55pt;margin-top:11.1pt;height:0pt;width:702.95pt;z-index:251700224;mso-width-relative:page;mso-height-relative:page;" filled="f" stroked="t" coordsize="21600,21600" o:gfxdata="UEsDBAoAAAAAAIdO4kAAAAAAAAAAAAAAAAAEAAAAZHJzL1BLAwQUAAAACACHTuJAlXrzPNMAAAAI&#10;AQAADwAAAGRycy9kb3ducmV2LnhtbE2PwU7DMBBE70j8g7WVuFTUiYWghDhVhcSdhqpnN97EUeN1&#10;FLtt+Hu24gDH2RnNvik3sx/EBafYB9KQrzIQSE2wPXUa9l8fj2sQMRmyZgiEGr4xwqa6vytNYcOV&#10;dnipUye4hGJhNLiUxkLK2Dj0Jq7CiMReGyZvEsupk3YyVy73g1RZ9iy96Yk/ODPiu8PmVJ+9htdZ&#10;7cNn2y4Pblv3uF26dd3stH5Y5NkbiIRz+gvDDZ/RoWKmYziTjWJgnXNQg1IKxM1+yl542/H3IqtS&#10;/h9Q/QBQSwMEFAAAAAgAh07iQN5ge/bqAQAAugMAAA4AAABkcnMvZTJvRG9jLnhtbK1TS27bMBDd&#10;F+gdCO5r2Q5iO4LlLGKkm6I10PYAY4qSCPAHDmPZl+gFCnTXrrrsvrdpeowOKcdJk00W0YIazucN&#10;3+Nwebk3mu1kQOVsxSejMWfSClcr21b886frNwvOMIKtQTsrK36QyC9Xr18te1/KqeucrmVgBGKx&#10;7H3Fuxh9WRQoOmkAR85LS8HGBQORtqEt6gA9oRtdTMfjWdG7UPvghEQk73oI8iNieA6gaxol5NqJ&#10;GyNtHFCD1BCJEnbKI1/l0zaNFPFD06CMTFecmMa8UhOyt2ktVkso2wC+U+J4BHjOER5xMqAsNT1B&#10;rSECuwnqCZRRIjh0TRwJZ4qBSFaEWEzGj7T52IGXmQtJjf4kOr4crHi/2wSm6orPZucX88VkccaZ&#10;BUMXf/v1158v3//+/kbr7c8fbHKe1Oo9llR0ZTfhuEO/CYn6vgkm/YkU22eFDyeF5T4yQc7FxXQ+&#10;IyAm7mLFfaEPGN9KZ1gyKq6VTeShhN07jNSMUu9Sktu6a6V1vkBtWV/xs8k8IQMNZUPDQKbxRAxt&#10;yxnolqZdxJAR0WlVp+qEg6HdXunAdpBmJH+JKHX7Ly21XgN2Q14ODdNjVKQHoZUheg+rtSWQJNcg&#10;ULK2rj5k3bKfrjS3OY5fmpmH+1x9/+RW/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VevM80wAA&#10;AAgBAAAPAAAAAAAAAAEAIAAAACIAAABkcnMvZG93bnJldi54bWxQSwECFAAUAAAACACHTuJA3mB7&#10;9uoBAAC6AwAADgAAAAAAAAABACAAAAAiAQAAZHJzL2Uyb0RvYy54bWxQSwUGAAAAAAYABgBZAQAA&#10;fgUA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85D006">
    <w:pPr>
      <w:pStyle w:val="30"/>
    </w:pPr>
    <w:r>
      <w:rPr>
        <w:rFonts w:hint="eastAsia" w:ascii="宋体" w:hAnsi="宋体"/>
        <w:spacing w:val="-10"/>
        <w14:ligatures w14:val="none"/>
      </w:rPr>
      <mc:AlternateContent>
        <mc:Choice Requires="wps">
          <w:drawing>
            <wp:anchor distT="0" distB="0" distL="114300" distR="114300" simplePos="0" relativeHeight="251682816" behindDoc="0" locked="0" layoutInCell="1" allowOverlap="1">
              <wp:simplePos x="0" y="0"/>
              <wp:positionH relativeFrom="column">
                <wp:posOffset>4445</wp:posOffset>
              </wp:positionH>
              <wp:positionV relativeFrom="paragraph">
                <wp:posOffset>118110</wp:posOffset>
              </wp:positionV>
              <wp:extent cx="8895715" cy="22860"/>
              <wp:effectExtent l="0" t="4445" r="635" b="10795"/>
              <wp:wrapNone/>
              <wp:docPr id="5" name="直接连接符 15"/>
              <wp:cNvGraphicFramePr/>
              <a:graphic xmlns:a="http://schemas.openxmlformats.org/drawingml/2006/main">
                <a:graphicData uri="http://schemas.microsoft.com/office/word/2010/wordprocessingShape">
                  <wps:wsp>
                    <wps:cNvCnPr/>
                    <wps:spPr>
                      <a:xfrm flipV="1">
                        <a:off x="0" y="0"/>
                        <a:ext cx="8895715" cy="2286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5" o:spid="_x0000_s1026" o:spt="20" style="position:absolute;left:0pt;flip:y;margin-left:0.35pt;margin-top:9.3pt;height:1.8pt;width:700.45pt;z-index:251682816;mso-width-relative:page;mso-height-relative:page;" filled="f" stroked="t" coordsize="21600,21600" o:gfxdata="UEsDBAoAAAAAAIdO4kAAAAAAAAAAAAAAAAAEAAAAZHJzL1BLAwQUAAAACACHTuJASy31+tcAAAAH&#10;AQAADwAAAGRycy9kb3ducmV2LnhtbE2OUUvDMBSF3wX/Q7iCL7IlLVJHbTqoMkHYg86Br2lzbarJ&#10;TWmydfrrzZ707dxzDud+1frkLDviFAZPErKlAIbUeT1QL2H/tlmsgIWoSCvrCSV8Y4B1fXlRqVL7&#10;mV7xuIs9SyMUSiXBxDiWnIfOoFNh6UeklH34yamYzqnnelJzGneW50IU3KmB0gejRnww2H3tDk7C&#10;80trtsV289Tc0PvP0D429nNupLy+ysQ9sIin+FeGM35Chzoxtf5AOjAr4S71krsqgJ3TW5El1UrI&#10;8xx4XfH//PUvUEsDBBQAAAAIAIdO4kBNxthQ7wEAAMADAAAOAAAAZHJzL2Uyb0RvYy54bWytU72O&#10;EzEQ7pF4B8s92SQod2GVzRUXHQ2Ck/jpJ15715L/5PFlk5fgBZDooKKk523ueAzG3hCOo7mCLSx7&#10;ZvyNv2++XV3srWE7GVF71/DZZMqZdMK32nUNf//u6tmSM0zgWjDeyYYfJPKL9dMnqyHUcu57b1oZ&#10;GYE4rIfQ8D6lUFcVil5awIkP0lFS+Wgh0TF2VRthIHRrqvl0elYNPrYheiERKboZk/yIGB8D6JXS&#10;Qm68uLHSpRE1SgOJKGGvA/J1ea1SUqQ3SqFMzDScmKayUhPab/NarVdQdxFCr8XxCfCYJzzgZEE7&#10;anqC2kACdhP1P1BWi+jRqzQR3lYjkaIIsZhNH2jztocgCxeSGsNJdPx/sOL17joy3TZ8wZkDSwO/&#10;+/T99uOXnz8+03r37SubLbJKQ8Caii/ddTyeMFzHTHmvomXK6PCB7FREIFpsXzQ+nDSW+8QEBZfL&#10;F4tzgmSCcvP58qzMoBphMlyImF5Kb1neNNxolyWAGnavMFFrKv1dksPOX2ljyhiNY0PDn8/OMzqQ&#10;NRVZgrY2ED10HWdgOvK8SLEgoje6zbczDsZue2ki20F2Svkyber2V1luvQHsx7qSGj1kdaLfwmhL&#10;FO/fNo5AsnijXHm39e2hqFjiNNjS5mjC7Jz753L7z4+3/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LLfX61wAAAAcBAAAPAAAAAAAAAAEAIAAAACIAAABkcnMvZG93bnJldi54bWxQSwECFAAUAAAA&#10;CACHTuJATcbYUO8BAADAAwAADgAAAAAAAAABACAAAAAmAQAAZHJzL2Uyb0RvYy54bWxQSwUGAAAA&#10;AAYABgBZAQAAhwUA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FD31FC">
    <w:pPr>
      <w:pStyle w:val="30"/>
    </w:pPr>
    <w:r>
      <w:rPr>
        <w:rFonts w:hint="eastAsia" w:ascii="宋体" w:hAnsi="宋体"/>
        <w:spacing w:val="-10"/>
        <w14:ligatures w14:val="none"/>
      </w:rPr>
      <mc:AlternateContent>
        <mc:Choice Requires="wps">
          <w:drawing>
            <wp:anchor distT="0" distB="0" distL="114300" distR="114300" simplePos="0" relativeHeight="251701248" behindDoc="0" locked="0" layoutInCell="1" allowOverlap="1">
              <wp:simplePos x="0" y="0"/>
              <wp:positionH relativeFrom="column">
                <wp:posOffset>4445</wp:posOffset>
              </wp:positionH>
              <wp:positionV relativeFrom="paragraph">
                <wp:posOffset>140970</wp:posOffset>
              </wp:positionV>
              <wp:extent cx="5549265" cy="8890"/>
              <wp:effectExtent l="0" t="0" r="0" b="0"/>
              <wp:wrapNone/>
              <wp:docPr id="667709739" name="直接连接符 15"/>
              <wp:cNvGraphicFramePr/>
              <a:graphic xmlns:a="http://schemas.openxmlformats.org/drawingml/2006/main">
                <a:graphicData uri="http://schemas.microsoft.com/office/word/2010/wordprocessingShape">
                  <wps:wsp>
                    <wps:cNvCnPr/>
                    <wps:spPr>
                      <a:xfrm>
                        <a:off x="0" y="0"/>
                        <a:ext cx="5549153" cy="896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5" o:spid="_x0000_s1026" o:spt="20" style="position:absolute;left:0pt;margin-left:0.35pt;margin-top:11.1pt;height:0.7pt;width:436.95pt;z-index:251701248;mso-width-relative:page;mso-height-relative:page;" filled="f" stroked="t" coordsize="21600,21600" o:gfxdata="UEsDBAoAAAAAAIdO4kAAAAAAAAAAAAAAAAAEAAAAZHJzL1BLAwQUAAAACACHTuJArKDdytIAAAAG&#10;AQAADwAAAGRycy9kb3ducmV2LnhtbE2OzU7DMBCE70i8g7VIXCrq1KA0hDhVhcSdhoqzG2/iiHgd&#10;xW4b3p7lBMf50cxX7RY/igvOcQikYbPOQCC1wQ7Uazh+vD0UIGIyZM0YCDV8Y4RdfXtTmdKGKx3w&#10;0qRe8AjF0mhwKU2llLF16E1chwmJsy7M3iSWcy/tbK487kepsiyX3gzED85M+Oqw/WrOXsPzoo7h&#10;vetWn27fDLhfuaJpD1rf322yFxAJl/RXhl98RoeamU7hTDaKUcOWexqUUiA4LbZPOYgTG485yLqS&#10;//HrH1BLAwQUAAAACACHTuJAuOzL8O8BAAC9AwAADgAAAGRycy9lMm9Eb2MueG1srVNNjtMwFN4j&#10;cQfLe5pkSttp1HQWUw0bBJWAA7iOnVjyn/w8TXsJLoDEDlYs2XMbhmPw7JTOMGxmQRbO8/v5nr/P&#10;z6urg9FkLwIoZxtaTUpKhOWuVbZr6If3Ny8uKYHIbMu0s6KhRwH0av382WrwtbhwvdOtCARBLNSD&#10;b2gfo6+LAngvDIOJ88JiULpgWMRt6Io2sAHRjS4uynJeDC60PjguANC7GYP0hBieAuikVFxsHL81&#10;wsYRNQjNIlKCXnmg63xaKQWPb6UEEYluKDKNecUmaO/SWqxXrO4C873ipyOwpxzhESfDlMWmZ6gN&#10;i4zcBvUPlFE8OHAyTrgzxUgkK4IsqvKRNu965kXmglKDP4sO/w+Wv9lvA1FtQ+fzxaJcLqZLSiwz&#10;ePF3n77//Pjl14/PuN59+0qqWVJr8FBj0bXdhtMO/DYk6gcZTPojKXLICh/PCotDJByds9nLZTWb&#10;UsIxdrmcZ8jivtYHiK+EMyQZDdXKJv6sZvvXELEfpv5JSW7rbpTW+Q61JUNDp9VihuAM51LiPKBp&#10;PHID21HCdIcDz2PIiOC0alN1woHQ7a51IHuWxiR/iSt2+ysttd4w6Me8HBoHyKiIb0Irg6QeVmuL&#10;IEmxUaNk7Vx7zNJlP95qbnOawDQ2D/e5+v7VrX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rKDd&#10;ytIAAAAGAQAADwAAAAAAAAABACAAAAAiAAAAZHJzL2Rvd25yZXYueG1sUEsBAhQAFAAAAAgAh07i&#10;QLjsy/DvAQAAvQMAAA4AAAAAAAAAAQAgAAAAIQEAAGRycy9lMm9Eb2MueG1sUEsFBgAAAAAGAAYA&#10;WQEAAIIFAA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EBE043">
    <w:pPr>
      <w:pStyle w:val="30"/>
      <w:rPr>
        <w:rFonts w:ascii="宋体" w:hAnsi="宋体"/>
        <w:spacing w:val="-10"/>
      </w:rPr>
    </w:pPr>
  </w:p>
  <w:p w14:paraId="25824ED0">
    <w:pPr>
      <w:pStyle w:val="30"/>
    </w:pPr>
    <w:r>
      <w:rPr>
        <w:rFonts w:hint="eastAsia" w:ascii="宋体" w:hAnsi="宋体"/>
        <w:spacing w:val="-10"/>
        <w14:ligatures w14:val="none"/>
      </w:rPr>
      <mc:AlternateContent>
        <mc:Choice Requires="wps">
          <w:drawing>
            <wp:anchor distT="0" distB="0" distL="114300" distR="114300" simplePos="0" relativeHeight="251702272" behindDoc="0" locked="0" layoutInCell="1" allowOverlap="1">
              <wp:simplePos x="0" y="0"/>
              <wp:positionH relativeFrom="margin">
                <wp:align>right</wp:align>
              </wp:positionH>
              <wp:positionV relativeFrom="paragraph">
                <wp:posOffset>143510</wp:posOffset>
              </wp:positionV>
              <wp:extent cx="8885555" cy="0"/>
              <wp:effectExtent l="0" t="0" r="0" b="0"/>
              <wp:wrapNone/>
              <wp:docPr id="1470791794" name="直接连接符 15"/>
              <wp:cNvGraphicFramePr/>
              <a:graphic xmlns:a="http://schemas.openxmlformats.org/drawingml/2006/main">
                <a:graphicData uri="http://schemas.microsoft.com/office/word/2010/wordprocessingShape">
                  <wps:wsp>
                    <wps:cNvCnPr/>
                    <wps:spPr>
                      <a:xfrm>
                        <a:off x="0" y="0"/>
                        <a:ext cx="888555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5" o:spid="_x0000_s1026" o:spt="20" style="position:absolute;left:0pt;margin-top:11.3pt;height:0pt;width:699.65pt;mso-position-horizontal:right;mso-position-horizontal-relative:margin;z-index:251702272;mso-width-relative:page;mso-height-relative:page;" filled="f" stroked="t" coordsize="21600,21600" o:gfxdata="UEsDBAoAAAAAAIdO4kAAAAAAAAAAAAAAAAAEAAAAZHJzL1BLAwQUAAAACACHTuJAYrjbSNMAAAAH&#10;AQAADwAAAGRycy9kb3ducmV2LnhtbE2PwW7CMBBE75X4B2sr9YLAIUiIhDgIIfVeUsR5iTdx1Hgd&#10;xQbSv69RD+1xZ0Yzb4v9ZHtxp9F3jhWslgkI4trpjlsF58/3xRaED8gae8ek4Js87MvZS4G5dg8+&#10;0b0KrYgl7HNUYEIYcil9bciiX7qBOHqNGy2GeI6t1CM+YrntZZokG2mx47hgcKCjofqrulkF2ZSe&#10;3UfTzC/mUHV0mJttVZ+UentdJTsQgabwF4YnfkSHMjJd3Y21F72C+EhQkKYbEE93nWVrENdfRZaF&#10;/M9f/gBQSwMEFAAAAAgAh07iQI13I5jrAQAAuwMAAA4AAABkcnMvZTJvRG9jLnhtbK1TTW4TMRTe&#10;I3EHy3syM6VD0lEmXTQqGwSRgAM4HnvGkv/k52aSS3ABJHawYsme21COwbMnTUvZdMEsPM/v53v+&#10;Pj8vL/dGk50IoJxtaTUrKRGWu07ZvqUfP1y/WFACkdmOaWdFSw8C6OXq+bPl6Btx5ganOxEIglho&#10;Rt/SIUbfFAXwQRgGM+eFxaB0wbCI29AXXWAjohtdnJXlq2J0ofPBcQGA3vUUpEfE8BRAJ6XiYu34&#10;jRE2TqhBaBaREgzKA13l00opeHwnJYhIdEuRacwrNkF7m9ZitWRNH5gfFD8egT3lCI84GaYsNj1B&#10;rVlk5Caof6CM4sGBk3HGnSkmIlkRZFGVj7R5PzAvMheUGvxJdPh/sPztbhOI6nASzufl/KKaX5xT&#10;YpnBm7/9/OPXp6+/f37B9fb7N1LVSa7RQ4NVV3YTjjvwm5C472Uw6Y+syD5LfDhJLPaRcHQuFou6&#10;rlF9fhcr7gt9gPhaOEOS0VKtbGLPGrZ7AxGbYepdSnJbd620zjeoLRlb+rKa14jMcColTgOaxiMz&#10;sD0lTPc47jyGjAhOqy5VJxwI/fZKB7JjaUjyl4hit7/SUus1g2HKy6FpfIyK+CK0MkjvYbW2CJLk&#10;mgRK1tZ1h6xb9uOd5jbH+UtD83Cfq+/f3Oo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YrjbSNMA&#10;AAAHAQAADwAAAAAAAAABACAAAAAiAAAAZHJzL2Rvd25yZXYueG1sUEsBAhQAFAAAAAgAh07iQI13&#10;I5jrAQAAuwMAAA4AAAAAAAAAAQAgAAAAIgEAAGRycy9lMm9Eb2MueG1sUEsFBgAAAAAGAAYAWQEA&#10;AH8FAA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B8F89F">
    <w:pPr>
      <w:pStyle w:val="30"/>
    </w:pPr>
    <w:r>
      <w:rPr>
        <w:rFonts w:hint="eastAsia" w:ascii="宋体" w:hAnsi="宋体"/>
        <w:spacing w:val="-10"/>
        <w14:ligatures w14:val="none"/>
      </w:rPr>
      <mc:AlternateContent>
        <mc:Choice Requires="wps">
          <w:drawing>
            <wp:anchor distT="0" distB="0" distL="114300" distR="114300" simplePos="0" relativeHeight="251683840" behindDoc="0" locked="0" layoutInCell="1" allowOverlap="1">
              <wp:simplePos x="0" y="0"/>
              <wp:positionH relativeFrom="column">
                <wp:posOffset>4445</wp:posOffset>
              </wp:positionH>
              <wp:positionV relativeFrom="paragraph">
                <wp:posOffset>140970</wp:posOffset>
              </wp:positionV>
              <wp:extent cx="5549265" cy="8890"/>
              <wp:effectExtent l="0" t="0" r="0" b="0"/>
              <wp:wrapNone/>
              <wp:docPr id="6" name="直接连接符 15"/>
              <wp:cNvGraphicFramePr/>
              <a:graphic xmlns:a="http://schemas.openxmlformats.org/drawingml/2006/main">
                <a:graphicData uri="http://schemas.microsoft.com/office/word/2010/wordprocessingShape">
                  <wps:wsp>
                    <wps:cNvCnPr/>
                    <wps:spPr>
                      <a:xfrm>
                        <a:off x="0" y="0"/>
                        <a:ext cx="5549153" cy="896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5" o:spid="_x0000_s1026" o:spt="20" style="position:absolute;left:0pt;margin-left:0.35pt;margin-top:11.1pt;height:0.7pt;width:436.95pt;z-index:251683840;mso-width-relative:page;mso-height-relative:page;" filled="f" stroked="t" coordsize="21600,21600" o:gfxdata="UEsDBAoAAAAAAIdO4kAAAAAAAAAAAAAAAAAEAAAAZHJzL1BLAwQUAAAACACHTuJArKDdytIAAAAG&#10;AQAADwAAAGRycy9kb3ducmV2LnhtbE2OzU7DMBCE70i8g7VIXCrq1KA0hDhVhcSdhoqzG2/iiHgd&#10;xW4b3p7lBMf50cxX7RY/igvOcQikYbPOQCC1wQ7Uazh+vD0UIGIyZM0YCDV8Y4RdfXtTmdKGKx3w&#10;0qRe8AjF0mhwKU2llLF16E1chwmJsy7M3iSWcy/tbK487kepsiyX3gzED85M+Oqw/WrOXsPzoo7h&#10;vetWn27fDLhfuaJpD1rf322yFxAJl/RXhl98RoeamU7hTDaKUcOWexqUUiA4LbZPOYgTG485yLqS&#10;//HrH1BLAwQUAAAACACHTuJArdXgwegBAAC1AwAADgAAAGRycy9lMm9Eb2MueG1srVPNbhMxEL4j&#10;8Q6W72SzLQntKpseGpULgkjAA0y83l1L/pPHzSYvwQsgcYMTR+68TctjMPaGtLSXHroH73h+vvH3&#10;eby42BnNtjKgcrbm5WTKmbTCNcp2Nf/86erVGWcYwTagnZU130vkF8uXLxaDr+SJ651uZGAEYrEa&#10;fM37GH1VFCh6aQAnzktLwdYFA5G2oSuaAAOhG12cTKfzYnCh8cEJiUje1RjkB8TwFEDXtkrIlRPX&#10;Rto4ogapIRIl7JVHvsynbVsp4oe2RRmZrjkxjXmlJmRv0losF1B1AXyvxOEI8JQjPOBkQFlqeoRa&#10;QQR2HdQjKKNEcOjaOBHOFCORrAixKKcPtPnYg5eZC0mN/ig6Ph+seL9dB6aams85s2Dowm+//rr5&#10;8v3P72+03v78wcpZUmnwWFHypV2Hww79OiTKuzaY9CcybJeV3R+VlbvIBDlns9fn5eyUM0Gxs/N5&#10;hizuan3A+FY6w5JRc61s4g0VbN9hpH6U+i8lua27Ulrnu9OWDTU/Ld/MCBxoHluaAzKNJ05oO85A&#10;dzToIoaMiE6rJlUnHAzd5lIHtoU0HvlLXKnbf2mp9QqwH/NyaBwcoyK9Ba0MkbpfrS2BJMVGjZK1&#10;cc0+S5f9dJu5zWHy0rjc3+fqu9e2/A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soN3K0gAAAAYB&#10;AAAPAAAAAAAAAAEAIAAAACIAAABkcnMvZG93bnJldi54bWxQSwECFAAUAAAACACHTuJArdXgwegB&#10;AAC1AwAADgAAAAAAAAABACAAAAAhAQAAZHJzL2Uyb0RvYy54bWxQSwUGAAAAAAYABgBZAQAAewUA&#10;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B6B3C7">
    <w:pPr>
      <w:pStyle w:val="30"/>
    </w:pPr>
    <w:r>
      <w:rPr>
        <w:rFonts w:hint="eastAsia" w:ascii="宋体" w:hAnsi="宋体"/>
        <w:spacing w:val="-10"/>
        <w14:ligatures w14:val="none"/>
      </w:rPr>
      <mc:AlternateContent>
        <mc:Choice Requires="wps">
          <w:drawing>
            <wp:anchor distT="0" distB="0" distL="114300" distR="114300" simplePos="0" relativeHeight="251684864" behindDoc="0" locked="0" layoutInCell="1" allowOverlap="1">
              <wp:simplePos x="0" y="0"/>
              <wp:positionH relativeFrom="column">
                <wp:posOffset>4445</wp:posOffset>
              </wp:positionH>
              <wp:positionV relativeFrom="paragraph">
                <wp:posOffset>140970</wp:posOffset>
              </wp:positionV>
              <wp:extent cx="8895715" cy="13970"/>
              <wp:effectExtent l="0" t="4445" r="635" b="10160"/>
              <wp:wrapNone/>
              <wp:docPr id="9" name="直接连接符 15"/>
              <wp:cNvGraphicFramePr/>
              <a:graphic xmlns:a="http://schemas.openxmlformats.org/drawingml/2006/main">
                <a:graphicData uri="http://schemas.microsoft.com/office/word/2010/wordprocessingShape">
                  <wps:wsp>
                    <wps:cNvCnPr/>
                    <wps:spPr>
                      <a:xfrm>
                        <a:off x="0" y="0"/>
                        <a:ext cx="8895715" cy="1397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5" o:spid="_x0000_s1026" o:spt="20" style="position:absolute;left:0pt;margin-left:0.35pt;margin-top:11.1pt;height:1.1pt;width:700.45pt;z-index:251684864;mso-width-relative:page;mso-height-relative:page;" filled="f" stroked="t" coordsize="21600,21600" o:gfxdata="UEsDBAoAAAAAAIdO4kAAAAAAAAAAAAAAAAAEAAAAZHJzL1BLAwQUAAAACACHTuJAzY2EcNMAAAAH&#10;AQAADwAAAGRycy9kb3ducmV2LnhtbE2OzW7CMBCE70i8g7VIvaBix4ooTeMgVKn3ElDPJt7EUeN1&#10;FBtI377m1B7nRzNfuZ/dwG44hd6TgmwjgCE13vTUKTifPp53wELUZPTgCRX8YIB9tVyUujD+Tke8&#10;1bFjaYRCoRXYGMeC89BYdDps/IiUstZPTsckp46bSd/TuBu4FGLLne4pPVg94rvF5ru+OgWvszz7&#10;z7Zdf9lD3eNhbXd1c1TqaZWJN2AR5/hXhgd+QocqMV38lUxgg4KX1FMgpQT2SHORbYFdkpPnwKuS&#10;/+evfgFQSwMEFAAAAAgAh07iQD9jQjPmAQAAtgMAAA4AAABkcnMvZTJvRG9jLnhtbK1TS44TMRDd&#10;I3EHy3vS6RkNSVrpzGKiYYMgEnCAitvdbck/uTzp5BJcAIkdrFiy5zYMx6DsDpnfZhb0wl2uzyu/&#10;5/Lycm8028mAytmal5MpZ9IK1yjb1fzTx+tXc84wgm1AOytrfpDIL1cvXywHX8kz1zvdyMAIxGI1&#10;+Jr3MfqqKFD00gBOnJeWgq0LBiJtQ1c0AQZCN7o4m05fF4MLjQ9OSETyrscgPyKG5wC6tlVCrp24&#10;MdLGETVIDZEoYa888lU+bdtKEd+3LcrIdM2JacwrNSF7m9ZitYSqC+B7JY5HgOcc4REnA8pS0xPU&#10;GiKwm6CeQBklgkPXxolwphiJZEWIRTl9pM2HHrzMXEhq9CfR8f/Bine7TWCqqfmCMwuGLvz2y8/f&#10;n7/9+fWV1tsf31l5kVQaPFaUfGU34bhDvwmJ8r4NJv2JDNtnZQ8nZeU+MkHO+XxxMSMgJihWni9m&#10;WfnirtgHjG+kMywZNdfKJuJQwe4tRmpIqf9Sktu6a6V1vjxt2VDz83KW0IEGsqVBINN4IoW24wx0&#10;R5MuYsiI6LRqUnXCwdBtr3RgO0jzkb9Elro9SEut14D9mJdD4+QYFekxaGWI4v1qbQkkSTaKlKyt&#10;aw5Zu+yn68xtjqOX5uX+PlffPbfV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M2NhHDTAAAABwEA&#10;AA8AAAAAAAAAAQAgAAAAIgAAAGRycy9kb3ducmV2LnhtbFBLAQIUABQAAAAIAIdO4kA/Y0Iz5gEA&#10;ALYDAAAOAAAAAAAAAAEAIAAAACIBAABkcnMvZTJvRG9jLnhtbFBLBQYAAAAABgAGAFkBAAB6BQAA&#10;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D3BC85">
    <w:pPr>
      <w:pStyle w:val="30"/>
    </w:pPr>
    <w:r>
      <w:rPr>
        <w:rFonts w:hint="eastAsia" w:ascii="宋体" w:hAnsi="宋体"/>
        <w:spacing w:val="-10"/>
        <w14:ligatures w14:val="none"/>
      </w:rPr>
      <mc:AlternateContent>
        <mc:Choice Requires="wps">
          <w:drawing>
            <wp:anchor distT="0" distB="0" distL="114300" distR="114300" simplePos="0" relativeHeight="251686912" behindDoc="0" locked="0" layoutInCell="1" allowOverlap="1">
              <wp:simplePos x="0" y="0"/>
              <wp:positionH relativeFrom="column">
                <wp:posOffset>2540</wp:posOffset>
              </wp:positionH>
              <wp:positionV relativeFrom="paragraph">
                <wp:posOffset>154305</wp:posOffset>
              </wp:positionV>
              <wp:extent cx="5531485" cy="8890"/>
              <wp:effectExtent l="0" t="0" r="0" b="0"/>
              <wp:wrapNone/>
              <wp:docPr id="11" name="直接连接符 15"/>
              <wp:cNvGraphicFramePr/>
              <a:graphic xmlns:a="http://schemas.openxmlformats.org/drawingml/2006/main">
                <a:graphicData uri="http://schemas.microsoft.com/office/word/2010/wordprocessingShape">
                  <wps:wsp>
                    <wps:cNvCnPr/>
                    <wps:spPr>
                      <a:xfrm>
                        <a:off x="0" y="0"/>
                        <a:ext cx="5531485" cy="889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5" o:spid="_x0000_s1026" o:spt="20" style="position:absolute;left:0pt;margin-left:0.2pt;margin-top:12.15pt;height:0.7pt;width:435.55pt;z-index:251686912;mso-width-relative:page;mso-height-relative:page;" filled="f" stroked="t" coordsize="21600,21600" o:gfxdata="UEsDBAoAAAAAAIdO4kAAAAAAAAAAAAAAAAAEAAAAZHJzL1BLAwQUAAAACACHTuJAeHsgctMAAAAG&#10;AQAADwAAAGRycy9kb3ducmV2LnhtbE2OzU7DMBCE70i8g7VIXCrqJLQ0DXGqCok7DRVnN97EUeN1&#10;FLtteHuWExznRzNfuZvdIK44hd6TgnSZgEBqvOmpU3D8fH/KQYSoyejBEyr4xgC76v6u1IXxNzrg&#10;tY6d4BEKhVZgYxwLKUNj0emw9CMSZ62fnI4sp06aSd943A0yS5IX6XRP/GD1iG8Wm3N9cQq2c3b0&#10;H227+LL7usf9wuZ1c1Dq8SFNXkFEnONfGX7xGR0qZjr5C5kgBgUr7inIVs8gOM036RrEiY31BmRV&#10;yv/41Q9QSwMEFAAAAAgAh07iQKsXDb/oAQAAtgMAAA4AAABkcnMvZTJvRG9jLnhtbK1TzW4TMRC+&#10;I/UdLN/JZtsGwiqbHhqVC4JIlAdwvN5dS/7TjJtNXoIXQOIGJ47ceZu2j8HYG9JSLj2wB+94fr7x&#10;93m8uNhZw7YKUHtX83Iy5Uw56Rvtupp/ur56OecMo3CNMN6pmu8V8ovlyYvFECp16ntvGgWMQBxW&#10;Q6h5H2OoigJlr6zAiQ/KUbD1YEWkLXRFA2IgdGuK0+n0VTF4aAJ4qRDJuxqD/IAIzwH0baulWnl5&#10;Y5WLIyooIyJRwl4H5Mt82rZVMn5oW1SRmZoT05hXakL2Jq3FciGqDkTotTwcQTznCE84WaEdNT1C&#10;rUQU7Ab0P1BWS/Do2ziR3hYjkawIsSinT7T52IugMheSGsNRdPx/sPL9dg1MNzQJJWdOWLrxuy8/&#10;bz9/u//1lda7H99ZOUsyDQEryr50azjsMKwhcd61YNOf2LBdlnZ/lFbtIpPknM3OyvP5jDNJsfn8&#10;TVa+eKgNgPGt8pYlo+ZGu0RcVGL7DiP1o9Q/Kcnt/JU2Jl+ecWyo+Vn5OoELGsiWBoFMG4gUuo4z&#10;YTqadBkhI6I3uknVCQeh21waYFuR5iN/iSt1+ysttV4J7Me8HBonx+pIj8FoS6QeVxtHIEmxUaNk&#10;bXyzz9JlP11nbnMYvTQvj/e5+uG5LX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eHsgctMAAAAG&#10;AQAADwAAAAAAAAABACAAAAAiAAAAZHJzL2Rvd25yZXYueG1sUEsBAhQAFAAAAAgAh07iQKsXDb/o&#10;AQAAtgMAAA4AAAAAAAAAAQAgAAAAIgEAAGRycy9lMm9Eb2MueG1sUEsFBgAAAAAGAAYAWQEAAHwF&#10;AA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679313">
    <w:pPr>
      <w:pStyle w:val="30"/>
    </w:pPr>
    <w:r>
      <w:rPr>
        <w:rFonts w:hint="eastAsia" w:ascii="宋体" w:hAnsi="宋体"/>
        <w:spacing w:val="-10"/>
        <w14:ligatures w14:val="none"/>
      </w:rPr>
      <mc:AlternateContent>
        <mc:Choice Requires="wps">
          <w:drawing>
            <wp:anchor distT="0" distB="0" distL="114300" distR="114300" simplePos="0" relativeHeight="251689984" behindDoc="0" locked="0" layoutInCell="1" allowOverlap="1">
              <wp:simplePos x="0" y="0"/>
              <wp:positionH relativeFrom="column">
                <wp:posOffset>2540</wp:posOffset>
              </wp:positionH>
              <wp:positionV relativeFrom="paragraph">
                <wp:posOffset>154305</wp:posOffset>
              </wp:positionV>
              <wp:extent cx="8875395" cy="13970"/>
              <wp:effectExtent l="0" t="4445" r="1905" b="10160"/>
              <wp:wrapNone/>
              <wp:docPr id="14" name="直接连接符 15"/>
              <wp:cNvGraphicFramePr/>
              <a:graphic xmlns:a="http://schemas.openxmlformats.org/drawingml/2006/main">
                <a:graphicData uri="http://schemas.microsoft.com/office/word/2010/wordprocessingShape">
                  <wps:wsp>
                    <wps:cNvCnPr/>
                    <wps:spPr>
                      <a:xfrm>
                        <a:off x="0" y="0"/>
                        <a:ext cx="8875395" cy="1397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5" o:spid="_x0000_s1026" o:spt="20" style="position:absolute;left:0pt;margin-left:0.2pt;margin-top:12.15pt;height:1.1pt;width:698.85pt;z-index:251689984;mso-width-relative:page;mso-height-relative:page;" filled="f" stroked="t" coordsize="21600,21600" o:gfxdata="UEsDBAoAAAAAAIdO4kAAAAAAAAAAAAAAAAAEAAAAZHJzL1BLAwQUAAAACACHTuJAkPR179QAAAAH&#10;AQAADwAAAGRycy9kb3ducmV2LnhtbE2OzU7DMBCE70i8g7VIXCrqJC1VGrKpKiTuNK04u/EmjojX&#10;Uey24e1xT3CcH8185W62g7jS5HvHCOkyAUHcON1zh3A6frzkIHxQrNXgmBB+yMOuenwoVaHdjQ90&#10;rUMn4gj7QiGYEMZCSt8Yssov3Ugcs9ZNVoUop07qSd3iuB1kliQbaVXP8cGokd4NNd/1xSJs5+zk&#10;Ptt28WX2dU/7hcnr5oD4/JQmbyACzeGvDHf8iA5VZDq7C2svBoR17CFk6xWIe7ra5imIc3Q2ryCr&#10;Uv7nr34BUEsDBBQAAAAIAIdO4kCe6PWd6QEAALcDAAAOAAAAZHJzL2Uyb0RvYy54bWytU0uOEzEQ&#10;3SNxB8t70smEkEwrnVlMNGwQRAIO4Ljd3Zb8U5UnnVyCCyCxgxVL9txmhmNQdmcyHzazoBfucn1e&#10;+T2Xlxd7a9hOAWrvKj4ZjTlTTvpau7binz9dvVpwhlG4WhjvVMUPCvnF6uWLZR9KdeY7b2oFjEAc&#10;ln2oeBdjKIsCZaeswJEPylGw8WBFpC20RQ2iJ3RrirPx+E3Re6gDeKkQybsegvyICM8B9E2jpVp7&#10;eW2ViwMqKCMiUcJOB+SrfNqmUTJ+aBpUkZmKE9OYV2pC9jatxWopyhZE6LQ8HkE85whPOFmhHTU9&#10;Qa1FFOwa9D9QVkvw6Js4kt4WA5GsCLGYjJ9o87ETQWUuJDWGk+j4/2Dl+90GmK5pEl5z5oSlG7/9&#10;+uvmy/c/v7/RevvzB5vMkkx9wJKyL90GjjsMG0ic9w3Y9Cc2bJ+lPZykVfvIJDkXi/lsej7jTFJs&#10;Mj2fZ+mL++IAGN8qb1kyKm60S8xFKXbvMFJDSr1LSW7nr7Qx+faMY33Fp5N5Qhc0kQ1NApk2ECt0&#10;LWfCtDTqMkJGRG90naoTDkK7vTTAdiINSP4SWer2KC21XgvshrwcGkbH6kivwWhLFB9WG0cgSbJB&#10;pGRtfX3I2mU/3Wduc5y9NDAP97n6/r2t/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Q9HXv1AAA&#10;AAcBAAAPAAAAAAAAAAEAIAAAACIAAABkcnMvZG93bnJldi54bWxQSwECFAAUAAAACACHTuJAnuj1&#10;nekBAAC3AwAADgAAAAAAAAABACAAAAAjAQAAZHJzL2Uyb0RvYy54bWxQSwUGAAAAAAYABgBZAQAA&#10;fgUA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B603B9">
    <w:pPr>
      <w:pStyle w:val="30"/>
    </w:pPr>
    <w:r>
      <w:rPr>
        <w:rFonts w:hint="eastAsia" w:ascii="宋体" w:hAnsi="宋体"/>
        <w:spacing w:val="-10"/>
        <w14:ligatures w14:val="none"/>
      </w:rPr>
      <mc:AlternateContent>
        <mc:Choice Requires="wps">
          <w:drawing>
            <wp:anchor distT="0" distB="0" distL="114300" distR="114300" simplePos="0" relativeHeight="251687936" behindDoc="0" locked="0" layoutInCell="1" allowOverlap="1">
              <wp:simplePos x="0" y="0"/>
              <wp:positionH relativeFrom="column">
                <wp:posOffset>2540</wp:posOffset>
              </wp:positionH>
              <wp:positionV relativeFrom="paragraph">
                <wp:posOffset>154305</wp:posOffset>
              </wp:positionV>
              <wp:extent cx="5531485" cy="8890"/>
              <wp:effectExtent l="0" t="0" r="0" b="0"/>
              <wp:wrapNone/>
              <wp:docPr id="12" name="直接连接符 15"/>
              <wp:cNvGraphicFramePr/>
              <a:graphic xmlns:a="http://schemas.openxmlformats.org/drawingml/2006/main">
                <a:graphicData uri="http://schemas.microsoft.com/office/word/2010/wordprocessingShape">
                  <wps:wsp>
                    <wps:cNvCnPr/>
                    <wps:spPr>
                      <a:xfrm>
                        <a:off x="0" y="0"/>
                        <a:ext cx="5531485" cy="889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5" o:spid="_x0000_s1026" o:spt="20" style="position:absolute;left:0pt;margin-left:0.2pt;margin-top:12.15pt;height:0.7pt;width:435.55pt;z-index:251687936;mso-width-relative:page;mso-height-relative:page;" filled="f" stroked="t" coordsize="21600,21600" o:gfxdata="UEsDBAoAAAAAAIdO4kAAAAAAAAAAAAAAAAAEAAAAZHJzL1BLAwQUAAAACACHTuJAeHsgctMAAAAG&#10;AQAADwAAAGRycy9kb3ducmV2LnhtbE2OzU7DMBCE70i8g7VIXCrqJLQ0DXGqCok7DRVnN97EUeN1&#10;FLtteHuWExznRzNfuZvdIK44hd6TgnSZgEBqvOmpU3D8fH/KQYSoyejBEyr4xgC76v6u1IXxNzrg&#10;tY6d4BEKhVZgYxwLKUNj0emw9CMSZ62fnI4sp06aSd943A0yS5IX6XRP/GD1iG8Wm3N9cQq2c3b0&#10;H227+LL7usf9wuZ1c1Dq8SFNXkFEnONfGX7xGR0qZjr5C5kgBgUr7inIVs8gOM036RrEiY31BmRV&#10;yv/41Q9QSwMEFAAAAAgAh07iQMt0zSToAQAAtgMAAA4AAABkcnMvZTJvRG9jLnhtbK1TzW4TMRC+&#10;I/EOlu9ksymBdJVND43KBUEk4AEcr3fXkv8042aTl+AFkLjBiSN33qblMRh707SUSw/swTuen2/8&#10;fR4vL/bWsJ0C1N7VvJxMOVNO+ka7ruafPl69WHCGUbhGGO9UzQ8K+cXq+bPlECo18703jQJGIA6r&#10;IdS8jzFURYGyV1bgxAflKNh6sCLSFrqiATEQujXFbDp9VQwemgBeKkTyrscgPyLCUwB922qp1l5e&#10;W+XiiArKiEiUsNcB+Sqftm2VjO/bFlVkpubENOaVmpC9TWuxWoqqAxF6LY9HEE85wiNOVmhHTU9Q&#10;axEFuwb9D5TVEjz6Nk6kt8VIJCtCLMrpI20+9CKozIWkxnASHf8frHy32wDTDU3CjDMnLN347Zef&#10;N5+//f71ldbbH99ZOU8yDQEryr50GzjuMGwgcd63YNOf2LB9lvZwklbtI5PknM/PypeLOWeSYovF&#10;eVa+uK8NgPGN8pYlo+ZGu0RcVGL3FiP1o9S7lOR2/kobky/PODbU/Kx8ncAFDWRLg0CmDUQKXceZ&#10;MB1NuoyQEdEb3aTqhIPQbS8NsJ1I85G/xJW6/ZWWWq8F9mNeDo2TY3Wkx2C0JVIPq40jkKTYqFGy&#10;tr45ZOmyn64ztzmOXpqXh/tcff/cVn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eHsgctMAAAAG&#10;AQAADwAAAAAAAAABACAAAAAiAAAAZHJzL2Rvd25yZXYueG1sUEsBAhQAFAAAAAgAh07iQMt0zSTo&#10;AQAAtgMAAA4AAAAAAAAAAQAgAAAAIgEAAGRycy9lMm9Eb2MueG1sUEsFBgAAAAAGAAYAWQEAAHwF&#10;AA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A21986">
    <w:pPr>
      <w:pStyle w:val="30"/>
    </w:pPr>
    <w:r>
      <w:rPr>
        <w:rFonts w:hint="eastAsia" w:ascii="宋体" w:hAnsi="宋体"/>
        <w:spacing w:val="-10"/>
        <w14:ligatures w14:val="none"/>
      </w:rPr>
      <mc:AlternateContent>
        <mc:Choice Requires="wps">
          <w:drawing>
            <wp:anchor distT="0" distB="0" distL="114300" distR="114300" simplePos="0" relativeHeight="251691008" behindDoc="0" locked="0" layoutInCell="1" allowOverlap="1">
              <wp:simplePos x="0" y="0"/>
              <wp:positionH relativeFrom="column">
                <wp:posOffset>2540</wp:posOffset>
              </wp:positionH>
              <wp:positionV relativeFrom="paragraph">
                <wp:posOffset>154305</wp:posOffset>
              </wp:positionV>
              <wp:extent cx="8890000" cy="13970"/>
              <wp:effectExtent l="0" t="4445" r="6350" b="10160"/>
              <wp:wrapNone/>
              <wp:docPr id="15" name="直接连接符 15"/>
              <wp:cNvGraphicFramePr/>
              <a:graphic xmlns:a="http://schemas.openxmlformats.org/drawingml/2006/main">
                <a:graphicData uri="http://schemas.microsoft.com/office/word/2010/wordprocessingShape">
                  <wps:wsp>
                    <wps:cNvCnPr/>
                    <wps:spPr>
                      <a:xfrm>
                        <a:off x="0" y="0"/>
                        <a:ext cx="8890000" cy="1397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2pt;margin-top:12.15pt;height:1.1pt;width:700pt;z-index:251691008;mso-width-relative:page;mso-height-relative:page;" filled="f" stroked="t" coordsize="21600,21600" o:gfxdata="UEsDBAoAAAAAAIdO4kAAAAAAAAAAAAAAAAAEAAAAZHJzL1BLAwQUAAAACACHTuJAwtnuldIAAAAH&#10;AQAADwAAAGRycy9kb3ducmV2LnhtbE2OzU7DMBCE70i8g7VIXCpqN4SqhDhVhcSdphVnN97EEfE6&#10;it02vD3bExznRzNfuZ39IC44xT6QhtVSgUBqgu2p03A8fDxtQMRkyJohEGr4wQjb6v6uNIUNV9rj&#10;pU6d4BGKhdHgUhoLKWPj0Ju4DCMSZ22YvEksp07ayVx53A8yU2otvemJH5wZ8d1h812fvYbXOTuG&#10;z7ZdfLld3eNu4TZ1s9f68WGl3kAknNNfGW74jA4VM53CmWwUg4acexqy/BnELc2VYufEzvoFZFXK&#10;//zVL1BLAwQUAAAACACHTuJAooCJ/ecBAAC3AwAADgAAAGRycy9lMm9Eb2MueG1srVPNbhMxEL4j&#10;8Q6W72STVtB0lU0PjcoFQSTgASZee9eS/+Rxs8lL8AJI3ODEkTtvQ/sYjL1p+sOlB/bgHc/PN/4+&#10;jxcXO2vYVkbU3jV8NplyJp3wrXZdwz9/uno15wwTuBaMd7Lhe4n8YvnyxWIItTzxvTetjIxAHNZD&#10;aHifUqirCkUvLeDEB+koqHy0kGgbu6qNMBC6NdXJdPqmGnxsQ/RCIpJ3NQb5ATE+B9ArpYVceXFt&#10;pUsjapQGElHCXgfky3JapaRIH5RCmZhpODFNZaUmZG/yWi0XUHcRQq/F4QjwnCM84WRBO2p6hFpB&#10;AnYd9T9QVovo0as0Ed5WI5GiCLGYTZ9o87GHIAsXkhrDUXT8f7Di/XYdmW5pEl5z5sDSjd98/fXn&#10;y/fb399ovfn5g1GEZBoC1pR96dbxsMOwjpnzTkWb/8SG7Yq0+6O0cpeYIOd8fj6ljzNBsdnp+VmR&#10;vrovDhHTW+kty0bDjXaZOdSwfYeJGlLqXUp2O3+ljSm3ZxwbGn46OyMCAmgiFU0CmTYQK3QdZ2A6&#10;GnWRYkFEb3SbqzMOxm5zaSLbQh6Q8mWy1O1RWm69AuzHvBIaR8fqRK/BaEsUH1YbRyBZslGkbG18&#10;uy/aFT/dZ2lzmL08MA/3pfr+vS3/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MLZ7pXSAAAABwEA&#10;AA8AAAAAAAAAAQAgAAAAIgAAAGRycy9kb3ducmV2LnhtbFBLAQIUABQAAAAIAIdO4kCigIn95wEA&#10;ALcDAAAOAAAAAAAAAAEAIAAAACEBAABkcnMvZTJvRG9jLnhtbFBLBQYAAAAABgAGAFkBAAB6BQAA&#10;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3D83FF">
    <w:pPr>
      <w:pStyle w:val="30"/>
    </w:pPr>
    <w:r>
      <w:rPr>
        <w:rFonts w:hint="eastAsia" w:ascii="宋体" w:hAnsi="宋体"/>
        <w:spacing w:val="-10"/>
        <w14:ligatures w14:val="none"/>
      </w:rPr>
      <mc:AlternateContent>
        <mc:Choice Requires="wps">
          <w:drawing>
            <wp:anchor distT="0" distB="0" distL="114300" distR="114300" simplePos="0" relativeHeight="251692032" behindDoc="0" locked="0" layoutInCell="1" allowOverlap="1">
              <wp:simplePos x="0" y="0"/>
              <wp:positionH relativeFrom="column">
                <wp:posOffset>8890</wp:posOffset>
              </wp:positionH>
              <wp:positionV relativeFrom="paragraph">
                <wp:posOffset>188595</wp:posOffset>
              </wp:positionV>
              <wp:extent cx="5539740" cy="2540"/>
              <wp:effectExtent l="0" t="0" r="0" b="0"/>
              <wp:wrapNone/>
              <wp:docPr id="16" name="直接连接符 16"/>
              <wp:cNvGraphicFramePr/>
              <a:graphic xmlns:a="http://schemas.openxmlformats.org/drawingml/2006/main">
                <a:graphicData uri="http://schemas.microsoft.com/office/word/2010/wordprocessingShape">
                  <wps:wsp>
                    <wps:cNvCnPr/>
                    <wps:spPr>
                      <a:xfrm>
                        <a:off x="0" y="0"/>
                        <a:ext cx="5539740" cy="254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7pt;margin-top:14.85pt;height:0.2pt;width:436.2pt;z-index:251692032;mso-width-relative:page;mso-height-relative:page;" filled="f" stroked="t" coordsize="21600,21600" o:gfxdata="UEsDBAoAAAAAAIdO4kAAAAAAAAAAAAAAAAAEAAAAZHJzL1BLAwQUAAAACACHTuJAmmvtbdQAAAAH&#10;AQAADwAAAGRycy9kb3ducmV2LnhtbE2PwWrDMBBE74X+g9hAL6GR7ZTGcS2HUOi9cULPirW2TKyV&#10;sZTE/ftuT+1xmGHmTbmb3SBuOIXek4J0lYBAarzpqVNwOn485yBC1GT04AkVfGOAXfX4UOrC+Dsd&#10;8FbHTnAJhUIrsDGOhZShseh0WPkRib3WT05HllMnzaTvXO4GmSXJq3S6J16wesR3i82lvjoF2zk7&#10;+c+2XX7Zfd3jfmnzujko9bRIkzcQEef4F4ZffEaHipnO/komiIH1CwcVZNsNCLbzzZqfnBWskxRk&#10;Vcr//NUPUEsDBBQAAAAIAIdO4kDK0v1t5wEAALYDAAAOAAAAZHJzL2Uyb0RvYy54bWytU81uEzEQ&#10;viPxDpbvZJOUtGWVTQ+NygVBJOgDTLzeXUv+k8fNJi/BCyBxgxNH7rxNy2N07F3SUi49sAfveH4+&#10;z/d5vLzYG812MqBytuKzyZQzaYWrlW0rfv3p6tU5ZxjB1qCdlRU/SOQXq5cvlr0v5dx1TtcyMAKx&#10;WPa+4l2MviwKFJ00gBPnpaVg44KBSNvQFnWAntCNLubT6WnRu1D74IREJO96CPIRMTwH0DWNEnLt&#10;xI2RNg6oQWqIRAk75ZGvcrdNI0X80DQoI9MVJ6Yxr3QI2du0FqsllG0A3ykxtgDPaeEJJwPK0qFH&#10;qDVEYDdB/QNllAgOXRMnwpliIJIVIRaz6RNtPnbgZeZCUqM/io7/D1a8320CUzVNwilnFgzd+N2X&#10;n7efv/3+9ZXWux/fGUVIpt5jSdmXdhPGHfpNSJz3TTDpT2zYPkt7OEor95EJci4WJ2/OXpPqgmLz&#10;BVkEUjzU+oDxrXSGJaPiWtlEHErYvcM4pP5JSW7rrpTW5IdSW9ZX/GR2tiBwoIFsaBDINJ5IoW05&#10;A93SpIsYMiI6repUnYoxtNtLHdgO0nzkb2zsr7R09BqwG/JyKKVBaVSkx6CVqfj542ptiV1SbNAo&#10;WVtXH7J02U/XmfmPo5fm5fE+Vz88t9U9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mmvtbdQAAAAH&#10;AQAADwAAAAAAAAABACAAAAAiAAAAZHJzL2Rvd25yZXYueG1sUEsBAhQAFAAAAAgAh07iQMrS/W3n&#10;AQAAtgMAAA4AAAAAAAAAAQAgAAAAIwEAAGRycy9lMm9Eb2MueG1sUEsFBgAAAAAGAAYAWQEAAHwF&#10;AAAAAA==&#10;">
              <v:fill on="f" focussize="0,0"/>
              <v:stroke weight="0.25pt" color="#000000 [3213]" miterlimit="8" joinstyle="miter"/>
              <v:imagedata o:title=""/>
              <o:lock v:ext="edit" aspectratio="f"/>
            </v:line>
          </w:pict>
        </mc:Fallback>
      </mc:AlternateContent>
    </w:r>
    <w:r>
      <w:rPr>
        <w:rFonts w:hint="eastAsia" w:ascii="宋体" w:hAnsi="宋体"/>
        <w:spacing w:val="-10"/>
      </w:rPr>
      <w:t>莫17井区天然气回收建设项目环境影响报告书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BC5E49"/>
    <w:multiLevelType w:val="multilevel"/>
    <w:tmpl w:val="0FBC5E49"/>
    <w:lvl w:ilvl="0" w:tentative="0">
      <w:start w:val="1"/>
      <w:numFmt w:val="decimal"/>
      <w:lvlText w:val="%1"/>
      <w:lvlJc w:val="left"/>
      <w:pPr>
        <w:ind w:left="709" w:hanging="425"/>
      </w:pPr>
      <w:rPr>
        <w:rFonts w:ascii="黑体" w:hAnsi="黑体" w:eastAsia="黑体"/>
        <w:sz w:val="32"/>
        <w:szCs w:val="32"/>
      </w:rPr>
    </w:lvl>
    <w:lvl w:ilvl="1" w:tentative="0">
      <w:start w:val="1"/>
      <w:numFmt w:val="decimal"/>
      <w:lvlText w:val="%1.%2"/>
      <w:lvlJc w:val="left"/>
      <w:pPr>
        <w:ind w:left="709" w:hanging="567"/>
      </w:pPr>
    </w:lvl>
    <w:lvl w:ilvl="2" w:tentative="0">
      <w:start w:val="1"/>
      <w:numFmt w:val="decimal"/>
      <w:lvlText w:val="%1.%2.%3"/>
      <w:lvlJc w:val="left"/>
      <w:pPr>
        <w:ind w:left="1702" w:hanging="567"/>
      </w:pPr>
    </w:lvl>
    <w:lvl w:ilvl="3" w:tentative="0">
      <w:start w:val="1"/>
      <w:numFmt w:val="decimal"/>
      <w:lvlText w:val="%1.%2.%3.%4"/>
      <w:lvlJc w:val="left"/>
      <w:pPr>
        <w:ind w:left="2268" w:hanging="708"/>
      </w:pPr>
    </w:lvl>
    <w:lvl w:ilvl="4" w:tentative="0">
      <w:start w:val="1"/>
      <w:numFmt w:val="decimal"/>
      <w:lvlText w:val="%1.%2.%3.%4.%5"/>
      <w:lvlJc w:val="left"/>
      <w:pPr>
        <w:ind w:left="2835" w:hanging="850"/>
      </w:pPr>
    </w:lvl>
    <w:lvl w:ilvl="5" w:tentative="0">
      <w:start w:val="1"/>
      <w:numFmt w:val="decimal"/>
      <w:lvlText w:val="%1.%2.%3.%4.%5.%6"/>
      <w:lvlJc w:val="left"/>
      <w:pPr>
        <w:ind w:left="3544" w:hanging="1134"/>
      </w:pPr>
    </w:lvl>
    <w:lvl w:ilvl="6" w:tentative="0">
      <w:start w:val="1"/>
      <w:numFmt w:val="decimal"/>
      <w:lvlText w:val="%1.%2.%3.%4.%5.%6.%7"/>
      <w:lvlJc w:val="left"/>
      <w:pPr>
        <w:ind w:left="4111" w:hanging="1276"/>
      </w:pPr>
    </w:lvl>
    <w:lvl w:ilvl="7" w:tentative="0">
      <w:start w:val="1"/>
      <w:numFmt w:val="decimal"/>
      <w:lvlText w:val="%1.%2.%3.%4.%5.%6.%7.%8"/>
      <w:lvlJc w:val="left"/>
      <w:pPr>
        <w:ind w:left="4678" w:hanging="1418"/>
      </w:pPr>
    </w:lvl>
    <w:lvl w:ilvl="8" w:tentative="0">
      <w:start w:val="1"/>
      <w:numFmt w:val="decimal"/>
      <w:lvlText w:val="%1.%2.%3.%4.%5.%6.%7.%8.%9"/>
      <w:lvlJc w:val="left"/>
      <w:pPr>
        <w:ind w:left="5386" w:hanging="1700"/>
      </w:pPr>
    </w:lvl>
  </w:abstractNum>
  <w:abstractNum w:abstractNumId="1">
    <w:nsid w:val="7B541212"/>
    <w:multiLevelType w:val="multilevel"/>
    <w:tmpl w:val="7B541212"/>
    <w:lvl w:ilvl="0" w:tentative="0">
      <w:start w:val="1"/>
      <w:numFmt w:val="bullet"/>
      <w:pStyle w:val="316"/>
      <w:lvlText w:val=""/>
      <w:lvlJc w:val="left"/>
      <w:pPr>
        <w:tabs>
          <w:tab w:val="left" w:pos="902"/>
        </w:tabs>
        <w:ind w:left="902" w:hanging="422"/>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1"/>
  <w:bordersDoNotSurroundFooter w:val="1"/>
  <w:documentProtection w:enforcement="0"/>
  <w:defaultTabStop w:val="420"/>
  <w:drawingGridHorizontalSpacing w:val="105"/>
  <w:drawingGridVerticalSpacing w:val="156"/>
  <w:noPunctuationKerning w:val="1"/>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0417"/>
    <w:rsid w:val="00000E4A"/>
    <w:rsid w:val="00001D45"/>
    <w:rsid w:val="000025B7"/>
    <w:rsid w:val="00005CD7"/>
    <w:rsid w:val="00007029"/>
    <w:rsid w:val="00012FD2"/>
    <w:rsid w:val="0001612F"/>
    <w:rsid w:val="00016D2F"/>
    <w:rsid w:val="000214B6"/>
    <w:rsid w:val="00022192"/>
    <w:rsid w:val="00025648"/>
    <w:rsid w:val="00030D39"/>
    <w:rsid w:val="0003108C"/>
    <w:rsid w:val="000315DB"/>
    <w:rsid w:val="00036098"/>
    <w:rsid w:val="000420FB"/>
    <w:rsid w:val="00044E77"/>
    <w:rsid w:val="00045491"/>
    <w:rsid w:val="0004725A"/>
    <w:rsid w:val="00047F93"/>
    <w:rsid w:val="00053003"/>
    <w:rsid w:val="00053742"/>
    <w:rsid w:val="0006106B"/>
    <w:rsid w:val="000611A4"/>
    <w:rsid w:val="00070643"/>
    <w:rsid w:val="00071367"/>
    <w:rsid w:val="00072DC8"/>
    <w:rsid w:val="00074863"/>
    <w:rsid w:val="00082FC5"/>
    <w:rsid w:val="00085F33"/>
    <w:rsid w:val="00091895"/>
    <w:rsid w:val="00097943"/>
    <w:rsid w:val="00097EBE"/>
    <w:rsid w:val="000A4EF6"/>
    <w:rsid w:val="000B1AF7"/>
    <w:rsid w:val="000B2C3D"/>
    <w:rsid w:val="000D06F8"/>
    <w:rsid w:val="000D466C"/>
    <w:rsid w:val="000D538F"/>
    <w:rsid w:val="000E036A"/>
    <w:rsid w:val="000E7473"/>
    <w:rsid w:val="000F17AF"/>
    <w:rsid w:val="000F4BD7"/>
    <w:rsid w:val="00103EAE"/>
    <w:rsid w:val="00110259"/>
    <w:rsid w:val="0011050E"/>
    <w:rsid w:val="001154CE"/>
    <w:rsid w:val="001213B2"/>
    <w:rsid w:val="00123A8E"/>
    <w:rsid w:val="0012560C"/>
    <w:rsid w:val="00130387"/>
    <w:rsid w:val="001319DD"/>
    <w:rsid w:val="00132312"/>
    <w:rsid w:val="001502AF"/>
    <w:rsid w:val="00153186"/>
    <w:rsid w:val="00162E2E"/>
    <w:rsid w:val="0016337C"/>
    <w:rsid w:val="0016429B"/>
    <w:rsid w:val="00166D22"/>
    <w:rsid w:val="0017052B"/>
    <w:rsid w:val="00176C63"/>
    <w:rsid w:val="0017748A"/>
    <w:rsid w:val="001823D9"/>
    <w:rsid w:val="00186295"/>
    <w:rsid w:val="0019642E"/>
    <w:rsid w:val="00196FAE"/>
    <w:rsid w:val="00197A0D"/>
    <w:rsid w:val="001A3A90"/>
    <w:rsid w:val="001B491D"/>
    <w:rsid w:val="001D0A45"/>
    <w:rsid w:val="001E071F"/>
    <w:rsid w:val="001E2CF9"/>
    <w:rsid w:val="001E3AF3"/>
    <w:rsid w:val="001F281B"/>
    <w:rsid w:val="001F37A1"/>
    <w:rsid w:val="001F5011"/>
    <w:rsid w:val="00202767"/>
    <w:rsid w:val="00205567"/>
    <w:rsid w:val="002119BE"/>
    <w:rsid w:val="00217B6A"/>
    <w:rsid w:val="00224696"/>
    <w:rsid w:val="00230F33"/>
    <w:rsid w:val="002328CF"/>
    <w:rsid w:val="00232EE6"/>
    <w:rsid w:val="00244EE5"/>
    <w:rsid w:val="002463D4"/>
    <w:rsid w:val="0025400F"/>
    <w:rsid w:val="00256F2C"/>
    <w:rsid w:val="002606C1"/>
    <w:rsid w:val="00272C70"/>
    <w:rsid w:val="00280D05"/>
    <w:rsid w:val="002918D3"/>
    <w:rsid w:val="002A0530"/>
    <w:rsid w:val="002A0B2A"/>
    <w:rsid w:val="002A4103"/>
    <w:rsid w:val="002A4EDF"/>
    <w:rsid w:val="002B1692"/>
    <w:rsid w:val="002B28CD"/>
    <w:rsid w:val="002B5922"/>
    <w:rsid w:val="002B7BBB"/>
    <w:rsid w:val="002C4872"/>
    <w:rsid w:val="002D0CD0"/>
    <w:rsid w:val="002D3D21"/>
    <w:rsid w:val="002E4F82"/>
    <w:rsid w:val="002E6986"/>
    <w:rsid w:val="002F4C83"/>
    <w:rsid w:val="003011D5"/>
    <w:rsid w:val="003042C4"/>
    <w:rsid w:val="00307EDB"/>
    <w:rsid w:val="00310E59"/>
    <w:rsid w:val="003112AC"/>
    <w:rsid w:val="00311544"/>
    <w:rsid w:val="00315235"/>
    <w:rsid w:val="00315622"/>
    <w:rsid w:val="00315DB9"/>
    <w:rsid w:val="0031601A"/>
    <w:rsid w:val="0031645A"/>
    <w:rsid w:val="00317F66"/>
    <w:rsid w:val="003265BE"/>
    <w:rsid w:val="00330DA8"/>
    <w:rsid w:val="003329F9"/>
    <w:rsid w:val="00332E67"/>
    <w:rsid w:val="003436B2"/>
    <w:rsid w:val="00347C29"/>
    <w:rsid w:val="00350F98"/>
    <w:rsid w:val="003608C8"/>
    <w:rsid w:val="003632A2"/>
    <w:rsid w:val="0036687F"/>
    <w:rsid w:val="00370388"/>
    <w:rsid w:val="00372DAF"/>
    <w:rsid w:val="0037543C"/>
    <w:rsid w:val="0038108B"/>
    <w:rsid w:val="00382503"/>
    <w:rsid w:val="00382643"/>
    <w:rsid w:val="00383E09"/>
    <w:rsid w:val="00384C26"/>
    <w:rsid w:val="00384D54"/>
    <w:rsid w:val="003855EE"/>
    <w:rsid w:val="00385CB5"/>
    <w:rsid w:val="00397087"/>
    <w:rsid w:val="003A2C45"/>
    <w:rsid w:val="003A48AB"/>
    <w:rsid w:val="003B188B"/>
    <w:rsid w:val="003B66E0"/>
    <w:rsid w:val="003B75D6"/>
    <w:rsid w:val="003B7634"/>
    <w:rsid w:val="003C3C91"/>
    <w:rsid w:val="003C447F"/>
    <w:rsid w:val="003C4DB7"/>
    <w:rsid w:val="003C5E2D"/>
    <w:rsid w:val="003C6A0D"/>
    <w:rsid w:val="003E0ECC"/>
    <w:rsid w:val="003E472C"/>
    <w:rsid w:val="003E47A4"/>
    <w:rsid w:val="003F14BC"/>
    <w:rsid w:val="004027B6"/>
    <w:rsid w:val="0041447E"/>
    <w:rsid w:val="00427474"/>
    <w:rsid w:val="00434E99"/>
    <w:rsid w:val="00441EEB"/>
    <w:rsid w:val="00444D6C"/>
    <w:rsid w:val="004461E7"/>
    <w:rsid w:val="00454555"/>
    <w:rsid w:val="00457936"/>
    <w:rsid w:val="004615E2"/>
    <w:rsid w:val="00470610"/>
    <w:rsid w:val="004712A2"/>
    <w:rsid w:val="00486851"/>
    <w:rsid w:val="0049267F"/>
    <w:rsid w:val="00492A83"/>
    <w:rsid w:val="00495AF2"/>
    <w:rsid w:val="004B5814"/>
    <w:rsid w:val="004D4E71"/>
    <w:rsid w:val="004D5A82"/>
    <w:rsid w:val="004E26A9"/>
    <w:rsid w:val="004F2C7F"/>
    <w:rsid w:val="004F33E3"/>
    <w:rsid w:val="004F39CD"/>
    <w:rsid w:val="004F60E5"/>
    <w:rsid w:val="00501914"/>
    <w:rsid w:val="005029BC"/>
    <w:rsid w:val="00507846"/>
    <w:rsid w:val="005149B5"/>
    <w:rsid w:val="00515B7A"/>
    <w:rsid w:val="0051670B"/>
    <w:rsid w:val="0052024B"/>
    <w:rsid w:val="00527511"/>
    <w:rsid w:val="00527827"/>
    <w:rsid w:val="005339CA"/>
    <w:rsid w:val="00542AAA"/>
    <w:rsid w:val="00550D3F"/>
    <w:rsid w:val="00551964"/>
    <w:rsid w:val="00557F6A"/>
    <w:rsid w:val="00560769"/>
    <w:rsid w:val="005612C9"/>
    <w:rsid w:val="00566CBC"/>
    <w:rsid w:val="0057431C"/>
    <w:rsid w:val="005807E0"/>
    <w:rsid w:val="0058564E"/>
    <w:rsid w:val="00592B09"/>
    <w:rsid w:val="0059546D"/>
    <w:rsid w:val="005960F3"/>
    <w:rsid w:val="005A63FA"/>
    <w:rsid w:val="005A6578"/>
    <w:rsid w:val="005A7A78"/>
    <w:rsid w:val="005A7AD2"/>
    <w:rsid w:val="005B5A22"/>
    <w:rsid w:val="005B6908"/>
    <w:rsid w:val="005C7DE2"/>
    <w:rsid w:val="005D051F"/>
    <w:rsid w:val="005D7C92"/>
    <w:rsid w:val="005E4D37"/>
    <w:rsid w:val="005F1D70"/>
    <w:rsid w:val="005F59F4"/>
    <w:rsid w:val="006016D9"/>
    <w:rsid w:val="0061265C"/>
    <w:rsid w:val="00625E53"/>
    <w:rsid w:val="006262B5"/>
    <w:rsid w:val="00627D61"/>
    <w:rsid w:val="0063068A"/>
    <w:rsid w:val="00630A12"/>
    <w:rsid w:val="006336EF"/>
    <w:rsid w:val="00635202"/>
    <w:rsid w:val="00635229"/>
    <w:rsid w:val="006418D9"/>
    <w:rsid w:val="00644D3E"/>
    <w:rsid w:val="0065263D"/>
    <w:rsid w:val="00660AD7"/>
    <w:rsid w:val="0066148E"/>
    <w:rsid w:val="006648F0"/>
    <w:rsid w:val="00665BE1"/>
    <w:rsid w:val="006668DE"/>
    <w:rsid w:val="0067098C"/>
    <w:rsid w:val="00672EFA"/>
    <w:rsid w:val="00692152"/>
    <w:rsid w:val="0069656E"/>
    <w:rsid w:val="006A2D6F"/>
    <w:rsid w:val="006B10FF"/>
    <w:rsid w:val="006B2457"/>
    <w:rsid w:val="006B3B4C"/>
    <w:rsid w:val="006C188E"/>
    <w:rsid w:val="006C3AD9"/>
    <w:rsid w:val="006C5D1A"/>
    <w:rsid w:val="006D3501"/>
    <w:rsid w:val="006E22FB"/>
    <w:rsid w:val="006E2468"/>
    <w:rsid w:val="006E6323"/>
    <w:rsid w:val="006F446D"/>
    <w:rsid w:val="00717F1C"/>
    <w:rsid w:val="0072359D"/>
    <w:rsid w:val="00725E06"/>
    <w:rsid w:val="00726494"/>
    <w:rsid w:val="007304ED"/>
    <w:rsid w:val="00733655"/>
    <w:rsid w:val="0073536E"/>
    <w:rsid w:val="00745737"/>
    <w:rsid w:val="00745D4C"/>
    <w:rsid w:val="0075082E"/>
    <w:rsid w:val="007526CC"/>
    <w:rsid w:val="00754F70"/>
    <w:rsid w:val="00756D30"/>
    <w:rsid w:val="0076100D"/>
    <w:rsid w:val="007640BB"/>
    <w:rsid w:val="00775227"/>
    <w:rsid w:val="00775A09"/>
    <w:rsid w:val="00780B74"/>
    <w:rsid w:val="00781308"/>
    <w:rsid w:val="00781396"/>
    <w:rsid w:val="00784595"/>
    <w:rsid w:val="007866D9"/>
    <w:rsid w:val="0079153F"/>
    <w:rsid w:val="00791B89"/>
    <w:rsid w:val="00793871"/>
    <w:rsid w:val="007A2A4E"/>
    <w:rsid w:val="007B1466"/>
    <w:rsid w:val="007C7262"/>
    <w:rsid w:val="007D380E"/>
    <w:rsid w:val="007D4664"/>
    <w:rsid w:val="007D55C4"/>
    <w:rsid w:val="007D68AE"/>
    <w:rsid w:val="007D7A0E"/>
    <w:rsid w:val="007E2463"/>
    <w:rsid w:val="007E4226"/>
    <w:rsid w:val="007E4B60"/>
    <w:rsid w:val="007F1AFA"/>
    <w:rsid w:val="007F72C1"/>
    <w:rsid w:val="00800B6A"/>
    <w:rsid w:val="00802D15"/>
    <w:rsid w:val="00803ADB"/>
    <w:rsid w:val="00805358"/>
    <w:rsid w:val="00807517"/>
    <w:rsid w:val="00810111"/>
    <w:rsid w:val="00813EEF"/>
    <w:rsid w:val="00813FB9"/>
    <w:rsid w:val="00815D3F"/>
    <w:rsid w:val="0082137F"/>
    <w:rsid w:val="00821EB3"/>
    <w:rsid w:val="008228F1"/>
    <w:rsid w:val="00830C62"/>
    <w:rsid w:val="00870ED4"/>
    <w:rsid w:val="00871B5F"/>
    <w:rsid w:val="00872D3F"/>
    <w:rsid w:val="00873877"/>
    <w:rsid w:val="00875354"/>
    <w:rsid w:val="00875822"/>
    <w:rsid w:val="00875A34"/>
    <w:rsid w:val="0088180A"/>
    <w:rsid w:val="0089249F"/>
    <w:rsid w:val="0089609A"/>
    <w:rsid w:val="0089620B"/>
    <w:rsid w:val="008B274B"/>
    <w:rsid w:val="008B4FB9"/>
    <w:rsid w:val="008B722D"/>
    <w:rsid w:val="008B7C6B"/>
    <w:rsid w:val="008C0B9A"/>
    <w:rsid w:val="008C1294"/>
    <w:rsid w:val="008C6EAB"/>
    <w:rsid w:val="008C75AB"/>
    <w:rsid w:val="008D335A"/>
    <w:rsid w:val="008D4F01"/>
    <w:rsid w:val="008E2937"/>
    <w:rsid w:val="008F18E7"/>
    <w:rsid w:val="008F253C"/>
    <w:rsid w:val="008F34FC"/>
    <w:rsid w:val="008F6DCA"/>
    <w:rsid w:val="00906453"/>
    <w:rsid w:val="00910BE1"/>
    <w:rsid w:val="009206E1"/>
    <w:rsid w:val="00925A9D"/>
    <w:rsid w:val="00930F9B"/>
    <w:rsid w:val="0093147D"/>
    <w:rsid w:val="009327A4"/>
    <w:rsid w:val="00943D87"/>
    <w:rsid w:val="00947BB4"/>
    <w:rsid w:val="00954BFF"/>
    <w:rsid w:val="00957818"/>
    <w:rsid w:val="00962481"/>
    <w:rsid w:val="00981B72"/>
    <w:rsid w:val="00982400"/>
    <w:rsid w:val="00990876"/>
    <w:rsid w:val="009A302D"/>
    <w:rsid w:val="009A3F6A"/>
    <w:rsid w:val="009A620B"/>
    <w:rsid w:val="009A6698"/>
    <w:rsid w:val="009B1A1D"/>
    <w:rsid w:val="009C0EA2"/>
    <w:rsid w:val="009D0A8D"/>
    <w:rsid w:val="009D3E33"/>
    <w:rsid w:val="009D5EB0"/>
    <w:rsid w:val="009D769D"/>
    <w:rsid w:val="009D7A09"/>
    <w:rsid w:val="009E53CC"/>
    <w:rsid w:val="009E54B8"/>
    <w:rsid w:val="009E72AD"/>
    <w:rsid w:val="009F080E"/>
    <w:rsid w:val="009F106F"/>
    <w:rsid w:val="009F5E44"/>
    <w:rsid w:val="00A03383"/>
    <w:rsid w:val="00A06A2B"/>
    <w:rsid w:val="00A10417"/>
    <w:rsid w:val="00A11A97"/>
    <w:rsid w:val="00A12151"/>
    <w:rsid w:val="00A13143"/>
    <w:rsid w:val="00A147CF"/>
    <w:rsid w:val="00A171FC"/>
    <w:rsid w:val="00A20F50"/>
    <w:rsid w:val="00A21701"/>
    <w:rsid w:val="00A3222B"/>
    <w:rsid w:val="00A35FBC"/>
    <w:rsid w:val="00A40398"/>
    <w:rsid w:val="00A611DA"/>
    <w:rsid w:val="00A6157C"/>
    <w:rsid w:val="00A61E89"/>
    <w:rsid w:val="00A65EF0"/>
    <w:rsid w:val="00A70203"/>
    <w:rsid w:val="00A725CD"/>
    <w:rsid w:val="00A73A19"/>
    <w:rsid w:val="00A74E64"/>
    <w:rsid w:val="00A807C5"/>
    <w:rsid w:val="00A8331E"/>
    <w:rsid w:val="00A948B1"/>
    <w:rsid w:val="00AB1F89"/>
    <w:rsid w:val="00AD29F8"/>
    <w:rsid w:val="00AE1381"/>
    <w:rsid w:val="00AE242A"/>
    <w:rsid w:val="00AF107E"/>
    <w:rsid w:val="00AF4DCB"/>
    <w:rsid w:val="00B00806"/>
    <w:rsid w:val="00B045B0"/>
    <w:rsid w:val="00B04729"/>
    <w:rsid w:val="00B05D14"/>
    <w:rsid w:val="00B07E07"/>
    <w:rsid w:val="00B16F70"/>
    <w:rsid w:val="00B2061F"/>
    <w:rsid w:val="00B218EA"/>
    <w:rsid w:val="00B22121"/>
    <w:rsid w:val="00B2499C"/>
    <w:rsid w:val="00B276E9"/>
    <w:rsid w:val="00B31E9C"/>
    <w:rsid w:val="00B32540"/>
    <w:rsid w:val="00B50284"/>
    <w:rsid w:val="00B57AE3"/>
    <w:rsid w:val="00B61092"/>
    <w:rsid w:val="00B63B43"/>
    <w:rsid w:val="00B821C5"/>
    <w:rsid w:val="00B9512F"/>
    <w:rsid w:val="00BA10BA"/>
    <w:rsid w:val="00BA7123"/>
    <w:rsid w:val="00BA71F4"/>
    <w:rsid w:val="00BB07DA"/>
    <w:rsid w:val="00BB562D"/>
    <w:rsid w:val="00BB756D"/>
    <w:rsid w:val="00BC007F"/>
    <w:rsid w:val="00BC1FCB"/>
    <w:rsid w:val="00BC75FF"/>
    <w:rsid w:val="00BC7AE2"/>
    <w:rsid w:val="00BD39B9"/>
    <w:rsid w:val="00BD3E6C"/>
    <w:rsid w:val="00BE49BE"/>
    <w:rsid w:val="00BE6AF4"/>
    <w:rsid w:val="00BF0156"/>
    <w:rsid w:val="00C00082"/>
    <w:rsid w:val="00C029C3"/>
    <w:rsid w:val="00C050C5"/>
    <w:rsid w:val="00C12B1E"/>
    <w:rsid w:val="00C161F1"/>
    <w:rsid w:val="00C1692C"/>
    <w:rsid w:val="00C17964"/>
    <w:rsid w:val="00C24111"/>
    <w:rsid w:val="00C25BD9"/>
    <w:rsid w:val="00C3090E"/>
    <w:rsid w:val="00C323A8"/>
    <w:rsid w:val="00C33186"/>
    <w:rsid w:val="00C332EE"/>
    <w:rsid w:val="00C34EDF"/>
    <w:rsid w:val="00C42ADC"/>
    <w:rsid w:val="00C42AFB"/>
    <w:rsid w:val="00C50D1C"/>
    <w:rsid w:val="00C57812"/>
    <w:rsid w:val="00C61643"/>
    <w:rsid w:val="00C67285"/>
    <w:rsid w:val="00C70AEB"/>
    <w:rsid w:val="00C73DF2"/>
    <w:rsid w:val="00C779FB"/>
    <w:rsid w:val="00C832E7"/>
    <w:rsid w:val="00C85C82"/>
    <w:rsid w:val="00C85FD7"/>
    <w:rsid w:val="00C873E8"/>
    <w:rsid w:val="00C9127A"/>
    <w:rsid w:val="00C91FD0"/>
    <w:rsid w:val="00C92BC2"/>
    <w:rsid w:val="00C95DE3"/>
    <w:rsid w:val="00CB0B3D"/>
    <w:rsid w:val="00CB1881"/>
    <w:rsid w:val="00CC042D"/>
    <w:rsid w:val="00CC6EF0"/>
    <w:rsid w:val="00CD111B"/>
    <w:rsid w:val="00CD1E27"/>
    <w:rsid w:val="00CD5823"/>
    <w:rsid w:val="00CD677D"/>
    <w:rsid w:val="00CF43DF"/>
    <w:rsid w:val="00CF6963"/>
    <w:rsid w:val="00CF7225"/>
    <w:rsid w:val="00D04E98"/>
    <w:rsid w:val="00D04EA8"/>
    <w:rsid w:val="00D10D16"/>
    <w:rsid w:val="00D11212"/>
    <w:rsid w:val="00D231D8"/>
    <w:rsid w:val="00D30697"/>
    <w:rsid w:val="00D3601A"/>
    <w:rsid w:val="00D42DBC"/>
    <w:rsid w:val="00D43C1A"/>
    <w:rsid w:val="00D4718A"/>
    <w:rsid w:val="00D505BB"/>
    <w:rsid w:val="00D54E7F"/>
    <w:rsid w:val="00D6171D"/>
    <w:rsid w:val="00D625D5"/>
    <w:rsid w:val="00D6288A"/>
    <w:rsid w:val="00D6405D"/>
    <w:rsid w:val="00D70453"/>
    <w:rsid w:val="00D72E65"/>
    <w:rsid w:val="00D74890"/>
    <w:rsid w:val="00D820B5"/>
    <w:rsid w:val="00D84A4C"/>
    <w:rsid w:val="00D91FAF"/>
    <w:rsid w:val="00D966EB"/>
    <w:rsid w:val="00DA0631"/>
    <w:rsid w:val="00DA08AD"/>
    <w:rsid w:val="00DA1F9A"/>
    <w:rsid w:val="00DA4E4F"/>
    <w:rsid w:val="00DA5350"/>
    <w:rsid w:val="00DA5F0F"/>
    <w:rsid w:val="00DB01DD"/>
    <w:rsid w:val="00DB2109"/>
    <w:rsid w:val="00DB67C9"/>
    <w:rsid w:val="00DC1670"/>
    <w:rsid w:val="00DC5198"/>
    <w:rsid w:val="00DD391D"/>
    <w:rsid w:val="00DE0F1B"/>
    <w:rsid w:val="00DE134D"/>
    <w:rsid w:val="00DF1C54"/>
    <w:rsid w:val="00DF3939"/>
    <w:rsid w:val="00DF47C1"/>
    <w:rsid w:val="00E00B40"/>
    <w:rsid w:val="00E015A5"/>
    <w:rsid w:val="00E06073"/>
    <w:rsid w:val="00E063C1"/>
    <w:rsid w:val="00E2470C"/>
    <w:rsid w:val="00E267A3"/>
    <w:rsid w:val="00E307E8"/>
    <w:rsid w:val="00E46B48"/>
    <w:rsid w:val="00E477EE"/>
    <w:rsid w:val="00E50D02"/>
    <w:rsid w:val="00E547D4"/>
    <w:rsid w:val="00E56485"/>
    <w:rsid w:val="00E62E19"/>
    <w:rsid w:val="00E63BF4"/>
    <w:rsid w:val="00E70EFE"/>
    <w:rsid w:val="00E840E8"/>
    <w:rsid w:val="00E85499"/>
    <w:rsid w:val="00E85B33"/>
    <w:rsid w:val="00EB4D32"/>
    <w:rsid w:val="00EB57EA"/>
    <w:rsid w:val="00EB6838"/>
    <w:rsid w:val="00EC2EDD"/>
    <w:rsid w:val="00EC6CE7"/>
    <w:rsid w:val="00EC7844"/>
    <w:rsid w:val="00ED32F8"/>
    <w:rsid w:val="00ED4877"/>
    <w:rsid w:val="00EE1DA2"/>
    <w:rsid w:val="00EE6EAB"/>
    <w:rsid w:val="00EE7020"/>
    <w:rsid w:val="00EF051E"/>
    <w:rsid w:val="00EF134B"/>
    <w:rsid w:val="00EF1EF8"/>
    <w:rsid w:val="00EF71D8"/>
    <w:rsid w:val="00F0024A"/>
    <w:rsid w:val="00F0145E"/>
    <w:rsid w:val="00F02A62"/>
    <w:rsid w:val="00F055B3"/>
    <w:rsid w:val="00F07269"/>
    <w:rsid w:val="00F10BB3"/>
    <w:rsid w:val="00F119E4"/>
    <w:rsid w:val="00F202EE"/>
    <w:rsid w:val="00F2586A"/>
    <w:rsid w:val="00F25E9B"/>
    <w:rsid w:val="00F273CF"/>
    <w:rsid w:val="00F328B5"/>
    <w:rsid w:val="00F47C82"/>
    <w:rsid w:val="00F5679D"/>
    <w:rsid w:val="00F5728D"/>
    <w:rsid w:val="00F604B6"/>
    <w:rsid w:val="00F62A6F"/>
    <w:rsid w:val="00F64FD3"/>
    <w:rsid w:val="00F809F7"/>
    <w:rsid w:val="00F8290D"/>
    <w:rsid w:val="00F87359"/>
    <w:rsid w:val="00F87651"/>
    <w:rsid w:val="00F950A6"/>
    <w:rsid w:val="00FA23BD"/>
    <w:rsid w:val="00FA4C99"/>
    <w:rsid w:val="00FC508B"/>
    <w:rsid w:val="00FD7332"/>
    <w:rsid w:val="00FE5745"/>
    <w:rsid w:val="00FF1C45"/>
    <w:rsid w:val="00FF401C"/>
    <w:rsid w:val="00FF5808"/>
    <w:rsid w:val="00FF6842"/>
    <w:rsid w:val="00FF69AE"/>
    <w:rsid w:val="05AF0BF4"/>
    <w:rsid w:val="06FA704F"/>
    <w:rsid w:val="088F279F"/>
    <w:rsid w:val="13AD19D3"/>
    <w:rsid w:val="16195AA2"/>
    <w:rsid w:val="173C5B2A"/>
    <w:rsid w:val="1E100DB4"/>
    <w:rsid w:val="1FC941D3"/>
    <w:rsid w:val="240F6724"/>
    <w:rsid w:val="2AA36F32"/>
    <w:rsid w:val="2B004385"/>
    <w:rsid w:val="3BD22B27"/>
    <w:rsid w:val="488C2292"/>
    <w:rsid w:val="4D1C7CCA"/>
    <w:rsid w:val="4F8A493D"/>
    <w:rsid w:val="589561AD"/>
    <w:rsid w:val="5DDD005B"/>
    <w:rsid w:val="5E8E1AB7"/>
    <w:rsid w:val="61CA67F0"/>
    <w:rsid w:val="635E4DF1"/>
    <w:rsid w:val="64F97173"/>
    <w:rsid w:val="6E702DD2"/>
    <w:rsid w:val="74650D76"/>
    <w:rsid w:val="77C924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0" w:semiHidden="0" w:name="heading 4"/>
    <w:lsdException w:qFormat="1" w:uiPriority="9" w:semiHidden="0" w:name="heading 5"/>
    <w:lsdException w:qFormat="1" w:uiPriority="9" w:semiHidden="0" w:name="heading 6"/>
    <w:lsdException w:qFormat="1" w:uiPriority="9" w:semiHidden="0" w:name="heading 7"/>
    <w:lsdException w:qFormat="1" w:uiPriority="99" w:semiHidden="0" w:name="heading 8"/>
    <w:lsdException w:qFormat="1" w:uiPriority="99" w:semiHidden="0" w:name="heading 9"/>
    <w:lsdException w:qFormat="1" w:unhideWhenUsed="0" w:uiPriority="0" w:semiHidden="0" w:name="index 1"/>
    <w:lsdException w:qFormat="1" w:unhideWhenUsed="0" w:uiPriority="0" w:semiHidden="0"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iPriority="99" w:semiHidden="0" w:name="Normal Indent"/>
    <w:lsdException w:uiPriority="99" w:name="footnote text"/>
    <w:lsdException w:qFormat="1" w:uiPriority="99" w:semiHidden="0" w:name="annotation text"/>
    <w:lsdException w:qFormat="1" w:uiPriority="0" w:semiHidden="0" w:name="header"/>
    <w:lsdException w:qFormat="1" w:uiPriority="0" w:semiHidden="0" w:name="footer"/>
    <w:lsdException w:qFormat="1" w:unhideWhenUsed="0" w:uiPriority="99" w:semiHidden="0" w:name="index heading"/>
    <w:lsdException w:qFormat="1" w:unhideWhenUsed="0" w:uiPriority="0" w:semiHidden="0" w:name="caption"/>
    <w:lsdException w:qFormat="1" w:unhideWhenUsed="0" w:uiPriority="0" w:semiHidden="0"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qFormat="1" w:unhideWhenUsed="0" w:uiPriority="0" w:semiHidden="0" w:name="table of authorities"/>
    <w:lsdException w:uiPriority="99" w:name="macro"/>
    <w:lsdException w:uiPriority="99" w:name="toa heading"/>
    <w:lsdException w:qFormat="1" w:uiPriority="99"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99" w:semiHidden="0" w:name="Title"/>
    <w:lsdException w:uiPriority="99" w:name="Closing"/>
    <w:lsdException w:uiPriority="99" w:name="Signature"/>
    <w:lsdException w:qFormat="1" w:uiPriority="1" w:semiHidden="0"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qFormat="1" w:unhideWhenUsed="0" w:uiPriority="0" w:semiHidden="0"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99" w:semiHidden="0" w:name="Date"/>
    <w:lsdException w:qFormat="1" w:unhideWhenUsed="0" w:uiPriority="0" w:semiHidden="0" w:name="Body Text First Indent"/>
    <w:lsdException w:qFormat="1" w:unhideWhenUsed="0" w:uiPriority="99" w:semiHidden="0" w:name="Body Text First Indent 2"/>
    <w:lsdException w:qFormat="1" w:unhideWhenUsed="0" w:uiPriority="0" w:semiHidden="0" w:name="Note Heading"/>
    <w:lsdException w:qFormat="1" w:uiPriority="99" w:semiHidden="0" w:name="Body Text 2"/>
    <w:lsdException w:qFormat="1" w:unhideWhenUsed="0" w:uiPriority="0" w:semiHidden="0" w:name="Body Text 3"/>
    <w:lsdException w:qFormat="1" w:unhideWhenUsed="0" w:uiPriority="99" w:semiHidden="0" w:name="Body Text Indent 2"/>
    <w:lsdException w:qFormat="1" w:unhideWhenUsed="0" w:uiPriority="0" w:semiHidden="0" w:name="Body Text Indent 3"/>
    <w:lsdException w:qFormat="1" w:unhideWhenUsed="0" w:uiPriority="99" w:semiHidden="0" w:name="Block Text"/>
    <w:lsdException w:qFormat="1" w:unhideWhenUsed="0"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0" w:semiHidden="0"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99" w:semiHidden="0" w:name="Table Grid"/>
    <w:lsdException w:qFormat="1" w:unhideWhenUsed="0" w:uiPriority="0" w:semiHidden="0" w:name="Table Theme"/>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14:ligatures w14:val="standardContextual"/>
    </w:rPr>
  </w:style>
  <w:style w:type="paragraph" w:styleId="2">
    <w:name w:val="heading 1"/>
    <w:basedOn w:val="1"/>
    <w:next w:val="1"/>
    <w:link w:val="66"/>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68"/>
    <w:unhideWhenUsed/>
    <w:qFormat/>
    <w:uiPriority w:val="9"/>
    <w:pPr>
      <w:keepNext/>
      <w:keepLines/>
      <w:spacing w:before="160" w:after="80"/>
      <w:outlineLvl w:val="1"/>
    </w:pPr>
    <w:rPr>
      <w:rFonts w:asciiTheme="majorHAnsi" w:hAnsiTheme="majorHAnsi" w:eastAsiaTheme="majorEastAsia" w:cstheme="majorBidi"/>
      <w:color w:val="104862" w:themeColor="accent1" w:themeShade="BF"/>
      <w:sz w:val="40"/>
      <w:szCs w:val="40"/>
    </w:rPr>
  </w:style>
  <w:style w:type="paragraph" w:styleId="4">
    <w:name w:val="heading 3"/>
    <w:basedOn w:val="1"/>
    <w:next w:val="1"/>
    <w:link w:val="69"/>
    <w:unhideWhenUsed/>
    <w:qFormat/>
    <w:uiPriority w:val="9"/>
    <w:pPr>
      <w:keepNext/>
      <w:keepLines/>
      <w:spacing w:before="160" w:after="80"/>
      <w:outlineLvl w:val="2"/>
    </w:pPr>
    <w:rPr>
      <w:rFonts w:asciiTheme="majorHAnsi" w:hAnsiTheme="majorHAnsi" w:eastAsiaTheme="majorEastAsia" w:cstheme="majorBidi"/>
      <w:color w:val="104862" w:themeColor="accent1" w:themeShade="BF"/>
      <w:sz w:val="32"/>
      <w:szCs w:val="32"/>
    </w:rPr>
  </w:style>
  <w:style w:type="paragraph" w:styleId="5">
    <w:name w:val="heading 4"/>
    <w:basedOn w:val="1"/>
    <w:next w:val="1"/>
    <w:link w:val="70"/>
    <w:unhideWhenUsed/>
    <w:qFormat/>
    <w:uiPriority w:val="0"/>
    <w:pPr>
      <w:keepNext/>
      <w:keepLines/>
      <w:spacing w:before="80" w:after="40"/>
      <w:outlineLvl w:val="3"/>
    </w:pPr>
    <w:rPr>
      <w:rFonts w:cstheme="majorBidi"/>
      <w:color w:val="104862" w:themeColor="accent1" w:themeShade="BF"/>
      <w:sz w:val="28"/>
      <w:szCs w:val="28"/>
    </w:rPr>
  </w:style>
  <w:style w:type="paragraph" w:styleId="6">
    <w:name w:val="heading 5"/>
    <w:basedOn w:val="1"/>
    <w:next w:val="1"/>
    <w:link w:val="71"/>
    <w:unhideWhenUsed/>
    <w:qFormat/>
    <w:uiPriority w:val="9"/>
    <w:pPr>
      <w:keepNext/>
      <w:keepLines/>
      <w:spacing w:before="80" w:after="40"/>
      <w:outlineLvl w:val="4"/>
    </w:pPr>
    <w:rPr>
      <w:rFonts w:cstheme="majorBidi"/>
      <w:color w:val="104862" w:themeColor="accent1" w:themeShade="BF"/>
      <w:sz w:val="24"/>
      <w:szCs w:val="24"/>
    </w:rPr>
  </w:style>
  <w:style w:type="paragraph" w:styleId="7">
    <w:name w:val="heading 6"/>
    <w:basedOn w:val="1"/>
    <w:next w:val="1"/>
    <w:link w:val="72"/>
    <w:unhideWhenUsed/>
    <w:qFormat/>
    <w:uiPriority w:val="9"/>
    <w:pPr>
      <w:keepNext/>
      <w:keepLines/>
      <w:spacing w:before="40"/>
      <w:outlineLvl w:val="5"/>
    </w:pPr>
    <w:rPr>
      <w:rFonts w:cstheme="majorBidi"/>
      <w:b/>
      <w:bCs/>
      <w:color w:val="104862" w:themeColor="accent1" w:themeShade="BF"/>
    </w:rPr>
  </w:style>
  <w:style w:type="paragraph" w:styleId="8">
    <w:name w:val="heading 7"/>
    <w:basedOn w:val="1"/>
    <w:next w:val="1"/>
    <w:link w:val="73"/>
    <w:unhideWhenUsed/>
    <w:qFormat/>
    <w:uiPriority w:val="9"/>
    <w:pPr>
      <w:keepNext/>
      <w:keepLines/>
      <w:spacing w:before="40"/>
      <w:outlineLvl w:val="6"/>
    </w:pPr>
    <w:rPr>
      <w:rFonts w:cstheme="majorBidi"/>
      <w:b/>
      <w:bCs/>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74"/>
    <w:unhideWhenUsed/>
    <w:qFormat/>
    <w:uiPriority w:val="99"/>
    <w:pPr>
      <w:keepNext/>
      <w:keepLines/>
      <w:outlineLvl w:val="7"/>
    </w:pPr>
    <w:rPr>
      <w:rFonts w:cstheme="majorBidi"/>
      <w:color w:val="595959" w:themeColor="text1" w:themeTint="A6"/>
      <w14:textFill>
        <w14:solidFill>
          <w14:schemeClr w14:val="tx1">
            <w14:lumMod w14:val="65000"/>
            <w14:lumOff w14:val="35000"/>
          </w14:schemeClr>
        </w14:solidFill>
      </w14:textFill>
    </w:rPr>
  </w:style>
  <w:style w:type="paragraph" w:styleId="10">
    <w:name w:val="heading 9"/>
    <w:basedOn w:val="1"/>
    <w:next w:val="1"/>
    <w:link w:val="75"/>
    <w:unhideWhenUsed/>
    <w:qFormat/>
    <w:uiPriority w:val="99"/>
    <w:pPr>
      <w:keepNext/>
      <w:keepLines/>
      <w:outlineLvl w:val="8"/>
    </w:pPr>
    <w:rPr>
      <w:rFonts w:eastAsiaTheme="majorEastAsia" w:cstheme="majorBidi"/>
      <w:color w:val="595959" w:themeColor="text1" w:themeTint="A6"/>
      <w14:textFill>
        <w14:solidFill>
          <w14:schemeClr w14:val="tx1">
            <w14:lumMod w14:val="65000"/>
            <w14:lumOff w14:val="35000"/>
          </w14:schemeClr>
        </w14:solidFill>
      </w14:textFill>
    </w:rPr>
  </w:style>
  <w:style w:type="character" w:default="1" w:styleId="54">
    <w:name w:val="Default Paragraph Font"/>
    <w:unhideWhenUsed/>
    <w:qFormat/>
    <w:uiPriority w:val="1"/>
  </w:style>
  <w:style w:type="table" w:default="1" w:styleId="51">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uiPriority w:val="39"/>
    <w:pPr>
      <w:ind w:left="1260"/>
      <w:jc w:val="left"/>
    </w:pPr>
    <w:rPr>
      <w:rFonts w:cs="Calibri"/>
      <w:sz w:val="18"/>
      <w:szCs w:val="18"/>
    </w:rPr>
  </w:style>
  <w:style w:type="paragraph" w:styleId="12">
    <w:name w:val="table of authorities"/>
    <w:basedOn w:val="1"/>
    <w:next w:val="1"/>
    <w:qFormat/>
    <w:uiPriority w:val="0"/>
    <w:pPr>
      <w:ind w:left="420" w:leftChars="200"/>
    </w:pPr>
    <w:rPr>
      <w:rFonts w:ascii="Times New Roman" w:hAnsi="Times New Roman"/>
      <w:szCs w:val="24"/>
    </w:rPr>
  </w:style>
  <w:style w:type="paragraph" w:styleId="13">
    <w:name w:val="Note Heading"/>
    <w:basedOn w:val="1"/>
    <w:next w:val="1"/>
    <w:link w:val="214"/>
    <w:qFormat/>
    <w:uiPriority w:val="0"/>
    <w:pPr>
      <w:jc w:val="center"/>
    </w:pPr>
    <w:rPr>
      <w:rFonts w:ascii="Times New Roman" w:hAnsi="Times New Roman" w:cstheme="minorBidi"/>
    </w:rPr>
  </w:style>
  <w:style w:type="paragraph" w:styleId="14">
    <w:name w:val="Normal Indent"/>
    <w:basedOn w:val="1"/>
    <w:link w:val="279"/>
    <w:unhideWhenUsed/>
    <w:qFormat/>
    <w:uiPriority w:val="99"/>
    <w:pPr>
      <w:ind w:firstLine="420" w:firstLineChars="200"/>
    </w:pPr>
    <w:rPr>
      <w:rFonts w:ascii="Times New Roman" w:hAnsi="Times New Roman"/>
      <w:szCs w:val="21"/>
    </w:rPr>
  </w:style>
  <w:style w:type="paragraph" w:styleId="15">
    <w:name w:val="caption"/>
    <w:basedOn w:val="1"/>
    <w:next w:val="1"/>
    <w:link w:val="61"/>
    <w:qFormat/>
    <w:uiPriority w:val="0"/>
    <w:pPr>
      <w:spacing w:line="500" w:lineRule="atLeast"/>
      <w:jc w:val="center"/>
    </w:pPr>
    <w:rPr>
      <w:rFonts w:ascii="黑体" w:hAnsi="黑体" w:eastAsia="黑体" w:cs="黑体"/>
      <w:szCs w:val="21"/>
    </w:rPr>
  </w:style>
  <w:style w:type="paragraph" w:styleId="16">
    <w:name w:val="Document Map"/>
    <w:basedOn w:val="1"/>
    <w:link w:val="245"/>
    <w:unhideWhenUsed/>
    <w:qFormat/>
    <w:uiPriority w:val="0"/>
    <w:rPr>
      <w:rFonts w:ascii="宋体" w:hAnsi="Times New Roman"/>
      <w:kern w:val="0"/>
      <w:sz w:val="18"/>
      <w:szCs w:val="18"/>
    </w:rPr>
  </w:style>
  <w:style w:type="paragraph" w:styleId="17">
    <w:name w:val="annotation text"/>
    <w:basedOn w:val="1"/>
    <w:link w:val="343"/>
    <w:unhideWhenUsed/>
    <w:qFormat/>
    <w:uiPriority w:val="99"/>
    <w:pPr>
      <w:jc w:val="left"/>
    </w:pPr>
  </w:style>
  <w:style w:type="paragraph" w:styleId="18">
    <w:name w:val="Body Text 3"/>
    <w:basedOn w:val="1"/>
    <w:link w:val="241"/>
    <w:qFormat/>
    <w:uiPriority w:val="0"/>
    <w:rPr>
      <w:rFonts w:ascii="Times New Roman" w:hAnsi="Times New Roman" w:cstheme="minorBidi"/>
      <w:sz w:val="18"/>
      <w:szCs w:val="24"/>
    </w:rPr>
  </w:style>
  <w:style w:type="paragraph" w:styleId="19">
    <w:name w:val="Body Text"/>
    <w:basedOn w:val="1"/>
    <w:link w:val="350"/>
    <w:unhideWhenUsed/>
    <w:qFormat/>
    <w:uiPriority w:val="0"/>
    <w:pPr>
      <w:spacing w:after="120"/>
    </w:pPr>
  </w:style>
  <w:style w:type="paragraph" w:styleId="20">
    <w:name w:val="Body Text Indent"/>
    <w:basedOn w:val="1"/>
    <w:next w:val="19"/>
    <w:link w:val="317"/>
    <w:unhideWhenUsed/>
    <w:qFormat/>
    <w:uiPriority w:val="0"/>
    <w:pPr>
      <w:spacing w:after="120"/>
      <w:ind w:left="420" w:leftChars="200"/>
    </w:pPr>
  </w:style>
  <w:style w:type="paragraph" w:styleId="21">
    <w:name w:val="Block Text"/>
    <w:basedOn w:val="1"/>
    <w:qFormat/>
    <w:uiPriority w:val="99"/>
    <w:pPr>
      <w:spacing w:line="480" w:lineRule="exact"/>
      <w:ind w:left="-125" w:right="-56" w:firstLine="570"/>
    </w:pPr>
    <w:rPr>
      <w:rFonts w:ascii="等线" w:hAnsi="等线"/>
      <w:sz w:val="28"/>
      <w:szCs w:val="24"/>
    </w:rPr>
  </w:style>
  <w:style w:type="paragraph" w:styleId="22">
    <w:name w:val="toc 5"/>
    <w:basedOn w:val="1"/>
    <w:next w:val="1"/>
    <w:qFormat/>
    <w:uiPriority w:val="39"/>
    <w:pPr>
      <w:ind w:left="840"/>
      <w:jc w:val="left"/>
    </w:pPr>
    <w:rPr>
      <w:rFonts w:cs="Calibri"/>
      <w:sz w:val="18"/>
      <w:szCs w:val="18"/>
    </w:rPr>
  </w:style>
  <w:style w:type="paragraph" w:styleId="23">
    <w:name w:val="toc 3"/>
    <w:basedOn w:val="1"/>
    <w:next w:val="1"/>
    <w:qFormat/>
    <w:uiPriority w:val="39"/>
    <w:pPr>
      <w:ind w:left="420"/>
      <w:jc w:val="left"/>
    </w:pPr>
    <w:rPr>
      <w:rFonts w:cs="Calibri"/>
      <w:i/>
      <w:iCs/>
      <w:sz w:val="20"/>
      <w:szCs w:val="20"/>
    </w:rPr>
  </w:style>
  <w:style w:type="paragraph" w:styleId="24">
    <w:name w:val="Plain Text"/>
    <w:basedOn w:val="1"/>
    <w:link w:val="119"/>
    <w:qFormat/>
    <w:uiPriority w:val="0"/>
    <w:rPr>
      <w:rFonts w:ascii="宋体" w:hAnsi="Courier New"/>
      <w:kern w:val="0"/>
      <w:sz w:val="24"/>
      <w:szCs w:val="20"/>
    </w:rPr>
  </w:style>
  <w:style w:type="paragraph" w:styleId="25">
    <w:name w:val="toc 8"/>
    <w:basedOn w:val="1"/>
    <w:next w:val="1"/>
    <w:qFormat/>
    <w:uiPriority w:val="39"/>
    <w:pPr>
      <w:ind w:left="1470"/>
      <w:jc w:val="left"/>
    </w:pPr>
    <w:rPr>
      <w:rFonts w:cs="Calibri"/>
      <w:sz w:val="18"/>
      <w:szCs w:val="18"/>
    </w:rPr>
  </w:style>
  <w:style w:type="paragraph" w:styleId="26">
    <w:name w:val="Date"/>
    <w:basedOn w:val="1"/>
    <w:next w:val="1"/>
    <w:link w:val="89"/>
    <w:qFormat/>
    <w:uiPriority w:val="99"/>
    <w:rPr>
      <w:rFonts w:ascii="宋体" w:hAnsi="Times New Roman"/>
      <w:szCs w:val="20"/>
    </w:rPr>
  </w:style>
  <w:style w:type="paragraph" w:styleId="27">
    <w:name w:val="Body Text Indent 2"/>
    <w:basedOn w:val="1"/>
    <w:link w:val="127"/>
    <w:qFormat/>
    <w:uiPriority w:val="99"/>
    <w:pPr>
      <w:spacing w:after="120" w:line="480" w:lineRule="auto"/>
      <w:ind w:left="420" w:leftChars="200"/>
    </w:pPr>
    <w:rPr>
      <w:rFonts w:ascii="Times New Roman" w:hAnsi="Times New Roman"/>
      <w:kern w:val="0"/>
      <w:sz w:val="20"/>
      <w:szCs w:val="21"/>
    </w:rPr>
  </w:style>
  <w:style w:type="paragraph" w:styleId="28">
    <w:name w:val="Balloon Text"/>
    <w:basedOn w:val="1"/>
    <w:link w:val="175"/>
    <w:unhideWhenUsed/>
    <w:qFormat/>
    <w:uiPriority w:val="0"/>
    <w:rPr>
      <w:rFonts w:asciiTheme="minorHAnsi" w:hAnsiTheme="minorHAnsi" w:eastAsiaTheme="minorEastAsia" w:cstheme="minorBidi"/>
      <w:sz w:val="18"/>
      <w:szCs w:val="18"/>
    </w:rPr>
  </w:style>
  <w:style w:type="paragraph" w:styleId="29">
    <w:name w:val="footer"/>
    <w:basedOn w:val="1"/>
    <w:link w:val="88"/>
    <w:unhideWhenUsed/>
    <w:qFormat/>
    <w:uiPriority w:val="0"/>
    <w:pPr>
      <w:tabs>
        <w:tab w:val="center" w:pos="4153"/>
        <w:tab w:val="right" w:pos="8306"/>
      </w:tabs>
      <w:snapToGrid w:val="0"/>
      <w:jc w:val="left"/>
    </w:pPr>
    <w:rPr>
      <w:sz w:val="18"/>
      <w:szCs w:val="18"/>
    </w:rPr>
  </w:style>
  <w:style w:type="paragraph" w:styleId="30">
    <w:name w:val="header"/>
    <w:basedOn w:val="1"/>
    <w:link w:val="87"/>
    <w:unhideWhenUsed/>
    <w:qFormat/>
    <w:uiPriority w:val="0"/>
    <w:pPr>
      <w:tabs>
        <w:tab w:val="center" w:pos="4153"/>
        <w:tab w:val="right" w:pos="8306"/>
      </w:tabs>
      <w:snapToGrid w:val="0"/>
      <w:jc w:val="center"/>
    </w:pPr>
    <w:rPr>
      <w:sz w:val="18"/>
      <w:szCs w:val="18"/>
    </w:rPr>
  </w:style>
  <w:style w:type="paragraph" w:styleId="31">
    <w:name w:val="toc 1"/>
    <w:basedOn w:val="1"/>
    <w:next w:val="1"/>
    <w:qFormat/>
    <w:uiPriority w:val="39"/>
    <w:pPr>
      <w:spacing w:before="120" w:after="120" w:line="500" w:lineRule="exact"/>
    </w:pPr>
    <w:rPr>
      <w:rFonts w:ascii="宋体" w:hAnsi="宋体" w:cs="Calibri"/>
      <w:b/>
      <w:bCs/>
      <w:caps/>
      <w:sz w:val="24"/>
      <w:szCs w:val="20"/>
    </w:rPr>
  </w:style>
  <w:style w:type="paragraph" w:styleId="32">
    <w:name w:val="List Continue 4"/>
    <w:basedOn w:val="1"/>
    <w:qFormat/>
    <w:uiPriority w:val="0"/>
    <w:pPr>
      <w:spacing w:after="120"/>
      <w:ind w:left="1680"/>
    </w:pPr>
    <w:rPr>
      <w:rFonts w:ascii="Times New Roman" w:hAnsi="Times New Roman"/>
      <w:szCs w:val="20"/>
    </w:rPr>
  </w:style>
  <w:style w:type="paragraph" w:styleId="33">
    <w:name w:val="toc 4"/>
    <w:basedOn w:val="1"/>
    <w:next w:val="1"/>
    <w:qFormat/>
    <w:uiPriority w:val="39"/>
    <w:pPr>
      <w:ind w:left="630"/>
      <w:jc w:val="left"/>
    </w:pPr>
    <w:rPr>
      <w:rFonts w:cs="Calibri"/>
      <w:sz w:val="18"/>
      <w:szCs w:val="18"/>
    </w:rPr>
  </w:style>
  <w:style w:type="paragraph" w:styleId="34">
    <w:name w:val="index heading"/>
    <w:basedOn w:val="1"/>
    <w:next w:val="35"/>
    <w:qFormat/>
    <w:uiPriority w:val="99"/>
    <w:rPr>
      <w:rFonts w:hint="eastAsia" w:ascii="Cambria" w:hAnsi="Cambria"/>
      <w:b/>
      <w:szCs w:val="24"/>
    </w:rPr>
  </w:style>
  <w:style w:type="paragraph" w:styleId="35">
    <w:name w:val="index 1"/>
    <w:basedOn w:val="1"/>
    <w:next w:val="1"/>
    <w:qFormat/>
    <w:uiPriority w:val="0"/>
    <w:pPr>
      <w:spacing w:line="380" w:lineRule="exact"/>
      <w:jc w:val="center"/>
    </w:pPr>
    <w:rPr>
      <w:rFonts w:ascii="Times New Roman" w:hAnsi="Times New Roman"/>
      <w:szCs w:val="24"/>
    </w:rPr>
  </w:style>
  <w:style w:type="paragraph" w:styleId="36">
    <w:name w:val="Subtitle"/>
    <w:basedOn w:val="1"/>
    <w:next w:val="1"/>
    <w:link w:val="77"/>
    <w:qFormat/>
    <w:uiPriority w:val="11"/>
    <w:pPr>
      <w:spacing w:after="160"/>
      <w:jc w:val="center"/>
    </w:pPr>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37">
    <w:name w:val="List"/>
    <w:basedOn w:val="1"/>
    <w:unhideWhenUsed/>
    <w:qFormat/>
    <w:uiPriority w:val="99"/>
    <w:pPr>
      <w:ind w:left="200" w:hanging="200" w:hangingChars="200"/>
      <w:contextualSpacing/>
    </w:pPr>
  </w:style>
  <w:style w:type="paragraph" w:styleId="38">
    <w:name w:val="toc 6"/>
    <w:basedOn w:val="1"/>
    <w:next w:val="1"/>
    <w:qFormat/>
    <w:uiPriority w:val="39"/>
    <w:pPr>
      <w:ind w:left="1050"/>
      <w:jc w:val="left"/>
    </w:pPr>
    <w:rPr>
      <w:rFonts w:cs="Calibri"/>
      <w:sz w:val="18"/>
      <w:szCs w:val="18"/>
    </w:rPr>
  </w:style>
  <w:style w:type="paragraph" w:styleId="39">
    <w:name w:val="Body Text Indent 3"/>
    <w:basedOn w:val="1"/>
    <w:link w:val="267"/>
    <w:qFormat/>
    <w:uiPriority w:val="0"/>
    <w:pPr>
      <w:adjustRightInd w:val="0"/>
      <w:snapToGrid w:val="0"/>
      <w:spacing w:line="300" w:lineRule="auto"/>
      <w:ind w:firstLine="538" w:firstLineChars="192"/>
    </w:pPr>
    <w:rPr>
      <w:rFonts w:ascii="宋体" w:hAnsi="Times New Roman" w:cstheme="minorBidi"/>
      <w:color w:val="FF0000"/>
      <w:sz w:val="28"/>
      <w:szCs w:val="24"/>
    </w:rPr>
  </w:style>
  <w:style w:type="paragraph" w:styleId="40">
    <w:name w:val="table of figures"/>
    <w:basedOn w:val="1"/>
    <w:next w:val="1"/>
    <w:qFormat/>
    <w:uiPriority w:val="0"/>
    <w:pPr>
      <w:spacing w:line="500" w:lineRule="exact"/>
    </w:pPr>
    <w:rPr>
      <w:rFonts w:ascii="宋体" w:hAnsi="宋体"/>
      <w:spacing w:val="-8"/>
      <w:kern w:val="0"/>
      <w:sz w:val="24"/>
      <w:szCs w:val="21"/>
    </w:rPr>
  </w:style>
  <w:style w:type="paragraph" w:styleId="41">
    <w:name w:val="toc 2"/>
    <w:basedOn w:val="1"/>
    <w:next w:val="1"/>
    <w:qFormat/>
    <w:uiPriority w:val="39"/>
    <w:pPr>
      <w:spacing w:line="500" w:lineRule="exact"/>
      <w:ind w:left="210"/>
    </w:pPr>
    <w:rPr>
      <w:rFonts w:ascii="宋体" w:hAnsi="宋体" w:cs="Calibri"/>
      <w:smallCaps/>
      <w:sz w:val="24"/>
      <w:szCs w:val="20"/>
    </w:rPr>
  </w:style>
  <w:style w:type="paragraph" w:styleId="42">
    <w:name w:val="toc 9"/>
    <w:basedOn w:val="1"/>
    <w:next w:val="1"/>
    <w:qFormat/>
    <w:uiPriority w:val="39"/>
    <w:pPr>
      <w:ind w:left="1680"/>
      <w:jc w:val="left"/>
    </w:pPr>
    <w:rPr>
      <w:rFonts w:cs="Calibri"/>
      <w:sz w:val="18"/>
      <w:szCs w:val="18"/>
    </w:rPr>
  </w:style>
  <w:style w:type="paragraph" w:styleId="43">
    <w:name w:val="Body Text 2"/>
    <w:basedOn w:val="1"/>
    <w:link w:val="206"/>
    <w:unhideWhenUsed/>
    <w:qFormat/>
    <w:uiPriority w:val="99"/>
    <w:pPr>
      <w:spacing w:after="120" w:line="480" w:lineRule="auto"/>
    </w:pPr>
    <w:rPr>
      <w:rFonts w:ascii="Times New Roman" w:hAnsi="Times New Roman"/>
      <w:szCs w:val="21"/>
    </w:rPr>
  </w:style>
  <w:style w:type="paragraph" w:styleId="44">
    <w:name w:val="HTML Preformatted"/>
    <w:basedOn w:val="1"/>
    <w:link w:val="137"/>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Pr>
      <w:rFonts w:ascii="黑体" w:hAnsi="Courier New" w:cs="Courier New"/>
      <w:b/>
      <w:bCs/>
      <w:sz w:val="44"/>
    </w:rPr>
  </w:style>
  <w:style w:type="paragraph" w:styleId="45">
    <w:name w:val="Normal (Web)"/>
    <w:basedOn w:val="1"/>
    <w:link w:val="492"/>
    <w:unhideWhenUsed/>
    <w:qFormat/>
    <w:uiPriority w:val="99"/>
    <w:pPr>
      <w:widowControl/>
      <w:jc w:val="left"/>
    </w:pPr>
    <w:rPr>
      <w:rFonts w:ascii="Times New Roman" w:hAnsi="Times New Roman" w:cs="宋体"/>
      <w:kern w:val="0"/>
      <w:sz w:val="24"/>
      <w:szCs w:val="24"/>
    </w:rPr>
  </w:style>
  <w:style w:type="paragraph" w:styleId="46">
    <w:name w:val="index 2"/>
    <w:basedOn w:val="1"/>
    <w:next w:val="1"/>
    <w:qFormat/>
    <w:uiPriority w:val="0"/>
    <w:pPr>
      <w:ind w:left="200" w:leftChars="200"/>
    </w:pPr>
    <w:rPr>
      <w:rFonts w:ascii="Times New Roman" w:hAnsi="Times New Roman"/>
      <w:szCs w:val="24"/>
    </w:rPr>
  </w:style>
  <w:style w:type="paragraph" w:styleId="47">
    <w:name w:val="Title"/>
    <w:basedOn w:val="1"/>
    <w:next w:val="1"/>
    <w:link w:val="76"/>
    <w:qFormat/>
    <w:uiPriority w:val="99"/>
    <w:pPr>
      <w:spacing w:after="80"/>
      <w:contextualSpacing/>
      <w:jc w:val="center"/>
    </w:pPr>
    <w:rPr>
      <w:rFonts w:asciiTheme="majorHAnsi" w:hAnsiTheme="majorHAnsi" w:eastAsiaTheme="majorEastAsia" w:cstheme="majorBidi"/>
      <w:spacing w:val="-10"/>
      <w:kern w:val="28"/>
      <w:sz w:val="56"/>
      <w:szCs w:val="56"/>
    </w:rPr>
  </w:style>
  <w:style w:type="paragraph" w:styleId="48">
    <w:name w:val="annotation subject"/>
    <w:basedOn w:val="17"/>
    <w:next w:val="17"/>
    <w:link w:val="261"/>
    <w:qFormat/>
    <w:uiPriority w:val="99"/>
    <w:rPr>
      <w:rFonts w:ascii="Times New Roman" w:hAnsi="Times New Roman"/>
      <w:b/>
      <w:bCs/>
      <w:kern w:val="0"/>
      <w:sz w:val="20"/>
      <w:szCs w:val="21"/>
    </w:rPr>
  </w:style>
  <w:style w:type="paragraph" w:styleId="49">
    <w:name w:val="Body Text First Indent"/>
    <w:basedOn w:val="19"/>
    <w:link w:val="248"/>
    <w:qFormat/>
    <w:uiPriority w:val="0"/>
    <w:pPr>
      <w:widowControl/>
      <w:ind w:firstLine="420" w:firstLineChars="100"/>
      <w:jc w:val="left"/>
    </w:pPr>
    <w:rPr>
      <w:rFonts w:ascii="宋体" w:hAnsi="宋体"/>
      <w:kern w:val="0"/>
      <w:sz w:val="24"/>
      <w:szCs w:val="24"/>
    </w:rPr>
  </w:style>
  <w:style w:type="paragraph" w:styleId="50">
    <w:name w:val="Body Text First Indent 2"/>
    <w:basedOn w:val="20"/>
    <w:next w:val="1"/>
    <w:link w:val="243"/>
    <w:qFormat/>
    <w:uiPriority w:val="99"/>
    <w:pPr>
      <w:ind w:firstLine="420" w:firstLineChars="200"/>
    </w:pPr>
    <w:rPr>
      <w:rFonts w:ascii="Times New Roman" w:hAnsi="Times New Roman"/>
      <w:kern w:val="0"/>
      <w:sz w:val="20"/>
      <w:szCs w:val="24"/>
    </w:rPr>
  </w:style>
  <w:style w:type="table" w:styleId="52">
    <w:name w:val="Table Grid"/>
    <w:basedOn w:val="51"/>
    <w:qFormat/>
    <w:uiPriority w:val="99"/>
    <w:pPr>
      <w:spacing w:line="320" w:lineRule="exact"/>
      <w:jc w:val="center"/>
    </w:pPr>
    <w:rPr>
      <w:rFonts w:ascii="宋体" w:hAnsi="宋体" w:cs="宋体"/>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vAlign w:val="center"/>
    </w:tcPr>
  </w:style>
  <w:style w:type="table" w:styleId="53">
    <w:name w:val="Table Theme"/>
    <w:basedOn w:val="5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5">
    <w:name w:val="Strong"/>
    <w:qFormat/>
    <w:uiPriority w:val="22"/>
    <w:rPr>
      <w:b/>
      <w:bCs/>
    </w:rPr>
  </w:style>
  <w:style w:type="character" w:styleId="56">
    <w:name w:val="page number"/>
    <w:qFormat/>
    <w:uiPriority w:val="0"/>
  </w:style>
  <w:style w:type="character" w:styleId="57">
    <w:name w:val="FollowedHyperlink"/>
    <w:unhideWhenUsed/>
    <w:qFormat/>
    <w:uiPriority w:val="99"/>
    <w:rPr>
      <w:color w:val="800080"/>
      <w:u w:val="single"/>
    </w:rPr>
  </w:style>
  <w:style w:type="character" w:styleId="58">
    <w:name w:val="Emphasis"/>
    <w:qFormat/>
    <w:uiPriority w:val="20"/>
    <w:rPr>
      <w:i/>
      <w:iCs/>
    </w:rPr>
  </w:style>
  <w:style w:type="character" w:styleId="59">
    <w:name w:val="Hyperlink"/>
    <w:qFormat/>
    <w:uiPriority w:val="99"/>
    <w:rPr>
      <w:color w:val="0000FF"/>
      <w:u w:val="single"/>
    </w:rPr>
  </w:style>
  <w:style w:type="character" w:styleId="60">
    <w:name w:val="annotation reference"/>
    <w:qFormat/>
    <w:uiPriority w:val="0"/>
    <w:rPr>
      <w:sz w:val="21"/>
      <w:szCs w:val="21"/>
    </w:rPr>
  </w:style>
  <w:style w:type="character" w:customStyle="1" w:styleId="61">
    <w:name w:val="题注 字符"/>
    <w:link w:val="15"/>
    <w:qFormat/>
    <w:uiPriority w:val="0"/>
    <w:rPr>
      <w:rFonts w:ascii="黑体" w:hAnsi="黑体" w:eastAsia="黑体" w:cs="黑体"/>
      <w:szCs w:val="21"/>
    </w:rPr>
  </w:style>
  <w:style w:type="paragraph" w:customStyle="1" w:styleId="62">
    <w:name w:val="默认段落"/>
    <w:basedOn w:val="1"/>
    <w:qFormat/>
    <w:uiPriority w:val="0"/>
    <w:rPr>
      <w:rFonts w:asciiTheme="minorHAnsi" w:hAnsiTheme="minorHAnsi" w:cstheme="minorBidi"/>
    </w:rPr>
  </w:style>
  <w:style w:type="table" w:customStyle="1" w:styleId="63">
    <w:name w:val="表格式"/>
    <w:basedOn w:val="51"/>
    <w:qFormat/>
    <w:uiPriority w:val="99"/>
    <w:pPr>
      <w:spacing w:line="360" w:lineRule="exact"/>
    </w:pPr>
    <w:rPr>
      <w:rFonts w:ascii="宋体" w:hAnsi="宋体" w:cs="宋体"/>
      <w:szCs w:val="21"/>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64">
    <w:name w:val="样式1"/>
    <w:basedOn w:val="51"/>
    <w:qFormat/>
    <w:uiPriority w:val="99"/>
    <w:pPr>
      <w:spacing w:line="320" w:lineRule="exact"/>
    </w:pPr>
    <w:rPr>
      <w:rFonts w:ascii="宋体" w:hAnsi="宋体" w:cs="宋体"/>
      <w:szCs w:val="21"/>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paragraph" w:customStyle="1" w:styleId="65">
    <w:name w:val="一级标题（新）"/>
    <w:basedOn w:val="2"/>
    <w:autoRedefine/>
    <w:qFormat/>
    <w:uiPriority w:val="0"/>
    <w:pPr>
      <w:widowControl/>
      <w:adjustRightInd w:val="0"/>
      <w:snapToGrid w:val="0"/>
      <w:spacing w:before="0" w:after="0" w:line="360" w:lineRule="auto"/>
      <w:jc w:val="left"/>
    </w:pPr>
    <w:rPr>
      <w:rFonts w:ascii="仿宋_GB2312" w:hAnsi="黑体" w:eastAsia="仿宋_GB2312" w:cs="黑体"/>
      <w:bCs w:val="0"/>
      <w:sz w:val="32"/>
    </w:rPr>
  </w:style>
  <w:style w:type="character" w:customStyle="1" w:styleId="66">
    <w:name w:val="标题 1 字符"/>
    <w:basedOn w:val="54"/>
    <w:link w:val="2"/>
    <w:qFormat/>
    <w:uiPriority w:val="9"/>
    <w:rPr>
      <w:b/>
      <w:bCs/>
      <w:kern w:val="44"/>
      <w:sz w:val="44"/>
      <w:szCs w:val="44"/>
    </w:rPr>
  </w:style>
  <w:style w:type="table" w:customStyle="1" w:styleId="67">
    <w:name w:val="样式3"/>
    <w:basedOn w:val="51"/>
    <w:qFormat/>
    <w:uiPriority w:val="99"/>
    <w:rPr>
      <w:rFonts w:ascii="等线" w:hAnsi="等线" w:eastAsia="等线" w:cs="等线"/>
    </w:rPr>
    <w:tblPr>
      <w:tblBorders>
        <w:top w:val="single" w:color="auto" w:sz="12" w:space="0"/>
        <w:bottom w:val="single" w:color="auto" w:sz="12" w:space="0"/>
        <w:insideH w:val="single" w:color="auto" w:sz="4" w:space="0"/>
        <w:insideV w:val="single" w:color="auto" w:sz="4" w:space="0"/>
      </w:tblBorders>
    </w:tblPr>
    <w:tblStylePr w:type="firstRow">
      <w:tcPr>
        <w:tcBorders>
          <w:top w:val="single" w:color="auto" w:sz="12" w:space="0"/>
          <w:left w:val="nil"/>
          <w:bottom w:val="single" w:color="auto" w:sz="12" w:space="0"/>
          <w:right w:val="nil"/>
          <w:insideH w:val="nil"/>
          <w:insideV w:val="single" w:sz="4" w:space="0"/>
          <w:tl2br w:val="nil"/>
          <w:tr2bl w:val="nil"/>
        </w:tcBorders>
      </w:tcPr>
    </w:tblStylePr>
  </w:style>
  <w:style w:type="character" w:customStyle="1" w:styleId="68">
    <w:name w:val="标题 2 字符"/>
    <w:basedOn w:val="54"/>
    <w:link w:val="3"/>
    <w:qFormat/>
    <w:uiPriority w:val="9"/>
    <w:rPr>
      <w:rFonts w:asciiTheme="majorHAnsi" w:hAnsiTheme="majorHAnsi" w:eastAsiaTheme="majorEastAsia" w:cstheme="majorBidi"/>
      <w:color w:val="104862" w:themeColor="accent1" w:themeShade="BF"/>
      <w:sz w:val="40"/>
      <w:szCs w:val="40"/>
    </w:rPr>
  </w:style>
  <w:style w:type="character" w:customStyle="1" w:styleId="69">
    <w:name w:val="标题 3 字符"/>
    <w:basedOn w:val="54"/>
    <w:link w:val="4"/>
    <w:qFormat/>
    <w:uiPriority w:val="9"/>
    <w:rPr>
      <w:rFonts w:asciiTheme="majorHAnsi" w:hAnsiTheme="majorHAnsi" w:eastAsiaTheme="majorEastAsia" w:cstheme="majorBidi"/>
      <w:color w:val="104862" w:themeColor="accent1" w:themeShade="BF"/>
      <w:sz w:val="32"/>
      <w:szCs w:val="32"/>
    </w:rPr>
  </w:style>
  <w:style w:type="character" w:customStyle="1" w:styleId="70">
    <w:name w:val="标题 4 字符"/>
    <w:basedOn w:val="54"/>
    <w:link w:val="5"/>
    <w:qFormat/>
    <w:uiPriority w:val="0"/>
    <w:rPr>
      <w:rFonts w:cstheme="majorBidi"/>
      <w:color w:val="104862" w:themeColor="accent1" w:themeShade="BF"/>
      <w:sz w:val="28"/>
      <w:szCs w:val="28"/>
    </w:rPr>
  </w:style>
  <w:style w:type="character" w:customStyle="1" w:styleId="71">
    <w:name w:val="标题 5 字符"/>
    <w:basedOn w:val="54"/>
    <w:link w:val="6"/>
    <w:semiHidden/>
    <w:qFormat/>
    <w:uiPriority w:val="9"/>
    <w:rPr>
      <w:rFonts w:cstheme="majorBidi"/>
      <w:color w:val="104862" w:themeColor="accent1" w:themeShade="BF"/>
      <w:sz w:val="24"/>
      <w:szCs w:val="24"/>
    </w:rPr>
  </w:style>
  <w:style w:type="character" w:customStyle="1" w:styleId="72">
    <w:name w:val="标题 6 字符"/>
    <w:basedOn w:val="54"/>
    <w:link w:val="7"/>
    <w:qFormat/>
    <w:uiPriority w:val="9"/>
    <w:rPr>
      <w:rFonts w:cstheme="majorBidi"/>
      <w:b/>
      <w:bCs/>
      <w:color w:val="104862" w:themeColor="accent1" w:themeShade="BF"/>
    </w:rPr>
  </w:style>
  <w:style w:type="character" w:customStyle="1" w:styleId="73">
    <w:name w:val="标题 7 字符"/>
    <w:basedOn w:val="54"/>
    <w:link w:val="8"/>
    <w:semiHidden/>
    <w:qFormat/>
    <w:uiPriority w:val="9"/>
    <w:rPr>
      <w:rFonts w:cstheme="majorBidi"/>
      <w:b/>
      <w:bCs/>
      <w:color w:val="595959" w:themeColor="text1" w:themeTint="A6"/>
      <w14:textFill>
        <w14:solidFill>
          <w14:schemeClr w14:val="tx1">
            <w14:lumMod w14:val="65000"/>
            <w14:lumOff w14:val="35000"/>
          </w14:schemeClr>
        </w14:solidFill>
      </w14:textFill>
    </w:rPr>
  </w:style>
  <w:style w:type="character" w:customStyle="1" w:styleId="74">
    <w:name w:val="标题 8 字符"/>
    <w:basedOn w:val="54"/>
    <w:link w:val="9"/>
    <w:qFormat/>
    <w:uiPriority w:val="99"/>
    <w:rPr>
      <w:rFonts w:cstheme="majorBidi"/>
      <w:color w:val="595959" w:themeColor="text1" w:themeTint="A6"/>
      <w14:textFill>
        <w14:solidFill>
          <w14:schemeClr w14:val="tx1">
            <w14:lumMod w14:val="65000"/>
            <w14:lumOff w14:val="35000"/>
          </w14:schemeClr>
        </w14:solidFill>
      </w14:textFill>
    </w:rPr>
  </w:style>
  <w:style w:type="character" w:customStyle="1" w:styleId="75">
    <w:name w:val="标题 9 字符"/>
    <w:basedOn w:val="54"/>
    <w:link w:val="10"/>
    <w:qFormat/>
    <w:uiPriority w:val="9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76">
    <w:name w:val="标题 字符"/>
    <w:basedOn w:val="54"/>
    <w:link w:val="47"/>
    <w:qFormat/>
    <w:uiPriority w:val="99"/>
    <w:rPr>
      <w:rFonts w:asciiTheme="majorHAnsi" w:hAnsiTheme="majorHAnsi" w:eastAsiaTheme="majorEastAsia" w:cstheme="majorBidi"/>
      <w:spacing w:val="-10"/>
      <w:kern w:val="28"/>
      <w:sz w:val="56"/>
      <w:szCs w:val="56"/>
    </w:rPr>
  </w:style>
  <w:style w:type="character" w:customStyle="1" w:styleId="77">
    <w:name w:val="副标题 字符"/>
    <w:basedOn w:val="54"/>
    <w:link w:val="36"/>
    <w:qFormat/>
    <w:uiPriority w:val="11"/>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78">
    <w:name w:val="Quote"/>
    <w:basedOn w:val="1"/>
    <w:next w:val="1"/>
    <w:link w:val="79"/>
    <w:qFormat/>
    <w:uiPriority w:val="29"/>
    <w:pPr>
      <w:spacing w:before="160" w:after="160"/>
      <w:jc w:val="center"/>
    </w:pPr>
    <w:rPr>
      <w:i/>
      <w:iCs/>
      <w:color w:val="404040" w:themeColor="text1" w:themeTint="BF"/>
      <w14:textFill>
        <w14:solidFill>
          <w14:schemeClr w14:val="tx1">
            <w14:lumMod w14:val="75000"/>
            <w14:lumOff w14:val="25000"/>
          </w14:schemeClr>
        </w14:solidFill>
      </w14:textFill>
    </w:rPr>
  </w:style>
  <w:style w:type="character" w:customStyle="1" w:styleId="79">
    <w:name w:val="引用 字符"/>
    <w:basedOn w:val="54"/>
    <w:link w:val="78"/>
    <w:qFormat/>
    <w:uiPriority w:val="29"/>
    <w:rPr>
      <w:i/>
      <w:iCs/>
      <w:color w:val="404040" w:themeColor="text1" w:themeTint="BF"/>
      <w14:textFill>
        <w14:solidFill>
          <w14:schemeClr w14:val="tx1">
            <w14:lumMod w14:val="75000"/>
            <w14:lumOff w14:val="25000"/>
          </w14:schemeClr>
        </w14:solidFill>
      </w14:textFill>
    </w:rPr>
  </w:style>
  <w:style w:type="paragraph" w:styleId="80">
    <w:name w:val="List Paragraph"/>
    <w:basedOn w:val="1"/>
    <w:link w:val="521"/>
    <w:qFormat/>
    <w:uiPriority w:val="1"/>
    <w:pPr>
      <w:ind w:left="720"/>
      <w:contextualSpacing/>
    </w:pPr>
  </w:style>
  <w:style w:type="character" w:customStyle="1" w:styleId="81">
    <w:name w:val="明显强调1"/>
    <w:basedOn w:val="54"/>
    <w:qFormat/>
    <w:uiPriority w:val="21"/>
    <w:rPr>
      <w:i/>
      <w:iCs/>
      <w:color w:val="104862" w:themeColor="accent1" w:themeShade="BF"/>
    </w:rPr>
  </w:style>
  <w:style w:type="paragraph" w:styleId="82">
    <w:name w:val="Intense Quote"/>
    <w:basedOn w:val="1"/>
    <w:next w:val="1"/>
    <w:link w:val="83"/>
    <w:qFormat/>
    <w:uiPriority w:val="30"/>
    <w:pPr>
      <w:pBdr>
        <w:top w:val="single" w:color="0F4761" w:themeColor="accent1" w:themeShade="BF" w:sz="4" w:space="10"/>
        <w:bottom w:val="single" w:color="0F4761" w:themeColor="accent1" w:themeShade="BF" w:sz="4" w:space="10"/>
      </w:pBdr>
      <w:spacing w:before="360" w:after="360"/>
      <w:ind w:left="864" w:right="864"/>
      <w:jc w:val="center"/>
    </w:pPr>
    <w:rPr>
      <w:i/>
      <w:iCs/>
      <w:color w:val="104862" w:themeColor="accent1" w:themeShade="BF"/>
    </w:rPr>
  </w:style>
  <w:style w:type="character" w:customStyle="1" w:styleId="83">
    <w:name w:val="明显引用 字符"/>
    <w:basedOn w:val="54"/>
    <w:link w:val="82"/>
    <w:qFormat/>
    <w:uiPriority w:val="30"/>
    <w:rPr>
      <w:i/>
      <w:iCs/>
      <w:color w:val="104862" w:themeColor="accent1" w:themeShade="BF"/>
    </w:rPr>
  </w:style>
  <w:style w:type="character" w:customStyle="1" w:styleId="84">
    <w:name w:val="明显参考1"/>
    <w:basedOn w:val="54"/>
    <w:qFormat/>
    <w:uiPriority w:val="32"/>
    <w:rPr>
      <w:b/>
      <w:bCs/>
      <w:smallCaps/>
      <w:color w:val="104862" w:themeColor="accent1" w:themeShade="BF"/>
      <w:spacing w:val="5"/>
    </w:rPr>
  </w:style>
  <w:style w:type="character" w:customStyle="1" w:styleId="85">
    <w:name w:val="YJ正文* 字符"/>
    <w:link w:val="86"/>
    <w:qFormat/>
    <w:uiPriority w:val="0"/>
    <w:rPr>
      <w:rFonts w:ascii="宋体" w:hAnsi="宋体" w:eastAsia="宋体"/>
      <w:sz w:val="24"/>
      <w:szCs w:val="24"/>
    </w:rPr>
  </w:style>
  <w:style w:type="paragraph" w:customStyle="1" w:styleId="86">
    <w:name w:val="YJ正文*"/>
    <w:basedOn w:val="1"/>
    <w:link w:val="85"/>
    <w:qFormat/>
    <w:uiPriority w:val="0"/>
    <w:pPr>
      <w:spacing w:line="500" w:lineRule="exact"/>
      <w:ind w:firstLine="200" w:firstLineChars="200"/>
    </w:pPr>
    <w:rPr>
      <w:rFonts w:ascii="宋体" w:hAnsi="宋体" w:cstheme="minorBidi"/>
      <w:sz w:val="24"/>
      <w:szCs w:val="24"/>
    </w:rPr>
  </w:style>
  <w:style w:type="character" w:customStyle="1" w:styleId="87">
    <w:name w:val="页眉 字符"/>
    <w:basedOn w:val="54"/>
    <w:link w:val="30"/>
    <w:qFormat/>
    <w:uiPriority w:val="0"/>
    <w:rPr>
      <w:rFonts w:ascii="Calibri" w:hAnsi="Calibri" w:eastAsia="宋体" w:cs="Times New Roman"/>
      <w:sz w:val="18"/>
      <w:szCs w:val="18"/>
    </w:rPr>
  </w:style>
  <w:style w:type="character" w:customStyle="1" w:styleId="88">
    <w:name w:val="页脚 字符"/>
    <w:basedOn w:val="54"/>
    <w:link w:val="29"/>
    <w:qFormat/>
    <w:uiPriority w:val="0"/>
    <w:rPr>
      <w:rFonts w:ascii="Calibri" w:hAnsi="Calibri" w:eastAsia="宋体" w:cs="Times New Roman"/>
      <w:sz w:val="18"/>
      <w:szCs w:val="18"/>
    </w:rPr>
  </w:style>
  <w:style w:type="character" w:customStyle="1" w:styleId="89">
    <w:name w:val="日期 字符"/>
    <w:link w:val="26"/>
    <w:qFormat/>
    <w:uiPriority w:val="99"/>
    <w:rPr>
      <w:rFonts w:ascii="宋体" w:hAnsi="Times New Roman" w:eastAsia="宋体" w:cs="Times New Roman"/>
      <w:szCs w:val="20"/>
    </w:rPr>
  </w:style>
  <w:style w:type="character" w:customStyle="1" w:styleId="90">
    <w:name w:val="标题 7 Char2"/>
    <w:qFormat/>
    <w:uiPriority w:val="9"/>
    <w:rPr>
      <w:rFonts w:ascii="Times New Roman" w:hAnsi="Times New Roman" w:eastAsia="宋体" w:cs="Times New Roman"/>
      <w:b/>
      <w:bCs/>
      <w:kern w:val="0"/>
      <w:sz w:val="24"/>
      <w:szCs w:val="24"/>
    </w:rPr>
  </w:style>
  <w:style w:type="character" w:customStyle="1" w:styleId="91">
    <w:name w:val="样式 正文首行缩进 + 华文中宋 小四 Char"/>
    <w:link w:val="92"/>
    <w:qFormat/>
    <w:uiPriority w:val="0"/>
    <w:rPr>
      <w:rFonts w:ascii="华文中宋" w:hAnsi="华文中宋" w:eastAsia="华文中宋"/>
      <w:sz w:val="24"/>
      <w:szCs w:val="24"/>
    </w:rPr>
  </w:style>
  <w:style w:type="paragraph" w:customStyle="1" w:styleId="92">
    <w:name w:val="样式 正文首行缩进 + 华文中宋 小四"/>
    <w:basedOn w:val="49"/>
    <w:link w:val="91"/>
    <w:qFormat/>
    <w:uiPriority w:val="0"/>
    <w:pPr>
      <w:widowControl w:val="0"/>
      <w:spacing w:after="0" w:line="300" w:lineRule="auto"/>
      <w:ind w:firstLine="200" w:firstLineChars="200"/>
      <w:jc w:val="distribute"/>
    </w:pPr>
    <w:rPr>
      <w:rFonts w:ascii="华文中宋" w:hAnsi="华文中宋" w:eastAsia="华文中宋" w:cstheme="minorBidi"/>
      <w:kern w:val="2"/>
    </w:rPr>
  </w:style>
  <w:style w:type="character" w:customStyle="1" w:styleId="93">
    <w:name w:val="页脚 Char"/>
    <w:qFormat/>
    <w:uiPriority w:val="99"/>
    <w:rPr>
      <w:kern w:val="2"/>
      <w:sz w:val="18"/>
      <w:szCs w:val="18"/>
    </w:rPr>
  </w:style>
  <w:style w:type="character" w:customStyle="1" w:styleId="94">
    <w:name w:val="标题 1 Char Char Char"/>
    <w:qFormat/>
    <w:uiPriority w:val="0"/>
    <w:rPr>
      <w:rFonts w:ascii="宋体" w:hAnsi="宋体"/>
      <w:bCs/>
      <w:sz w:val="28"/>
    </w:rPr>
  </w:style>
  <w:style w:type="character" w:customStyle="1" w:styleId="95">
    <w:name w:val="正文首行缩进 Char1"/>
    <w:qFormat/>
    <w:uiPriority w:val="99"/>
    <w:rPr>
      <w:rFonts w:ascii="宋体" w:hAnsi="宋体" w:eastAsia="宋体" w:cs="Times New Roman"/>
      <w:kern w:val="0"/>
      <w:sz w:val="24"/>
      <w:szCs w:val="24"/>
    </w:rPr>
  </w:style>
  <w:style w:type="character" w:customStyle="1" w:styleId="96">
    <w:name w:val="日期 Char"/>
    <w:qFormat/>
    <w:uiPriority w:val="99"/>
    <w:rPr>
      <w:rFonts w:ascii="宋体" w:hAnsi="Times New Roman" w:eastAsia="宋体" w:cs="Times New Roman"/>
      <w:szCs w:val="20"/>
    </w:rPr>
  </w:style>
  <w:style w:type="character" w:customStyle="1" w:styleId="97">
    <w:name w:val="引用 Char"/>
    <w:qFormat/>
    <w:uiPriority w:val="29"/>
    <w:rPr>
      <w:rFonts w:eastAsia="宋体" w:cs="Times New Roman"/>
      <w:i/>
      <w:iCs/>
      <w:color w:val="404040"/>
      <w:kern w:val="2"/>
      <w:sz w:val="24"/>
      <w:szCs w:val="22"/>
    </w:rPr>
  </w:style>
  <w:style w:type="character" w:customStyle="1" w:styleId="98">
    <w:name w:val="批注框文本 Char"/>
    <w:qFormat/>
    <w:uiPriority w:val="99"/>
    <w:rPr>
      <w:kern w:val="2"/>
      <w:sz w:val="18"/>
      <w:szCs w:val="18"/>
    </w:rPr>
  </w:style>
  <w:style w:type="character" w:customStyle="1" w:styleId="99">
    <w:name w:val="公示正文 字符"/>
    <w:link w:val="100"/>
    <w:qFormat/>
    <w:uiPriority w:val="0"/>
    <w:rPr>
      <w:rFonts w:ascii="宋体" w:hAnsi="宋体" w:eastAsia="宋体" w:cs="黑体"/>
      <w:kern w:val="0"/>
      <w:sz w:val="24"/>
      <w:szCs w:val="30"/>
    </w:rPr>
  </w:style>
  <w:style w:type="paragraph" w:customStyle="1" w:styleId="100">
    <w:name w:val="公示正文"/>
    <w:basedOn w:val="1"/>
    <w:link w:val="99"/>
    <w:qFormat/>
    <w:uiPriority w:val="0"/>
    <w:pPr>
      <w:adjustRightInd w:val="0"/>
      <w:snapToGrid w:val="0"/>
      <w:spacing w:line="400" w:lineRule="exact"/>
      <w:ind w:firstLine="200" w:firstLineChars="200"/>
    </w:pPr>
    <w:rPr>
      <w:rFonts w:ascii="宋体" w:hAnsi="宋体" w:cs="黑体"/>
      <w:kern w:val="0"/>
      <w:sz w:val="24"/>
      <w:szCs w:val="30"/>
    </w:rPr>
  </w:style>
  <w:style w:type="character" w:customStyle="1" w:styleId="101">
    <w:name w:val="表头 Char"/>
    <w:link w:val="102"/>
    <w:qFormat/>
    <w:uiPriority w:val="0"/>
    <w:rPr>
      <w:rFonts w:ascii="Arial" w:hAnsi="Arial" w:eastAsia="黑体" w:cs="Arial"/>
      <w:szCs w:val="21"/>
    </w:rPr>
  </w:style>
  <w:style w:type="paragraph" w:customStyle="1" w:styleId="102">
    <w:name w:val="表头"/>
    <w:basedOn w:val="1"/>
    <w:next w:val="1"/>
    <w:link w:val="101"/>
    <w:qFormat/>
    <w:uiPriority w:val="0"/>
    <w:pPr>
      <w:widowControl/>
      <w:spacing w:beforeLines="25" w:after="100" w:afterAutospacing="1"/>
      <w:jc w:val="center"/>
    </w:pPr>
    <w:rPr>
      <w:rFonts w:ascii="Arial" w:hAnsi="Arial" w:eastAsia="黑体" w:cs="Arial"/>
      <w:szCs w:val="21"/>
    </w:rPr>
  </w:style>
  <w:style w:type="character" w:customStyle="1" w:styleId="103">
    <w:name w:val="批注主题 Char"/>
    <w:qFormat/>
    <w:uiPriority w:val="0"/>
    <w:rPr>
      <w:rFonts w:ascii="Times New Roman" w:hAnsi="Times New Roman" w:eastAsia="宋体" w:cs="Times New Roman"/>
      <w:szCs w:val="21"/>
    </w:rPr>
  </w:style>
  <w:style w:type="character" w:customStyle="1" w:styleId="104">
    <w:name w:val="标题 5 字符1"/>
    <w:qFormat/>
    <w:uiPriority w:val="9"/>
    <w:rPr>
      <w:rFonts w:ascii="Times New Roman" w:hAnsi="Times New Roman" w:eastAsia="宋体" w:cs="Times New Roman"/>
      <w:b/>
      <w:bCs/>
      <w:kern w:val="0"/>
      <w:sz w:val="28"/>
      <w:szCs w:val="28"/>
    </w:rPr>
  </w:style>
  <w:style w:type="character" w:customStyle="1" w:styleId="105">
    <w:name w:val="缩进 Char"/>
    <w:link w:val="106"/>
    <w:qFormat/>
    <w:uiPriority w:val="0"/>
    <w:rPr>
      <w:sz w:val="24"/>
      <w:szCs w:val="24"/>
    </w:rPr>
  </w:style>
  <w:style w:type="paragraph" w:customStyle="1" w:styleId="106">
    <w:name w:val="缩进"/>
    <w:basedOn w:val="1"/>
    <w:link w:val="105"/>
    <w:qFormat/>
    <w:uiPriority w:val="0"/>
    <w:pPr>
      <w:spacing w:line="360" w:lineRule="auto"/>
      <w:ind w:firstLine="200" w:firstLineChars="200"/>
    </w:pPr>
    <w:rPr>
      <w:rFonts w:asciiTheme="minorHAnsi" w:hAnsiTheme="minorHAnsi" w:eastAsiaTheme="minorEastAsia" w:cstheme="minorBidi"/>
      <w:sz w:val="24"/>
      <w:szCs w:val="24"/>
    </w:rPr>
  </w:style>
  <w:style w:type="character" w:customStyle="1" w:styleId="107">
    <w:name w:val="二级标题-书 Char"/>
    <w:link w:val="108"/>
    <w:qFormat/>
    <w:uiPriority w:val="0"/>
    <w:rPr>
      <w:rFonts w:ascii="Times New Roman" w:hAnsi="Times New Roman" w:eastAsia="宋体" w:cs="Times New Roman"/>
      <w:b/>
      <w:kern w:val="0"/>
      <w:sz w:val="30"/>
      <w:szCs w:val="20"/>
    </w:rPr>
  </w:style>
  <w:style w:type="paragraph" w:customStyle="1" w:styleId="108">
    <w:name w:val="二级标题-书"/>
    <w:basedOn w:val="1"/>
    <w:link w:val="107"/>
    <w:qFormat/>
    <w:uiPriority w:val="0"/>
    <w:pPr>
      <w:keepNext/>
      <w:widowControl/>
      <w:spacing w:before="260" w:after="260" w:line="415" w:lineRule="auto"/>
      <w:jc w:val="left"/>
      <w:outlineLvl w:val="1"/>
    </w:pPr>
    <w:rPr>
      <w:rFonts w:ascii="Times New Roman" w:hAnsi="Times New Roman"/>
      <w:b/>
      <w:kern w:val="0"/>
      <w:sz w:val="30"/>
      <w:szCs w:val="20"/>
    </w:rPr>
  </w:style>
  <w:style w:type="character" w:customStyle="1" w:styleId="109">
    <w:name w:val="标题 6 Char"/>
    <w:qFormat/>
    <w:uiPriority w:val="9"/>
    <w:rPr>
      <w:rFonts w:ascii="Cambria" w:hAnsi="Cambria" w:eastAsia="宋体" w:cs="Times New Roman"/>
      <w:b/>
      <w:bCs/>
      <w:kern w:val="2"/>
      <w:sz w:val="24"/>
      <w:szCs w:val="24"/>
    </w:rPr>
  </w:style>
  <w:style w:type="character" w:customStyle="1" w:styleId="110">
    <w:name w:val="00正文 Char Char"/>
    <w:link w:val="111"/>
    <w:qFormat/>
    <w:uiPriority w:val="0"/>
    <w:rPr>
      <w:rFonts w:ascii="Arial" w:hAnsi="宋体" w:eastAsia="Arial" w:cs="Arial"/>
      <w:bCs/>
      <w:sz w:val="24"/>
      <w:szCs w:val="24"/>
    </w:rPr>
  </w:style>
  <w:style w:type="paragraph" w:customStyle="1" w:styleId="111">
    <w:name w:val="00正文"/>
    <w:link w:val="110"/>
    <w:qFormat/>
    <w:uiPriority w:val="0"/>
    <w:pPr>
      <w:spacing w:line="360" w:lineRule="auto"/>
      <w:ind w:firstLine="480" w:firstLineChars="200"/>
      <w:jc w:val="both"/>
    </w:pPr>
    <w:rPr>
      <w:rFonts w:ascii="Arial" w:hAnsi="宋体" w:eastAsia="Arial" w:cs="Arial"/>
      <w:bCs/>
      <w:kern w:val="2"/>
      <w:sz w:val="24"/>
      <w:szCs w:val="24"/>
      <w:lang w:val="en-US" w:eastAsia="zh-CN" w:bidi="ar-SA"/>
      <w14:ligatures w14:val="standardContextual"/>
    </w:rPr>
  </w:style>
  <w:style w:type="character" w:customStyle="1" w:styleId="112">
    <w:name w:val="标题 4 Char32"/>
    <w:qFormat/>
    <w:uiPriority w:val="0"/>
    <w:rPr>
      <w:rFonts w:hint="default" w:ascii="Arial" w:hAnsi="Arial" w:eastAsia="黑体" w:cs="Arial"/>
      <w:b/>
      <w:kern w:val="2"/>
      <w:sz w:val="28"/>
      <w:szCs w:val="28"/>
    </w:rPr>
  </w:style>
  <w:style w:type="character" w:customStyle="1" w:styleId="113">
    <w:name w:val="标题 3 Char1"/>
    <w:qFormat/>
    <w:uiPriority w:val="9"/>
    <w:rPr>
      <w:rFonts w:ascii="黑体" w:hAnsi="黑体" w:eastAsia="黑体"/>
      <w:kern w:val="2"/>
      <w:sz w:val="24"/>
      <w:szCs w:val="21"/>
    </w:rPr>
  </w:style>
  <w:style w:type="character" w:customStyle="1" w:styleId="114">
    <w:name w:val="正文 楷体 Char"/>
    <w:link w:val="115"/>
    <w:qFormat/>
    <w:uiPriority w:val="0"/>
    <w:rPr>
      <w:rFonts w:ascii="楷体_GB2312" w:hAnsi="楷体_GB2312" w:eastAsia="楷体_GB2312"/>
      <w:sz w:val="24"/>
      <w:szCs w:val="24"/>
    </w:rPr>
  </w:style>
  <w:style w:type="paragraph" w:customStyle="1" w:styleId="115">
    <w:name w:val="正文 楷体"/>
    <w:basedOn w:val="1"/>
    <w:link w:val="114"/>
    <w:qFormat/>
    <w:uiPriority w:val="0"/>
    <w:pPr>
      <w:spacing w:line="500" w:lineRule="exact"/>
      <w:ind w:firstLine="200" w:firstLineChars="200"/>
    </w:pPr>
    <w:rPr>
      <w:rFonts w:ascii="楷体_GB2312" w:hAnsi="楷体_GB2312" w:eastAsia="楷体_GB2312" w:cstheme="minorBidi"/>
      <w:sz w:val="24"/>
      <w:szCs w:val="24"/>
    </w:rPr>
  </w:style>
  <w:style w:type="character" w:customStyle="1" w:styleId="116">
    <w:name w:val="正文文本缩进 字符1"/>
    <w:qFormat/>
    <w:uiPriority w:val="99"/>
    <w:rPr>
      <w:rFonts w:ascii="Times New Roman" w:hAnsi="Times New Roman" w:eastAsia="宋体" w:cs="Times New Roman"/>
      <w:kern w:val="0"/>
      <w:sz w:val="20"/>
      <w:szCs w:val="24"/>
    </w:rPr>
  </w:style>
  <w:style w:type="character" w:customStyle="1" w:styleId="117">
    <w:name w:val="标题 2 字符1"/>
    <w:qFormat/>
    <w:uiPriority w:val="9"/>
    <w:rPr>
      <w:rFonts w:ascii="宋体" w:hAnsi="宋体" w:eastAsia="黑体" w:cs="Times New Roman"/>
      <w:b/>
      <w:color w:val="000000"/>
      <w:kern w:val="10"/>
      <w:sz w:val="28"/>
      <w:szCs w:val="24"/>
      <w:lang w:val="zh-CN" w:eastAsia="zh-CN"/>
    </w:rPr>
  </w:style>
  <w:style w:type="character" w:customStyle="1" w:styleId="118">
    <w:name w:val="页脚 Char2"/>
    <w:qFormat/>
    <w:uiPriority w:val="99"/>
    <w:rPr>
      <w:sz w:val="18"/>
      <w:szCs w:val="18"/>
    </w:rPr>
  </w:style>
  <w:style w:type="character" w:customStyle="1" w:styleId="119">
    <w:name w:val="纯文本 字符1"/>
    <w:link w:val="24"/>
    <w:qFormat/>
    <w:uiPriority w:val="99"/>
    <w:rPr>
      <w:rFonts w:ascii="宋体" w:hAnsi="Courier New" w:eastAsia="宋体" w:cs="Times New Roman"/>
      <w:kern w:val="0"/>
      <w:sz w:val="24"/>
      <w:szCs w:val="20"/>
    </w:rPr>
  </w:style>
  <w:style w:type="character" w:customStyle="1" w:styleId="120">
    <w:name w:val="标题 3 Char"/>
    <w:qFormat/>
    <w:uiPriority w:val="9"/>
    <w:rPr>
      <w:rFonts w:eastAsia="黑体"/>
      <w:b/>
      <w:bCs/>
      <w:kern w:val="2"/>
      <w:sz w:val="24"/>
      <w:szCs w:val="32"/>
    </w:rPr>
  </w:style>
  <w:style w:type="character" w:customStyle="1" w:styleId="121">
    <w:name w:val="标题 4 Char5"/>
    <w:qFormat/>
    <w:uiPriority w:val="0"/>
    <w:rPr>
      <w:rFonts w:ascii="Arial" w:hAnsi="Arial" w:eastAsia="黑体" w:cs="Times New Roman"/>
      <w:b/>
      <w:bCs/>
      <w:kern w:val="0"/>
      <w:sz w:val="28"/>
      <w:szCs w:val="28"/>
      <w:lang w:val="zh-CN"/>
    </w:rPr>
  </w:style>
  <w:style w:type="character" w:customStyle="1" w:styleId="122">
    <w:name w:val="自标3 Char Char"/>
    <w:link w:val="123"/>
    <w:qFormat/>
    <w:uiPriority w:val="0"/>
    <w:rPr>
      <w:rFonts w:eastAsia="黑体"/>
      <w:b/>
      <w:bCs/>
      <w:sz w:val="24"/>
      <w:szCs w:val="21"/>
    </w:rPr>
  </w:style>
  <w:style w:type="paragraph" w:customStyle="1" w:styleId="123">
    <w:name w:val="自标3"/>
    <w:basedOn w:val="4"/>
    <w:link w:val="122"/>
    <w:qFormat/>
    <w:uiPriority w:val="0"/>
    <w:pPr>
      <w:spacing w:before="0" w:after="0" w:line="360" w:lineRule="auto"/>
    </w:pPr>
    <w:rPr>
      <w:rFonts w:eastAsia="黑体" w:asciiTheme="minorHAnsi" w:hAnsiTheme="minorHAnsi" w:cstheme="minorBidi"/>
      <w:b/>
      <w:bCs/>
      <w:color w:val="auto"/>
      <w:sz w:val="24"/>
      <w:szCs w:val="21"/>
    </w:rPr>
  </w:style>
  <w:style w:type="character" w:customStyle="1" w:styleId="124">
    <w:name w:val="正文首行缩进 2 Char1"/>
    <w:qFormat/>
    <w:uiPriority w:val="0"/>
    <w:rPr>
      <w:szCs w:val="24"/>
    </w:rPr>
  </w:style>
  <w:style w:type="character" w:customStyle="1" w:styleId="125">
    <w:name w:val="标题 9 Char"/>
    <w:qFormat/>
    <w:uiPriority w:val="99"/>
    <w:rPr>
      <w:rFonts w:ascii="Arial" w:hAnsi="Arial" w:eastAsia="黑体" w:cs="Times New Roman"/>
      <w:szCs w:val="21"/>
    </w:rPr>
  </w:style>
  <w:style w:type="character" w:customStyle="1" w:styleId="126">
    <w:name w:val="纯文本 Char"/>
    <w:qFormat/>
    <w:uiPriority w:val="0"/>
    <w:rPr>
      <w:rFonts w:hint="eastAsia" w:ascii="宋体" w:hAnsi="Courier New" w:eastAsia="宋体" w:cs="宋体"/>
      <w:sz w:val="24"/>
    </w:rPr>
  </w:style>
  <w:style w:type="character" w:customStyle="1" w:styleId="127">
    <w:name w:val="正文文本缩进 2 字符1"/>
    <w:link w:val="27"/>
    <w:qFormat/>
    <w:uiPriority w:val="99"/>
    <w:rPr>
      <w:rFonts w:ascii="Times New Roman" w:hAnsi="Times New Roman" w:eastAsia="宋体" w:cs="Times New Roman"/>
      <w:kern w:val="0"/>
      <w:sz w:val="20"/>
      <w:szCs w:val="21"/>
    </w:rPr>
  </w:style>
  <w:style w:type="character" w:customStyle="1" w:styleId="128">
    <w:name w:val="font01"/>
    <w:qFormat/>
    <w:uiPriority w:val="0"/>
    <w:rPr>
      <w:rFonts w:hint="eastAsia" w:ascii="宋体" w:hAnsi="宋体" w:eastAsia="宋体" w:cs="宋体"/>
      <w:color w:val="000000"/>
      <w:sz w:val="21"/>
      <w:szCs w:val="21"/>
      <w:u w:val="none"/>
    </w:rPr>
  </w:style>
  <w:style w:type="character" w:customStyle="1" w:styleId="129">
    <w:name w:val="正文的 Char"/>
    <w:link w:val="130"/>
    <w:qFormat/>
    <w:uiPriority w:val="0"/>
    <w:rPr>
      <w:rFonts w:ascii="宋体" w:hAnsi="宋体"/>
      <w:sz w:val="24"/>
      <w:szCs w:val="24"/>
    </w:rPr>
  </w:style>
  <w:style w:type="paragraph" w:customStyle="1" w:styleId="130">
    <w:name w:val="正文的"/>
    <w:basedOn w:val="1"/>
    <w:link w:val="129"/>
    <w:qFormat/>
    <w:uiPriority w:val="0"/>
    <w:pPr>
      <w:adjustRightInd w:val="0"/>
      <w:snapToGrid w:val="0"/>
      <w:spacing w:line="360" w:lineRule="auto"/>
      <w:ind w:firstLine="480" w:firstLineChars="200"/>
    </w:pPr>
    <w:rPr>
      <w:rFonts w:ascii="宋体" w:hAnsi="宋体" w:eastAsiaTheme="minorEastAsia" w:cstheme="minorBidi"/>
      <w:sz w:val="24"/>
      <w:szCs w:val="24"/>
    </w:rPr>
  </w:style>
  <w:style w:type="character" w:customStyle="1" w:styleId="131">
    <w:name w:val="页脚 Char1"/>
    <w:qFormat/>
    <w:uiPriority w:val="99"/>
    <w:rPr>
      <w:sz w:val="18"/>
      <w:szCs w:val="18"/>
    </w:rPr>
  </w:style>
  <w:style w:type="character" w:customStyle="1" w:styleId="132">
    <w:name w:val="批注主题 Char1"/>
    <w:qFormat/>
    <w:uiPriority w:val="0"/>
    <w:rPr>
      <w:rFonts w:ascii="Calibri" w:hAnsi="Calibri"/>
      <w:b/>
      <w:bCs/>
      <w:szCs w:val="21"/>
    </w:rPr>
  </w:style>
  <w:style w:type="character" w:customStyle="1" w:styleId="133">
    <w:name w:val="YJ题注 Char"/>
    <w:link w:val="134"/>
    <w:qFormat/>
    <w:uiPriority w:val="0"/>
    <w:rPr>
      <w:rFonts w:ascii="黑体" w:hAnsi="黑体" w:eastAsia="黑体"/>
      <w:b/>
    </w:rPr>
  </w:style>
  <w:style w:type="paragraph" w:customStyle="1" w:styleId="134">
    <w:name w:val="YJ题注"/>
    <w:basedOn w:val="15"/>
    <w:link w:val="133"/>
    <w:qFormat/>
    <w:uiPriority w:val="0"/>
    <w:pPr>
      <w:spacing w:line="520" w:lineRule="exact"/>
    </w:pPr>
    <w:rPr>
      <w:b/>
    </w:rPr>
  </w:style>
  <w:style w:type="character" w:customStyle="1" w:styleId="135">
    <w:name w:val="批注框文本 Char2"/>
    <w:qFormat/>
    <w:uiPriority w:val="99"/>
    <w:rPr>
      <w:rFonts w:ascii="Times New Roman" w:hAnsi="Times New Roman" w:eastAsia="宋体" w:cs="Times New Roman"/>
      <w:kern w:val="0"/>
      <w:sz w:val="18"/>
      <w:szCs w:val="18"/>
    </w:rPr>
  </w:style>
  <w:style w:type="character" w:customStyle="1" w:styleId="136">
    <w:name w:val="正文文本缩进 3 字符"/>
    <w:semiHidden/>
    <w:qFormat/>
    <w:uiPriority w:val="99"/>
    <w:rPr>
      <w:kern w:val="2"/>
      <w:sz w:val="16"/>
      <w:szCs w:val="16"/>
    </w:rPr>
  </w:style>
  <w:style w:type="character" w:customStyle="1" w:styleId="137">
    <w:name w:val="HTML 预设格式 字符1"/>
    <w:link w:val="44"/>
    <w:qFormat/>
    <w:uiPriority w:val="0"/>
    <w:rPr>
      <w:rFonts w:ascii="黑体" w:hAnsi="Courier New" w:eastAsia="宋体" w:cs="Courier New"/>
      <w:b/>
      <w:bCs/>
      <w:sz w:val="44"/>
    </w:rPr>
  </w:style>
  <w:style w:type="character" w:customStyle="1" w:styleId="138">
    <w:name w:val="明显引用 字符1"/>
    <w:link w:val="139"/>
    <w:qFormat/>
    <w:uiPriority w:val="30"/>
    <w:rPr>
      <w:rFonts w:ascii="Times New Roman" w:hAnsi="Times New Roman" w:eastAsia="宋体" w:cs="Times New Roman"/>
      <w:i/>
      <w:iCs/>
      <w:color w:val="4F81BD"/>
      <w:sz w:val="24"/>
    </w:rPr>
  </w:style>
  <w:style w:type="paragraph" w:customStyle="1" w:styleId="139">
    <w:name w:val="明显引用2"/>
    <w:basedOn w:val="1"/>
    <w:next w:val="1"/>
    <w:link w:val="138"/>
    <w:qFormat/>
    <w:uiPriority w:val="30"/>
    <w:pPr>
      <w:pBdr>
        <w:top w:val="single" w:color="4F81BD" w:sz="4" w:space="10"/>
        <w:bottom w:val="single" w:color="4F81BD" w:sz="4" w:space="10"/>
      </w:pBdr>
      <w:spacing w:before="360" w:after="360" w:line="500" w:lineRule="exact"/>
      <w:ind w:left="864" w:right="864" w:firstLine="200" w:firstLineChars="200"/>
      <w:jc w:val="center"/>
    </w:pPr>
    <w:rPr>
      <w:rFonts w:ascii="Times New Roman" w:hAnsi="Times New Roman"/>
      <w:i/>
      <w:iCs/>
      <w:color w:val="4F81BD"/>
      <w:sz w:val="24"/>
    </w:rPr>
  </w:style>
  <w:style w:type="character" w:customStyle="1" w:styleId="140">
    <w:name w:val="MTDisplayEquation 字符"/>
    <w:link w:val="141"/>
    <w:qFormat/>
    <w:uiPriority w:val="0"/>
    <w:rPr>
      <w:rFonts w:ascii="Arial" w:hAnsi="Arial" w:eastAsia="宋体" w:cs="Times New Roman"/>
      <w:spacing w:val="1"/>
      <w:position w:val="-3"/>
      <w:sz w:val="24"/>
      <w:szCs w:val="24"/>
      <w:lang w:val="zh-CN"/>
    </w:rPr>
  </w:style>
  <w:style w:type="paragraph" w:customStyle="1" w:styleId="141">
    <w:name w:val="MTDisplayEquation"/>
    <w:basedOn w:val="86"/>
    <w:next w:val="1"/>
    <w:link w:val="140"/>
    <w:qFormat/>
    <w:uiPriority w:val="0"/>
    <w:pPr>
      <w:tabs>
        <w:tab w:val="center" w:pos="4360"/>
        <w:tab w:val="right" w:pos="8720"/>
      </w:tabs>
      <w:ind w:firstLine="484"/>
      <w:jc w:val="center"/>
    </w:pPr>
    <w:rPr>
      <w:rFonts w:ascii="Arial" w:hAnsi="Arial" w:cs="Times New Roman"/>
      <w:spacing w:val="1"/>
      <w:position w:val="-3"/>
      <w:lang w:val="zh-CN"/>
    </w:rPr>
  </w:style>
  <w:style w:type="character" w:customStyle="1" w:styleId="142">
    <w:name w:val="标题 7 字符1"/>
    <w:qFormat/>
    <w:uiPriority w:val="9"/>
    <w:rPr>
      <w:rFonts w:ascii="Times New Roman" w:hAnsi="Times New Roman" w:eastAsia="宋体" w:cs="Times New Roman"/>
      <w:b/>
      <w:bCs/>
      <w:kern w:val="0"/>
      <w:sz w:val="24"/>
      <w:szCs w:val="24"/>
    </w:rPr>
  </w:style>
  <w:style w:type="character" w:customStyle="1" w:styleId="143">
    <w:name w:val="正文文本 Char2"/>
    <w:qFormat/>
    <w:uiPriority w:val="99"/>
  </w:style>
  <w:style w:type="character" w:customStyle="1" w:styleId="144">
    <w:name w:val="正文文本缩进 2 Char"/>
    <w:qFormat/>
    <w:uiPriority w:val="0"/>
    <w:rPr>
      <w:rFonts w:ascii="Times New Roman" w:hAnsi="Times New Roman"/>
      <w:kern w:val="2"/>
      <w:sz w:val="21"/>
      <w:szCs w:val="21"/>
    </w:rPr>
  </w:style>
  <w:style w:type="character" w:customStyle="1" w:styleId="145">
    <w:name w:val="环评正文 Char"/>
    <w:link w:val="146"/>
    <w:qFormat/>
    <w:uiPriority w:val="0"/>
    <w:rPr>
      <w:bCs/>
      <w:sz w:val="24"/>
      <w:szCs w:val="24"/>
    </w:rPr>
  </w:style>
  <w:style w:type="paragraph" w:customStyle="1" w:styleId="146">
    <w:name w:val="环评正文"/>
    <w:link w:val="145"/>
    <w:qFormat/>
    <w:uiPriority w:val="0"/>
    <w:pPr>
      <w:spacing w:line="400" w:lineRule="exact"/>
      <w:ind w:firstLine="200" w:firstLineChars="200"/>
    </w:pPr>
    <w:rPr>
      <w:rFonts w:asciiTheme="minorHAnsi" w:hAnsiTheme="minorHAnsi" w:eastAsiaTheme="minorEastAsia" w:cstheme="minorBidi"/>
      <w:bCs/>
      <w:kern w:val="2"/>
      <w:sz w:val="24"/>
      <w:szCs w:val="24"/>
      <w:lang w:val="en-US" w:eastAsia="zh-CN" w:bidi="ar-SA"/>
      <w14:ligatures w14:val="standardContextual"/>
    </w:rPr>
  </w:style>
  <w:style w:type="character" w:customStyle="1" w:styleId="147">
    <w:name w:val="标题 7 Char1"/>
    <w:qFormat/>
    <w:uiPriority w:val="9"/>
    <w:rPr>
      <w:rFonts w:cs="Times New Roman"/>
      <w:bCs/>
      <w:color w:val="auto"/>
      <w:sz w:val="20"/>
      <w:szCs w:val="20"/>
      <w:lang w:val="zh-CN" w:eastAsia="zh-CN"/>
    </w:rPr>
  </w:style>
  <w:style w:type="character" w:customStyle="1" w:styleId="148">
    <w:name w:val="标题 6 字符1"/>
    <w:qFormat/>
    <w:uiPriority w:val="9"/>
    <w:rPr>
      <w:rFonts w:ascii="Cambria" w:hAnsi="Cambria" w:eastAsia="宋体" w:cs="Times New Roman"/>
      <w:b/>
      <w:bCs/>
      <w:kern w:val="0"/>
      <w:sz w:val="24"/>
      <w:szCs w:val="24"/>
    </w:rPr>
  </w:style>
  <w:style w:type="character" w:customStyle="1" w:styleId="149">
    <w:name w:val="标题 4 Char1"/>
    <w:qFormat/>
    <w:uiPriority w:val="0"/>
    <w:rPr>
      <w:rFonts w:ascii="Arial" w:hAnsi="Arial" w:eastAsia="黑体"/>
      <w:b/>
      <w:bCs/>
      <w:kern w:val="2"/>
      <w:sz w:val="28"/>
      <w:szCs w:val="28"/>
    </w:rPr>
  </w:style>
  <w:style w:type="character" w:customStyle="1" w:styleId="150">
    <w:name w:val="占位符文本1"/>
    <w:unhideWhenUsed/>
    <w:qFormat/>
    <w:uiPriority w:val="99"/>
    <w:rPr>
      <w:color w:val="808080"/>
    </w:rPr>
  </w:style>
  <w:style w:type="character" w:customStyle="1" w:styleId="151">
    <w:name w:val="表格正文 Char Char"/>
    <w:link w:val="152"/>
    <w:qFormat/>
    <w:uiPriority w:val="0"/>
    <w:rPr>
      <w:rFonts w:ascii="宋体" w:hAnsi="宋体"/>
      <w:sz w:val="24"/>
      <w:szCs w:val="28"/>
    </w:rPr>
  </w:style>
  <w:style w:type="paragraph" w:customStyle="1" w:styleId="152">
    <w:name w:val="表格正文"/>
    <w:basedOn w:val="1"/>
    <w:link w:val="151"/>
    <w:qFormat/>
    <w:uiPriority w:val="0"/>
    <w:rPr>
      <w:rFonts w:ascii="宋体" w:hAnsi="宋体" w:eastAsiaTheme="minorEastAsia" w:cstheme="minorBidi"/>
      <w:sz w:val="24"/>
      <w:szCs w:val="28"/>
    </w:rPr>
  </w:style>
  <w:style w:type="character" w:customStyle="1" w:styleId="153">
    <w:name w:val="正文格式 Char Char"/>
    <w:link w:val="154"/>
    <w:qFormat/>
    <w:uiPriority w:val="0"/>
    <w:rPr>
      <w:sz w:val="26"/>
    </w:rPr>
  </w:style>
  <w:style w:type="paragraph" w:customStyle="1" w:styleId="154">
    <w:name w:val="正文格式"/>
    <w:basedOn w:val="1"/>
    <w:link w:val="153"/>
    <w:qFormat/>
    <w:uiPriority w:val="0"/>
    <w:pPr>
      <w:spacing w:line="520" w:lineRule="exact"/>
      <w:ind w:firstLine="520" w:firstLineChars="200"/>
    </w:pPr>
    <w:rPr>
      <w:rFonts w:asciiTheme="minorHAnsi" w:hAnsiTheme="minorHAnsi" w:eastAsiaTheme="minorEastAsia" w:cstheme="minorBidi"/>
      <w:sz w:val="26"/>
    </w:rPr>
  </w:style>
  <w:style w:type="character" w:customStyle="1" w:styleId="155">
    <w:name w:val="未处理的提及1"/>
    <w:unhideWhenUsed/>
    <w:qFormat/>
    <w:uiPriority w:val="99"/>
    <w:rPr>
      <w:color w:val="605E5C"/>
      <w:shd w:val="clear" w:color="auto" w:fill="E1DFDD"/>
    </w:rPr>
  </w:style>
  <w:style w:type="character" w:customStyle="1" w:styleId="156">
    <w:name w:val="标题 Char"/>
    <w:qFormat/>
    <w:uiPriority w:val="99"/>
    <w:rPr>
      <w:rFonts w:ascii="Arial" w:hAnsi="Arial" w:eastAsia="宋体" w:cs="Times New Roman"/>
      <w:b/>
      <w:bCs/>
      <w:sz w:val="32"/>
      <w:szCs w:val="32"/>
    </w:rPr>
  </w:style>
  <w:style w:type="character" w:customStyle="1" w:styleId="157">
    <w:name w:val="_Style 5"/>
    <w:qFormat/>
    <w:uiPriority w:val="0"/>
  </w:style>
  <w:style w:type="character" w:customStyle="1" w:styleId="158">
    <w:name w:val="页眉 字符1"/>
    <w:semiHidden/>
    <w:qFormat/>
    <w:uiPriority w:val="99"/>
    <w:rPr>
      <w:bCs/>
      <w:kern w:val="2"/>
      <w:sz w:val="18"/>
      <w:szCs w:val="18"/>
    </w:rPr>
  </w:style>
  <w:style w:type="character" w:customStyle="1" w:styleId="159">
    <w:name w:val="正文首行缩进 2 Char4"/>
    <w:qFormat/>
    <w:uiPriority w:val="0"/>
    <w:rPr>
      <w:rFonts w:eastAsia="宋体"/>
      <w:kern w:val="2"/>
      <w:sz w:val="24"/>
      <w:szCs w:val="24"/>
      <w:lang w:val="en-US" w:eastAsia="zh-CN" w:bidi="ar-SA"/>
    </w:rPr>
  </w:style>
  <w:style w:type="character" w:customStyle="1" w:styleId="160">
    <w:name w:val="标题 6 Char1"/>
    <w:qFormat/>
    <w:uiPriority w:val="9"/>
    <w:rPr>
      <w:rFonts w:ascii="Cambria" w:hAnsi="Cambria" w:cs="Times New Roman"/>
      <w:bCs/>
      <w:color w:val="auto"/>
      <w:sz w:val="20"/>
      <w:szCs w:val="20"/>
      <w:lang w:val="zh-CN" w:eastAsia="zh-CN"/>
    </w:rPr>
  </w:style>
  <w:style w:type="character" w:customStyle="1" w:styleId="161">
    <w:name w:val="0 Char"/>
    <w:link w:val="162"/>
    <w:semiHidden/>
    <w:qFormat/>
    <w:uiPriority w:val="0"/>
    <w:rPr>
      <w:rFonts w:ascii="Calibri" w:hAnsi="Calibri" w:eastAsia="宋体" w:cs="Times New Roman"/>
      <w:kern w:val="0"/>
      <w:sz w:val="24"/>
      <w:szCs w:val="20"/>
      <w:lang w:val="zh-CN"/>
    </w:rPr>
  </w:style>
  <w:style w:type="paragraph" w:customStyle="1" w:styleId="162">
    <w:name w:val="0"/>
    <w:basedOn w:val="1"/>
    <w:link w:val="161"/>
    <w:semiHidden/>
    <w:qFormat/>
    <w:uiPriority w:val="0"/>
    <w:pPr>
      <w:widowControl/>
      <w:snapToGrid w:val="0"/>
      <w:jc w:val="left"/>
    </w:pPr>
    <w:rPr>
      <w:kern w:val="0"/>
      <w:sz w:val="24"/>
      <w:szCs w:val="20"/>
      <w:lang w:val="zh-CN"/>
    </w:rPr>
  </w:style>
  <w:style w:type="character" w:customStyle="1" w:styleId="163">
    <w:name w:val="正文文本 2 Char"/>
    <w:qFormat/>
    <w:uiPriority w:val="99"/>
    <w:rPr>
      <w:rFonts w:ascii="Times New Roman" w:hAnsi="Times New Roman" w:eastAsia="宋体" w:cs="Times New Roman"/>
      <w:szCs w:val="21"/>
    </w:rPr>
  </w:style>
  <w:style w:type="character" w:customStyle="1" w:styleId="164">
    <w:name w:val="标题 5 Char2"/>
    <w:qFormat/>
    <w:uiPriority w:val="9"/>
    <w:rPr>
      <w:rFonts w:ascii="Times New Roman" w:hAnsi="Times New Roman" w:eastAsia="宋体" w:cs="Times New Roman"/>
      <w:b/>
      <w:bCs/>
      <w:kern w:val="0"/>
      <w:sz w:val="28"/>
      <w:szCs w:val="28"/>
    </w:rPr>
  </w:style>
  <w:style w:type="character" w:customStyle="1" w:styleId="165">
    <w:name w:val="正文01 Char"/>
    <w:link w:val="166"/>
    <w:qFormat/>
    <w:locked/>
    <w:uiPriority w:val="0"/>
    <w:rPr>
      <w:rFonts w:ascii="Times New Roman" w:hAnsi="Times New Roman" w:eastAsia="宋体"/>
      <w:bCs/>
      <w:sz w:val="24"/>
      <w:szCs w:val="24"/>
    </w:rPr>
  </w:style>
  <w:style w:type="paragraph" w:customStyle="1" w:styleId="166">
    <w:name w:val="正文01"/>
    <w:basedOn w:val="1"/>
    <w:link w:val="165"/>
    <w:qFormat/>
    <w:uiPriority w:val="0"/>
    <w:pPr>
      <w:spacing w:before="60" w:line="460" w:lineRule="exact"/>
      <w:ind w:firstLine="200" w:firstLineChars="200"/>
    </w:pPr>
    <w:rPr>
      <w:rFonts w:ascii="Times New Roman" w:hAnsi="Times New Roman" w:cstheme="minorBidi"/>
      <w:bCs/>
      <w:sz w:val="24"/>
      <w:szCs w:val="24"/>
    </w:rPr>
  </w:style>
  <w:style w:type="character" w:customStyle="1" w:styleId="167">
    <w:name w:val="样式3 字符"/>
    <w:qFormat/>
    <w:uiPriority w:val="0"/>
    <w:rPr>
      <w:rFonts w:ascii="宋体" w:hAnsi="宋体" w:cs="Arial"/>
      <w:b/>
      <w:bCs/>
      <w:sz w:val="24"/>
      <w:szCs w:val="24"/>
    </w:rPr>
  </w:style>
  <w:style w:type="character" w:customStyle="1" w:styleId="168">
    <w:name w:val="10"/>
    <w:qFormat/>
    <w:uiPriority w:val="0"/>
    <w:rPr>
      <w:rFonts w:hint="default" w:ascii="Calibri" w:hAnsi="Calibri" w:cs="Calibri"/>
    </w:rPr>
  </w:style>
  <w:style w:type="character" w:customStyle="1" w:styleId="169">
    <w:name w:val="文档结构图 Char1"/>
    <w:qFormat/>
    <w:uiPriority w:val="0"/>
    <w:rPr>
      <w:rFonts w:ascii="宋体" w:eastAsia="宋体"/>
      <w:sz w:val="18"/>
      <w:szCs w:val="18"/>
    </w:rPr>
  </w:style>
  <w:style w:type="character" w:customStyle="1" w:styleId="170">
    <w:name w:val="标题 4 Char4"/>
    <w:qFormat/>
    <w:uiPriority w:val="0"/>
    <w:rPr>
      <w:rFonts w:ascii="仿宋_GB2312" w:hAnsi="Arial" w:eastAsia="仿宋_GB2312" w:cs="Times New Roman"/>
      <w:bCs/>
      <w:kern w:val="0"/>
      <w:sz w:val="28"/>
      <w:szCs w:val="28"/>
    </w:rPr>
  </w:style>
  <w:style w:type="character" w:customStyle="1" w:styleId="171">
    <w:name w:val="正文(首行缩进) Char"/>
    <w:link w:val="172"/>
    <w:qFormat/>
    <w:locked/>
    <w:uiPriority w:val="0"/>
    <w:rPr>
      <w:rFonts w:ascii="Times New Roman" w:hAnsi="Times New Roman" w:eastAsia="宋体"/>
      <w:color w:val="000000"/>
      <w:sz w:val="24"/>
      <w:szCs w:val="21"/>
    </w:rPr>
  </w:style>
  <w:style w:type="paragraph" w:customStyle="1" w:styleId="172">
    <w:name w:val="正文(首行缩进)"/>
    <w:basedOn w:val="1"/>
    <w:next w:val="1"/>
    <w:link w:val="171"/>
    <w:qFormat/>
    <w:uiPriority w:val="0"/>
    <w:pPr>
      <w:spacing w:line="360" w:lineRule="auto"/>
      <w:ind w:firstLine="540" w:firstLineChars="225"/>
    </w:pPr>
    <w:rPr>
      <w:rFonts w:ascii="Times New Roman" w:hAnsi="Times New Roman" w:cstheme="minorBidi"/>
      <w:color w:val="000000"/>
      <w:sz w:val="24"/>
      <w:szCs w:val="21"/>
    </w:rPr>
  </w:style>
  <w:style w:type="character" w:customStyle="1" w:styleId="173">
    <w:name w:val="A-z正文 Char"/>
    <w:link w:val="174"/>
    <w:qFormat/>
    <w:uiPriority w:val="0"/>
    <w:rPr>
      <w:rFonts w:ascii="Times New Roman" w:hAnsi="Times New Roman" w:cs="宋体"/>
      <w:sz w:val="24"/>
    </w:rPr>
  </w:style>
  <w:style w:type="paragraph" w:customStyle="1" w:styleId="174">
    <w:name w:val="A-z正文"/>
    <w:basedOn w:val="1"/>
    <w:link w:val="173"/>
    <w:qFormat/>
    <w:uiPriority w:val="0"/>
    <w:pPr>
      <w:spacing w:line="360" w:lineRule="auto"/>
      <w:ind w:firstLine="200" w:firstLineChars="200"/>
    </w:pPr>
    <w:rPr>
      <w:rFonts w:ascii="Times New Roman" w:hAnsi="Times New Roman" w:cs="宋体" w:eastAsiaTheme="minorEastAsia"/>
      <w:sz w:val="24"/>
    </w:rPr>
  </w:style>
  <w:style w:type="character" w:customStyle="1" w:styleId="175">
    <w:name w:val="批注框文本 字符"/>
    <w:link w:val="28"/>
    <w:qFormat/>
    <w:uiPriority w:val="0"/>
    <w:rPr>
      <w:sz w:val="18"/>
      <w:szCs w:val="18"/>
    </w:rPr>
  </w:style>
  <w:style w:type="character" w:customStyle="1" w:styleId="176">
    <w:name w:val="报告书正文 Char"/>
    <w:link w:val="177"/>
    <w:qFormat/>
    <w:uiPriority w:val="0"/>
    <w:rPr>
      <w:rFonts w:ascii="Times New Roman" w:hAnsi="Times New Roman" w:eastAsia="宋体" w:cs="Times New Roman"/>
      <w:sz w:val="24"/>
      <w:szCs w:val="20"/>
      <w:lang w:val="zh-CN"/>
    </w:rPr>
  </w:style>
  <w:style w:type="paragraph" w:customStyle="1" w:styleId="177">
    <w:name w:val="报告书正文"/>
    <w:basedOn w:val="1"/>
    <w:link w:val="176"/>
    <w:qFormat/>
    <w:uiPriority w:val="0"/>
    <w:pPr>
      <w:spacing w:line="360" w:lineRule="auto"/>
    </w:pPr>
    <w:rPr>
      <w:rFonts w:ascii="Times New Roman" w:hAnsi="Times New Roman"/>
      <w:sz w:val="24"/>
      <w:szCs w:val="20"/>
      <w:lang w:val="zh-CN"/>
    </w:rPr>
  </w:style>
  <w:style w:type="character" w:customStyle="1" w:styleId="178">
    <w:name w:val="15"/>
    <w:qFormat/>
    <w:uiPriority w:val="0"/>
    <w:rPr>
      <w:rFonts w:hint="default" w:ascii="Calibri" w:hAnsi="Calibri" w:cs="Calibri"/>
      <w:color w:val="0000FF"/>
      <w:u w:val="single"/>
    </w:rPr>
  </w:style>
  <w:style w:type="character" w:customStyle="1" w:styleId="179">
    <w:name w:val="标题 2 Char"/>
    <w:qFormat/>
    <w:uiPriority w:val="9"/>
    <w:rPr>
      <w:rFonts w:ascii="宋体" w:hAnsi="宋体" w:eastAsia="黑体"/>
      <w:b/>
      <w:color w:val="000000"/>
      <w:kern w:val="10"/>
      <w:sz w:val="28"/>
      <w:szCs w:val="24"/>
    </w:rPr>
  </w:style>
  <w:style w:type="character" w:customStyle="1" w:styleId="180">
    <w:name w:val="标题 4 Char"/>
    <w:qFormat/>
    <w:uiPriority w:val="9"/>
    <w:rPr>
      <w:rFonts w:ascii="Cambria" w:hAnsi="Cambria" w:eastAsia="宋体" w:cs="Times New Roman"/>
      <w:b/>
      <w:bCs/>
      <w:kern w:val="2"/>
      <w:sz w:val="28"/>
      <w:szCs w:val="28"/>
    </w:rPr>
  </w:style>
  <w:style w:type="character" w:customStyle="1" w:styleId="181">
    <w:name w:val="font61"/>
    <w:qFormat/>
    <w:uiPriority w:val="0"/>
    <w:rPr>
      <w:rFonts w:hint="eastAsia" w:ascii="宋体" w:hAnsi="宋体" w:eastAsia="宋体" w:cs="宋体"/>
      <w:color w:val="000000"/>
      <w:sz w:val="21"/>
      <w:szCs w:val="21"/>
      <w:u w:val="none"/>
      <w:vertAlign w:val="superscript"/>
    </w:rPr>
  </w:style>
  <w:style w:type="character" w:customStyle="1" w:styleId="182">
    <w:name w:val="寇 字符"/>
    <w:link w:val="183"/>
    <w:qFormat/>
    <w:uiPriority w:val="0"/>
    <w:rPr>
      <w:rFonts w:ascii="宋体" w:hAnsi="宋体" w:eastAsia="宋体" w:cs="Times New Roman"/>
      <w:color w:val="FF0000"/>
      <w:sz w:val="24"/>
      <w:szCs w:val="24"/>
    </w:rPr>
  </w:style>
  <w:style w:type="paragraph" w:customStyle="1" w:styleId="183">
    <w:name w:val="寇"/>
    <w:basedOn w:val="86"/>
    <w:link w:val="182"/>
    <w:qFormat/>
    <w:uiPriority w:val="0"/>
    <w:pPr>
      <w:ind w:firstLine="480"/>
    </w:pPr>
    <w:rPr>
      <w:rFonts w:cs="Times New Roman"/>
      <w:color w:val="FF0000"/>
    </w:rPr>
  </w:style>
  <w:style w:type="character" w:customStyle="1" w:styleId="184">
    <w:name w:val="题注 字符1"/>
    <w:qFormat/>
    <w:uiPriority w:val="0"/>
    <w:rPr>
      <w:rFonts w:ascii="黑体" w:hAnsi="黑体" w:eastAsia="黑体"/>
      <w:kern w:val="2"/>
      <w:sz w:val="21"/>
    </w:rPr>
  </w:style>
  <w:style w:type="character" w:customStyle="1" w:styleId="185">
    <w:name w:val="标题 4 Char31"/>
    <w:qFormat/>
    <w:uiPriority w:val="0"/>
    <w:rPr>
      <w:rFonts w:ascii="Arial" w:hAnsi="Arial" w:eastAsia="黑体" w:cs="Arial"/>
      <w:b/>
      <w:kern w:val="2"/>
      <w:sz w:val="28"/>
      <w:szCs w:val="28"/>
    </w:rPr>
  </w:style>
  <w:style w:type="character" w:customStyle="1" w:styleId="186">
    <w:name w:val="书籍标题1"/>
    <w:qFormat/>
    <w:uiPriority w:val="33"/>
    <w:rPr>
      <w:b/>
      <w:bCs/>
      <w:i/>
      <w:iCs/>
      <w:spacing w:val="5"/>
    </w:rPr>
  </w:style>
  <w:style w:type="character" w:customStyle="1" w:styleId="187">
    <w:name w:val="font51"/>
    <w:qFormat/>
    <w:uiPriority w:val="0"/>
    <w:rPr>
      <w:rFonts w:hint="eastAsia" w:ascii="宋体" w:hAnsi="宋体" w:eastAsia="宋体" w:cs="宋体"/>
      <w:color w:val="000000"/>
      <w:sz w:val="21"/>
      <w:szCs w:val="21"/>
      <w:u w:val="none"/>
    </w:rPr>
  </w:style>
  <w:style w:type="character" w:customStyle="1" w:styleId="188">
    <w:name w:val="批注文字 Char1"/>
    <w:qFormat/>
    <w:uiPriority w:val="0"/>
    <w:rPr>
      <w:rFonts w:ascii="Calibri" w:hAnsi="Calibri"/>
      <w:szCs w:val="21"/>
    </w:rPr>
  </w:style>
  <w:style w:type="character" w:customStyle="1" w:styleId="189">
    <w:name w:val="标题 1 Char2"/>
    <w:qFormat/>
    <w:uiPriority w:val="9"/>
    <w:rPr>
      <w:rFonts w:ascii="Times New Roman" w:hAnsi="Times New Roman" w:eastAsia="黑体" w:cs="Arial"/>
      <w:sz w:val="32"/>
      <w:szCs w:val="20"/>
    </w:rPr>
  </w:style>
  <w:style w:type="character" w:customStyle="1" w:styleId="190">
    <w:name w:val="标题 2 Char1"/>
    <w:qFormat/>
    <w:uiPriority w:val="9"/>
    <w:rPr>
      <w:rFonts w:ascii="黑体" w:hAnsi="黑体" w:eastAsia="黑体"/>
      <w:bCs/>
      <w:kern w:val="2"/>
      <w:sz w:val="28"/>
      <w:szCs w:val="32"/>
    </w:rPr>
  </w:style>
  <w:style w:type="character" w:customStyle="1" w:styleId="191">
    <w:name w:val="5 表字-书 字符"/>
    <w:link w:val="192"/>
    <w:qFormat/>
    <w:uiPriority w:val="0"/>
    <w:rPr>
      <w:rFonts w:hAnsi="宋体" w:eastAsia="宋体"/>
      <w:szCs w:val="21"/>
    </w:rPr>
  </w:style>
  <w:style w:type="paragraph" w:customStyle="1" w:styleId="192">
    <w:name w:val="5 表字-书"/>
    <w:basedOn w:val="1"/>
    <w:link w:val="191"/>
    <w:qFormat/>
    <w:uiPriority w:val="0"/>
    <w:pPr>
      <w:spacing w:line="300" w:lineRule="atLeast"/>
      <w:jc w:val="center"/>
      <w:textAlignment w:val="center"/>
    </w:pPr>
    <w:rPr>
      <w:rFonts w:hAnsi="宋体" w:asciiTheme="minorHAnsi" w:cstheme="minorBidi"/>
      <w:szCs w:val="21"/>
    </w:rPr>
  </w:style>
  <w:style w:type="character" w:customStyle="1" w:styleId="193">
    <w:name w:val="批注文字 字符1"/>
    <w:qFormat/>
    <w:uiPriority w:val="99"/>
    <w:rPr>
      <w:rFonts w:ascii="Times New Roman" w:hAnsi="Times New Roman" w:eastAsia="宋体" w:cs="Times New Roman"/>
      <w:szCs w:val="21"/>
    </w:rPr>
  </w:style>
  <w:style w:type="character" w:customStyle="1" w:styleId="194">
    <w:name w:val="页眉 Char1"/>
    <w:qFormat/>
    <w:uiPriority w:val="99"/>
    <w:rPr>
      <w:sz w:val="18"/>
      <w:szCs w:val="18"/>
    </w:rPr>
  </w:style>
  <w:style w:type="character" w:customStyle="1" w:styleId="195">
    <w:name w:val="正文楷体 Char"/>
    <w:link w:val="196"/>
    <w:qFormat/>
    <w:uiPriority w:val="0"/>
    <w:rPr>
      <w:rFonts w:hAnsi="宋体"/>
      <w:sz w:val="24"/>
      <w:szCs w:val="24"/>
    </w:rPr>
  </w:style>
  <w:style w:type="paragraph" w:customStyle="1" w:styleId="196">
    <w:name w:val="正文楷体"/>
    <w:basedOn w:val="1"/>
    <w:link w:val="195"/>
    <w:qFormat/>
    <w:uiPriority w:val="0"/>
    <w:pPr>
      <w:spacing w:line="360" w:lineRule="auto"/>
      <w:ind w:firstLine="480" w:firstLineChars="200"/>
    </w:pPr>
    <w:rPr>
      <w:rFonts w:hAnsi="宋体" w:asciiTheme="minorHAnsi" w:eastAsiaTheme="minorEastAsia" w:cstheme="minorBidi"/>
      <w:sz w:val="24"/>
      <w:szCs w:val="24"/>
    </w:rPr>
  </w:style>
  <w:style w:type="character" w:customStyle="1" w:styleId="197">
    <w:name w:val="正文文本 字符"/>
    <w:qFormat/>
    <w:uiPriority w:val="99"/>
  </w:style>
  <w:style w:type="character" w:customStyle="1" w:styleId="198">
    <w:name w:val="正文 CDD 字符"/>
    <w:link w:val="199"/>
    <w:qFormat/>
    <w:uiPriority w:val="0"/>
    <w:rPr>
      <w:rFonts w:ascii="宋体" w:hAnsi="宋体"/>
      <w:sz w:val="24"/>
    </w:rPr>
  </w:style>
  <w:style w:type="paragraph" w:customStyle="1" w:styleId="199">
    <w:name w:val="正文 CDD"/>
    <w:basedOn w:val="1"/>
    <w:link w:val="198"/>
    <w:qFormat/>
    <w:uiPriority w:val="0"/>
    <w:pPr>
      <w:widowControl/>
      <w:spacing w:line="500" w:lineRule="exact"/>
      <w:ind w:firstLine="480"/>
      <w:jc w:val="left"/>
    </w:pPr>
    <w:rPr>
      <w:rFonts w:ascii="宋体" w:hAnsi="宋体" w:eastAsiaTheme="minorEastAsia" w:cstheme="minorBidi"/>
      <w:sz w:val="24"/>
    </w:rPr>
  </w:style>
  <w:style w:type="character" w:customStyle="1" w:styleId="200">
    <w:name w:val="font11"/>
    <w:qFormat/>
    <w:uiPriority w:val="0"/>
    <w:rPr>
      <w:rFonts w:hint="eastAsia" w:ascii="宋体" w:hAnsi="宋体" w:eastAsia="宋体"/>
      <w:color w:val="000000"/>
      <w:sz w:val="21"/>
      <w:szCs w:val="21"/>
      <w:u w:val="none"/>
      <w:vertAlign w:val="superscript"/>
    </w:rPr>
  </w:style>
  <w:style w:type="character" w:customStyle="1" w:styleId="201">
    <w:name w:val="正文首行缩进 字符"/>
    <w:qFormat/>
    <w:uiPriority w:val="99"/>
  </w:style>
  <w:style w:type="character" w:customStyle="1" w:styleId="202">
    <w:name w:val="注释标题 字符"/>
    <w:semiHidden/>
    <w:qFormat/>
    <w:uiPriority w:val="99"/>
    <w:rPr>
      <w:kern w:val="2"/>
      <w:sz w:val="21"/>
      <w:szCs w:val="22"/>
    </w:rPr>
  </w:style>
  <w:style w:type="character" w:customStyle="1" w:styleId="203">
    <w:name w:val="正文文本缩进 2 Char1"/>
    <w:qFormat/>
    <w:uiPriority w:val="0"/>
    <w:rPr>
      <w:rFonts w:ascii="Times New Roman" w:hAnsi="Times New Roman"/>
    </w:rPr>
  </w:style>
  <w:style w:type="character" w:customStyle="1" w:styleId="204">
    <w:name w:val="正文文本 Char"/>
    <w:qFormat/>
    <w:uiPriority w:val="99"/>
    <w:rPr>
      <w:rFonts w:hint="eastAsia" w:ascii="宋体" w:hAnsi="宋体" w:eastAsia="宋体" w:cs="宋体"/>
      <w:sz w:val="24"/>
      <w:szCs w:val="24"/>
    </w:rPr>
  </w:style>
  <w:style w:type="character" w:customStyle="1" w:styleId="205">
    <w:name w:val="标题 6 Char2"/>
    <w:qFormat/>
    <w:uiPriority w:val="9"/>
    <w:rPr>
      <w:rFonts w:ascii="Cambria" w:hAnsi="Cambria" w:eastAsia="宋体" w:cs="Times New Roman"/>
      <w:b/>
      <w:bCs/>
      <w:sz w:val="24"/>
      <w:szCs w:val="24"/>
    </w:rPr>
  </w:style>
  <w:style w:type="character" w:customStyle="1" w:styleId="206">
    <w:name w:val="正文文本 2 字符"/>
    <w:link w:val="43"/>
    <w:qFormat/>
    <w:uiPriority w:val="99"/>
    <w:rPr>
      <w:rFonts w:ascii="Times New Roman" w:hAnsi="Times New Roman" w:eastAsia="宋体" w:cs="Times New Roman"/>
      <w:szCs w:val="21"/>
    </w:rPr>
  </w:style>
  <w:style w:type="character" w:customStyle="1" w:styleId="207">
    <w:name w:val="HTML 预设格式 字符"/>
    <w:semiHidden/>
    <w:qFormat/>
    <w:uiPriority w:val="99"/>
    <w:rPr>
      <w:rFonts w:ascii="Courier New" w:hAnsi="Courier New" w:cs="Courier New"/>
      <w:kern w:val="2"/>
    </w:rPr>
  </w:style>
  <w:style w:type="character" w:customStyle="1" w:styleId="208">
    <w:name w:val="MEL正文* 字符"/>
    <w:link w:val="209"/>
    <w:qFormat/>
    <w:uiPriority w:val="0"/>
    <w:rPr>
      <w:rFonts w:ascii="宋体" w:hAnsi="宋体"/>
      <w:sz w:val="24"/>
      <w:szCs w:val="24"/>
    </w:rPr>
  </w:style>
  <w:style w:type="paragraph" w:customStyle="1" w:styleId="209">
    <w:name w:val="MEL正文*"/>
    <w:basedOn w:val="1"/>
    <w:link w:val="208"/>
    <w:qFormat/>
    <w:uiPriority w:val="0"/>
    <w:pPr>
      <w:spacing w:line="500" w:lineRule="exact"/>
      <w:ind w:firstLine="200" w:firstLineChars="200"/>
    </w:pPr>
    <w:rPr>
      <w:rFonts w:ascii="宋体" w:hAnsi="宋体" w:eastAsiaTheme="minorEastAsia" w:cstheme="minorBidi"/>
      <w:sz w:val="24"/>
      <w:szCs w:val="24"/>
    </w:rPr>
  </w:style>
  <w:style w:type="character" w:customStyle="1" w:styleId="210">
    <w:name w:val="正文格式 Char"/>
    <w:qFormat/>
    <w:locked/>
    <w:uiPriority w:val="0"/>
    <w:rPr>
      <w:rFonts w:ascii="宋体" w:hAnsi="Times New Roman" w:eastAsia="宋体"/>
      <w:kern w:val="2"/>
      <w:sz w:val="24"/>
      <w:szCs w:val="24"/>
    </w:rPr>
  </w:style>
  <w:style w:type="character" w:customStyle="1" w:styleId="211">
    <w:name w:val="正文文本缩进 2 Char2"/>
    <w:qFormat/>
    <w:uiPriority w:val="99"/>
    <w:rPr>
      <w:rFonts w:ascii="Times New Roman" w:hAnsi="Times New Roman" w:eastAsia="宋体" w:cs="Times New Roman"/>
      <w:kern w:val="0"/>
      <w:sz w:val="20"/>
      <w:szCs w:val="21"/>
    </w:rPr>
  </w:style>
  <w:style w:type="character" w:customStyle="1" w:styleId="212">
    <w:name w:val="show-img-bd"/>
    <w:qFormat/>
    <w:uiPriority w:val="0"/>
  </w:style>
  <w:style w:type="character" w:customStyle="1" w:styleId="213">
    <w:name w:val="正文首行缩进 2 Char"/>
    <w:qFormat/>
    <w:uiPriority w:val="0"/>
    <w:rPr>
      <w:kern w:val="2"/>
      <w:sz w:val="21"/>
      <w:szCs w:val="24"/>
    </w:rPr>
  </w:style>
  <w:style w:type="character" w:customStyle="1" w:styleId="214">
    <w:name w:val="注释标题 字符1"/>
    <w:link w:val="13"/>
    <w:qFormat/>
    <w:uiPriority w:val="0"/>
    <w:rPr>
      <w:rFonts w:ascii="Times New Roman" w:hAnsi="Times New Roman" w:eastAsia="宋体"/>
    </w:rPr>
  </w:style>
  <w:style w:type="character" w:customStyle="1" w:styleId="215">
    <w:name w:val="不明显参考1"/>
    <w:qFormat/>
    <w:uiPriority w:val="31"/>
    <w:rPr>
      <w:smallCaps/>
      <w:color w:val="5A5A5A"/>
    </w:rPr>
  </w:style>
  <w:style w:type="character" w:customStyle="1" w:styleId="216">
    <w:name w:val="正文缩进 Char"/>
    <w:qFormat/>
    <w:uiPriority w:val="0"/>
    <w:rPr>
      <w:rFonts w:hint="eastAsia" w:ascii="宋体" w:hAnsi="宋体" w:eastAsia="宋体" w:cs="宋体"/>
      <w:spacing w:val="6"/>
      <w:kern w:val="2"/>
      <w:sz w:val="26"/>
      <w:szCs w:val="26"/>
    </w:rPr>
  </w:style>
  <w:style w:type="character" w:customStyle="1" w:styleId="217">
    <w:name w:val="文档结构图 Char2"/>
    <w:qFormat/>
    <w:uiPriority w:val="99"/>
    <w:rPr>
      <w:rFonts w:ascii="宋体" w:hAnsi="Times New Roman" w:eastAsia="宋体" w:cs="Times New Roman"/>
      <w:kern w:val="0"/>
      <w:sz w:val="18"/>
      <w:szCs w:val="18"/>
    </w:rPr>
  </w:style>
  <w:style w:type="character" w:customStyle="1" w:styleId="218">
    <w:name w:val="YJ-正文 Char"/>
    <w:link w:val="219"/>
    <w:qFormat/>
    <w:uiPriority w:val="0"/>
    <w:rPr>
      <w:rFonts w:ascii="宋体" w:hAnsi="宋体" w:eastAsia="宋体"/>
      <w:sz w:val="24"/>
      <w:szCs w:val="21"/>
    </w:rPr>
  </w:style>
  <w:style w:type="paragraph" w:customStyle="1" w:styleId="219">
    <w:name w:val="YJ-正文"/>
    <w:basedOn w:val="220"/>
    <w:link w:val="218"/>
    <w:qFormat/>
    <w:uiPriority w:val="0"/>
    <w:pPr>
      <w:spacing w:line="500" w:lineRule="exact"/>
      <w:ind w:firstLine="200" w:firstLineChars="200"/>
    </w:pPr>
    <w:rPr>
      <w:rFonts w:ascii="宋体" w:hAnsi="宋体" w:cstheme="minorBidi"/>
      <w:b w:val="0"/>
      <w:kern w:val="2"/>
      <w:sz w:val="24"/>
      <w:szCs w:val="21"/>
    </w:rPr>
  </w:style>
  <w:style w:type="paragraph" w:customStyle="1" w:styleId="220">
    <w:name w:val="YJ-表标题1"/>
    <w:basedOn w:val="1"/>
    <w:qFormat/>
    <w:uiPriority w:val="0"/>
    <w:pPr>
      <w:widowControl/>
      <w:spacing w:line="520" w:lineRule="exact"/>
      <w:jc w:val="left"/>
      <w:outlineLvl w:val="1"/>
    </w:pPr>
    <w:rPr>
      <w:b/>
      <w:kern w:val="0"/>
      <w:sz w:val="30"/>
    </w:rPr>
  </w:style>
  <w:style w:type="character" w:customStyle="1" w:styleId="221">
    <w:name w:val="页眉 Char"/>
    <w:qFormat/>
    <w:uiPriority w:val="0"/>
    <w:rPr>
      <w:kern w:val="2"/>
      <w:sz w:val="18"/>
      <w:szCs w:val="18"/>
    </w:rPr>
  </w:style>
  <w:style w:type="character" w:customStyle="1" w:styleId="222">
    <w:name w:val="标题 7 Char"/>
    <w:qFormat/>
    <w:uiPriority w:val="9"/>
    <w:rPr>
      <w:rFonts w:eastAsia="宋体" w:cs="Times New Roman"/>
      <w:b/>
      <w:bCs/>
      <w:kern w:val="2"/>
      <w:sz w:val="24"/>
      <w:szCs w:val="24"/>
    </w:rPr>
  </w:style>
  <w:style w:type="character" w:customStyle="1" w:styleId="223">
    <w:name w:val="标题1"/>
    <w:qFormat/>
    <w:uiPriority w:val="0"/>
  </w:style>
  <w:style w:type="character" w:customStyle="1" w:styleId="224">
    <w:name w:val="YJ表中字体 Char"/>
    <w:link w:val="225"/>
    <w:qFormat/>
    <w:uiPriority w:val="0"/>
    <w:rPr>
      <w:rFonts w:ascii="宋体" w:hAnsi="宋体" w:eastAsia="宋体"/>
    </w:rPr>
  </w:style>
  <w:style w:type="paragraph" w:customStyle="1" w:styleId="225">
    <w:name w:val="YJ表中字体"/>
    <w:basedOn w:val="14"/>
    <w:link w:val="224"/>
    <w:qFormat/>
    <w:uiPriority w:val="0"/>
    <w:pPr>
      <w:tabs>
        <w:tab w:val="left" w:pos="8176"/>
      </w:tabs>
      <w:spacing w:line="240" w:lineRule="exact"/>
      <w:ind w:firstLine="0" w:firstLineChars="0"/>
      <w:jc w:val="center"/>
    </w:pPr>
    <w:rPr>
      <w:rFonts w:ascii="宋体" w:hAnsi="宋体" w:cstheme="minorBidi"/>
      <w:szCs w:val="22"/>
    </w:rPr>
  </w:style>
  <w:style w:type="character" w:customStyle="1" w:styleId="226">
    <w:name w:val="一级标题-书 Char"/>
    <w:link w:val="227"/>
    <w:qFormat/>
    <w:uiPriority w:val="0"/>
    <w:rPr>
      <w:rFonts w:ascii="Times New Roman" w:hAnsi="Times New Roman" w:eastAsia="宋体" w:cs="Arial"/>
      <w:b/>
      <w:sz w:val="32"/>
      <w:szCs w:val="20"/>
    </w:rPr>
  </w:style>
  <w:style w:type="paragraph" w:customStyle="1" w:styleId="227">
    <w:name w:val="一级标题-书"/>
    <w:basedOn w:val="1"/>
    <w:link w:val="226"/>
    <w:qFormat/>
    <w:uiPriority w:val="0"/>
    <w:pPr>
      <w:keepNext/>
      <w:widowControl/>
      <w:spacing w:line="600" w:lineRule="exact"/>
      <w:jc w:val="left"/>
      <w:outlineLvl w:val="0"/>
    </w:pPr>
    <w:rPr>
      <w:rFonts w:ascii="Times New Roman" w:hAnsi="Times New Roman" w:cs="Arial"/>
      <w:b/>
      <w:sz w:val="32"/>
      <w:szCs w:val="20"/>
    </w:rPr>
  </w:style>
  <w:style w:type="character" w:customStyle="1" w:styleId="228">
    <w:name w:val="4刘群正文* Char"/>
    <w:link w:val="229"/>
    <w:qFormat/>
    <w:uiPriority w:val="0"/>
    <w:rPr>
      <w:rFonts w:ascii="Times New Roman" w:hAnsi="Times New Roman" w:cs="Times New Roman"/>
      <w:sz w:val="24"/>
      <w:szCs w:val="24"/>
      <w:lang w:val="zh-CN"/>
    </w:rPr>
  </w:style>
  <w:style w:type="paragraph" w:customStyle="1" w:styleId="229">
    <w:name w:val="4刘群正文 *"/>
    <w:basedOn w:val="1"/>
    <w:link w:val="228"/>
    <w:qFormat/>
    <w:uiPriority w:val="0"/>
    <w:pPr>
      <w:spacing w:line="520" w:lineRule="exact"/>
      <w:ind w:firstLine="480" w:firstLineChars="200"/>
    </w:pPr>
    <w:rPr>
      <w:rFonts w:ascii="Times New Roman" w:hAnsi="Times New Roman" w:eastAsiaTheme="minorEastAsia"/>
      <w:sz w:val="24"/>
      <w:szCs w:val="24"/>
      <w:lang w:val="zh-CN"/>
    </w:rPr>
  </w:style>
  <w:style w:type="character" w:customStyle="1" w:styleId="230">
    <w:name w:val="标题 1 Char"/>
    <w:qFormat/>
    <w:uiPriority w:val="9"/>
    <w:rPr>
      <w:rFonts w:ascii="宋体" w:hAnsi="宋体" w:eastAsia="黑体"/>
      <w:b/>
      <w:sz w:val="32"/>
      <w:szCs w:val="28"/>
    </w:rPr>
  </w:style>
  <w:style w:type="character" w:customStyle="1" w:styleId="231">
    <w:name w:val="3级标题 字符"/>
    <w:link w:val="232"/>
    <w:qFormat/>
    <w:uiPriority w:val="0"/>
    <w:rPr>
      <w:rFonts w:ascii="宋体" w:hAnsi="宋体" w:eastAsia="黑体" w:cs="宋体"/>
      <w:color w:val="000000"/>
      <w:spacing w:val="4"/>
      <w:sz w:val="24"/>
      <w:szCs w:val="24"/>
    </w:rPr>
  </w:style>
  <w:style w:type="paragraph" w:customStyle="1" w:styleId="232">
    <w:name w:val="3级标题"/>
    <w:basedOn w:val="1"/>
    <w:link w:val="231"/>
    <w:qFormat/>
    <w:uiPriority w:val="0"/>
    <w:pPr>
      <w:adjustRightInd w:val="0"/>
      <w:snapToGrid w:val="0"/>
      <w:spacing w:before="160" w:after="160" w:line="360" w:lineRule="auto"/>
      <w:jc w:val="left"/>
      <w:outlineLvl w:val="2"/>
    </w:pPr>
    <w:rPr>
      <w:rFonts w:ascii="宋体" w:hAnsi="宋体" w:eastAsia="黑体" w:cs="宋体"/>
      <w:color w:val="000000"/>
      <w:spacing w:val="4"/>
      <w:sz w:val="24"/>
      <w:szCs w:val="24"/>
    </w:rPr>
  </w:style>
  <w:style w:type="character" w:customStyle="1" w:styleId="233">
    <w:name w:val="font21"/>
    <w:qFormat/>
    <w:uiPriority w:val="0"/>
    <w:rPr>
      <w:rFonts w:hint="eastAsia" w:ascii="宋体" w:hAnsi="宋体" w:eastAsia="宋体"/>
      <w:color w:val="000000"/>
      <w:sz w:val="21"/>
      <w:szCs w:val="21"/>
      <w:u w:val="none"/>
    </w:rPr>
  </w:style>
  <w:style w:type="character" w:customStyle="1" w:styleId="234">
    <w:name w:val="纯文本 Char1"/>
    <w:qFormat/>
    <w:uiPriority w:val="0"/>
    <w:rPr>
      <w:rFonts w:hint="eastAsia" w:ascii="宋体" w:hAnsi="Courier New" w:eastAsia="宋体" w:cs="Courier New"/>
      <w:kern w:val="2"/>
      <w:sz w:val="21"/>
      <w:szCs w:val="21"/>
    </w:rPr>
  </w:style>
  <w:style w:type="character" w:customStyle="1" w:styleId="235">
    <w:name w:val="标题 2 Char2"/>
    <w:qFormat/>
    <w:uiPriority w:val="9"/>
    <w:rPr>
      <w:rFonts w:ascii="黑体" w:hAnsi="黑体" w:eastAsia="黑体" w:cs="Times New Roman"/>
      <w:bCs/>
      <w:sz w:val="28"/>
      <w:szCs w:val="32"/>
    </w:rPr>
  </w:style>
  <w:style w:type="character" w:customStyle="1" w:styleId="236">
    <w:name w:val="批注文字 Char"/>
    <w:qFormat/>
    <w:uiPriority w:val="0"/>
    <w:rPr>
      <w:kern w:val="2"/>
      <w:sz w:val="21"/>
      <w:szCs w:val="21"/>
    </w:rPr>
  </w:style>
  <w:style w:type="character" w:customStyle="1" w:styleId="237">
    <w:name w:val="附件 字符"/>
    <w:link w:val="238"/>
    <w:qFormat/>
    <w:uiPriority w:val="0"/>
    <w:rPr>
      <w:rFonts w:ascii="宋体" w:hAnsi="宋体" w:eastAsia="宋体"/>
      <w:b/>
      <w:sz w:val="24"/>
      <w:szCs w:val="21"/>
    </w:rPr>
  </w:style>
  <w:style w:type="paragraph" w:customStyle="1" w:styleId="238">
    <w:name w:val="附件"/>
    <w:basedOn w:val="1"/>
    <w:link w:val="237"/>
    <w:qFormat/>
    <w:uiPriority w:val="0"/>
    <w:pPr>
      <w:ind w:firstLine="200" w:firstLineChars="200"/>
      <w:outlineLvl w:val="3"/>
    </w:pPr>
    <w:rPr>
      <w:rFonts w:ascii="宋体" w:hAnsi="宋体" w:cstheme="minorBidi"/>
      <w:b/>
      <w:sz w:val="24"/>
      <w:szCs w:val="21"/>
    </w:rPr>
  </w:style>
  <w:style w:type="character" w:customStyle="1" w:styleId="239">
    <w:name w:val="明显参考11"/>
    <w:qFormat/>
    <w:uiPriority w:val="32"/>
    <w:rPr>
      <w:b/>
      <w:bCs/>
      <w:smallCaps/>
      <w:color w:val="4F81BD"/>
      <w:spacing w:val="5"/>
    </w:rPr>
  </w:style>
  <w:style w:type="character" w:customStyle="1" w:styleId="240">
    <w:name w:val="标题 5 Char1"/>
    <w:qFormat/>
    <w:uiPriority w:val="9"/>
    <w:rPr>
      <w:rFonts w:cs="Times New Roman"/>
      <w:bCs/>
      <w:color w:val="auto"/>
      <w:sz w:val="28"/>
      <w:szCs w:val="28"/>
      <w:lang w:val="zh-CN" w:eastAsia="zh-CN"/>
    </w:rPr>
  </w:style>
  <w:style w:type="character" w:customStyle="1" w:styleId="241">
    <w:name w:val="正文文本 3 字符1"/>
    <w:link w:val="18"/>
    <w:qFormat/>
    <w:uiPriority w:val="0"/>
    <w:rPr>
      <w:rFonts w:ascii="Times New Roman" w:hAnsi="Times New Roman" w:eastAsia="宋体"/>
      <w:sz w:val="18"/>
      <w:szCs w:val="24"/>
    </w:rPr>
  </w:style>
  <w:style w:type="character" w:customStyle="1" w:styleId="242">
    <w:name w:val="正文文本缩进 2 字符"/>
    <w:qFormat/>
    <w:uiPriority w:val="99"/>
  </w:style>
  <w:style w:type="character" w:customStyle="1" w:styleId="243">
    <w:name w:val="正文文本首行缩进 2 字符"/>
    <w:link w:val="50"/>
    <w:qFormat/>
    <w:uiPriority w:val="99"/>
    <w:rPr>
      <w:rFonts w:ascii="Times New Roman" w:hAnsi="Times New Roman" w:eastAsia="宋体" w:cs="Times New Roman"/>
      <w:kern w:val="0"/>
      <w:sz w:val="20"/>
      <w:szCs w:val="24"/>
    </w:rPr>
  </w:style>
  <w:style w:type="character" w:customStyle="1" w:styleId="244">
    <w:name w:val="标题 1 Char1"/>
    <w:qFormat/>
    <w:uiPriority w:val="9"/>
    <w:rPr>
      <w:rFonts w:ascii="Times New Roman" w:hAnsi="Times New Roman" w:eastAsia="黑体" w:cs="Arial"/>
      <w:kern w:val="2"/>
      <w:sz w:val="32"/>
    </w:rPr>
  </w:style>
  <w:style w:type="character" w:customStyle="1" w:styleId="245">
    <w:name w:val="文档结构图 字符"/>
    <w:link w:val="16"/>
    <w:qFormat/>
    <w:uiPriority w:val="99"/>
    <w:rPr>
      <w:rFonts w:ascii="宋体" w:hAnsi="Times New Roman" w:eastAsia="宋体" w:cs="Times New Roman"/>
      <w:kern w:val="0"/>
      <w:sz w:val="18"/>
      <w:szCs w:val="18"/>
    </w:rPr>
  </w:style>
  <w:style w:type="character" w:customStyle="1" w:styleId="246">
    <w:name w:val="fontstyle01"/>
    <w:qFormat/>
    <w:uiPriority w:val="0"/>
    <w:rPr>
      <w:rFonts w:hint="eastAsia" w:ascii="宋体" w:hAnsi="宋体" w:eastAsia="宋体"/>
      <w:color w:val="000000"/>
      <w:sz w:val="22"/>
      <w:szCs w:val="22"/>
    </w:rPr>
  </w:style>
  <w:style w:type="character" w:customStyle="1" w:styleId="247">
    <w:name w:val="标题 4 Char2"/>
    <w:qFormat/>
    <w:uiPriority w:val="0"/>
    <w:rPr>
      <w:rFonts w:ascii="Arial" w:hAnsi="Arial" w:eastAsia="黑体" w:cs="Times New Roman"/>
      <w:bCs/>
      <w:color w:val="auto"/>
      <w:sz w:val="28"/>
      <w:szCs w:val="28"/>
      <w:lang w:val="zh-CN" w:eastAsia="zh-CN"/>
    </w:rPr>
  </w:style>
  <w:style w:type="character" w:customStyle="1" w:styleId="248">
    <w:name w:val="正文文本首行缩进 字符"/>
    <w:link w:val="49"/>
    <w:qFormat/>
    <w:uiPriority w:val="0"/>
    <w:rPr>
      <w:rFonts w:ascii="宋体" w:hAnsi="宋体" w:eastAsia="宋体" w:cs="Times New Roman"/>
      <w:kern w:val="0"/>
      <w:sz w:val="24"/>
      <w:szCs w:val="24"/>
    </w:rPr>
  </w:style>
  <w:style w:type="character" w:customStyle="1" w:styleId="249">
    <w:name w:val="标题 3 字符1"/>
    <w:qFormat/>
    <w:uiPriority w:val="9"/>
    <w:rPr>
      <w:rFonts w:ascii="Times New Roman" w:hAnsi="Times New Roman" w:eastAsia="黑体" w:cs="Times New Roman"/>
      <w:b/>
      <w:bCs/>
      <w:sz w:val="24"/>
      <w:szCs w:val="32"/>
      <w:lang w:val="zh-CN" w:eastAsia="zh-CN"/>
    </w:rPr>
  </w:style>
  <w:style w:type="character" w:customStyle="1" w:styleId="250">
    <w:name w:val="标题 6 Char3"/>
    <w:qFormat/>
    <w:uiPriority w:val="9"/>
    <w:rPr>
      <w:rFonts w:ascii="Cambria" w:hAnsi="Cambria" w:eastAsia="宋体" w:cs="Times New Roman"/>
      <w:b/>
      <w:bCs/>
      <w:kern w:val="0"/>
      <w:sz w:val="24"/>
      <w:szCs w:val="24"/>
    </w:rPr>
  </w:style>
  <w:style w:type="character" w:customStyle="1" w:styleId="251">
    <w:name w:val="书籍标题11"/>
    <w:qFormat/>
    <w:uiPriority w:val="33"/>
    <w:rPr>
      <w:b/>
      <w:bCs/>
      <w:i/>
      <w:iCs/>
      <w:spacing w:val="5"/>
    </w:rPr>
  </w:style>
  <w:style w:type="character" w:customStyle="1" w:styleId="252">
    <w:name w:val="批注文字 字符"/>
    <w:qFormat/>
    <w:uiPriority w:val="0"/>
  </w:style>
  <w:style w:type="character" w:customStyle="1" w:styleId="253">
    <w:name w:val="正文文本缩进 Char1"/>
    <w:qFormat/>
    <w:uiPriority w:val="0"/>
    <w:rPr>
      <w:rFonts w:ascii="Calibri" w:hAnsi="Calibri" w:cs="Chiller"/>
      <w:b/>
      <w:color w:val="231F1F"/>
      <w:kern w:val="0"/>
      <w:sz w:val="24"/>
      <w:szCs w:val="24"/>
    </w:rPr>
  </w:style>
  <w:style w:type="character" w:customStyle="1" w:styleId="254">
    <w:name w:val="批注框文本 Char1"/>
    <w:qFormat/>
    <w:uiPriority w:val="99"/>
    <w:rPr>
      <w:rFonts w:ascii="Calibri" w:hAnsi="Calibri"/>
      <w:sz w:val="18"/>
      <w:szCs w:val="18"/>
    </w:rPr>
  </w:style>
  <w:style w:type="character" w:customStyle="1" w:styleId="255">
    <w:name w:val="标题 8 Char"/>
    <w:qFormat/>
    <w:uiPriority w:val="99"/>
    <w:rPr>
      <w:rFonts w:ascii="Arial" w:hAnsi="Arial" w:eastAsia="黑体" w:cs="Times New Roman"/>
      <w:sz w:val="24"/>
      <w:szCs w:val="24"/>
    </w:rPr>
  </w:style>
  <w:style w:type="character" w:customStyle="1" w:styleId="256">
    <w:name w:val="报告正文 Char1"/>
    <w:link w:val="257"/>
    <w:qFormat/>
    <w:uiPriority w:val="0"/>
    <w:rPr>
      <w:rFonts w:ascii="宋体" w:hAnsi="宋体" w:eastAsia="宋体" w:cs="宋体"/>
      <w:sz w:val="24"/>
      <w:szCs w:val="21"/>
    </w:rPr>
  </w:style>
  <w:style w:type="paragraph" w:customStyle="1" w:styleId="257">
    <w:name w:val="报告正文"/>
    <w:basedOn w:val="1"/>
    <w:link w:val="256"/>
    <w:qFormat/>
    <w:uiPriority w:val="0"/>
    <w:pPr>
      <w:widowControl/>
      <w:adjustRightInd w:val="0"/>
      <w:snapToGrid w:val="0"/>
      <w:spacing w:beforeLines="50"/>
      <w:ind w:firstLine="200" w:firstLineChars="200"/>
      <w:jc w:val="left"/>
    </w:pPr>
    <w:rPr>
      <w:rFonts w:ascii="宋体" w:hAnsi="宋体" w:cs="宋体"/>
      <w:sz w:val="24"/>
      <w:szCs w:val="21"/>
    </w:rPr>
  </w:style>
  <w:style w:type="character" w:customStyle="1" w:styleId="258">
    <w:name w:val="表正文 Char1"/>
    <w:link w:val="259"/>
    <w:unhideWhenUsed/>
    <w:qFormat/>
    <w:uiPriority w:val="0"/>
  </w:style>
  <w:style w:type="paragraph" w:customStyle="1" w:styleId="259">
    <w:name w:val="正文缩进2"/>
    <w:basedOn w:val="1"/>
    <w:link w:val="258"/>
    <w:unhideWhenUsed/>
    <w:qFormat/>
    <w:uiPriority w:val="0"/>
    <w:pPr>
      <w:ind w:firstLine="420" w:firstLineChars="200"/>
    </w:pPr>
    <w:rPr>
      <w:rFonts w:asciiTheme="minorHAnsi" w:hAnsiTheme="minorHAnsi" w:eastAsiaTheme="minorEastAsia" w:cstheme="minorBidi"/>
    </w:rPr>
  </w:style>
  <w:style w:type="character" w:customStyle="1" w:styleId="260">
    <w:name w:val="正文首行缩进 2 Char2"/>
    <w:qFormat/>
    <w:uiPriority w:val="99"/>
    <w:rPr>
      <w:rFonts w:ascii="Times New Roman" w:hAnsi="Times New Roman" w:eastAsia="宋体" w:cs="Times New Roman"/>
      <w:kern w:val="0"/>
      <w:sz w:val="20"/>
      <w:szCs w:val="24"/>
    </w:rPr>
  </w:style>
  <w:style w:type="character" w:customStyle="1" w:styleId="261">
    <w:name w:val="批注主题 字符"/>
    <w:link w:val="48"/>
    <w:qFormat/>
    <w:uiPriority w:val="99"/>
    <w:rPr>
      <w:rFonts w:ascii="Times New Roman" w:hAnsi="Times New Roman" w:eastAsia="宋体" w:cs="Times New Roman"/>
      <w:b/>
      <w:bCs/>
      <w:kern w:val="0"/>
      <w:sz w:val="20"/>
      <w:szCs w:val="21"/>
    </w:rPr>
  </w:style>
  <w:style w:type="character" w:customStyle="1" w:styleId="262">
    <w:name w:val="正文缩进 Char1"/>
    <w:qFormat/>
    <w:uiPriority w:val="99"/>
    <w:rPr>
      <w:rFonts w:ascii="Times New Roman" w:hAnsi="Times New Roman" w:eastAsia="宋体" w:cs="Times New Roman"/>
      <w:szCs w:val="21"/>
    </w:rPr>
  </w:style>
  <w:style w:type="character" w:customStyle="1" w:styleId="263">
    <w:name w:val="批注主题 Char2"/>
    <w:qFormat/>
    <w:uiPriority w:val="99"/>
    <w:rPr>
      <w:rFonts w:ascii="Times New Roman" w:hAnsi="Times New Roman" w:eastAsia="宋体" w:cs="Times New Roman"/>
      <w:b/>
      <w:bCs/>
      <w:kern w:val="0"/>
      <w:sz w:val="20"/>
      <w:szCs w:val="21"/>
    </w:rPr>
  </w:style>
  <w:style w:type="character" w:customStyle="1" w:styleId="264">
    <w:name w:val="页眉 Char2"/>
    <w:qFormat/>
    <w:uiPriority w:val="99"/>
    <w:rPr>
      <w:sz w:val="18"/>
      <w:szCs w:val="18"/>
    </w:rPr>
  </w:style>
  <w:style w:type="character" w:customStyle="1" w:styleId="265">
    <w:name w:val="标题 4 字符1"/>
    <w:qFormat/>
    <w:uiPriority w:val="0"/>
    <w:rPr>
      <w:rFonts w:ascii="Arial" w:hAnsi="Arial"/>
      <w:bCs/>
      <w:sz w:val="24"/>
      <w:szCs w:val="28"/>
      <w:lang w:val="zh-CN"/>
    </w:rPr>
  </w:style>
  <w:style w:type="character" w:customStyle="1" w:styleId="266">
    <w:name w:val="批注文字 Char2"/>
    <w:qFormat/>
    <w:uiPriority w:val="0"/>
  </w:style>
  <w:style w:type="character" w:customStyle="1" w:styleId="267">
    <w:name w:val="正文文本缩进 3 字符1"/>
    <w:link w:val="39"/>
    <w:qFormat/>
    <w:uiPriority w:val="0"/>
    <w:rPr>
      <w:rFonts w:ascii="宋体" w:hAnsi="Times New Roman" w:eastAsia="宋体"/>
      <w:color w:val="FF0000"/>
      <w:sz w:val="28"/>
      <w:szCs w:val="24"/>
    </w:rPr>
  </w:style>
  <w:style w:type="character" w:customStyle="1" w:styleId="268">
    <w:name w:val="标题 1 Char3"/>
    <w:qFormat/>
    <w:uiPriority w:val="9"/>
    <w:rPr>
      <w:rFonts w:ascii="黑体" w:hAnsi="黑体" w:eastAsia="黑体"/>
      <w:sz w:val="32"/>
    </w:rPr>
  </w:style>
  <w:style w:type="character" w:customStyle="1" w:styleId="269">
    <w:name w:val="正文文本 Char1"/>
    <w:qFormat/>
    <w:uiPriority w:val="99"/>
  </w:style>
  <w:style w:type="character" w:customStyle="1" w:styleId="270">
    <w:name w:val="三级标题-书 Char"/>
    <w:link w:val="271"/>
    <w:qFormat/>
    <w:uiPriority w:val="0"/>
    <w:rPr>
      <w:rFonts w:ascii="Times New Roman" w:hAnsi="Times New Roman" w:eastAsia="宋体" w:cs="Arial"/>
      <w:b/>
      <w:sz w:val="28"/>
      <w:szCs w:val="20"/>
    </w:rPr>
  </w:style>
  <w:style w:type="paragraph" w:customStyle="1" w:styleId="271">
    <w:name w:val="三级标题-书"/>
    <w:basedOn w:val="108"/>
    <w:link w:val="270"/>
    <w:qFormat/>
    <w:uiPriority w:val="0"/>
    <w:pPr>
      <w:spacing w:line="360" w:lineRule="auto"/>
      <w:outlineLvl w:val="2"/>
    </w:pPr>
    <w:rPr>
      <w:rFonts w:cs="Arial"/>
      <w:kern w:val="2"/>
      <w:sz w:val="28"/>
    </w:rPr>
  </w:style>
  <w:style w:type="character" w:customStyle="1" w:styleId="272">
    <w:name w:val="正文文本缩进 Char"/>
    <w:qFormat/>
    <w:uiPriority w:val="0"/>
    <w:rPr>
      <w:kern w:val="2"/>
      <w:sz w:val="21"/>
      <w:szCs w:val="24"/>
    </w:rPr>
  </w:style>
  <w:style w:type="character" w:customStyle="1" w:styleId="273">
    <w:name w:val="不明显强调1"/>
    <w:qFormat/>
    <w:uiPriority w:val="19"/>
    <w:rPr>
      <w:i/>
      <w:iCs/>
      <w:color w:val="404040"/>
    </w:rPr>
  </w:style>
  <w:style w:type="character" w:customStyle="1" w:styleId="274">
    <w:name w:val="正文首行缩进 2 字符"/>
    <w:qFormat/>
    <w:uiPriority w:val="99"/>
  </w:style>
  <w:style w:type="character" w:customStyle="1" w:styleId="275">
    <w:name w:val="表字-书 Char Char"/>
    <w:qFormat/>
    <w:uiPriority w:val="0"/>
    <w:rPr>
      <w:rFonts w:ascii="宋体" w:hAnsi="宋体" w:eastAsia="宋体" w:cs="Arial"/>
      <w:szCs w:val="21"/>
    </w:rPr>
  </w:style>
  <w:style w:type="character" w:customStyle="1" w:styleId="276">
    <w:name w:val="YJ附图附件 Char"/>
    <w:link w:val="277"/>
    <w:qFormat/>
    <w:uiPriority w:val="0"/>
    <w:rPr>
      <w:b/>
      <w:sz w:val="24"/>
      <w:lang w:val="zh-CN"/>
    </w:rPr>
  </w:style>
  <w:style w:type="paragraph" w:customStyle="1" w:styleId="277">
    <w:name w:val="YJ附图附件"/>
    <w:basedOn w:val="1"/>
    <w:link w:val="276"/>
    <w:qFormat/>
    <w:uiPriority w:val="0"/>
    <w:pPr>
      <w:widowControl/>
      <w:spacing w:line="520" w:lineRule="exact"/>
      <w:ind w:firstLine="200" w:firstLineChars="200"/>
      <w:jc w:val="left"/>
      <w:outlineLvl w:val="0"/>
    </w:pPr>
    <w:rPr>
      <w:rFonts w:asciiTheme="minorHAnsi" w:hAnsiTheme="minorHAnsi" w:eastAsiaTheme="minorEastAsia" w:cstheme="minorBidi"/>
      <w:b/>
      <w:sz w:val="24"/>
      <w:lang w:val="zh-CN"/>
    </w:rPr>
  </w:style>
  <w:style w:type="character" w:customStyle="1" w:styleId="278">
    <w:name w:val="标题 5 Char3"/>
    <w:qFormat/>
    <w:uiPriority w:val="9"/>
    <w:rPr>
      <w:rFonts w:ascii="Times New Roman" w:hAnsi="Times New Roman" w:eastAsia="宋体" w:cs="Times New Roman"/>
      <w:b/>
      <w:bCs/>
      <w:kern w:val="0"/>
      <w:sz w:val="28"/>
      <w:szCs w:val="28"/>
    </w:rPr>
  </w:style>
  <w:style w:type="character" w:customStyle="1" w:styleId="279">
    <w:name w:val="正文缩进 字符"/>
    <w:link w:val="14"/>
    <w:qFormat/>
    <w:uiPriority w:val="99"/>
    <w:rPr>
      <w:rFonts w:ascii="Times New Roman" w:hAnsi="Times New Roman" w:eastAsia="宋体" w:cs="Times New Roman"/>
      <w:szCs w:val="21"/>
    </w:rPr>
  </w:style>
  <w:style w:type="character" w:customStyle="1" w:styleId="280">
    <w:name w:val="不明显参考11"/>
    <w:qFormat/>
    <w:uiPriority w:val="31"/>
    <w:rPr>
      <w:smallCaps/>
      <w:color w:val="5A5A5A"/>
    </w:rPr>
  </w:style>
  <w:style w:type="character" w:customStyle="1" w:styleId="281">
    <w:name w:val="纯文本 Char2"/>
    <w:qFormat/>
    <w:uiPriority w:val="99"/>
    <w:rPr>
      <w:rFonts w:ascii="宋体" w:hAnsi="Courier New" w:eastAsia="宋体" w:cs="Times New Roman"/>
      <w:kern w:val="0"/>
      <w:sz w:val="24"/>
      <w:szCs w:val="20"/>
    </w:rPr>
  </w:style>
  <w:style w:type="character" w:customStyle="1" w:styleId="282">
    <w:name w:val="ZQL-表图标题 Char"/>
    <w:link w:val="283"/>
    <w:qFormat/>
    <w:uiPriority w:val="0"/>
    <w:rPr>
      <w:b/>
    </w:rPr>
  </w:style>
  <w:style w:type="paragraph" w:customStyle="1" w:styleId="283">
    <w:name w:val="ZQL-表图标题"/>
    <w:basedOn w:val="1"/>
    <w:link w:val="282"/>
    <w:qFormat/>
    <w:uiPriority w:val="0"/>
    <w:pPr>
      <w:widowControl/>
      <w:adjustRightInd w:val="0"/>
      <w:snapToGrid w:val="0"/>
      <w:spacing w:line="500" w:lineRule="exact"/>
      <w:jc w:val="center"/>
      <w:outlineLvl w:val="1"/>
    </w:pPr>
    <w:rPr>
      <w:rFonts w:asciiTheme="minorHAnsi" w:hAnsiTheme="minorHAnsi" w:eastAsiaTheme="minorEastAsia" w:cstheme="minorBidi"/>
      <w:b/>
    </w:rPr>
  </w:style>
  <w:style w:type="character" w:customStyle="1" w:styleId="284">
    <w:name w:val="正文文本缩进 Char2"/>
    <w:qFormat/>
    <w:uiPriority w:val="99"/>
    <w:rPr>
      <w:rFonts w:ascii="Times New Roman" w:hAnsi="Times New Roman" w:eastAsia="宋体" w:cs="Times New Roman"/>
      <w:kern w:val="0"/>
      <w:sz w:val="20"/>
      <w:szCs w:val="24"/>
    </w:rPr>
  </w:style>
  <w:style w:type="character" w:customStyle="1" w:styleId="285">
    <w:name w:val="标题 5 Char"/>
    <w:qFormat/>
    <w:uiPriority w:val="9"/>
    <w:rPr>
      <w:rFonts w:eastAsia="宋体" w:cs="Times New Roman"/>
      <w:b/>
      <w:bCs/>
      <w:kern w:val="2"/>
      <w:sz w:val="28"/>
      <w:szCs w:val="28"/>
    </w:rPr>
  </w:style>
  <w:style w:type="character" w:customStyle="1" w:styleId="286">
    <w:name w:val="标题 7 Char3"/>
    <w:qFormat/>
    <w:uiPriority w:val="9"/>
    <w:rPr>
      <w:rFonts w:ascii="Times New Roman" w:hAnsi="Times New Roman" w:eastAsia="宋体" w:cs="Times New Roman"/>
      <w:b/>
      <w:bCs/>
      <w:kern w:val="0"/>
      <w:sz w:val="24"/>
      <w:szCs w:val="24"/>
    </w:rPr>
  </w:style>
  <w:style w:type="character" w:customStyle="1" w:styleId="287">
    <w:name w:val="MEL表字-书 字符"/>
    <w:link w:val="288"/>
    <w:qFormat/>
    <w:uiPriority w:val="0"/>
    <w:rPr>
      <w:rFonts w:ascii="宋体" w:hAnsi="宋体"/>
      <w:szCs w:val="21"/>
    </w:rPr>
  </w:style>
  <w:style w:type="paragraph" w:customStyle="1" w:styleId="288">
    <w:name w:val="MEL表字-书"/>
    <w:basedOn w:val="1"/>
    <w:link w:val="287"/>
    <w:qFormat/>
    <w:uiPriority w:val="0"/>
    <w:pPr>
      <w:spacing w:line="240" w:lineRule="exact"/>
      <w:jc w:val="center"/>
    </w:pPr>
    <w:rPr>
      <w:rFonts w:ascii="宋体" w:hAnsi="宋体" w:eastAsiaTheme="minorEastAsia" w:cstheme="minorBidi"/>
      <w:szCs w:val="21"/>
    </w:rPr>
  </w:style>
  <w:style w:type="character" w:customStyle="1" w:styleId="289">
    <w:name w:val="明显引用 Char"/>
    <w:qFormat/>
    <w:uiPriority w:val="30"/>
    <w:rPr>
      <w:rFonts w:eastAsia="宋体" w:cs="Times New Roman"/>
      <w:i/>
      <w:iCs/>
      <w:color w:val="4F81BD"/>
      <w:kern w:val="2"/>
      <w:sz w:val="24"/>
      <w:szCs w:val="22"/>
    </w:rPr>
  </w:style>
  <w:style w:type="character" w:customStyle="1" w:styleId="290">
    <w:name w:val="引用 字符1"/>
    <w:link w:val="291"/>
    <w:qFormat/>
    <w:uiPriority w:val="29"/>
    <w:rPr>
      <w:rFonts w:ascii="Times New Roman" w:hAnsi="Times New Roman" w:eastAsia="宋体" w:cs="Times New Roman"/>
      <w:i/>
      <w:iCs/>
      <w:color w:val="404040"/>
      <w:sz w:val="24"/>
    </w:rPr>
  </w:style>
  <w:style w:type="paragraph" w:customStyle="1" w:styleId="291">
    <w:name w:val="引用2"/>
    <w:basedOn w:val="1"/>
    <w:next w:val="1"/>
    <w:link w:val="290"/>
    <w:qFormat/>
    <w:uiPriority w:val="29"/>
    <w:pPr>
      <w:spacing w:before="200" w:after="160" w:line="500" w:lineRule="exact"/>
      <w:ind w:left="864" w:right="864" w:firstLine="200" w:firstLineChars="200"/>
      <w:jc w:val="center"/>
    </w:pPr>
    <w:rPr>
      <w:rFonts w:ascii="Times New Roman" w:hAnsi="Times New Roman"/>
      <w:i/>
      <w:iCs/>
      <w:color w:val="404040"/>
      <w:sz w:val="24"/>
    </w:rPr>
  </w:style>
  <w:style w:type="character" w:customStyle="1" w:styleId="292">
    <w:name w:val="文档结构图 Char"/>
    <w:qFormat/>
    <w:uiPriority w:val="0"/>
    <w:rPr>
      <w:rFonts w:ascii="宋体"/>
      <w:kern w:val="2"/>
      <w:sz w:val="18"/>
      <w:szCs w:val="18"/>
    </w:rPr>
  </w:style>
  <w:style w:type="character" w:customStyle="1" w:styleId="293">
    <w:name w:val="表格 Char"/>
    <w:link w:val="294"/>
    <w:qFormat/>
    <w:uiPriority w:val="0"/>
    <w:rPr>
      <w:rFonts w:ascii="宋体" w:hAnsi="Times New Roman"/>
      <w:spacing w:val="6"/>
      <w:szCs w:val="21"/>
    </w:rPr>
  </w:style>
  <w:style w:type="paragraph" w:customStyle="1" w:styleId="294">
    <w:name w:val="表格"/>
    <w:basedOn w:val="1"/>
    <w:link w:val="293"/>
    <w:qFormat/>
    <w:uiPriority w:val="0"/>
    <w:pPr>
      <w:spacing w:before="40" w:after="40"/>
      <w:jc w:val="center"/>
      <w:textAlignment w:val="center"/>
    </w:pPr>
    <w:rPr>
      <w:rFonts w:ascii="宋体" w:hAnsi="Times New Roman" w:eastAsiaTheme="minorEastAsia" w:cstheme="minorBidi"/>
      <w:spacing w:val="6"/>
      <w:szCs w:val="21"/>
    </w:rPr>
  </w:style>
  <w:style w:type="character" w:customStyle="1" w:styleId="295">
    <w:name w:val="表字-书 Char"/>
    <w:link w:val="296"/>
    <w:qFormat/>
    <w:uiPriority w:val="0"/>
    <w:rPr>
      <w:rFonts w:ascii="宋体" w:hAnsi="宋体" w:eastAsia="宋体" w:cs="Arial"/>
      <w:szCs w:val="21"/>
    </w:rPr>
  </w:style>
  <w:style w:type="paragraph" w:customStyle="1" w:styleId="296">
    <w:name w:val="表字-书"/>
    <w:basedOn w:val="1"/>
    <w:link w:val="295"/>
    <w:qFormat/>
    <w:uiPriority w:val="0"/>
    <w:pPr>
      <w:spacing w:line="300" w:lineRule="atLeast"/>
      <w:jc w:val="center"/>
    </w:pPr>
    <w:rPr>
      <w:rFonts w:ascii="宋体" w:hAnsi="宋体" w:cs="Arial"/>
      <w:szCs w:val="21"/>
    </w:rPr>
  </w:style>
  <w:style w:type="character" w:customStyle="1" w:styleId="297">
    <w:name w:val="明显参考12"/>
    <w:qFormat/>
    <w:uiPriority w:val="32"/>
    <w:rPr>
      <w:b/>
      <w:bCs/>
      <w:smallCaps/>
      <w:color w:val="4F81BD"/>
      <w:spacing w:val="5"/>
    </w:rPr>
  </w:style>
  <w:style w:type="character" w:customStyle="1" w:styleId="298">
    <w:name w:val="标题 4 Char3"/>
    <w:qFormat/>
    <w:uiPriority w:val="0"/>
    <w:rPr>
      <w:rFonts w:ascii="Arial" w:hAnsi="Arial" w:eastAsia="黑体"/>
      <w:b/>
      <w:bCs/>
      <w:kern w:val="2"/>
      <w:sz w:val="28"/>
      <w:szCs w:val="28"/>
      <w:lang w:val="en-US" w:eastAsia="zh-CN" w:bidi="ar-SA"/>
    </w:rPr>
  </w:style>
  <w:style w:type="character" w:customStyle="1" w:styleId="299">
    <w:name w:val="正文首行缩进 Char"/>
    <w:qFormat/>
    <w:uiPriority w:val="99"/>
    <w:rPr>
      <w:rFonts w:hint="eastAsia" w:ascii="宋体" w:hAnsi="宋体" w:eastAsia="宋体" w:cs="宋体"/>
      <w:sz w:val="24"/>
      <w:szCs w:val="24"/>
    </w:rPr>
  </w:style>
  <w:style w:type="character" w:customStyle="1" w:styleId="300">
    <w:name w:val="正文文本 3 字符"/>
    <w:semiHidden/>
    <w:qFormat/>
    <w:uiPriority w:val="99"/>
    <w:rPr>
      <w:kern w:val="2"/>
      <w:sz w:val="16"/>
      <w:szCs w:val="16"/>
    </w:rPr>
  </w:style>
  <w:style w:type="character" w:customStyle="1" w:styleId="301">
    <w:name w:val="正文文本缩进 字符"/>
    <w:qFormat/>
    <w:uiPriority w:val="0"/>
  </w:style>
  <w:style w:type="character" w:customStyle="1" w:styleId="302">
    <w:name w:val="批注文字 字符2"/>
    <w:semiHidden/>
    <w:qFormat/>
    <w:uiPriority w:val="99"/>
    <w:rPr>
      <w:rFonts w:ascii="等线" w:hAnsi="等线" w:eastAsia="等线" w:cs="Times New Roman"/>
    </w:rPr>
  </w:style>
  <w:style w:type="character" w:customStyle="1" w:styleId="303">
    <w:name w:val="纯文本 字符"/>
    <w:qFormat/>
    <w:uiPriority w:val="0"/>
    <w:rPr>
      <w:rFonts w:ascii="等线" w:hAnsi="Courier New" w:cs="Courier New"/>
    </w:rPr>
  </w:style>
  <w:style w:type="paragraph" w:customStyle="1" w:styleId="304">
    <w:name w:val="修订2"/>
    <w:unhideWhenUsed/>
    <w:qFormat/>
    <w:uiPriority w:val="99"/>
    <w:rPr>
      <w:rFonts w:ascii="Calibri" w:hAnsi="Calibri" w:eastAsia="宋体" w:cs="Times New Roman"/>
      <w:kern w:val="2"/>
      <w:sz w:val="21"/>
      <w:szCs w:val="21"/>
      <w:lang w:val="en-US" w:eastAsia="zh-CN" w:bidi="ar-SA"/>
      <w14:ligatures w14:val="standardContextual"/>
    </w:rPr>
  </w:style>
  <w:style w:type="paragraph" w:customStyle="1" w:styleId="305">
    <w:name w:val="正文3"/>
    <w:basedOn w:val="1"/>
    <w:qFormat/>
    <w:uiPriority w:val="99"/>
    <w:pPr>
      <w:widowControl/>
    </w:pPr>
    <w:rPr>
      <w:rFonts w:ascii="Times New Roman" w:hAnsi="Times New Roman"/>
      <w:szCs w:val="21"/>
    </w:rPr>
  </w:style>
  <w:style w:type="paragraph" w:customStyle="1" w:styleId="306">
    <w:name w:val="字母编号列项（一级）"/>
    <w:qFormat/>
    <w:uiPriority w:val="0"/>
    <w:pPr>
      <w:ind w:left="840" w:leftChars="200" w:hanging="420" w:hangingChars="200"/>
      <w:jc w:val="both"/>
    </w:pPr>
    <w:rPr>
      <w:rFonts w:ascii="宋体" w:hAnsi="Calibri" w:eastAsia="宋体" w:cs="Times New Roman"/>
      <w:sz w:val="21"/>
      <w:lang w:val="en-US" w:eastAsia="zh-CN" w:bidi="ar-SA"/>
      <w14:ligatures w14:val="standardContextual"/>
    </w:rPr>
  </w:style>
  <w:style w:type="paragraph" w:customStyle="1" w:styleId="307">
    <w:name w:val="样式 标题 3 + (中文) 楷体_GB2312 小四 非加粗 段前: 10 磅 段后: 10 磅"/>
    <w:qFormat/>
    <w:uiPriority w:val="0"/>
    <w:pPr>
      <w:spacing w:line="360" w:lineRule="auto"/>
    </w:pPr>
    <w:rPr>
      <w:rFonts w:ascii="Calibri" w:hAnsi="Calibri" w:eastAsia="楷体_GB2312" w:cs="宋体"/>
      <w:b/>
      <w:bCs/>
      <w:sz w:val="24"/>
      <w:lang w:val="en-US" w:eastAsia="zh-CN" w:bidi="ar-SA"/>
      <w14:ligatures w14:val="standardContextual"/>
    </w:rPr>
  </w:style>
  <w:style w:type="paragraph" w:customStyle="1" w:styleId="308">
    <w:name w:val="Char Char20 Char Char"/>
    <w:basedOn w:val="1"/>
    <w:qFormat/>
    <w:uiPriority w:val="99"/>
    <w:rPr>
      <w:rFonts w:ascii="Times New Roman" w:hAnsi="Times New Roman"/>
      <w:szCs w:val="24"/>
    </w:rPr>
  </w:style>
  <w:style w:type="paragraph" w:customStyle="1" w:styleId="309">
    <w:name w:val="正文8"/>
    <w:qFormat/>
    <w:uiPriority w:val="99"/>
    <w:pPr>
      <w:jc w:val="both"/>
    </w:pPr>
    <w:rPr>
      <w:rFonts w:ascii="Calibri" w:hAnsi="Calibri" w:eastAsia="宋体" w:cs="Times New Roman"/>
      <w:kern w:val="2"/>
      <w:sz w:val="21"/>
      <w:szCs w:val="21"/>
      <w:lang w:val="en-US" w:eastAsia="zh-CN" w:bidi="ar-SA"/>
      <w14:ligatures w14:val="standardContextual"/>
    </w:rPr>
  </w:style>
  <w:style w:type="paragraph" w:customStyle="1" w:styleId="310">
    <w:name w:val="font6"/>
    <w:basedOn w:val="1"/>
    <w:qFormat/>
    <w:uiPriority w:val="99"/>
    <w:pPr>
      <w:widowControl/>
      <w:spacing w:before="100" w:beforeAutospacing="1" w:after="100" w:afterAutospacing="1"/>
      <w:jc w:val="left"/>
    </w:pPr>
    <w:rPr>
      <w:rFonts w:ascii="等线" w:hAnsi="等线" w:eastAsia="等线" w:cs="宋体"/>
      <w:kern w:val="0"/>
      <w:sz w:val="18"/>
      <w:szCs w:val="18"/>
    </w:rPr>
  </w:style>
  <w:style w:type="paragraph" w:customStyle="1" w:styleId="311">
    <w:name w:val="表"/>
    <w:basedOn w:val="1"/>
    <w:qFormat/>
    <w:uiPriority w:val="99"/>
    <w:pPr>
      <w:snapToGrid w:val="0"/>
      <w:spacing w:line="400" w:lineRule="exact"/>
      <w:jc w:val="center"/>
    </w:pPr>
    <w:rPr>
      <w:rFonts w:ascii="Times New Roman" w:hAnsi="Times New Roman"/>
      <w:spacing w:val="2"/>
      <w:szCs w:val="20"/>
    </w:rPr>
  </w:style>
  <w:style w:type="paragraph" w:customStyle="1" w:styleId="312">
    <w:name w:val="样式 Arial 五号 非加粗 居中 行距: 固定值 12 磅"/>
    <w:basedOn w:val="1"/>
    <w:qFormat/>
    <w:uiPriority w:val="99"/>
    <w:pPr>
      <w:spacing w:line="240" w:lineRule="exact"/>
      <w:jc w:val="center"/>
    </w:pPr>
    <w:rPr>
      <w:rFonts w:ascii="Arial" w:hAnsi="宋体"/>
      <w:szCs w:val="20"/>
    </w:rPr>
  </w:style>
  <w:style w:type="character" w:customStyle="1" w:styleId="313">
    <w:name w:val="正文文本缩进 3 字符2"/>
    <w:basedOn w:val="54"/>
    <w:semiHidden/>
    <w:qFormat/>
    <w:uiPriority w:val="99"/>
    <w:rPr>
      <w:rFonts w:ascii="Calibri" w:hAnsi="Calibri" w:eastAsia="宋体" w:cs="Times New Roman"/>
      <w:sz w:val="16"/>
      <w:szCs w:val="16"/>
    </w:rPr>
  </w:style>
  <w:style w:type="paragraph" w:customStyle="1" w:styleId="314">
    <w:name w:val="正文秦斐"/>
    <w:basedOn w:val="1"/>
    <w:qFormat/>
    <w:uiPriority w:val="0"/>
    <w:pPr>
      <w:snapToGrid w:val="0"/>
      <w:spacing w:line="360" w:lineRule="auto"/>
      <w:ind w:firstLine="560" w:firstLineChars="200"/>
    </w:pPr>
    <w:rPr>
      <w:rFonts w:ascii="仿宋" w:hAnsi="仿宋" w:eastAsia="仿宋"/>
      <w:sz w:val="28"/>
      <w:szCs w:val="28"/>
    </w:rPr>
  </w:style>
  <w:style w:type="paragraph" w:customStyle="1" w:styleId="315">
    <w:name w:val="表格小"/>
    <w:basedOn w:val="1"/>
    <w:qFormat/>
    <w:uiPriority w:val="99"/>
    <w:pPr>
      <w:widowControl/>
      <w:jc w:val="center"/>
    </w:pPr>
    <w:rPr>
      <w:sz w:val="18"/>
      <w:szCs w:val="20"/>
    </w:rPr>
  </w:style>
  <w:style w:type="paragraph" w:customStyle="1" w:styleId="316">
    <w:name w:val="5级正文"/>
    <w:basedOn w:val="1"/>
    <w:next w:val="106"/>
    <w:qFormat/>
    <w:uiPriority w:val="99"/>
    <w:pPr>
      <w:numPr>
        <w:ilvl w:val="0"/>
        <w:numId w:val="1"/>
      </w:numPr>
      <w:spacing w:line="360" w:lineRule="auto"/>
      <w:outlineLvl w:val="4"/>
    </w:pPr>
    <w:rPr>
      <w:rFonts w:ascii="Times New Roman" w:hAnsi="Times New Roman"/>
      <w:b/>
      <w:sz w:val="24"/>
      <w:szCs w:val="24"/>
    </w:rPr>
  </w:style>
  <w:style w:type="character" w:customStyle="1" w:styleId="317">
    <w:name w:val="正文文本缩进 字符2"/>
    <w:basedOn w:val="54"/>
    <w:link w:val="20"/>
    <w:semiHidden/>
    <w:qFormat/>
    <w:uiPriority w:val="99"/>
    <w:rPr>
      <w:rFonts w:ascii="Calibri" w:hAnsi="Calibri" w:eastAsia="宋体" w:cs="Times New Roman"/>
    </w:rPr>
  </w:style>
  <w:style w:type="character" w:customStyle="1" w:styleId="318">
    <w:name w:val="正文文本首行缩进 2 字符1"/>
    <w:basedOn w:val="317"/>
    <w:semiHidden/>
    <w:qFormat/>
    <w:uiPriority w:val="99"/>
    <w:rPr>
      <w:rFonts w:ascii="Calibri" w:hAnsi="Calibri" w:eastAsia="宋体" w:cs="Times New Roman"/>
    </w:rPr>
  </w:style>
  <w:style w:type="paragraph" w:customStyle="1" w:styleId="319">
    <w:name w:val="正文4"/>
    <w:qFormat/>
    <w:uiPriority w:val="99"/>
    <w:pPr>
      <w:jc w:val="both"/>
    </w:pPr>
    <w:rPr>
      <w:rFonts w:ascii="Calibri" w:hAnsi="Calibri" w:eastAsia="宋体" w:cs="Times New Roman"/>
      <w:kern w:val="2"/>
      <w:sz w:val="21"/>
      <w:szCs w:val="21"/>
      <w:lang w:val="en-US" w:eastAsia="zh-CN" w:bidi="ar-SA"/>
      <w14:ligatures w14:val="standardContextual"/>
    </w:rPr>
  </w:style>
  <w:style w:type="paragraph" w:customStyle="1" w:styleId="320">
    <w:name w:val="样式 正文首行缩进 + 首行缩进:  2 字符"/>
    <w:basedOn w:val="49"/>
    <w:qFormat/>
    <w:uiPriority w:val="0"/>
    <w:pPr>
      <w:widowControl w:val="0"/>
      <w:spacing w:after="0" w:line="520" w:lineRule="exact"/>
      <w:ind w:firstLine="520" w:firstLineChars="200"/>
      <w:jc w:val="both"/>
    </w:pPr>
    <w:rPr>
      <w:rFonts w:ascii="Times New Roman" w:hAnsi="Times New Roman" w:cs="宋体"/>
      <w:spacing w:val="10"/>
      <w:kern w:val="2"/>
      <w:sz w:val="26"/>
      <w:szCs w:val="20"/>
    </w:rPr>
  </w:style>
  <w:style w:type="paragraph" w:customStyle="1" w:styleId="321">
    <w:name w:val="燕山正文"/>
    <w:basedOn w:val="1"/>
    <w:qFormat/>
    <w:uiPriority w:val="0"/>
    <w:pPr>
      <w:tabs>
        <w:tab w:val="left" w:pos="4680"/>
      </w:tabs>
      <w:adjustRightInd w:val="0"/>
      <w:snapToGrid w:val="0"/>
      <w:spacing w:line="500" w:lineRule="exact"/>
      <w:ind w:firstLine="456" w:firstLineChars="200"/>
    </w:pPr>
    <w:rPr>
      <w:rFonts w:ascii="宋体" w:hAnsi="宋体"/>
      <w:snapToGrid w:val="0"/>
      <w:color w:val="000000"/>
      <w:spacing w:val="-6"/>
      <w:kern w:val="0"/>
      <w:sz w:val="24"/>
      <w:szCs w:val="24"/>
      <w:shd w:val="clear" w:color="auto" w:fill="FFFFFF"/>
    </w:rPr>
  </w:style>
  <w:style w:type="paragraph" w:customStyle="1" w:styleId="322">
    <w:name w:val="修订1"/>
    <w:unhideWhenUsed/>
    <w:qFormat/>
    <w:uiPriority w:val="99"/>
    <w:rPr>
      <w:rFonts w:ascii="Calibri" w:hAnsi="Calibri" w:eastAsia="宋体" w:cs="Times New Roman"/>
      <w:kern w:val="2"/>
      <w:sz w:val="21"/>
      <w:szCs w:val="21"/>
      <w:lang w:val="en-US" w:eastAsia="zh-CN" w:bidi="ar-SA"/>
      <w14:ligatures w14:val="standardContextual"/>
    </w:rPr>
  </w:style>
  <w:style w:type="paragraph" w:customStyle="1" w:styleId="323">
    <w:name w:val="引用1"/>
    <w:basedOn w:val="1"/>
    <w:next w:val="1"/>
    <w:qFormat/>
    <w:uiPriority w:val="29"/>
    <w:pPr>
      <w:spacing w:before="200" w:after="160" w:line="500" w:lineRule="exact"/>
      <w:ind w:left="864" w:right="864" w:firstLine="200" w:firstLineChars="200"/>
      <w:jc w:val="center"/>
    </w:pPr>
    <w:rPr>
      <w:i/>
      <w:iCs/>
      <w:color w:val="404040"/>
      <w:sz w:val="24"/>
    </w:rPr>
  </w:style>
  <w:style w:type="paragraph" w:customStyle="1" w:styleId="324">
    <w:name w:val="表格后"/>
    <w:basedOn w:val="1"/>
    <w:next w:val="1"/>
    <w:qFormat/>
    <w:uiPriority w:val="0"/>
    <w:pPr>
      <w:spacing w:beforeLines="50" w:line="360" w:lineRule="auto"/>
      <w:ind w:firstLine="200" w:firstLineChars="200"/>
    </w:pPr>
    <w:rPr>
      <w:rFonts w:ascii="Times New Roman" w:hAnsi="Times New Roman"/>
      <w:sz w:val="24"/>
      <w:szCs w:val="24"/>
    </w:rPr>
  </w:style>
  <w:style w:type="character" w:customStyle="1" w:styleId="325">
    <w:name w:val="批注框文本 字符1"/>
    <w:basedOn w:val="54"/>
    <w:semiHidden/>
    <w:qFormat/>
    <w:uiPriority w:val="99"/>
    <w:rPr>
      <w:rFonts w:ascii="Calibri" w:hAnsi="Calibri" w:eastAsia="宋体" w:cs="Times New Roman"/>
      <w:sz w:val="18"/>
      <w:szCs w:val="18"/>
    </w:rPr>
  </w:style>
  <w:style w:type="character" w:customStyle="1" w:styleId="326">
    <w:name w:val="正文文本 2 字符1"/>
    <w:basedOn w:val="54"/>
    <w:semiHidden/>
    <w:qFormat/>
    <w:uiPriority w:val="99"/>
    <w:rPr>
      <w:rFonts w:ascii="Calibri" w:hAnsi="Calibri" w:eastAsia="宋体" w:cs="Times New Roman"/>
    </w:rPr>
  </w:style>
  <w:style w:type="paragraph" w:customStyle="1" w:styleId="327">
    <w:name w:val="0正文 塔中"/>
    <w:basedOn w:val="1"/>
    <w:qFormat/>
    <w:uiPriority w:val="99"/>
    <w:pPr>
      <w:spacing w:line="360" w:lineRule="auto"/>
      <w:ind w:firstLine="200" w:firstLineChars="200"/>
    </w:pPr>
    <w:rPr>
      <w:rFonts w:ascii="Times New Roman" w:hAnsi="Times New Roman"/>
      <w:sz w:val="24"/>
      <w:szCs w:val="24"/>
    </w:rPr>
  </w:style>
  <w:style w:type="paragraph" w:customStyle="1" w:styleId="328">
    <w:name w:val="标准"/>
    <w:basedOn w:val="1"/>
    <w:qFormat/>
    <w:uiPriority w:val="0"/>
    <w:pPr>
      <w:adjustRightInd w:val="0"/>
      <w:spacing w:before="120" w:line="336" w:lineRule="auto"/>
      <w:jc w:val="center"/>
    </w:pPr>
    <w:rPr>
      <w:rFonts w:hint="eastAsia" w:ascii="黑体" w:hAnsi="Times New Roman" w:eastAsia="黑体"/>
      <w:szCs w:val="20"/>
    </w:rPr>
  </w:style>
  <w:style w:type="paragraph" w:customStyle="1" w:styleId="329">
    <w:name w:val="4 正文"/>
    <w:basedOn w:val="1"/>
    <w:qFormat/>
    <w:uiPriority w:val="0"/>
    <w:pPr>
      <w:spacing w:line="500" w:lineRule="exact"/>
      <w:ind w:firstLine="200" w:firstLineChars="200"/>
    </w:pPr>
    <w:rPr>
      <w:rFonts w:ascii="Times New Roman" w:hAnsi="Times New Roman"/>
      <w:sz w:val="24"/>
      <w:szCs w:val="24"/>
      <w:lang w:val="zh-CN"/>
    </w:rPr>
  </w:style>
  <w:style w:type="character" w:customStyle="1" w:styleId="330">
    <w:name w:val="文档结构图 字符1"/>
    <w:basedOn w:val="54"/>
    <w:semiHidden/>
    <w:qFormat/>
    <w:uiPriority w:val="99"/>
    <w:rPr>
      <w:rFonts w:ascii="Microsoft YaHei UI" w:hAnsi="Calibri" w:eastAsia="Microsoft YaHei UI" w:cs="Times New Roman"/>
      <w:sz w:val="18"/>
      <w:szCs w:val="18"/>
    </w:rPr>
  </w:style>
  <w:style w:type="paragraph" w:customStyle="1" w:styleId="331">
    <w:name w:val="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332">
    <w:name w:val="自标4"/>
    <w:basedOn w:val="5"/>
    <w:qFormat/>
    <w:uiPriority w:val="0"/>
    <w:pPr>
      <w:adjustRightInd w:val="0"/>
      <w:snapToGrid w:val="0"/>
      <w:spacing w:before="0" w:after="0" w:line="360" w:lineRule="auto"/>
      <w:ind w:firstLine="200" w:firstLineChars="200"/>
    </w:pPr>
    <w:rPr>
      <w:rFonts w:ascii="宋体" w:hAnsi="Arial" w:cs="Times New Roman"/>
      <w:b/>
      <w:bCs/>
      <w:color w:val="auto"/>
      <w:sz w:val="24"/>
    </w:rPr>
  </w:style>
  <w:style w:type="paragraph" w:customStyle="1" w:styleId="333">
    <w:name w:val="yf_正文"/>
    <w:basedOn w:val="1"/>
    <w:qFormat/>
    <w:uiPriority w:val="99"/>
    <w:pPr>
      <w:widowControl/>
      <w:spacing w:line="324" w:lineRule="auto"/>
      <w:ind w:firstLine="480" w:firstLineChars="200"/>
    </w:pPr>
    <w:rPr>
      <w:rFonts w:ascii="Times New Roman" w:hAnsi="Times New Roman"/>
      <w:sz w:val="24"/>
      <w:szCs w:val="24"/>
    </w:rPr>
  </w:style>
  <w:style w:type="paragraph" w:customStyle="1" w:styleId="334">
    <w:name w:val="图表标题"/>
    <w:basedOn w:val="1"/>
    <w:qFormat/>
    <w:uiPriority w:val="0"/>
    <w:pPr>
      <w:snapToGrid w:val="0"/>
      <w:spacing w:line="500" w:lineRule="exact"/>
      <w:jc w:val="center"/>
    </w:pPr>
    <w:rPr>
      <w:rFonts w:ascii="Times New Roman" w:hAnsi="Times New Roman"/>
      <w:b/>
      <w:bCs/>
      <w:kern w:val="0"/>
      <w:szCs w:val="21"/>
    </w:rPr>
  </w:style>
  <w:style w:type="paragraph" w:customStyle="1" w:styleId="335">
    <w:name w:val="Char Char3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336">
    <w:name w:val="例"/>
    <w:basedOn w:val="1"/>
    <w:qFormat/>
    <w:uiPriority w:val="0"/>
    <w:pPr>
      <w:widowControl/>
      <w:spacing w:line="500" w:lineRule="exact"/>
      <w:ind w:firstLine="720" w:firstLineChars="257"/>
    </w:pPr>
    <w:rPr>
      <w:rFonts w:ascii="仿宋_GB2312" w:hAnsi="Times New Roman" w:eastAsia="仿宋_GB2312"/>
      <w:bCs/>
      <w:sz w:val="28"/>
      <w:szCs w:val="24"/>
    </w:rPr>
  </w:style>
  <w:style w:type="character" w:customStyle="1" w:styleId="337">
    <w:name w:val="日期 字符1"/>
    <w:basedOn w:val="54"/>
    <w:semiHidden/>
    <w:qFormat/>
    <w:uiPriority w:val="99"/>
    <w:rPr>
      <w:rFonts w:ascii="Calibri" w:hAnsi="Calibri" w:eastAsia="宋体" w:cs="Times New Roman"/>
    </w:rPr>
  </w:style>
  <w:style w:type="character" w:customStyle="1" w:styleId="338">
    <w:name w:val="正文文本 3 字符2"/>
    <w:basedOn w:val="54"/>
    <w:semiHidden/>
    <w:qFormat/>
    <w:uiPriority w:val="99"/>
    <w:rPr>
      <w:rFonts w:ascii="Calibri" w:hAnsi="Calibri" w:eastAsia="宋体" w:cs="Times New Roman"/>
      <w:sz w:val="16"/>
      <w:szCs w:val="16"/>
    </w:rPr>
  </w:style>
  <w:style w:type="paragraph" w:customStyle="1" w:styleId="339">
    <w:name w:val="表格内容"/>
    <w:basedOn w:val="1"/>
    <w:next w:val="1"/>
    <w:link w:val="536"/>
    <w:qFormat/>
    <w:uiPriority w:val="0"/>
    <w:pPr>
      <w:spacing w:line="240" w:lineRule="exact"/>
      <w:jc w:val="center"/>
    </w:pPr>
    <w:rPr>
      <w:rFonts w:ascii="宋体" w:hAnsi="宋体"/>
      <w:color w:val="000000"/>
      <w:w w:val="50"/>
      <w:sz w:val="18"/>
      <w:szCs w:val="18"/>
    </w:rPr>
  </w:style>
  <w:style w:type="paragraph" w:customStyle="1" w:styleId="340">
    <w:name w:val="样式 正文首行缩进 + 首行缩进:  2 字符1"/>
    <w:basedOn w:val="49"/>
    <w:qFormat/>
    <w:uiPriority w:val="0"/>
    <w:pPr>
      <w:widowControl w:val="0"/>
      <w:spacing w:after="0" w:line="360" w:lineRule="auto"/>
      <w:ind w:firstLine="480" w:firstLineChars="200"/>
      <w:jc w:val="both"/>
    </w:pPr>
    <w:rPr>
      <w:rFonts w:ascii="Times New Roman" w:hAnsi="Times New Roman"/>
      <w:kern w:val="2"/>
    </w:rPr>
  </w:style>
  <w:style w:type="paragraph" w:customStyle="1" w:styleId="341">
    <w:name w:val="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342">
    <w:name w:val="报告"/>
    <w:basedOn w:val="1"/>
    <w:qFormat/>
    <w:uiPriority w:val="99"/>
    <w:pPr>
      <w:adjustRightInd w:val="0"/>
      <w:spacing w:line="360" w:lineRule="auto"/>
      <w:ind w:firstLine="505"/>
      <w:textAlignment w:val="baseline"/>
    </w:pPr>
    <w:rPr>
      <w:rFonts w:ascii="Times New Roman" w:hAnsi="Times New Roman"/>
      <w:kern w:val="0"/>
      <w:sz w:val="24"/>
      <w:szCs w:val="20"/>
    </w:rPr>
  </w:style>
  <w:style w:type="character" w:customStyle="1" w:styleId="343">
    <w:name w:val="批注文字 字符3"/>
    <w:basedOn w:val="54"/>
    <w:link w:val="17"/>
    <w:semiHidden/>
    <w:qFormat/>
    <w:uiPriority w:val="99"/>
    <w:rPr>
      <w:rFonts w:ascii="Calibri" w:hAnsi="Calibri" w:eastAsia="宋体" w:cs="Times New Roman"/>
    </w:rPr>
  </w:style>
  <w:style w:type="character" w:customStyle="1" w:styleId="344">
    <w:name w:val="批注主题 字符1"/>
    <w:basedOn w:val="343"/>
    <w:semiHidden/>
    <w:qFormat/>
    <w:uiPriority w:val="99"/>
    <w:rPr>
      <w:rFonts w:ascii="Calibri" w:hAnsi="Calibri" w:eastAsia="宋体" w:cs="Times New Roman"/>
      <w:b/>
      <w:bCs/>
    </w:rPr>
  </w:style>
  <w:style w:type="paragraph" w:customStyle="1" w:styleId="345">
    <w:name w:val="样式 燕山正文 + 首行缩进:  3.5 字符2"/>
    <w:basedOn w:val="321"/>
    <w:qFormat/>
    <w:uiPriority w:val="0"/>
    <w:rPr>
      <w:szCs w:val="20"/>
    </w:rPr>
  </w:style>
  <w:style w:type="paragraph" w:customStyle="1" w:styleId="346">
    <w:name w:val="列出段落11"/>
    <w:basedOn w:val="1"/>
    <w:qFormat/>
    <w:uiPriority w:val="34"/>
    <w:pPr>
      <w:ind w:firstLine="420" w:firstLineChars="200"/>
    </w:pPr>
    <w:rPr>
      <w:szCs w:val="21"/>
    </w:rPr>
  </w:style>
  <w:style w:type="paragraph" w:customStyle="1" w:styleId="347">
    <w:name w:val="TOC 标题1"/>
    <w:basedOn w:val="2"/>
    <w:next w:val="1"/>
    <w:unhideWhenUsed/>
    <w:qFormat/>
    <w:uiPriority w:val="39"/>
    <w:pPr>
      <w:keepNext w:val="0"/>
      <w:spacing w:before="240" w:after="0" w:line="259" w:lineRule="auto"/>
      <w:outlineLvl w:val="9"/>
    </w:pPr>
    <w:rPr>
      <w:rFonts w:ascii="Cambria" w:hAnsi="Cambria"/>
      <w:b w:val="0"/>
      <w:bCs w:val="0"/>
      <w:color w:val="366091"/>
      <w:kern w:val="0"/>
      <w:sz w:val="32"/>
      <w:szCs w:val="32"/>
    </w:rPr>
  </w:style>
  <w:style w:type="paragraph" w:customStyle="1" w:styleId="348">
    <w:name w:val="正文缩进1"/>
    <w:basedOn w:val="1"/>
    <w:qFormat/>
    <w:uiPriority w:val="0"/>
    <w:pPr>
      <w:ind w:firstLine="420" w:firstLineChars="200"/>
    </w:pPr>
    <w:rPr>
      <w:rFonts w:ascii="Times New Roman" w:hAnsi="Times New Roman"/>
      <w:szCs w:val="20"/>
    </w:rPr>
  </w:style>
  <w:style w:type="paragraph" w:customStyle="1" w:styleId="349">
    <w:name w:val="表格标题"/>
    <w:basedOn w:val="19"/>
    <w:qFormat/>
    <w:uiPriority w:val="0"/>
    <w:pPr>
      <w:spacing w:before="156" w:beforeLines="50" w:after="156" w:afterLines="50" w:line="360" w:lineRule="auto"/>
      <w:jc w:val="center"/>
    </w:pPr>
    <w:rPr>
      <w:rFonts w:ascii="黑体" w:hAnsi="Times New Roman" w:eastAsia="黑体"/>
      <w:kern w:val="40"/>
      <w:sz w:val="24"/>
      <w:szCs w:val="30"/>
    </w:rPr>
  </w:style>
  <w:style w:type="character" w:customStyle="1" w:styleId="350">
    <w:name w:val="正文文本 字符1"/>
    <w:basedOn w:val="54"/>
    <w:link w:val="19"/>
    <w:semiHidden/>
    <w:qFormat/>
    <w:uiPriority w:val="99"/>
    <w:rPr>
      <w:rFonts w:ascii="Calibri" w:hAnsi="Calibri" w:eastAsia="宋体" w:cs="Times New Roman"/>
    </w:rPr>
  </w:style>
  <w:style w:type="character" w:customStyle="1" w:styleId="351">
    <w:name w:val="正文文本首行缩进 字符1"/>
    <w:basedOn w:val="350"/>
    <w:semiHidden/>
    <w:qFormat/>
    <w:uiPriority w:val="99"/>
    <w:rPr>
      <w:rFonts w:ascii="Calibri" w:hAnsi="Calibri" w:eastAsia="宋体" w:cs="Times New Roman"/>
    </w:rPr>
  </w:style>
  <w:style w:type="character" w:customStyle="1" w:styleId="352">
    <w:name w:val="纯文本 字符2"/>
    <w:basedOn w:val="54"/>
    <w:semiHidden/>
    <w:qFormat/>
    <w:uiPriority w:val="99"/>
    <w:rPr>
      <w:rFonts w:hAnsi="Courier New" w:cs="Courier New" w:asciiTheme="minorEastAsia"/>
    </w:rPr>
  </w:style>
  <w:style w:type="paragraph" w:customStyle="1" w:styleId="353">
    <w:name w:val="Char1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354">
    <w:name w:val="JXU-正文"/>
    <w:qFormat/>
    <w:uiPriority w:val="99"/>
    <w:pPr>
      <w:widowControl w:val="0"/>
      <w:adjustRightInd w:val="0"/>
      <w:snapToGrid w:val="0"/>
      <w:spacing w:line="500" w:lineRule="exact"/>
      <w:ind w:firstLine="510"/>
    </w:pPr>
    <w:rPr>
      <w:rFonts w:ascii="Calibri" w:hAnsi="Calibri" w:eastAsia="宋体" w:cs="Times New Roman"/>
      <w:color w:val="000000"/>
      <w:kern w:val="2"/>
      <w:sz w:val="24"/>
      <w:szCs w:val="24"/>
      <w:lang w:val="en-US" w:eastAsia="zh-CN" w:bidi="ar-SA"/>
      <w14:ligatures w14:val="standardContextual"/>
    </w:rPr>
  </w:style>
  <w:style w:type="paragraph" w:customStyle="1" w:styleId="355">
    <w:name w:val="正文 内容"/>
    <w:basedOn w:val="1"/>
    <w:qFormat/>
    <w:uiPriority w:val="0"/>
    <w:pPr>
      <w:autoSpaceDE w:val="0"/>
      <w:autoSpaceDN w:val="0"/>
      <w:adjustRightInd w:val="0"/>
      <w:snapToGrid w:val="0"/>
      <w:spacing w:line="360" w:lineRule="auto"/>
      <w:ind w:firstLine="200" w:firstLineChars="200"/>
    </w:pPr>
    <w:rPr>
      <w:kern w:val="0"/>
      <w:sz w:val="24"/>
      <w:szCs w:val="20"/>
    </w:rPr>
  </w:style>
  <w:style w:type="paragraph" w:customStyle="1" w:styleId="356">
    <w:name w:val="TOC 标题2"/>
    <w:basedOn w:val="2"/>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357">
    <w:name w:val="表内5中"/>
    <w:basedOn w:val="24"/>
    <w:qFormat/>
    <w:uiPriority w:val="0"/>
    <w:pPr>
      <w:spacing w:line="240" w:lineRule="exact"/>
      <w:jc w:val="center"/>
    </w:pPr>
    <w:rPr>
      <w:rFonts w:ascii="Times New Roman" w:hAnsi="Times New Roman"/>
      <w:kern w:val="2"/>
      <w:sz w:val="21"/>
      <w:szCs w:val="24"/>
    </w:rPr>
  </w:style>
  <w:style w:type="paragraph" w:customStyle="1" w:styleId="358">
    <w:name w:val="_Style 1"/>
    <w:basedOn w:val="1"/>
    <w:qFormat/>
    <w:uiPriority w:val="34"/>
    <w:pPr>
      <w:ind w:firstLine="420" w:firstLineChars="200"/>
    </w:pPr>
    <w:rPr>
      <w:rFonts w:ascii="Times New Roman" w:hAnsi="Times New Roman"/>
      <w:szCs w:val="21"/>
    </w:rPr>
  </w:style>
  <w:style w:type="paragraph" w:customStyle="1" w:styleId="359">
    <w:name w:val="13点"/>
    <w:basedOn w:val="1"/>
    <w:qFormat/>
    <w:uiPriority w:val="0"/>
    <w:pPr>
      <w:adjustRightInd w:val="0"/>
      <w:snapToGrid w:val="0"/>
      <w:ind w:left="-105" w:leftChars="-50" w:right="-105" w:rightChars="-50"/>
      <w:jc w:val="center"/>
    </w:pPr>
    <w:rPr>
      <w:rFonts w:ascii="宋体" w:hAnsi="宋体"/>
      <w:sz w:val="24"/>
      <w:szCs w:val="28"/>
    </w:rPr>
  </w:style>
  <w:style w:type="paragraph" w:customStyle="1" w:styleId="360">
    <w:name w:val="Char2"/>
    <w:basedOn w:val="1"/>
    <w:qFormat/>
    <w:uiPriority w:val="0"/>
    <w:rPr>
      <w:rFonts w:ascii="Times New Roman" w:hAnsi="Times New Roman"/>
      <w:szCs w:val="20"/>
    </w:rPr>
  </w:style>
  <w:style w:type="paragraph" w:customStyle="1" w:styleId="361">
    <w:name w:val="正文表标题"/>
    <w:next w:val="1"/>
    <w:qFormat/>
    <w:uiPriority w:val="99"/>
    <w:pPr>
      <w:spacing w:beforeLines="50" w:afterLines="50"/>
      <w:jc w:val="center"/>
    </w:pPr>
    <w:rPr>
      <w:rFonts w:ascii="黑体" w:hAnsi="Calibri" w:eastAsia="黑体" w:cs="Times New Roman"/>
      <w:sz w:val="21"/>
      <w:szCs w:val="22"/>
      <w:lang w:val="en-US" w:eastAsia="zh-CN" w:bidi="ar-SA"/>
      <w14:ligatures w14:val="standardContextual"/>
    </w:rPr>
  </w:style>
  <w:style w:type="paragraph" w:customStyle="1" w:styleId="362">
    <w:name w:val="4刘群正文*"/>
    <w:basedOn w:val="1"/>
    <w:qFormat/>
    <w:uiPriority w:val="0"/>
    <w:pPr>
      <w:spacing w:line="520" w:lineRule="exact"/>
      <w:ind w:firstLine="480" w:firstLineChars="200"/>
    </w:pPr>
    <w:rPr>
      <w:rFonts w:ascii="Times New Roman" w:hAnsi="Times New Roman"/>
      <w:sz w:val="24"/>
      <w:szCs w:val="24"/>
    </w:rPr>
  </w:style>
  <w:style w:type="paragraph" w:customStyle="1" w:styleId="363">
    <w:name w:val="关键词"/>
    <w:qFormat/>
    <w:uiPriority w:val="0"/>
    <w:pPr>
      <w:widowControl w:val="0"/>
      <w:adjustRightInd w:val="0"/>
      <w:spacing w:line="360" w:lineRule="auto"/>
      <w:jc w:val="both"/>
      <w:textAlignment w:val="baseline"/>
    </w:pPr>
    <w:rPr>
      <w:rFonts w:ascii="Calibri" w:hAnsi="Calibri" w:eastAsia="黑体" w:cs="Times New Roman"/>
      <w:sz w:val="24"/>
      <w:szCs w:val="24"/>
      <w:lang w:val="en-US" w:eastAsia="zh-CN" w:bidi="ar-SA"/>
      <w14:ligatures w14:val="standardContextual"/>
    </w:rPr>
  </w:style>
  <w:style w:type="paragraph" w:customStyle="1" w:styleId="364">
    <w:name w:val="Table Paragraph"/>
    <w:basedOn w:val="1"/>
    <w:qFormat/>
    <w:uiPriority w:val="1"/>
    <w:pPr>
      <w:autoSpaceDE w:val="0"/>
      <w:autoSpaceDN w:val="0"/>
      <w:adjustRightInd w:val="0"/>
      <w:jc w:val="center"/>
    </w:pPr>
    <w:rPr>
      <w:rFonts w:ascii="宋体" w:hAnsi="Times New Roman" w:cs="宋体"/>
      <w:kern w:val="0"/>
      <w:sz w:val="24"/>
      <w:szCs w:val="24"/>
    </w:rPr>
  </w:style>
  <w:style w:type="paragraph" w:customStyle="1" w:styleId="365">
    <w:name w:val="ht正文"/>
    <w:basedOn w:val="1"/>
    <w:qFormat/>
    <w:uiPriority w:val="99"/>
    <w:pPr>
      <w:spacing w:line="360" w:lineRule="auto"/>
      <w:ind w:firstLine="496" w:firstLineChars="200"/>
    </w:pPr>
    <w:rPr>
      <w:rFonts w:ascii="宋体" w:hAnsi="宋体" w:cs="宋体"/>
      <w:spacing w:val="4"/>
      <w:sz w:val="24"/>
      <w:szCs w:val="24"/>
    </w:rPr>
  </w:style>
  <w:style w:type="character" w:customStyle="1" w:styleId="366">
    <w:name w:val="注释标题 字符2"/>
    <w:basedOn w:val="54"/>
    <w:semiHidden/>
    <w:qFormat/>
    <w:uiPriority w:val="99"/>
    <w:rPr>
      <w:rFonts w:ascii="Calibri" w:hAnsi="Calibri" w:eastAsia="宋体" w:cs="Times New Roman"/>
    </w:rPr>
  </w:style>
  <w:style w:type="paragraph" w:customStyle="1" w:styleId="367">
    <w:name w:val="正文11"/>
    <w:qFormat/>
    <w:uiPriority w:val="0"/>
    <w:pPr>
      <w:jc w:val="both"/>
    </w:pPr>
    <w:rPr>
      <w:rFonts w:ascii="Calibri" w:hAnsi="Calibri" w:eastAsia="宋体" w:cs="Times New Roman"/>
      <w:kern w:val="2"/>
      <w:sz w:val="21"/>
      <w:szCs w:val="21"/>
      <w:lang w:val="en-US" w:eastAsia="zh-CN" w:bidi="ar-SA"/>
      <w14:ligatures w14:val="standardContextual"/>
    </w:rPr>
  </w:style>
  <w:style w:type="paragraph" w:customStyle="1" w:styleId="368">
    <w:name w:val="WPS Plain"/>
    <w:qFormat/>
    <w:uiPriority w:val="99"/>
    <w:rPr>
      <w:rFonts w:ascii="Calibri" w:hAnsi="Calibri" w:eastAsia="宋体" w:cs="Times New Roman"/>
      <w:sz w:val="21"/>
      <w:szCs w:val="22"/>
      <w:lang w:val="en-US" w:eastAsia="zh-CN" w:bidi="ar-SA"/>
      <w14:ligatures w14:val="standardContextual"/>
    </w:rPr>
  </w:style>
  <w:style w:type="character" w:customStyle="1" w:styleId="369">
    <w:name w:val="正文文本缩进 2 字符2"/>
    <w:basedOn w:val="54"/>
    <w:semiHidden/>
    <w:qFormat/>
    <w:uiPriority w:val="99"/>
    <w:rPr>
      <w:rFonts w:ascii="Calibri" w:hAnsi="Calibri" w:eastAsia="宋体" w:cs="Times New Roman"/>
    </w:rPr>
  </w:style>
  <w:style w:type="paragraph" w:customStyle="1" w:styleId="370">
    <w:name w:val="正文5"/>
    <w:qFormat/>
    <w:uiPriority w:val="99"/>
    <w:pPr>
      <w:jc w:val="both"/>
    </w:pPr>
    <w:rPr>
      <w:rFonts w:ascii="Calibri" w:hAnsi="Calibri" w:eastAsia="宋体" w:cs="Times New Roman"/>
      <w:kern w:val="2"/>
      <w:sz w:val="21"/>
      <w:szCs w:val="21"/>
      <w:lang w:val="en-US" w:eastAsia="zh-CN" w:bidi="ar-SA"/>
      <w14:ligatures w14:val="standardContextual"/>
    </w:rPr>
  </w:style>
  <w:style w:type="paragraph" w:customStyle="1" w:styleId="371">
    <w:name w:val="表格2"/>
    <w:qFormat/>
    <w:uiPriority w:val="0"/>
    <w:pPr>
      <w:spacing w:line="400" w:lineRule="exact"/>
      <w:jc w:val="center"/>
    </w:pPr>
    <w:rPr>
      <w:rFonts w:ascii="Calibri" w:hAnsi="Calibri" w:eastAsia="宋体" w:cs="Times New Roman"/>
      <w:sz w:val="21"/>
      <w:lang w:val="en-US" w:eastAsia="zh-CN" w:bidi="ar-SA"/>
      <w14:ligatures w14:val="standardContextual"/>
    </w:rPr>
  </w:style>
  <w:style w:type="paragraph" w:customStyle="1" w:styleId="372">
    <w:name w:val="样式 标题 1 + (西文) Arial (中文) 黑体 三号 两端对齐 首行缩进:  0.87 厘米 段前: 6 磅..."/>
    <w:basedOn w:val="2"/>
    <w:qFormat/>
    <w:uiPriority w:val="0"/>
    <w:pPr>
      <w:keepLines w:val="0"/>
      <w:pageBreakBefore/>
      <w:widowControl/>
      <w:spacing w:before="160" w:after="160" w:line="500" w:lineRule="exact"/>
      <w:ind w:firstLine="493"/>
    </w:pPr>
    <w:rPr>
      <w:rFonts w:ascii="Arial" w:hAnsi="Arial" w:eastAsia="黑体" w:cs="宋体"/>
      <w:b w:val="0"/>
      <w:bCs w:val="0"/>
      <w:spacing w:val="16"/>
      <w:w w:val="90"/>
      <w:kern w:val="32"/>
      <w:sz w:val="32"/>
      <w:szCs w:val="32"/>
    </w:rPr>
  </w:style>
  <w:style w:type="paragraph" w:customStyle="1" w:styleId="373">
    <w:name w:val="样式 样式 样式 样式 首行缩进:  2 字符1 + 首行缩进:  2 字符 + 首行缩进:  2 字符 + 首行缩进:  2 ..."/>
    <w:basedOn w:val="1"/>
    <w:qFormat/>
    <w:uiPriority w:val="0"/>
    <w:pPr>
      <w:ind w:firstLine="500" w:firstLineChars="200"/>
    </w:pPr>
    <w:rPr>
      <w:rFonts w:ascii="Times New Roman" w:hAnsi="Times New Roman" w:cs="宋体"/>
      <w:sz w:val="24"/>
      <w:szCs w:val="20"/>
    </w:rPr>
  </w:style>
  <w:style w:type="paragraph" w:customStyle="1" w:styleId="374">
    <w:name w:val="文本"/>
    <w:qFormat/>
    <w:uiPriority w:val="99"/>
    <w:pPr>
      <w:adjustRightInd w:val="0"/>
      <w:snapToGrid w:val="0"/>
      <w:spacing w:line="500" w:lineRule="exact"/>
      <w:ind w:firstLine="524" w:firstLineChars="200"/>
      <w:jc w:val="both"/>
    </w:pPr>
    <w:rPr>
      <w:rFonts w:ascii="仿宋_GB2312" w:hAnsi="Calibri" w:eastAsia="仿宋_GB2312" w:cs="Times New Roman"/>
      <w:sz w:val="24"/>
      <w:szCs w:val="22"/>
      <w:lang w:val="en-US" w:eastAsia="zh-CN" w:bidi="ar-SA"/>
      <w14:ligatures w14:val="standardContextual"/>
    </w:rPr>
  </w:style>
  <w:style w:type="paragraph" w:customStyle="1" w:styleId="375">
    <w:name w:val="标题 2，二级标题"/>
    <w:basedOn w:val="3"/>
    <w:qFormat/>
    <w:uiPriority w:val="99"/>
    <w:pPr>
      <w:adjustRightInd w:val="0"/>
      <w:snapToGrid w:val="0"/>
      <w:spacing w:before="260" w:after="260" w:line="415" w:lineRule="auto"/>
    </w:pPr>
    <w:rPr>
      <w:rFonts w:ascii="Arial" w:hAnsi="Arial" w:eastAsia="黑体" w:cs="Times New Roman"/>
      <w:color w:val="auto"/>
      <w:sz w:val="24"/>
      <w:szCs w:val="24"/>
    </w:rPr>
  </w:style>
  <w:style w:type="paragraph" w:customStyle="1" w:styleId="376">
    <w:name w:val="正文10"/>
    <w:qFormat/>
    <w:uiPriority w:val="0"/>
    <w:pPr>
      <w:jc w:val="both"/>
    </w:pPr>
    <w:rPr>
      <w:rFonts w:ascii="Calibri" w:hAnsi="Calibri" w:eastAsia="宋体" w:cs="Times New Roman"/>
      <w:kern w:val="2"/>
      <w:sz w:val="21"/>
      <w:szCs w:val="21"/>
      <w:lang w:val="en-US" w:eastAsia="zh-CN" w:bidi="ar-SA"/>
      <w14:ligatures w14:val="standardContextual"/>
    </w:rPr>
  </w:style>
  <w:style w:type="paragraph" w:customStyle="1" w:styleId="377">
    <w:name w:val="明显引用1"/>
    <w:basedOn w:val="1"/>
    <w:next w:val="1"/>
    <w:qFormat/>
    <w:uiPriority w:val="30"/>
    <w:pPr>
      <w:pBdr>
        <w:top w:val="single" w:color="4F81BD" w:sz="4" w:space="10"/>
        <w:bottom w:val="single" w:color="4F81BD" w:sz="4" w:space="10"/>
      </w:pBdr>
      <w:spacing w:before="360" w:after="360" w:line="500" w:lineRule="exact"/>
      <w:ind w:left="864" w:right="864" w:firstLine="200" w:firstLineChars="200"/>
      <w:jc w:val="center"/>
    </w:pPr>
    <w:rPr>
      <w:i/>
      <w:iCs/>
      <w:color w:val="4F81BD"/>
      <w:sz w:val="24"/>
    </w:rPr>
  </w:style>
  <w:style w:type="paragraph" w:customStyle="1" w:styleId="378">
    <w:name w:val="xl66"/>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Times New Roman" w:hAnsi="Times New Roman"/>
      <w:kern w:val="0"/>
      <w:szCs w:val="21"/>
    </w:rPr>
  </w:style>
  <w:style w:type="paragraph" w:customStyle="1" w:styleId="379">
    <w:name w:val="默认段落字体 Para Char"/>
    <w:basedOn w:val="1"/>
    <w:next w:val="1"/>
    <w:qFormat/>
    <w:uiPriority w:val="0"/>
    <w:pPr>
      <w:spacing w:line="360" w:lineRule="auto"/>
      <w:ind w:firstLine="200" w:firstLineChars="200"/>
    </w:pPr>
    <w:rPr>
      <w:rFonts w:ascii="宋体" w:hAnsi="宋体" w:cs="宋体"/>
      <w:sz w:val="24"/>
      <w:szCs w:val="21"/>
    </w:rPr>
  </w:style>
  <w:style w:type="paragraph" w:customStyle="1" w:styleId="380">
    <w:name w:val="图标题"/>
    <w:basedOn w:val="102"/>
    <w:qFormat/>
    <w:uiPriority w:val="99"/>
    <w:pPr>
      <w:spacing w:after="0" w:afterAutospacing="0" w:line="360" w:lineRule="auto"/>
    </w:pPr>
    <w:rPr>
      <w:bCs/>
      <w:sz w:val="24"/>
      <w:szCs w:val="24"/>
    </w:rPr>
  </w:style>
  <w:style w:type="paragraph" w:customStyle="1" w:styleId="381">
    <w:name w:val="正文21"/>
    <w:basedOn w:val="1"/>
    <w:qFormat/>
    <w:uiPriority w:val="99"/>
    <w:pPr>
      <w:widowControl/>
    </w:pPr>
    <w:rPr>
      <w:rFonts w:cs="宋体"/>
      <w:szCs w:val="21"/>
    </w:rPr>
  </w:style>
  <w:style w:type="paragraph" w:customStyle="1" w:styleId="382">
    <w:name w:val="TOC 标题11"/>
    <w:basedOn w:val="2"/>
    <w:next w:val="1"/>
    <w:unhideWhenUsed/>
    <w:qFormat/>
    <w:uiPriority w:val="39"/>
    <w:pPr>
      <w:widowControl/>
      <w:spacing w:before="240" w:after="0" w:line="259" w:lineRule="auto"/>
      <w:jc w:val="left"/>
      <w:outlineLvl w:val="9"/>
    </w:pPr>
    <w:rPr>
      <w:rFonts w:ascii="Cambria" w:hAnsi="Cambria"/>
      <w:bCs w:val="0"/>
      <w:color w:val="366091"/>
      <w:kern w:val="0"/>
      <w:sz w:val="32"/>
      <w:szCs w:val="32"/>
    </w:rPr>
  </w:style>
  <w:style w:type="paragraph" w:customStyle="1" w:styleId="383">
    <w:name w:val="列出段落1"/>
    <w:basedOn w:val="1"/>
    <w:unhideWhenUsed/>
    <w:qFormat/>
    <w:uiPriority w:val="99"/>
    <w:pPr>
      <w:ind w:firstLine="420" w:firstLineChars="200"/>
    </w:pPr>
    <w:rPr>
      <w:szCs w:val="21"/>
    </w:rPr>
  </w:style>
  <w:style w:type="paragraph" w:customStyle="1" w:styleId="384">
    <w:name w:val="列出段落12"/>
    <w:basedOn w:val="1"/>
    <w:qFormat/>
    <w:uiPriority w:val="99"/>
    <w:pPr>
      <w:ind w:firstLine="420" w:firstLineChars="200"/>
    </w:pPr>
    <w:rPr>
      <w:szCs w:val="21"/>
    </w:rPr>
  </w:style>
  <w:style w:type="paragraph" w:customStyle="1" w:styleId="385">
    <w:name w:val="正文SK"/>
    <w:basedOn w:val="1"/>
    <w:next w:val="1"/>
    <w:qFormat/>
    <w:uiPriority w:val="99"/>
    <w:rPr>
      <w:rFonts w:ascii="Times New Roman" w:hAnsi="Times New Roman"/>
      <w:sz w:val="24"/>
      <w:szCs w:val="24"/>
    </w:rPr>
  </w:style>
  <w:style w:type="paragraph" w:customStyle="1" w:styleId="386">
    <w:name w:val="正文6"/>
    <w:qFormat/>
    <w:uiPriority w:val="99"/>
    <w:pPr>
      <w:jc w:val="both"/>
    </w:pPr>
    <w:rPr>
      <w:rFonts w:ascii="Calibri" w:hAnsi="Calibri" w:eastAsia="宋体" w:cs="Times New Roman"/>
      <w:kern w:val="2"/>
      <w:sz w:val="21"/>
      <w:szCs w:val="21"/>
      <w:lang w:val="en-US" w:eastAsia="zh-CN" w:bidi="ar-SA"/>
      <w14:ligatures w14:val="standardContextual"/>
    </w:rPr>
  </w:style>
  <w:style w:type="paragraph" w:customStyle="1" w:styleId="387">
    <w:name w:val="图表名称"/>
    <w:qFormat/>
    <w:uiPriority w:val="99"/>
    <w:pPr>
      <w:adjustRightInd w:val="0"/>
      <w:snapToGrid w:val="0"/>
      <w:spacing w:line="520" w:lineRule="exact"/>
      <w:jc w:val="center"/>
    </w:pPr>
    <w:rPr>
      <w:rFonts w:ascii="仿宋_GB2312" w:hAnsi="Calibri" w:eastAsia="仿宋_GB2312" w:cs="Times New Roman"/>
      <w:b/>
      <w:sz w:val="24"/>
      <w:szCs w:val="22"/>
      <w:lang w:val="en-US" w:eastAsia="zh-CN" w:bidi="ar-SA"/>
      <w14:ligatures w14:val="standardContextual"/>
    </w:rPr>
  </w:style>
  <w:style w:type="paragraph" w:customStyle="1" w:styleId="388">
    <w:name w:val="列出段落6"/>
    <w:basedOn w:val="1"/>
    <w:unhideWhenUsed/>
    <w:qFormat/>
    <w:uiPriority w:val="99"/>
    <w:pPr>
      <w:ind w:firstLine="420" w:firstLineChars="200"/>
    </w:pPr>
    <w:rPr>
      <w:rFonts w:ascii="Times New Roman" w:hAnsi="Times New Roman"/>
      <w:szCs w:val="21"/>
    </w:rPr>
  </w:style>
  <w:style w:type="character" w:customStyle="1" w:styleId="389">
    <w:name w:val="HTML 预设格式 字符2"/>
    <w:basedOn w:val="54"/>
    <w:semiHidden/>
    <w:qFormat/>
    <w:uiPriority w:val="99"/>
    <w:rPr>
      <w:rFonts w:ascii="Courier New" w:hAnsi="Courier New" w:eastAsia="宋体" w:cs="Courier New"/>
      <w:sz w:val="20"/>
      <w:szCs w:val="20"/>
    </w:rPr>
  </w:style>
  <w:style w:type="paragraph" w:customStyle="1" w:styleId="390">
    <w:name w:val="！正文"/>
    <w:basedOn w:val="1"/>
    <w:qFormat/>
    <w:uiPriority w:val="99"/>
    <w:pPr>
      <w:spacing w:line="360" w:lineRule="auto"/>
      <w:ind w:firstLine="200" w:firstLineChars="200"/>
    </w:pPr>
    <w:rPr>
      <w:rFonts w:cs="宋体"/>
      <w:sz w:val="24"/>
      <w:szCs w:val="24"/>
    </w:rPr>
  </w:style>
  <w:style w:type="paragraph" w:customStyle="1" w:styleId="391">
    <w:name w:val="6 表中字体"/>
    <w:basedOn w:val="1"/>
    <w:qFormat/>
    <w:uiPriority w:val="0"/>
    <w:pPr>
      <w:jc w:val="center"/>
      <w:textAlignment w:val="center"/>
    </w:pPr>
    <w:rPr>
      <w:rFonts w:ascii="Times New Roman" w:hAnsi="Times New Roman"/>
      <w:kern w:val="0"/>
      <w:szCs w:val="21"/>
    </w:rPr>
  </w:style>
  <w:style w:type="paragraph" w:customStyle="1" w:styleId="392">
    <w:name w:val="表标题"/>
    <w:basedOn w:val="1"/>
    <w:qFormat/>
    <w:uiPriority w:val="0"/>
    <w:pPr>
      <w:ind w:firstLine="100" w:firstLineChars="100"/>
      <w:jc w:val="left"/>
    </w:pPr>
    <w:rPr>
      <w:rFonts w:eastAsia="黑体"/>
      <w:sz w:val="24"/>
      <w:szCs w:val="21"/>
    </w:rPr>
  </w:style>
  <w:style w:type="paragraph" w:customStyle="1" w:styleId="393">
    <w:name w:val="p0"/>
    <w:basedOn w:val="1"/>
    <w:qFormat/>
    <w:uiPriority w:val="0"/>
    <w:pPr>
      <w:widowControl/>
    </w:pPr>
    <w:rPr>
      <w:rFonts w:ascii="Arial" w:hAnsi="Arial"/>
      <w:kern w:val="0"/>
      <w:szCs w:val="21"/>
    </w:rPr>
  </w:style>
  <w:style w:type="paragraph" w:customStyle="1" w:styleId="394">
    <w:name w:val="表内5"/>
    <w:basedOn w:val="321"/>
    <w:qFormat/>
    <w:uiPriority w:val="0"/>
    <w:pPr>
      <w:spacing w:line="240" w:lineRule="auto"/>
      <w:ind w:firstLine="0" w:firstLineChars="0"/>
      <w:jc w:val="center"/>
    </w:pPr>
    <w:rPr>
      <w:sz w:val="21"/>
      <w:szCs w:val="21"/>
    </w:rPr>
  </w:style>
  <w:style w:type="paragraph" w:customStyle="1" w:styleId="395">
    <w:name w:val="正文7"/>
    <w:qFormat/>
    <w:uiPriority w:val="99"/>
    <w:pPr>
      <w:jc w:val="both"/>
    </w:pPr>
    <w:rPr>
      <w:rFonts w:ascii="Calibri" w:hAnsi="Calibri" w:eastAsia="宋体" w:cs="Times New Roman"/>
      <w:kern w:val="2"/>
      <w:sz w:val="21"/>
      <w:szCs w:val="21"/>
      <w:lang w:val="en-US" w:eastAsia="zh-CN" w:bidi="ar-SA"/>
      <w14:ligatures w14:val="standardContextual"/>
    </w:rPr>
  </w:style>
  <w:style w:type="paragraph" w:customStyle="1" w:styleId="396">
    <w:name w:val="样式 样式 正文首行缩进 + 首行缩进:  1 字符 + 13 磅 首行缩进:  2 字符"/>
    <w:basedOn w:val="1"/>
    <w:qFormat/>
    <w:uiPriority w:val="0"/>
    <w:pPr>
      <w:spacing w:line="500" w:lineRule="exact"/>
      <w:ind w:firstLine="200" w:firstLineChars="200"/>
    </w:pPr>
    <w:rPr>
      <w:rFonts w:ascii="Times New Roman" w:hAnsi="Times New Roman" w:cs="宋体"/>
      <w:sz w:val="26"/>
      <w:szCs w:val="20"/>
    </w:rPr>
  </w:style>
  <w:style w:type="paragraph" w:customStyle="1" w:styleId="397">
    <w:name w:val="纯文本1"/>
    <w:basedOn w:val="1"/>
    <w:qFormat/>
    <w:uiPriority w:val="0"/>
    <w:pPr>
      <w:adjustRightInd w:val="0"/>
      <w:jc w:val="left"/>
      <w:textAlignment w:val="baseline"/>
    </w:pPr>
    <w:rPr>
      <w:rFonts w:ascii="宋体" w:hAnsi="Courier New"/>
      <w:sz w:val="24"/>
      <w:szCs w:val="20"/>
    </w:rPr>
  </w:style>
  <w:style w:type="paragraph" w:customStyle="1" w:styleId="398">
    <w:name w:val="正文9"/>
    <w:qFormat/>
    <w:uiPriority w:val="0"/>
    <w:pPr>
      <w:jc w:val="both"/>
    </w:pPr>
    <w:rPr>
      <w:rFonts w:ascii="Calibri" w:hAnsi="Calibri" w:eastAsia="宋体" w:cs="Times New Roman"/>
      <w:kern w:val="2"/>
      <w:sz w:val="21"/>
      <w:szCs w:val="21"/>
      <w:lang w:val="en-US" w:eastAsia="zh-CN" w:bidi="ar-SA"/>
      <w14:ligatures w14:val="standardContextual"/>
    </w:rPr>
  </w:style>
  <w:style w:type="paragraph" w:customStyle="1" w:styleId="399">
    <w:name w:val="列出段落4"/>
    <w:basedOn w:val="1"/>
    <w:qFormat/>
    <w:uiPriority w:val="99"/>
    <w:pPr>
      <w:ind w:firstLine="420" w:firstLineChars="200"/>
    </w:pPr>
    <w:rPr>
      <w:rFonts w:ascii="Times New Roman" w:hAnsi="Times New Roman"/>
      <w:szCs w:val="21"/>
    </w:rPr>
  </w:style>
  <w:style w:type="paragraph" w:customStyle="1" w:styleId="400">
    <w:name w:val="列出段落5"/>
    <w:basedOn w:val="1"/>
    <w:unhideWhenUsed/>
    <w:qFormat/>
    <w:uiPriority w:val="99"/>
    <w:pPr>
      <w:ind w:firstLine="420" w:firstLineChars="200"/>
    </w:pPr>
    <w:rPr>
      <w:rFonts w:ascii="Times New Roman" w:hAnsi="Times New Roman"/>
      <w:szCs w:val="21"/>
    </w:rPr>
  </w:style>
  <w:style w:type="paragraph" w:customStyle="1" w:styleId="401">
    <w:name w:val="表格文字"/>
    <w:basedOn w:val="1"/>
    <w:qFormat/>
    <w:uiPriority w:val="0"/>
    <w:pPr>
      <w:autoSpaceDE w:val="0"/>
      <w:autoSpaceDN w:val="0"/>
      <w:adjustRightInd w:val="0"/>
      <w:jc w:val="center"/>
    </w:pPr>
    <w:rPr>
      <w:rFonts w:ascii="宋体" w:hAnsi="宋体"/>
      <w:szCs w:val="21"/>
    </w:rPr>
  </w:style>
  <w:style w:type="paragraph" w:customStyle="1" w:styleId="402">
    <w:name w:val="表题 Char"/>
    <w:basedOn w:val="1"/>
    <w:qFormat/>
    <w:uiPriority w:val="0"/>
    <w:pPr>
      <w:spacing w:line="360" w:lineRule="auto"/>
      <w:jc w:val="center"/>
    </w:pPr>
    <w:rPr>
      <w:rFonts w:ascii="黑体" w:hAnsi="Times New Roman" w:eastAsia="黑体"/>
      <w:bCs/>
      <w:sz w:val="24"/>
      <w:szCs w:val="24"/>
    </w:rPr>
  </w:style>
  <w:style w:type="paragraph" w:customStyle="1" w:styleId="403">
    <w:name w:val="font5"/>
    <w:basedOn w:val="1"/>
    <w:qFormat/>
    <w:uiPriority w:val="0"/>
    <w:pPr>
      <w:widowControl/>
      <w:spacing w:before="100" w:beforeAutospacing="1" w:after="100" w:afterAutospacing="1"/>
      <w:jc w:val="left"/>
    </w:pPr>
    <w:rPr>
      <w:rFonts w:hint="eastAsia" w:ascii="宋体" w:hAnsi="宋体" w:cs="Arial Unicode MS"/>
      <w:kern w:val="0"/>
      <w:sz w:val="20"/>
      <w:szCs w:val="20"/>
    </w:rPr>
  </w:style>
  <w:style w:type="paragraph" w:customStyle="1" w:styleId="404">
    <w:name w:val="无间隔2"/>
    <w:qFormat/>
    <w:uiPriority w:val="1"/>
    <w:pPr>
      <w:widowControl w:val="0"/>
      <w:jc w:val="both"/>
    </w:pPr>
    <w:rPr>
      <w:rFonts w:ascii="Calibri" w:hAnsi="Calibri" w:eastAsia="宋体" w:cs="Times New Roman"/>
      <w:kern w:val="2"/>
      <w:sz w:val="21"/>
      <w:szCs w:val="22"/>
      <w:lang w:val="en-US" w:eastAsia="zh-CN" w:bidi="ar-SA"/>
      <w14:ligatures w14:val="standardContextual"/>
    </w:rPr>
  </w:style>
  <w:style w:type="paragraph" w:customStyle="1" w:styleId="405">
    <w:name w:val="_Style 2"/>
    <w:basedOn w:val="1"/>
    <w:qFormat/>
    <w:uiPriority w:val="99"/>
    <w:pPr>
      <w:ind w:firstLine="420" w:firstLineChars="200"/>
    </w:pPr>
    <w:rPr>
      <w:rFonts w:ascii="Times New Roman" w:hAnsi="Times New Roman"/>
      <w:szCs w:val="21"/>
    </w:rPr>
  </w:style>
  <w:style w:type="paragraph" w:customStyle="1" w:styleId="406">
    <w:name w:val="表内文字"/>
    <w:basedOn w:val="1"/>
    <w:link w:val="493"/>
    <w:qFormat/>
    <w:uiPriority w:val="0"/>
    <w:pPr>
      <w:adjustRightInd w:val="0"/>
      <w:snapToGrid w:val="0"/>
      <w:spacing w:line="360" w:lineRule="auto"/>
      <w:jc w:val="center"/>
    </w:pPr>
    <w:rPr>
      <w:rFonts w:ascii="Times New Roman" w:hAnsi="Times New Roman"/>
      <w:szCs w:val="21"/>
    </w:rPr>
  </w:style>
  <w:style w:type="paragraph" w:customStyle="1" w:styleId="407">
    <w:name w:val="YJ文中标题"/>
    <w:basedOn w:val="1"/>
    <w:qFormat/>
    <w:uiPriority w:val="99"/>
    <w:pPr>
      <w:snapToGrid w:val="0"/>
      <w:spacing w:line="520" w:lineRule="exact"/>
      <w:ind w:firstLine="200" w:firstLineChars="200"/>
      <w:jc w:val="left"/>
    </w:pPr>
    <w:rPr>
      <w:rFonts w:ascii="Times New Roman" w:hAnsi="Times New Roman"/>
      <w:b/>
      <w:sz w:val="24"/>
      <w:szCs w:val="20"/>
    </w:rPr>
  </w:style>
  <w:style w:type="paragraph" w:customStyle="1" w:styleId="408">
    <w:name w:val="表头 02"/>
    <w:basedOn w:val="1"/>
    <w:qFormat/>
    <w:uiPriority w:val="0"/>
    <w:pPr>
      <w:suppressLineNumbers/>
      <w:suppressAutoHyphens/>
      <w:adjustRightInd w:val="0"/>
      <w:snapToGrid w:val="0"/>
      <w:spacing w:line="500" w:lineRule="exact"/>
      <w:contextualSpacing/>
      <w:jc w:val="center"/>
      <w:textAlignment w:val="center"/>
    </w:pPr>
    <w:rPr>
      <w:rFonts w:ascii="黑体" w:hAnsi="黑体" w:eastAsia="黑体" w:cs="宋体"/>
      <w:b/>
      <w:bCs/>
      <w:color w:val="FF0000"/>
      <w:kern w:val="0"/>
      <w:szCs w:val="21"/>
    </w:rPr>
  </w:style>
  <w:style w:type="paragraph" w:customStyle="1" w:styleId="409">
    <w:name w:val="9点"/>
    <w:basedOn w:val="1"/>
    <w:qFormat/>
    <w:uiPriority w:val="0"/>
    <w:pPr>
      <w:tabs>
        <w:tab w:val="left" w:pos="1290"/>
      </w:tabs>
      <w:adjustRightInd w:val="0"/>
      <w:snapToGrid w:val="0"/>
      <w:spacing w:line="300" w:lineRule="auto"/>
      <w:ind w:left="1290" w:hanging="720"/>
      <w:jc w:val="center"/>
    </w:pPr>
    <w:rPr>
      <w:rFonts w:ascii="宋体" w:hAnsi="Times New Roman"/>
      <w:sz w:val="24"/>
      <w:szCs w:val="20"/>
    </w:rPr>
  </w:style>
  <w:style w:type="paragraph" w:customStyle="1" w:styleId="410">
    <w:name w:val="样式 表头 + 段后: 6 磅"/>
    <w:basedOn w:val="102"/>
    <w:qFormat/>
    <w:uiPriority w:val="0"/>
    <w:pPr>
      <w:keepNext/>
      <w:widowControl w:val="0"/>
      <w:spacing w:before="60" w:beforeLines="0" w:after="120" w:afterAutospacing="0" w:line="400" w:lineRule="exact"/>
      <w:ind w:firstLine="493"/>
      <w:jc w:val="left"/>
    </w:pPr>
    <w:rPr>
      <w:rFonts w:ascii="Times New Roman" w:hAnsi="Times New Roman"/>
      <w:color w:val="000000"/>
      <w:spacing w:val="8"/>
      <w:kern w:val="21"/>
    </w:rPr>
  </w:style>
  <w:style w:type="paragraph" w:customStyle="1" w:styleId="411">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14:ligatures w14:val="standardContextual"/>
    </w:rPr>
  </w:style>
  <w:style w:type="paragraph" w:customStyle="1" w:styleId="412">
    <w:name w:val="无间隔1"/>
    <w:qFormat/>
    <w:uiPriority w:val="1"/>
    <w:pPr>
      <w:widowControl w:val="0"/>
      <w:jc w:val="both"/>
    </w:pPr>
    <w:rPr>
      <w:rFonts w:ascii="Calibri" w:hAnsi="Calibri" w:eastAsia="宋体" w:cs="Times New Roman"/>
      <w:kern w:val="2"/>
      <w:sz w:val="21"/>
      <w:szCs w:val="22"/>
      <w:lang w:val="en-US" w:eastAsia="zh-CN" w:bidi="ar-SA"/>
      <w14:ligatures w14:val="standardContextual"/>
    </w:rPr>
  </w:style>
  <w:style w:type="paragraph" w:customStyle="1" w:styleId="413">
    <w:name w:val="Char Char2 Char Char Char Char Char Char Char Char Char Char Char Char Char Char Char Char"/>
    <w:basedOn w:val="1"/>
    <w:qFormat/>
    <w:uiPriority w:val="99"/>
    <w:rPr>
      <w:rFonts w:ascii="Times New Roman" w:hAnsi="Times New Roman"/>
      <w:szCs w:val="21"/>
    </w:rPr>
  </w:style>
  <w:style w:type="paragraph" w:customStyle="1" w:styleId="414">
    <w:name w:val="Char1"/>
    <w:basedOn w:val="1"/>
    <w:qFormat/>
    <w:uiPriority w:val="99"/>
    <w:rPr>
      <w:rFonts w:ascii="Times New Roman" w:hAnsi="Times New Roman"/>
      <w:szCs w:val="24"/>
    </w:rPr>
  </w:style>
  <w:style w:type="paragraph" w:customStyle="1" w:styleId="415">
    <w:name w:val="表中字体"/>
    <w:basedOn w:val="14"/>
    <w:qFormat/>
    <w:uiPriority w:val="0"/>
    <w:pPr>
      <w:spacing w:line="240" w:lineRule="exact"/>
      <w:ind w:firstLine="0" w:firstLineChars="0"/>
      <w:jc w:val="center"/>
    </w:pPr>
  </w:style>
  <w:style w:type="paragraph" w:customStyle="1" w:styleId="416">
    <w:name w:val="ZQL正文*"/>
    <w:basedOn w:val="1"/>
    <w:qFormat/>
    <w:uiPriority w:val="0"/>
    <w:pPr>
      <w:adjustRightInd w:val="0"/>
      <w:snapToGrid w:val="0"/>
      <w:spacing w:line="500" w:lineRule="exact"/>
      <w:ind w:firstLine="200" w:firstLineChars="200"/>
    </w:pPr>
    <w:rPr>
      <w:rFonts w:ascii="Times New Roman" w:hAnsi="Times New Roman"/>
      <w:sz w:val="24"/>
      <w:szCs w:val="24"/>
    </w:rPr>
  </w:style>
  <w:style w:type="paragraph" w:customStyle="1" w:styleId="417">
    <w:name w:val="正文12"/>
    <w:qFormat/>
    <w:uiPriority w:val="0"/>
    <w:pPr>
      <w:jc w:val="both"/>
    </w:pPr>
    <w:rPr>
      <w:rFonts w:ascii="Calibri" w:hAnsi="Calibri" w:eastAsia="宋体" w:cs="Times New Roman"/>
      <w:kern w:val="2"/>
      <w:sz w:val="21"/>
      <w:szCs w:val="21"/>
      <w:lang w:val="en-US" w:eastAsia="zh-CN" w:bidi="ar-SA"/>
      <w14:ligatures w14:val="standardContextual"/>
    </w:rPr>
  </w:style>
  <w:style w:type="paragraph" w:customStyle="1" w:styleId="418">
    <w:name w:val="列出段落7"/>
    <w:basedOn w:val="1"/>
    <w:qFormat/>
    <w:uiPriority w:val="99"/>
    <w:pPr>
      <w:ind w:firstLine="420" w:firstLineChars="200"/>
    </w:pPr>
    <w:rPr>
      <w:szCs w:val="21"/>
    </w:rPr>
  </w:style>
  <w:style w:type="paragraph" w:customStyle="1" w:styleId="419">
    <w:name w:val="1"/>
    <w:unhideWhenUsed/>
    <w:qFormat/>
    <w:uiPriority w:val="99"/>
    <w:pPr>
      <w:widowControl w:val="0"/>
      <w:jc w:val="both"/>
    </w:pPr>
    <w:rPr>
      <w:rFonts w:ascii="Calibri" w:hAnsi="Calibri" w:eastAsia="宋体" w:cs="Times New Roman"/>
      <w:kern w:val="2"/>
      <w:sz w:val="21"/>
      <w:szCs w:val="22"/>
      <w:lang w:val="en-US" w:eastAsia="zh-CN" w:bidi="ar-SA"/>
      <w14:ligatures w14:val="standardContextual"/>
    </w:rPr>
  </w:style>
  <w:style w:type="paragraph" w:customStyle="1" w:styleId="420">
    <w:name w:val="xl28"/>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18"/>
      <w:szCs w:val="18"/>
    </w:rPr>
  </w:style>
  <w:style w:type="paragraph" w:customStyle="1" w:styleId="421">
    <w:name w:val="表题"/>
    <w:basedOn w:val="14"/>
    <w:qFormat/>
    <w:uiPriority w:val="99"/>
    <w:pPr>
      <w:adjustRightInd w:val="0"/>
      <w:snapToGrid w:val="0"/>
      <w:spacing w:line="500" w:lineRule="exact"/>
      <w:ind w:firstLine="0" w:firstLineChars="0"/>
      <w:jc w:val="center"/>
    </w:pPr>
    <w:rPr>
      <w:rFonts w:cs="宋体"/>
      <w:b/>
      <w:bCs/>
    </w:rPr>
  </w:style>
  <w:style w:type="paragraph" w:customStyle="1" w:styleId="422">
    <w:name w:val="列出段落3"/>
    <w:basedOn w:val="1"/>
    <w:unhideWhenUsed/>
    <w:qFormat/>
    <w:uiPriority w:val="99"/>
    <w:pPr>
      <w:ind w:firstLine="420" w:firstLineChars="200"/>
    </w:pPr>
    <w:rPr>
      <w:rFonts w:ascii="Times New Roman" w:hAnsi="Times New Roman"/>
      <w:szCs w:val="21"/>
    </w:rPr>
  </w:style>
  <w:style w:type="paragraph" w:customStyle="1" w:styleId="423">
    <w:name w:val="居中四号"/>
    <w:qFormat/>
    <w:uiPriority w:val="0"/>
    <w:pPr>
      <w:spacing w:line="300" w:lineRule="auto"/>
      <w:jc w:val="center"/>
    </w:pPr>
    <w:rPr>
      <w:rFonts w:ascii="Calibri" w:hAnsi="Calibri" w:eastAsia="宋体" w:cs="Times New Roman"/>
      <w:sz w:val="28"/>
      <w:lang w:val="en-US" w:eastAsia="zh-CN" w:bidi="ar-SA"/>
      <w14:ligatures w14:val="standardContextual"/>
    </w:rPr>
  </w:style>
  <w:style w:type="paragraph" w:customStyle="1" w:styleId="424">
    <w:name w:val="正文1"/>
    <w:basedOn w:val="1"/>
    <w:qFormat/>
    <w:uiPriority w:val="99"/>
    <w:pPr>
      <w:widowControl/>
    </w:pPr>
    <w:rPr>
      <w:rFonts w:ascii="Times New Roman" w:hAnsi="Times New Roman"/>
      <w:szCs w:val="21"/>
    </w:rPr>
  </w:style>
  <w:style w:type="paragraph" w:customStyle="1" w:styleId="425">
    <w:name w:val="表、图名"/>
    <w:basedOn w:val="1"/>
    <w:link w:val="469"/>
    <w:qFormat/>
    <w:uiPriority w:val="0"/>
    <w:pPr>
      <w:adjustRightInd w:val="0"/>
      <w:snapToGrid w:val="0"/>
      <w:spacing w:line="520" w:lineRule="exact"/>
      <w:ind w:left="-6" w:firstLine="560"/>
    </w:pPr>
    <w:rPr>
      <w:rFonts w:ascii="黑体" w:hAnsi="Times New Roman" w:eastAsia="黑体"/>
      <w:szCs w:val="24"/>
    </w:rPr>
  </w:style>
  <w:style w:type="paragraph" w:customStyle="1" w:styleId="426">
    <w:name w:val="Char Char Char Char Char Char Char Char"/>
    <w:basedOn w:val="1"/>
    <w:qFormat/>
    <w:uiPriority w:val="0"/>
    <w:rPr>
      <w:rFonts w:ascii="Times New Roman" w:hAnsi="Times New Roman"/>
      <w:szCs w:val="20"/>
    </w:rPr>
  </w:style>
  <w:style w:type="paragraph" w:customStyle="1" w:styleId="427">
    <w:name w:val="标准条文"/>
    <w:basedOn w:val="1"/>
    <w:next w:val="1"/>
    <w:qFormat/>
    <w:uiPriority w:val="99"/>
    <w:pPr>
      <w:autoSpaceDE w:val="0"/>
      <w:autoSpaceDN w:val="0"/>
      <w:adjustRightInd w:val="0"/>
      <w:jc w:val="left"/>
    </w:pPr>
    <w:rPr>
      <w:rFonts w:ascii="黑体" w:eastAsia="黑体"/>
      <w:kern w:val="0"/>
      <w:sz w:val="24"/>
      <w:szCs w:val="24"/>
    </w:rPr>
  </w:style>
  <w:style w:type="paragraph" w:customStyle="1" w:styleId="428">
    <w:name w:val="样式 正文首行缩进 + 首行缩进:  1 字符"/>
    <w:basedOn w:val="49"/>
    <w:qFormat/>
    <w:uiPriority w:val="0"/>
    <w:pPr>
      <w:widowControl w:val="0"/>
      <w:spacing w:after="0" w:line="520" w:lineRule="exact"/>
      <w:ind w:firstLine="200" w:firstLineChars="200"/>
      <w:jc w:val="both"/>
    </w:pPr>
    <w:rPr>
      <w:rFonts w:ascii="Times New Roman" w:hAnsi="Times New Roman" w:cs="宋体"/>
      <w:kern w:val="2"/>
    </w:rPr>
  </w:style>
  <w:style w:type="paragraph" w:customStyle="1" w:styleId="429">
    <w:name w:val="报告正文 + 首行缩进:  2 字符 Char"/>
    <w:basedOn w:val="1"/>
    <w:qFormat/>
    <w:uiPriority w:val="0"/>
    <w:pPr>
      <w:spacing w:line="360" w:lineRule="auto"/>
      <w:ind w:firstLine="578" w:firstLineChars="200"/>
    </w:pPr>
    <w:rPr>
      <w:rFonts w:ascii="Times New Roman" w:hAnsi="Times New Roman"/>
      <w:bCs/>
    </w:rPr>
  </w:style>
  <w:style w:type="paragraph" w:customStyle="1" w:styleId="430">
    <w:name w:val="列出段落2"/>
    <w:basedOn w:val="1"/>
    <w:unhideWhenUsed/>
    <w:qFormat/>
    <w:uiPriority w:val="34"/>
    <w:pPr>
      <w:ind w:firstLine="420" w:firstLineChars="200"/>
    </w:pPr>
    <w:rPr>
      <w:szCs w:val="21"/>
    </w:rPr>
  </w:style>
  <w:style w:type="paragraph" w:customStyle="1" w:styleId="431">
    <w:name w:val="正文2"/>
    <w:qFormat/>
    <w:uiPriority w:val="0"/>
    <w:pPr>
      <w:jc w:val="both"/>
    </w:pPr>
    <w:rPr>
      <w:rFonts w:ascii="Calibri" w:hAnsi="Calibri" w:eastAsia="宋体" w:cs="Times New Roman"/>
      <w:kern w:val="2"/>
      <w:sz w:val="21"/>
      <w:szCs w:val="21"/>
      <w:lang w:val="en-US" w:eastAsia="zh-CN" w:bidi="ar-SA"/>
      <w14:ligatures w14:val="standardContextual"/>
    </w:rPr>
  </w:style>
  <w:style w:type="paragraph" w:customStyle="1" w:styleId="432">
    <w:name w:val="xl63"/>
    <w:basedOn w:val="1"/>
    <w:qFormat/>
    <w:uiPriority w:val="0"/>
    <w:pPr>
      <w:widowControl/>
      <w:spacing w:before="100" w:after="100"/>
      <w:jc w:val="center"/>
      <w:textAlignment w:val="center"/>
    </w:pPr>
    <w:rPr>
      <w:rFonts w:hint="eastAsia" w:ascii="黑体" w:hAnsi="宋体" w:eastAsia="黑体"/>
      <w:kern w:val="0"/>
      <w:sz w:val="24"/>
      <w:szCs w:val="20"/>
    </w:rPr>
  </w:style>
  <w:style w:type="paragraph" w:customStyle="1" w:styleId="433">
    <w:name w:val="表中文字"/>
    <w:basedOn w:val="1"/>
    <w:qFormat/>
    <w:uiPriority w:val="0"/>
    <w:pPr>
      <w:jc w:val="center"/>
    </w:pPr>
    <w:rPr>
      <w:rFonts w:ascii="Times New Roman" w:hAnsi="Times New Roman"/>
      <w:szCs w:val="20"/>
    </w:rPr>
  </w:style>
  <w:style w:type="paragraph" w:customStyle="1" w:styleId="434">
    <w:name w:val="Char Char Char Char"/>
    <w:basedOn w:val="1"/>
    <w:qFormat/>
    <w:uiPriority w:val="99"/>
    <w:rPr>
      <w:rFonts w:ascii="Times New Roman" w:hAnsi="Times New Roman"/>
      <w:szCs w:val="24"/>
    </w:rPr>
  </w:style>
  <w:style w:type="table" w:customStyle="1" w:styleId="435">
    <w:name w:val="报告书表格样式11"/>
    <w:basedOn w:val="51"/>
    <w:qFormat/>
    <w:uiPriority w:val="0"/>
    <w:tblPr>
      <w:tblBorders>
        <w:top w:val="single" w:color="auto" w:sz="12" w:space="0"/>
        <w:bottom w:val="single" w:color="auto" w:sz="12" w:space="0"/>
        <w:insideH w:val="single" w:color="auto" w:sz="6" w:space="0"/>
        <w:insideV w:val="single" w:color="auto" w:sz="6" w:space="0"/>
      </w:tblBorders>
    </w:tblPr>
  </w:style>
  <w:style w:type="table" w:customStyle="1" w:styleId="436">
    <w:name w:val="样式24"/>
    <w:basedOn w:val="51"/>
    <w:qFormat/>
    <w:uiPriority w:val="99"/>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37">
    <w:name w:val="样式11"/>
    <w:basedOn w:val="51"/>
    <w:qFormat/>
    <w:uiPriority w:val="99"/>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38">
    <w:name w:val="网格型4"/>
    <w:basedOn w:val="51"/>
    <w:qFormat/>
    <w:uiPriority w:val="39"/>
    <w:rPr>
      <w:rFonts w:ascii="等线" w:hAnsi="等线" w:eastAsia="等线"/>
    </w:rPr>
    <w:tblPr>
      <w:tblBorders>
        <w:top w:val="single" w:color="auto" w:sz="12" w:space="0"/>
        <w:bottom w:val="single" w:color="auto" w:sz="12" w:space="0"/>
        <w:insideH w:val="single" w:color="auto" w:sz="4" w:space="0"/>
        <w:insideV w:val="single" w:color="auto" w:sz="4" w:space="0"/>
      </w:tblBorders>
    </w:tblPr>
  </w:style>
  <w:style w:type="table" w:customStyle="1" w:styleId="439">
    <w:name w:val="网格型浅色1"/>
    <w:basedOn w:val="51"/>
    <w:qFormat/>
    <w:uiPriority w:val="40"/>
    <w:tblPr>
      <w:jc w:val="center"/>
      <w:tblBorders>
        <w:top w:val="single" w:color="000000" w:sz="12" w:space="0"/>
        <w:bottom w:val="single" w:color="000000" w:sz="12" w:space="0"/>
        <w:insideH w:val="single" w:color="000000" w:sz="4" w:space="0"/>
        <w:insideV w:val="single" w:color="000000" w:sz="4" w:space="0"/>
      </w:tblBorders>
    </w:tblPr>
    <w:trPr>
      <w:jc w:val="center"/>
    </w:trPr>
    <w:tcPr>
      <w:shd w:val="clear" w:color="auto" w:fill="auto"/>
      <w:vAlign w:val="center"/>
    </w:tcPr>
  </w:style>
  <w:style w:type="table" w:customStyle="1" w:styleId="440">
    <w:name w:val="样式13"/>
    <w:basedOn w:val="51"/>
    <w:qFormat/>
    <w:uiPriority w:val="99"/>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41">
    <w:name w:val="报告书表格样式13"/>
    <w:basedOn w:val="51"/>
    <w:qFormat/>
    <w:uiPriority w:val="0"/>
    <w:pPr>
      <w:jc w:val="center"/>
    </w:pPr>
    <w:tblPr>
      <w:tblBorders>
        <w:top w:val="single" w:color="auto" w:sz="12" w:space="0"/>
        <w:bottom w:val="single" w:color="auto" w:sz="12" w:space="0"/>
        <w:insideH w:val="single" w:color="auto" w:sz="6" w:space="0"/>
        <w:insideV w:val="single" w:color="auto" w:sz="6" w:space="0"/>
      </w:tblBorders>
      <w:tblCellMar>
        <w:left w:w="28" w:type="dxa"/>
        <w:right w:w="28" w:type="dxa"/>
      </w:tblCellMar>
    </w:tblPr>
    <w:tcPr>
      <w:vAlign w:val="center"/>
    </w:tcPr>
  </w:style>
  <w:style w:type="table" w:customStyle="1" w:styleId="442">
    <w:name w:val="样式23"/>
    <w:basedOn w:val="51"/>
    <w:qFormat/>
    <w:uiPriority w:val="99"/>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43">
    <w:name w:val="报告书表格样式1"/>
    <w:basedOn w:val="51"/>
    <w:qFormat/>
    <w:uiPriority w:val="0"/>
    <w:pPr>
      <w:adjustRightInd w:val="0"/>
      <w:snapToGrid w:val="0"/>
      <w:spacing w:line="300" w:lineRule="exact"/>
      <w:jc w:val="center"/>
    </w:pPr>
    <w:rPr>
      <w:rFonts w:ascii="宋体" w:hAnsi="宋体"/>
    </w:rPr>
    <w:tblPr>
      <w:jc w:val="center"/>
      <w:tblBorders>
        <w:top w:val="single" w:color="auto" w:sz="12" w:space="0"/>
        <w:bottom w:val="single" w:color="auto" w:sz="12" w:space="0"/>
        <w:insideH w:val="single" w:color="auto" w:sz="6" w:space="0"/>
        <w:insideV w:val="single" w:color="auto" w:sz="6" w:space="0"/>
      </w:tblBorders>
    </w:tblPr>
    <w:trPr>
      <w:cantSplit/>
      <w:jc w:val="center"/>
    </w:trPr>
    <w:tcPr>
      <w:vAlign w:val="center"/>
    </w:tcPr>
  </w:style>
  <w:style w:type="table" w:customStyle="1" w:styleId="444">
    <w:name w:val="样式14"/>
    <w:basedOn w:val="51"/>
    <w:qFormat/>
    <w:uiPriority w:val="99"/>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45">
    <w:name w:val="样式21"/>
    <w:basedOn w:val="51"/>
    <w:qFormat/>
    <w:uiPriority w:val="99"/>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46">
    <w:name w:val="表格主题1"/>
    <w:basedOn w:val="5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7">
    <w:name w:val="样式12"/>
    <w:basedOn w:val="51"/>
    <w:qFormat/>
    <w:uiPriority w:val="99"/>
    <w:pPr>
      <w:adjustRightInd w:val="0"/>
      <w:snapToGrid w:val="0"/>
      <w:spacing w:line="300" w:lineRule="exact"/>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48">
    <w:name w:val="报告书表格样式2"/>
    <w:basedOn w:val="51"/>
    <w:qFormat/>
    <w:uiPriority w:val="0"/>
    <w:tblPr>
      <w:tblBorders>
        <w:top w:val="single" w:color="auto" w:sz="12" w:space="0"/>
        <w:bottom w:val="single" w:color="auto" w:sz="12" w:space="0"/>
        <w:insideH w:val="single" w:color="auto" w:sz="6" w:space="0"/>
        <w:insideV w:val="single" w:color="auto" w:sz="6" w:space="0"/>
      </w:tblBorders>
    </w:tblPr>
  </w:style>
  <w:style w:type="table" w:customStyle="1" w:styleId="449">
    <w:name w:val="网格型浅色3"/>
    <w:basedOn w:val="51"/>
    <w:qFormat/>
    <w:uiPriority w:val="40"/>
    <w:tblPr>
      <w:jc w:val="center"/>
      <w:tblBorders>
        <w:top w:val="single" w:color="000000" w:sz="12" w:space="0"/>
        <w:bottom w:val="single" w:color="000000" w:sz="12" w:space="0"/>
        <w:insideH w:val="single" w:color="000000" w:sz="4" w:space="0"/>
        <w:insideV w:val="single" w:color="000000" w:sz="4" w:space="0"/>
      </w:tblBorders>
    </w:tblPr>
    <w:trPr>
      <w:jc w:val="center"/>
    </w:trPr>
    <w:tcPr>
      <w:shd w:val="clear" w:color="auto" w:fill="auto"/>
      <w:vAlign w:val="center"/>
    </w:tcPr>
  </w:style>
  <w:style w:type="table" w:customStyle="1" w:styleId="450">
    <w:name w:val="报告书表格样式"/>
    <w:basedOn w:val="51"/>
    <w:qFormat/>
    <w:uiPriority w:val="0"/>
    <w:pPr>
      <w:adjustRightInd w:val="0"/>
      <w:snapToGrid w:val="0"/>
      <w:spacing w:line="300" w:lineRule="exact"/>
      <w:jc w:val="center"/>
    </w:pPr>
    <w:rPr>
      <w:rFonts w:ascii="宋体" w:hAnsi="宋体"/>
    </w:rPr>
    <w:tblPr>
      <w:jc w:val="center"/>
      <w:tblBorders>
        <w:top w:val="single" w:color="auto" w:sz="12" w:space="0"/>
        <w:bottom w:val="single" w:color="auto" w:sz="12" w:space="0"/>
        <w:insideH w:val="single" w:color="auto" w:sz="6" w:space="0"/>
        <w:insideV w:val="single" w:color="auto" w:sz="6" w:space="0"/>
      </w:tblBorders>
    </w:tblPr>
    <w:trPr>
      <w:cantSplit/>
      <w:jc w:val="center"/>
    </w:trPr>
    <w:tcPr>
      <w:vAlign w:val="center"/>
    </w:tcPr>
  </w:style>
  <w:style w:type="table" w:customStyle="1" w:styleId="451">
    <w:name w:val="网格型3"/>
    <w:basedOn w:val="51"/>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52">
    <w:name w:val="网格型浅色2"/>
    <w:basedOn w:val="51"/>
    <w:qFormat/>
    <w:uiPriority w:val="40"/>
    <w:tblPr>
      <w:jc w:val="center"/>
      <w:tblBorders>
        <w:top w:val="single" w:color="000000" w:sz="12" w:space="0"/>
        <w:bottom w:val="single" w:color="000000" w:sz="12" w:space="0"/>
        <w:insideH w:val="single" w:color="000000" w:sz="4" w:space="0"/>
        <w:insideV w:val="single" w:color="000000" w:sz="4" w:space="0"/>
      </w:tblBorders>
    </w:tblPr>
    <w:trPr>
      <w:jc w:val="center"/>
    </w:trPr>
    <w:tcPr>
      <w:shd w:val="clear" w:color="auto" w:fill="auto"/>
      <w:vAlign w:val="center"/>
    </w:tcPr>
  </w:style>
  <w:style w:type="table" w:customStyle="1" w:styleId="453">
    <w:name w:val="网格型1"/>
    <w:basedOn w:val="51"/>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54">
    <w:name w:val="报告书表格样式111"/>
    <w:basedOn w:val="51"/>
    <w:qFormat/>
    <w:uiPriority w:val="0"/>
    <w:pPr>
      <w:jc w:val="center"/>
    </w:pPr>
    <w:tblPr>
      <w:tblBorders>
        <w:top w:val="single" w:color="auto" w:sz="12" w:space="0"/>
        <w:bottom w:val="single" w:color="auto" w:sz="12" w:space="0"/>
        <w:insideH w:val="single" w:color="auto" w:sz="6" w:space="0"/>
        <w:insideV w:val="single" w:color="auto" w:sz="6" w:space="0"/>
      </w:tblBorders>
      <w:tblCellMar>
        <w:left w:w="28" w:type="dxa"/>
        <w:right w:w="28" w:type="dxa"/>
      </w:tblCellMar>
    </w:tblPr>
    <w:tcPr>
      <w:vAlign w:val="center"/>
    </w:tcPr>
  </w:style>
  <w:style w:type="table" w:customStyle="1" w:styleId="455">
    <w:name w:val="样式25"/>
    <w:basedOn w:val="51"/>
    <w:qFormat/>
    <w:uiPriority w:val="99"/>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56">
    <w:name w:val="样式2"/>
    <w:basedOn w:val="51"/>
    <w:qFormat/>
    <w:uiPriority w:val="99"/>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57">
    <w:name w:val="报告书表格样式4"/>
    <w:basedOn w:val="51"/>
    <w:qFormat/>
    <w:uiPriority w:val="0"/>
    <w:pPr>
      <w:adjustRightInd w:val="0"/>
      <w:snapToGrid w:val="0"/>
      <w:spacing w:line="300" w:lineRule="exact"/>
      <w:jc w:val="center"/>
    </w:pPr>
    <w:rPr>
      <w:rFonts w:ascii="宋体" w:hAnsi="宋体"/>
    </w:rPr>
    <w:tblPr>
      <w:jc w:val="center"/>
      <w:tblBorders>
        <w:top w:val="single" w:color="auto" w:sz="12" w:space="0"/>
        <w:bottom w:val="single" w:color="auto" w:sz="12" w:space="0"/>
        <w:insideH w:val="single" w:color="auto" w:sz="6" w:space="0"/>
        <w:insideV w:val="single" w:color="auto" w:sz="6" w:space="0"/>
      </w:tblBorders>
    </w:tblPr>
    <w:trPr>
      <w:cantSplit/>
      <w:jc w:val="center"/>
    </w:trPr>
    <w:tcPr>
      <w:vAlign w:val="center"/>
    </w:tcPr>
  </w:style>
  <w:style w:type="table" w:customStyle="1" w:styleId="458">
    <w:name w:val="样式22"/>
    <w:basedOn w:val="51"/>
    <w:qFormat/>
    <w:uiPriority w:val="99"/>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59">
    <w:name w:val="报告书表格样式12"/>
    <w:basedOn w:val="51"/>
    <w:qFormat/>
    <w:uiPriority w:val="0"/>
    <w:pPr>
      <w:jc w:val="center"/>
    </w:pPr>
    <w:tblPr>
      <w:tblBorders>
        <w:top w:val="single" w:color="auto" w:sz="12" w:space="0"/>
        <w:bottom w:val="single" w:color="auto" w:sz="12" w:space="0"/>
        <w:insideH w:val="single" w:color="auto" w:sz="6" w:space="0"/>
        <w:insideV w:val="single" w:color="auto" w:sz="6" w:space="0"/>
      </w:tblBorders>
      <w:tblCellMar>
        <w:left w:w="28" w:type="dxa"/>
        <w:right w:w="28" w:type="dxa"/>
      </w:tblCellMar>
    </w:tblPr>
    <w:tcPr>
      <w:vAlign w:val="center"/>
    </w:tcPr>
  </w:style>
  <w:style w:type="table" w:customStyle="1" w:styleId="460">
    <w:name w:val="Grid Table Light1"/>
    <w:basedOn w:val="51"/>
    <w:qFormat/>
    <w:uiPriority w:val="40"/>
    <w:tblPr>
      <w:jc w:val="center"/>
      <w:tblBorders>
        <w:top w:val="single" w:color="000000" w:sz="12" w:space="0"/>
        <w:bottom w:val="single" w:color="000000" w:sz="12" w:space="0"/>
        <w:insideH w:val="single" w:color="000000" w:sz="4" w:space="0"/>
        <w:insideV w:val="single" w:color="000000" w:sz="4" w:space="0"/>
      </w:tblBorders>
    </w:tblPr>
    <w:trPr>
      <w:jc w:val="center"/>
    </w:trPr>
    <w:tcPr>
      <w:shd w:val="clear" w:color="auto" w:fill="auto"/>
      <w:vAlign w:val="center"/>
    </w:tcPr>
  </w:style>
  <w:style w:type="table" w:customStyle="1" w:styleId="461">
    <w:name w:val="YJ-表格"/>
    <w:basedOn w:val="51"/>
    <w:qFormat/>
    <w:uiPriority w:val="99"/>
    <w:pPr>
      <w:jc w:val="center"/>
    </w:pPr>
    <w:rPr>
      <w:rFonts w:ascii="宋体" w:hAnsi="Calibri"/>
    </w:rPr>
    <w:tblPr>
      <w:jc w:val="center"/>
      <w:tblBorders>
        <w:top w:val="single" w:color="auto" w:sz="12" w:space="0"/>
        <w:bottom w:val="single" w:color="auto" w:sz="12" w:space="0"/>
        <w:insideH w:val="single" w:color="auto" w:sz="12" w:space="0"/>
        <w:insideV w:val="single" w:color="auto" w:sz="12" w:space="0"/>
      </w:tblBorders>
    </w:tblPr>
    <w:trPr>
      <w:jc w:val="center"/>
    </w:trPr>
    <w:tcPr>
      <w:vAlign w:val="center"/>
    </w:tcPr>
  </w:style>
  <w:style w:type="table" w:customStyle="1" w:styleId="462">
    <w:name w:val="网格型2"/>
    <w:basedOn w:val="5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63">
    <w:name w:val="网格型!1"/>
    <w:basedOn w:val="5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64">
    <w:name w:val="报告书表格样式3"/>
    <w:basedOn w:val="51"/>
    <w:qFormat/>
    <w:uiPriority w:val="0"/>
    <w:tblPr>
      <w:tblBorders>
        <w:top w:val="single" w:color="auto" w:sz="12" w:space="0"/>
        <w:bottom w:val="single" w:color="auto" w:sz="12" w:space="0"/>
        <w:insideH w:val="single" w:color="auto" w:sz="6" w:space="0"/>
        <w:insideV w:val="single" w:color="auto" w:sz="6" w:space="0"/>
      </w:tblBorders>
    </w:tblPr>
  </w:style>
  <w:style w:type="character" w:customStyle="1" w:styleId="465">
    <w:name w:val="font31"/>
    <w:qFormat/>
    <w:uiPriority w:val="0"/>
    <w:rPr>
      <w:rFonts w:hint="default" w:ascii="Times New Roman" w:hAnsi="Times New Roman" w:cs="Times New Roman"/>
      <w:color w:val="000000"/>
      <w:sz w:val="24"/>
      <w:szCs w:val="24"/>
      <w:u w:val="none"/>
    </w:rPr>
  </w:style>
  <w:style w:type="paragraph" w:customStyle="1" w:styleId="466">
    <w:name w:val="CDD图中的文字"/>
    <w:basedOn w:val="1"/>
    <w:qFormat/>
    <w:uiPriority w:val="0"/>
    <w:pPr>
      <w:spacing w:line="240" w:lineRule="exact"/>
      <w:jc w:val="center"/>
    </w:pPr>
    <w:rPr>
      <w:rFonts w:ascii="宋体" w:hAnsi="等线"/>
      <w:sz w:val="18"/>
      <w:szCs w:val="21"/>
    </w:rPr>
  </w:style>
  <w:style w:type="paragraph" w:customStyle="1" w:styleId="467">
    <w:name w:val="111"/>
    <w:basedOn w:val="86"/>
    <w:qFormat/>
    <w:uiPriority w:val="0"/>
    <w:pPr>
      <w:overflowPunct w:val="0"/>
    </w:pPr>
    <w:rPr>
      <w:rFonts w:cs="Times New Roman"/>
    </w:rPr>
  </w:style>
  <w:style w:type="paragraph" w:customStyle="1" w:styleId="468">
    <w:name w:val="样式 小四 行距: 1.5 倍行距"/>
    <w:basedOn w:val="1"/>
    <w:qFormat/>
    <w:uiPriority w:val="0"/>
    <w:pPr>
      <w:spacing w:line="360" w:lineRule="auto"/>
      <w:ind w:firstLine="200" w:firstLineChars="200"/>
    </w:pPr>
    <w:rPr>
      <w:rFonts w:ascii="Times New Roman" w:hAnsi="Times New Roman" w:cs="宋体"/>
      <w:sz w:val="28"/>
      <w:szCs w:val="20"/>
    </w:rPr>
  </w:style>
  <w:style w:type="character" w:customStyle="1" w:styleId="469">
    <w:name w:val="表、图名 Char"/>
    <w:link w:val="425"/>
    <w:qFormat/>
    <w:uiPriority w:val="0"/>
    <w:rPr>
      <w:rFonts w:ascii="黑体" w:hAnsi="Times New Roman" w:eastAsia="黑体" w:cs="Times New Roman"/>
      <w:szCs w:val="24"/>
    </w:rPr>
  </w:style>
  <w:style w:type="character" w:customStyle="1" w:styleId="470">
    <w:name w:val="样式4 Char Char"/>
    <w:semiHidden/>
    <w:qFormat/>
    <w:uiPriority w:val="0"/>
    <w:rPr>
      <w:rFonts w:ascii="Arial" w:hAnsi="Arial" w:eastAsia="宋体"/>
      <w:kern w:val="2"/>
      <w:sz w:val="24"/>
      <w:szCs w:val="24"/>
      <w:lang w:val="en-US" w:eastAsia="zh-CN" w:bidi="ar-SA"/>
    </w:rPr>
  </w:style>
  <w:style w:type="character" w:customStyle="1" w:styleId="471">
    <w:name w:val="表头 Char2"/>
    <w:qFormat/>
    <w:locked/>
    <w:uiPriority w:val="0"/>
    <w:rPr>
      <w:rFonts w:ascii="Arial" w:hAnsi="Arial" w:eastAsia="黑体"/>
      <w:bCs/>
      <w:kern w:val="2"/>
      <w:sz w:val="21"/>
      <w:szCs w:val="28"/>
      <w:lang w:val="en-US" w:eastAsia="zh-CN" w:bidi="ar-SA"/>
    </w:rPr>
  </w:style>
  <w:style w:type="character" w:customStyle="1" w:styleId="472">
    <w:name w:val="fontstyle21"/>
    <w:qFormat/>
    <w:uiPriority w:val="0"/>
    <w:rPr>
      <w:rFonts w:hint="default" w:ascii="Helvetica" w:hAnsi="Helvetica"/>
      <w:color w:val="000000"/>
      <w:sz w:val="30"/>
      <w:szCs w:val="30"/>
    </w:rPr>
  </w:style>
  <w:style w:type="paragraph" w:customStyle="1" w:styleId="473">
    <w:name w:val="表格标题样式"/>
    <w:basedOn w:val="1"/>
    <w:qFormat/>
    <w:uiPriority w:val="0"/>
    <w:pPr>
      <w:widowControl/>
      <w:spacing w:line="300" w:lineRule="auto"/>
      <w:jc w:val="center"/>
      <w:textAlignment w:val="baseline"/>
    </w:pPr>
    <w:rPr>
      <w:rFonts w:ascii="黑体" w:hAnsi="黑体" w:eastAsia="黑体"/>
      <w:kern w:val="0"/>
      <w:sz w:val="24"/>
      <w:szCs w:val="24"/>
    </w:rPr>
  </w:style>
  <w:style w:type="paragraph" w:customStyle="1" w:styleId="474">
    <w:name w:val="03_正文"/>
    <w:basedOn w:val="1"/>
    <w:qFormat/>
    <w:uiPriority w:val="0"/>
    <w:pPr>
      <w:adjustRightInd w:val="0"/>
      <w:snapToGrid w:val="0"/>
      <w:spacing w:line="360" w:lineRule="auto"/>
      <w:ind w:firstLine="200" w:firstLineChars="200"/>
    </w:pPr>
    <w:rPr>
      <w:rFonts w:ascii="宋体"/>
      <w:color w:val="000000"/>
      <w:spacing w:val="5"/>
      <w:sz w:val="25"/>
      <w:szCs w:val="25"/>
    </w:rPr>
  </w:style>
  <w:style w:type="paragraph" w:customStyle="1" w:styleId="475">
    <w:name w:val="表表格内的文字"/>
    <w:basedOn w:val="476"/>
    <w:qFormat/>
    <w:uiPriority w:val="0"/>
    <w:pPr>
      <w:snapToGrid/>
      <w:spacing w:line="240" w:lineRule="auto"/>
      <w:jc w:val="center"/>
    </w:pPr>
    <w:rPr>
      <w:rFonts w:ascii="Times New Roman" w:hAnsi="Times New Roman" w:cs="Times New Roman"/>
      <w:kern w:val="0"/>
      <w:sz w:val="21"/>
      <w:szCs w:val="21"/>
    </w:rPr>
  </w:style>
  <w:style w:type="paragraph" w:customStyle="1" w:styleId="476">
    <w:name w:val="说明书正文"/>
    <w:basedOn w:val="1"/>
    <w:qFormat/>
    <w:uiPriority w:val="0"/>
    <w:pPr>
      <w:adjustRightInd w:val="0"/>
      <w:snapToGrid w:val="0"/>
      <w:spacing w:line="300" w:lineRule="auto"/>
      <w:textAlignment w:val="baseline"/>
    </w:pPr>
    <w:rPr>
      <w:rFonts w:ascii="宋体" w:hAnsi="宋体" w:cs="宋体"/>
      <w:sz w:val="28"/>
      <w:szCs w:val="28"/>
    </w:rPr>
  </w:style>
  <w:style w:type="paragraph" w:customStyle="1" w:styleId="477">
    <w:name w:val="CM3"/>
    <w:basedOn w:val="411"/>
    <w:next w:val="411"/>
    <w:qFormat/>
    <w:uiPriority w:val="0"/>
    <w:rPr>
      <w:rFonts w:ascii="ST Song Std" w:eastAsia="ST Song Std" w:cs="Times New Roman"/>
      <w:color w:val="auto"/>
    </w:rPr>
  </w:style>
  <w:style w:type="paragraph" w:customStyle="1" w:styleId="478">
    <w:name w:val="表格内"/>
    <w:basedOn w:val="1"/>
    <w:link w:val="483"/>
    <w:qFormat/>
    <w:uiPriority w:val="0"/>
    <w:pPr>
      <w:snapToGrid w:val="0"/>
      <w:spacing w:line="360" w:lineRule="exact"/>
      <w:jc w:val="center"/>
    </w:pPr>
    <w:rPr>
      <w:rFonts w:ascii="Times New Roman" w:hAnsi="Times New Roman"/>
      <w:szCs w:val="21"/>
    </w:rPr>
  </w:style>
  <w:style w:type="paragraph" w:customStyle="1" w:styleId="479">
    <w:name w:val="a)"/>
    <w:basedOn w:val="1"/>
    <w:qFormat/>
    <w:uiPriority w:val="0"/>
    <w:pPr>
      <w:tabs>
        <w:tab w:val="left" w:pos="1134"/>
      </w:tabs>
      <w:adjustRightInd w:val="0"/>
      <w:spacing w:line="360" w:lineRule="auto"/>
      <w:ind w:firstLine="567"/>
      <w:textAlignment w:val="baseline"/>
    </w:pPr>
    <w:rPr>
      <w:rFonts w:ascii="Times New Roman" w:hAnsi="Times New Roman"/>
      <w:kern w:val="0"/>
      <w:sz w:val="28"/>
      <w:szCs w:val="20"/>
    </w:rPr>
  </w:style>
  <w:style w:type="paragraph" w:customStyle="1" w:styleId="480">
    <w:name w:val="首行缩进2"/>
    <w:basedOn w:val="1"/>
    <w:qFormat/>
    <w:uiPriority w:val="0"/>
    <w:pPr>
      <w:spacing w:line="360" w:lineRule="auto"/>
      <w:ind w:firstLine="200" w:firstLineChars="200"/>
    </w:pPr>
    <w:rPr>
      <w:rFonts w:ascii="Times New Roman" w:hAnsi="Times New Roman"/>
      <w:sz w:val="24"/>
      <w:szCs w:val="28"/>
    </w:rPr>
  </w:style>
  <w:style w:type="paragraph" w:customStyle="1" w:styleId="481">
    <w:name w:val="CM2"/>
    <w:basedOn w:val="411"/>
    <w:next w:val="411"/>
    <w:qFormat/>
    <w:uiPriority w:val="0"/>
    <w:pPr>
      <w:spacing w:line="580" w:lineRule="atLeast"/>
    </w:pPr>
    <w:rPr>
      <w:rFonts w:ascii="ST Song Std" w:eastAsia="ST Song Std" w:cs="Times New Roman"/>
      <w:color w:val="auto"/>
    </w:rPr>
  </w:style>
  <w:style w:type="paragraph" w:customStyle="1" w:styleId="482">
    <w:name w:val="CM1"/>
    <w:basedOn w:val="411"/>
    <w:next w:val="411"/>
    <w:qFormat/>
    <w:uiPriority w:val="0"/>
    <w:pPr>
      <w:spacing w:line="623" w:lineRule="atLeast"/>
    </w:pPr>
    <w:rPr>
      <w:rFonts w:ascii="ST Song Std" w:eastAsia="ST Song Std" w:cs="Times New Roman"/>
      <w:color w:val="auto"/>
    </w:rPr>
  </w:style>
  <w:style w:type="character" w:customStyle="1" w:styleId="483">
    <w:name w:val="表格内 字符"/>
    <w:link w:val="478"/>
    <w:qFormat/>
    <w:uiPriority w:val="0"/>
    <w:rPr>
      <w:rFonts w:ascii="Times New Roman" w:hAnsi="Times New Roman" w:eastAsia="宋体" w:cs="Times New Roman"/>
      <w:szCs w:val="21"/>
    </w:rPr>
  </w:style>
  <w:style w:type="character" w:customStyle="1" w:styleId="484">
    <w:name w:val="脚注文本 字符1"/>
    <w:semiHidden/>
    <w:qFormat/>
    <w:uiPriority w:val="99"/>
    <w:rPr>
      <w:rFonts w:eastAsia="宋体"/>
      <w:sz w:val="18"/>
      <w:szCs w:val="18"/>
    </w:rPr>
  </w:style>
  <w:style w:type="character" w:customStyle="1" w:styleId="485">
    <w:name w:val="FL正文字体 字符"/>
    <w:link w:val="486"/>
    <w:qFormat/>
    <w:uiPriority w:val="0"/>
    <w:rPr>
      <w:rFonts w:ascii="宋体" w:hAnsi="宋体"/>
      <w:color w:val="FF0000"/>
      <w:sz w:val="24"/>
      <w:szCs w:val="24"/>
    </w:rPr>
  </w:style>
  <w:style w:type="paragraph" w:customStyle="1" w:styleId="486">
    <w:name w:val="FL正文字体"/>
    <w:basedOn w:val="86"/>
    <w:link w:val="485"/>
    <w:qFormat/>
    <w:uiPriority w:val="0"/>
    <w:pPr>
      <w:ind w:firstLine="480"/>
    </w:pPr>
    <w:rPr>
      <w:rFonts w:eastAsiaTheme="minorEastAsia"/>
      <w:color w:val="FF0000"/>
    </w:rPr>
  </w:style>
  <w:style w:type="table" w:customStyle="1" w:styleId="487">
    <w:name w:val="样式231"/>
    <w:basedOn w:val="51"/>
    <w:qFormat/>
    <w:uiPriority w:val="99"/>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488">
    <w:name w:val="xl83"/>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489">
    <w:name w:val="CDD正文"/>
    <w:basedOn w:val="1"/>
    <w:link w:val="490"/>
    <w:qFormat/>
    <w:uiPriority w:val="0"/>
    <w:pPr>
      <w:suppressLineNumbers/>
      <w:suppressAutoHyphens/>
      <w:spacing w:line="500" w:lineRule="exact"/>
      <w:ind w:firstLine="200" w:firstLineChars="200"/>
      <w:contextualSpacing/>
      <w:textAlignment w:val="top"/>
      <w:outlineLvl w:val="3"/>
    </w:pPr>
    <w:rPr>
      <w:rFonts w:ascii="宋体" w:hAnsi="宋体"/>
      <w:b/>
      <w:kern w:val="0"/>
      <w:sz w:val="24"/>
      <w:szCs w:val="20"/>
    </w:rPr>
  </w:style>
  <w:style w:type="character" w:customStyle="1" w:styleId="490">
    <w:name w:val="CDD正文 Char"/>
    <w:link w:val="489"/>
    <w:qFormat/>
    <w:uiPriority w:val="0"/>
    <w:rPr>
      <w:rFonts w:ascii="宋体" w:hAnsi="宋体" w:eastAsia="宋体" w:cs="Times New Roman"/>
      <w:b/>
      <w:kern w:val="0"/>
      <w:sz w:val="24"/>
      <w:szCs w:val="20"/>
    </w:rPr>
  </w:style>
  <w:style w:type="table" w:customStyle="1" w:styleId="491">
    <w:name w:val="网格型5"/>
    <w:basedOn w:val="51"/>
    <w:unhideWhenUsed/>
    <w:qFormat/>
    <w:uiPriority w:val="99"/>
    <w:pPr>
      <w:widowControl w:val="0"/>
      <w:jc w:val="both"/>
    </w:pPr>
    <w:rPr>
      <w:rFonts w:ascii="宋体" w:hAnsi="宋体"/>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character" w:customStyle="1" w:styleId="492">
    <w:name w:val="普通(网站) 字符"/>
    <w:link w:val="45"/>
    <w:qFormat/>
    <w:locked/>
    <w:uiPriority w:val="0"/>
    <w:rPr>
      <w:rFonts w:ascii="Times New Roman" w:hAnsi="Times New Roman" w:eastAsia="宋体" w:cs="宋体"/>
      <w:kern w:val="0"/>
      <w:sz w:val="24"/>
      <w:szCs w:val="24"/>
    </w:rPr>
  </w:style>
  <w:style w:type="character" w:customStyle="1" w:styleId="493">
    <w:name w:val="表内文字 字符"/>
    <w:link w:val="406"/>
    <w:qFormat/>
    <w:uiPriority w:val="0"/>
    <w:rPr>
      <w:rFonts w:ascii="Times New Roman" w:hAnsi="Times New Roman" w:eastAsia="宋体" w:cs="Times New Roman"/>
      <w:szCs w:val="21"/>
    </w:rPr>
  </w:style>
  <w:style w:type="paragraph" w:customStyle="1" w:styleId="494">
    <w:name w:val="样式 样式 标题 5表格标题标题 5 CharBlock Label + 首行缩进:  2 字符 + 首行缩进:  0.88 厘米"/>
    <w:basedOn w:val="1"/>
    <w:qFormat/>
    <w:uiPriority w:val="0"/>
    <w:pPr>
      <w:keepNext/>
      <w:keepLines/>
      <w:adjustRightInd w:val="0"/>
      <w:spacing w:before="100" w:after="100"/>
      <w:jc w:val="left"/>
      <w:textAlignment w:val="baseline"/>
      <w:outlineLvl w:val="4"/>
    </w:pPr>
    <w:rPr>
      <w:rFonts w:ascii="Arial" w:hAnsi="Arial" w:eastAsia="黑体" w:cs="宋体"/>
      <w:color w:val="000000"/>
      <w:kern w:val="0"/>
      <w:sz w:val="24"/>
      <w:szCs w:val="20"/>
    </w:rPr>
  </w:style>
  <w:style w:type="table" w:customStyle="1" w:styleId="495">
    <w:name w:val="网格型!11"/>
    <w:basedOn w:val="5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96">
    <w:name w:val="Placeholder Text"/>
    <w:basedOn w:val="54"/>
    <w:unhideWhenUsed/>
    <w:qFormat/>
    <w:uiPriority w:val="99"/>
    <w:rPr>
      <w:color w:val="808080"/>
    </w:rPr>
  </w:style>
  <w:style w:type="paragraph" w:customStyle="1" w:styleId="497">
    <w:name w:val="修订3"/>
    <w:hidden/>
    <w:unhideWhenUsed/>
    <w:qFormat/>
    <w:uiPriority w:val="99"/>
    <w:rPr>
      <w:rFonts w:ascii="Calibri" w:hAnsi="Calibri" w:eastAsia="宋体" w:cs="Times New Roman"/>
      <w:kern w:val="2"/>
      <w:sz w:val="21"/>
      <w:szCs w:val="22"/>
      <w:lang w:val="en-US" w:eastAsia="zh-CN" w:bidi="ar-SA"/>
      <w14:ligatures w14:val="standardContextual"/>
    </w:rPr>
  </w:style>
  <w:style w:type="character" w:customStyle="1" w:styleId="498">
    <w:name w:val="标题2"/>
    <w:qFormat/>
    <w:uiPriority w:val="0"/>
  </w:style>
  <w:style w:type="paragraph" w:customStyle="1" w:styleId="499">
    <w:name w:val="正文缩进3"/>
    <w:basedOn w:val="1"/>
    <w:qFormat/>
    <w:uiPriority w:val="0"/>
    <w:pPr>
      <w:ind w:firstLine="420" w:firstLineChars="200"/>
    </w:pPr>
    <w:rPr>
      <w:rFonts w:ascii="Times New Roman" w:hAnsi="Times New Roman"/>
      <w:szCs w:val="20"/>
    </w:rPr>
  </w:style>
  <w:style w:type="paragraph" w:customStyle="1" w:styleId="500">
    <w:name w:val="纯文本2"/>
    <w:basedOn w:val="1"/>
    <w:qFormat/>
    <w:uiPriority w:val="0"/>
    <w:pPr>
      <w:adjustRightInd w:val="0"/>
      <w:jc w:val="left"/>
      <w:textAlignment w:val="baseline"/>
    </w:pPr>
    <w:rPr>
      <w:rFonts w:ascii="宋体" w:hAnsi="Courier New"/>
      <w:sz w:val="24"/>
      <w:szCs w:val="20"/>
    </w:rPr>
  </w:style>
  <w:style w:type="character" w:customStyle="1" w:styleId="501">
    <w:name w:val="efq04cym70"/>
    <w:basedOn w:val="54"/>
    <w:qFormat/>
    <w:uiPriority w:val="0"/>
  </w:style>
  <w:style w:type="character" w:customStyle="1" w:styleId="502">
    <w:name w:val="s2bt9i"/>
    <w:basedOn w:val="54"/>
    <w:qFormat/>
    <w:uiPriority w:val="0"/>
  </w:style>
  <w:style w:type="paragraph" w:customStyle="1" w:styleId="503">
    <w:name w:val="msonormal"/>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504">
    <w:name w:val="xl65"/>
    <w:basedOn w:val="1"/>
    <w:qFormat/>
    <w:uiPriority w:val="0"/>
    <w:pPr>
      <w:widowControl/>
      <w:pBdr>
        <w:bottom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505">
    <w:name w:val="xl67"/>
    <w:basedOn w:val="1"/>
    <w:qFormat/>
    <w:uiPriority w:val="0"/>
    <w:pPr>
      <w:widowControl/>
      <w:pBdr>
        <w:bottom w:val="single" w:color="auto" w:sz="8" w:space="0"/>
        <w:right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506">
    <w:name w:val="xl68"/>
    <w:basedOn w:val="1"/>
    <w:qFormat/>
    <w:uiPriority w:val="0"/>
    <w:pPr>
      <w:widowControl/>
      <w:pBdr>
        <w:bottom w:val="single" w:color="auto" w:sz="12" w:space="0"/>
        <w:right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507">
    <w:name w:val="xl69"/>
    <w:basedOn w:val="1"/>
    <w:qFormat/>
    <w:uiPriority w:val="0"/>
    <w:pPr>
      <w:widowControl/>
      <w:pBdr>
        <w:top w:val="single" w:color="auto" w:sz="12" w:space="0"/>
        <w:left w:val="single" w:color="auto" w:sz="8" w:space="0"/>
        <w:bottom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508">
    <w:name w:val="xl70"/>
    <w:basedOn w:val="1"/>
    <w:qFormat/>
    <w:uiPriority w:val="0"/>
    <w:pPr>
      <w:widowControl/>
      <w:pBdr>
        <w:top w:val="single" w:color="auto" w:sz="12" w:space="0"/>
        <w:bottom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509">
    <w:name w:val="xl71"/>
    <w:basedOn w:val="1"/>
    <w:qFormat/>
    <w:uiPriority w:val="0"/>
    <w:pPr>
      <w:widowControl/>
      <w:pBdr>
        <w:top w:val="single" w:color="auto" w:sz="12" w:space="0"/>
        <w:right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510">
    <w:name w:val="xl72"/>
    <w:basedOn w:val="1"/>
    <w:qFormat/>
    <w:uiPriority w:val="0"/>
    <w:pPr>
      <w:widowControl/>
      <w:pBdr>
        <w:top w:val="single" w:color="auto" w:sz="12" w:space="0"/>
        <w:left w:val="single" w:color="auto" w:sz="8" w:space="0"/>
        <w:right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511">
    <w:name w:val="xl73"/>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512">
    <w:name w:val="xl74"/>
    <w:basedOn w:val="1"/>
    <w:qFormat/>
    <w:uiPriority w:val="0"/>
    <w:pPr>
      <w:widowControl/>
      <w:pBdr>
        <w:top w:val="single" w:color="auto" w:sz="12" w:space="0"/>
        <w:bottom w:val="single" w:color="auto" w:sz="8" w:space="0"/>
        <w:right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513">
    <w:name w:val="xl75"/>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cs="宋体"/>
      <w:kern w:val="0"/>
      <w:szCs w:val="21"/>
    </w:rPr>
  </w:style>
  <w:style w:type="paragraph" w:customStyle="1" w:styleId="514">
    <w:name w:val="xl76"/>
    <w:basedOn w:val="1"/>
    <w:qFormat/>
    <w:uiPriority w:val="0"/>
    <w:pPr>
      <w:widowControl/>
      <w:pBdr>
        <w:bottom w:val="single" w:color="auto" w:sz="12" w:space="0"/>
        <w:right w:val="single" w:color="auto" w:sz="8" w:space="0"/>
      </w:pBdr>
      <w:spacing w:before="100" w:beforeAutospacing="1" w:after="100" w:afterAutospacing="1"/>
      <w:jc w:val="center"/>
    </w:pPr>
    <w:rPr>
      <w:rFonts w:ascii="宋体" w:hAnsi="宋体" w:cs="宋体"/>
      <w:kern w:val="0"/>
      <w:szCs w:val="21"/>
    </w:rPr>
  </w:style>
  <w:style w:type="paragraph" w:customStyle="1" w:styleId="515">
    <w:name w:val="xl77"/>
    <w:basedOn w:val="1"/>
    <w:qFormat/>
    <w:uiPriority w:val="0"/>
    <w:pPr>
      <w:widowControl/>
      <w:pBdr>
        <w:top w:val="single" w:color="auto" w:sz="8" w:space="0"/>
        <w:bottom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516">
    <w:name w:val="xl78"/>
    <w:basedOn w:val="1"/>
    <w:qFormat/>
    <w:uiPriority w:val="0"/>
    <w:pPr>
      <w:widowControl/>
      <w:pBdr>
        <w:top w:val="single" w:color="auto" w:sz="8" w:space="0"/>
        <w:bottom w:val="single" w:color="auto" w:sz="12" w:space="0"/>
      </w:pBdr>
      <w:spacing w:before="100" w:beforeAutospacing="1" w:after="100" w:afterAutospacing="1"/>
      <w:jc w:val="center"/>
      <w:textAlignment w:val="center"/>
    </w:pPr>
    <w:rPr>
      <w:rFonts w:ascii="宋体" w:hAnsi="宋体" w:cs="宋体"/>
      <w:kern w:val="0"/>
      <w:szCs w:val="21"/>
    </w:rPr>
  </w:style>
  <w:style w:type="paragraph" w:customStyle="1" w:styleId="517">
    <w:name w:val="xl79"/>
    <w:basedOn w:val="1"/>
    <w:qFormat/>
    <w:uiPriority w:val="0"/>
    <w:pPr>
      <w:widowControl/>
      <w:pBdr>
        <w:top w:val="single" w:color="auto" w:sz="8" w:space="0"/>
        <w:left w:val="single" w:color="auto" w:sz="8" w:space="0"/>
        <w:bottom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518">
    <w:name w:val="xl80"/>
    <w:basedOn w:val="1"/>
    <w:qFormat/>
    <w:uiPriority w:val="0"/>
    <w:pPr>
      <w:widowControl/>
      <w:pBdr>
        <w:top w:val="single" w:color="auto" w:sz="8" w:space="0"/>
        <w:bottom w:val="single" w:color="auto" w:sz="8" w:space="0"/>
        <w:right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519">
    <w:name w:val="xl81"/>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cs="宋体"/>
      <w:kern w:val="0"/>
      <w:szCs w:val="21"/>
    </w:rPr>
  </w:style>
  <w:style w:type="table" w:customStyle="1" w:styleId="520">
    <w:name w:val="网格型6"/>
    <w:basedOn w:val="51"/>
    <w:unhideWhenUsed/>
    <w:qFormat/>
    <w:uiPriority w:val="99"/>
    <w:pPr>
      <w:widowControl w:val="0"/>
      <w:jc w:val="both"/>
    </w:pPr>
    <w:rPr>
      <w:rFonts w:ascii="宋体" w:hAnsi="宋体"/>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character" w:customStyle="1" w:styleId="521">
    <w:name w:val="列表段落 字符"/>
    <w:link w:val="80"/>
    <w:qFormat/>
    <w:uiPriority w:val="1"/>
  </w:style>
  <w:style w:type="character" w:customStyle="1" w:styleId="522">
    <w:name w:val="表格1 Char"/>
    <w:link w:val="523"/>
    <w:qFormat/>
    <w:uiPriority w:val="0"/>
    <w:rPr>
      <w:rFonts w:ascii="Times New Roman" w:hAnsi="Times New Roman" w:eastAsia="方正仿宋_GBK"/>
      <w:color w:val="000000"/>
      <w:szCs w:val="24"/>
    </w:rPr>
  </w:style>
  <w:style w:type="paragraph" w:customStyle="1" w:styleId="523">
    <w:name w:val="表格1"/>
    <w:basedOn w:val="1"/>
    <w:link w:val="522"/>
    <w:qFormat/>
    <w:uiPriority w:val="0"/>
    <w:pPr>
      <w:adjustRightInd w:val="0"/>
      <w:snapToGrid w:val="0"/>
      <w:jc w:val="center"/>
    </w:pPr>
    <w:rPr>
      <w:rFonts w:ascii="Times New Roman" w:hAnsi="Times New Roman" w:eastAsia="方正仿宋_GBK" w:cstheme="minorBidi"/>
      <w:color w:val="000000"/>
      <w:szCs w:val="24"/>
    </w:rPr>
  </w:style>
  <w:style w:type="paragraph" w:customStyle="1" w:styleId="524">
    <w:name w:val="xl64"/>
    <w:basedOn w:val="1"/>
    <w:qFormat/>
    <w:uiPriority w:val="0"/>
    <w:pPr>
      <w:widowControl/>
      <w:pBdr>
        <w:bottom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525">
    <w:name w:val="xl82"/>
    <w:basedOn w:val="1"/>
    <w:qFormat/>
    <w:uiPriority w:val="0"/>
    <w:pPr>
      <w:widowControl/>
      <w:pBdr>
        <w:top w:val="single" w:color="auto" w:sz="8" w:space="0"/>
        <w:bottom w:val="single" w:color="auto" w:sz="8" w:space="0"/>
        <w:right w:val="single" w:color="auto" w:sz="8" w:space="0"/>
      </w:pBdr>
      <w:spacing w:before="100" w:beforeAutospacing="1" w:after="100" w:afterAutospacing="1"/>
      <w:jc w:val="center"/>
      <w:textAlignment w:val="center"/>
    </w:pPr>
    <w:rPr>
      <w:rFonts w:ascii="宋体" w:hAnsi="宋体" w:cs="宋体"/>
      <w:kern w:val="0"/>
      <w:szCs w:val="21"/>
    </w:rPr>
  </w:style>
  <w:style w:type="paragraph" w:customStyle="1" w:styleId="526">
    <w:name w:val="xl84"/>
    <w:basedOn w:val="1"/>
    <w:qFormat/>
    <w:uiPriority w:val="0"/>
    <w:pPr>
      <w:widowControl/>
      <w:pBdr>
        <w:bottom w:val="single" w:color="auto" w:sz="8" w:space="0"/>
        <w:right w:val="single" w:color="auto" w:sz="8" w:space="0"/>
      </w:pBdr>
      <w:spacing w:before="100" w:beforeAutospacing="1" w:after="100" w:afterAutospacing="1"/>
      <w:jc w:val="center"/>
      <w:textAlignment w:val="center"/>
    </w:pPr>
    <w:rPr>
      <w:rFonts w:ascii="宋体" w:hAnsi="宋体" w:cs="宋体"/>
      <w:color w:val="FF0000"/>
      <w:kern w:val="0"/>
      <w:szCs w:val="21"/>
    </w:rPr>
  </w:style>
  <w:style w:type="table" w:customStyle="1" w:styleId="527">
    <w:name w:val="样式6"/>
    <w:basedOn w:val="51"/>
    <w:qFormat/>
    <w:uiPriority w:val="99"/>
    <w:pPr>
      <w:jc w:val="center"/>
    </w:pPr>
    <w:tblPr>
      <w:tblBorders>
        <w:top w:val="single" w:color="auto" w:sz="12" w:space="0"/>
        <w:bottom w:val="single" w:color="auto" w:sz="12" w:space="0"/>
        <w:insideH w:val="single" w:color="auto" w:sz="4" w:space="0"/>
        <w:insideV w:val="single" w:color="auto" w:sz="4" w:space="0"/>
      </w:tblBorders>
      <w:tblCellMar>
        <w:left w:w="28" w:type="dxa"/>
        <w:right w:w="28" w:type="dxa"/>
      </w:tblCellMar>
    </w:tblPr>
    <w:tcPr>
      <w:vAlign w:val="center"/>
    </w:tcPr>
  </w:style>
  <w:style w:type="table" w:customStyle="1" w:styleId="528">
    <w:name w:val="网格型7"/>
    <w:basedOn w:val="51"/>
    <w:unhideWhenUsed/>
    <w:qFormat/>
    <w:uiPriority w:val="99"/>
    <w:pPr>
      <w:widowControl w:val="0"/>
      <w:jc w:val="both"/>
    </w:pPr>
    <w:rPr>
      <w:rFonts w:ascii="宋体" w:hAnsi="宋体"/>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character" w:customStyle="1" w:styleId="529">
    <w:name w:val="冯莉表字-书 字符"/>
    <w:link w:val="530"/>
    <w:qFormat/>
    <w:uiPriority w:val="0"/>
    <w:rPr>
      <w:rFonts w:ascii="宋体" w:hAnsi="宋体"/>
      <w:szCs w:val="21"/>
    </w:rPr>
  </w:style>
  <w:style w:type="paragraph" w:customStyle="1" w:styleId="530">
    <w:name w:val="冯莉表字-书"/>
    <w:basedOn w:val="1"/>
    <w:link w:val="529"/>
    <w:qFormat/>
    <w:uiPriority w:val="0"/>
    <w:pPr>
      <w:spacing w:line="300" w:lineRule="exact"/>
      <w:contextualSpacing/>
      <w:jc w:val="center"/>
    </w:pPr>
    <w:rPr>
      <w:rFonts w:ascii="宋体" w:hAnsi="宋体" w:eastAsiaTheme="minorEastAsia" w:cstheme="minorBidi"/>
      <w:szCs w:val="21"/>
    </w:rPr>
  </w:style>
  <w:style w:type="table" w:customStyle="1" w:styleId="531">
    <w:name w:val="网格型8"/>
    <w:basedOn w:val="51"/>
    <w:unhideWhenUsed/>
    <w:qFormat/>
    <w:uiPriority w:val="99"/>
    <w:pPr>
      <w:widowControl w:val="0"/>
      <w:jc w:val="both"/>
    </w:pPr>
    <w:rPr>
      <w:rFonts w:ascii="宋体" w:hAnsi="宋体"/>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character" w:customStyle="1" w:styleId="532">
    <w:name w:val="方方案正文 Char Char"/>
    <w:link w:val="533"/>
    <w:qFormat/>
    <w:uiPriority w:val="0"/>
    <w:rPr>
      <w:rFonts w:ascii="方正楷体简体" w:hAnsi="宋体" w:eastAsia="方正楷体简体"/>
      <w:sz w:val="24"/>
      <w:szCs w:val="24"/>
      <w:lang w:bidi="en-US"/>
    </w:rPr>
  </w:style>
  <w:style w:type="paragraph" w:customStyle="1" w:styleId="533">
    <w:name w:val="方方案正文"/>
    <w:basedOn w:val="1"/>
    <w:link w:val="532"/>
    <w:qFormat/>
    <w:uiPriority w:val="0"/>
    <w:pPr>
      <w:widowControl/>
      <w:snapToGrid w:val="0"/>
      <w:spacing w:line="360" w:lineRule="auto"/>
      <w:ind w:firstLine="480" w:firstLineChars="200"/>
      <w:contextualSpacing/>
    </w:pPr>
    <w:rPr>
      <w:rFonts w:ascii="方正楷体简体" w:hAnsi="宋体" w:eastAsia="方正楷体简体" w:cstheme="minorBidi"/>
      <w:sz w:val="24"/>
      <w:szCs w:val="24"/>
      <w:lang w:bidi="en-US"/>
    </w:rPr>
  </w:style>
  <w:style w:type="character" w:customStyle="1" w:styleId="534">
    <w:name w:val="STC 表格 字符"/>
    <w:link w:val="535"/>
    <w:autoRedefine/>
    <w:qFormat/>
    <w:locked/>
    <w:uiPriority w:val="0"/>
    <w:rPr>
      <w:rFonts w:hAnsi="宋体" w:cs="宋体" w:asciiTheme="majorEastAsia" w:eastAsiaTheme="majorEastAsia"/>
      <w:lang w:eastAsia="en-US"/>
    </w:rPr>
  </w:style>
  <w:style w:type="paragraph" w:customStyle="1" w:styleId="535">
    <w:name w:val="STC 表格"/>
    <w:basedOn w:val="1"/>
    <w:link w:val="534"/>
    <w:qFormat/>
    <w:uiPriority w:val="0"/>
    <w:pPr>
      <w:adjustRightInd w:val="0"/>
      <w:snapToGrid w:val="0"/>
      <w:jc w:val="center"/>
    </w:pPr>
    <w:rPr>
      <w:rFonts w:hAnsi="宋体" w:cs="宋体" w:asciiTheme="majorEastAsia" w:eastAsiaTheme="majorEastAsia"/>
      <w:lang w:eastAsia="en-US"/>
    </w:rPr>
  </w:style>
  <w:style w:type="character" w:customStyle="1" w:styleId="536">
    <w:name w:val="表格内容 Char"/>
    <w:link w:val="339"/>
    <w:qFormat/>
    <w:uiPriority w:val="0"/>
    <w:rPr>
      <w:rFonts w:ascii="宋体" w:hAnsi="宋体" w:eastAsia="宋体" w:cs="Times New Roman"/>
      <w:color w:val="000000"/>
      <w:w w:val="50"/>
      <w:sz w:val="18"/>
      <w:szCs w:val="18"/>
    </w:rPr>
  </w:style>
  <w:style w:type="paragraph" w:customStyle="1" w:styleId="537">
    <w:name w:val="东方工业区表"/>
    <w:basedOn w:val="1"/>
    <w:qFormat/>
    <w:uiPriority w:val="0"/>
    <w:pPr>
      <w:snapToGrid w:val="0"/>
      <w:jc w:val="center"/>
    </w:pPr>
    <w:rPr>
      <w:rFonts w:ascii="楷体_GB2312" w:hAnsi="宋体" w:eastAsia="楷体_GB2312"/>
      <w:szCs w:val="21"/>
      <w:lang w:val="it-IT"/>
    </w:rPr>
  </w:style>
  <w:style w:type="paragraph" w:customStyle="1" w:styleId="538">
    <w:name w:val="报告书四级标题"/>
    <w:basedOn w:val="1"/>
    <w:qFormat/>
    <w:uiPriority w:val="0"/>
    <w:pPr>
      <w:keepLines/>
      <w:adjustRightInd w:val="0"/>
      <w:snapToGrid w:val="0"/>
      <w:spacing w:line="360" w:lineRule="auto"/>
      <w:jc w:val="left"/>
      <w:outlineLvl w:val="3"/>
    </w:pPr>
    <w:rPr>
      <w:rFonts w:ascii="Times New Roman" w:hAnsi="Times New Roman"/>
      <w:b/>
      <w:sz w:val="24"/>
      <w14:ligatures w14:val="none"/>
    </w:rPr>
  </w:style>
  <w:style w:type="character" w:customStyle="1" w:styleId="539">
    <w:name w:val="FL 字符"/>
    <w:link w:val="540"/>
    <w:qFormat/>
    <w:uiPriority w:val="0"/>
    <w:rPr>
      <w:rFonts w:ascii="宋体" w:hAnsi="宋体"/>
      <w:color w:val="FF0000"/>
      <w:kern w:val="2"/>
      <w:sz w:val="24"/>
      <w:szCs w:val="24"/>
    </w:rPr>
  </w:style>
  <w:style w:type="paragraph" w:customStyle="1" w:styleId="540">
    <w:name w:val="FL"/>
    <w:basedOn w:val="86"/>
    <w:link w:val="539"/>
    <w:qFormat/>
    <w:uiPriority w:val="0"/>
    <w:pPr>
      <w:ind w:firstLine="480"/>
      <w:contextualSpacing/>
    </w:pPr>
    <w:rPr>
      <w:rFonts w:cs="Times New Roman"/>
      <w:color w:val="FF0000"/>
      <w14:ligatures w14:val="none"/>
    </w:rPr>
  </w:style>
  <w:style w:type="character" w:customStyle="1" w:styleId="541">
    <w:name w:val="未处理的提及2"/>
    <w:basedOn w:val="54"/>
    <w:semiHidden/>
    <w:unhideWhenUsed/>
    <w:qFormat/>
    <w:uiPriority w:val="99"/>
    <w:rPr>
      <w:color w:val="605E5C"/>
      <w:shd w:val="clear" w:color="auto" w:fill="E1DFDD"/>
    </w:rPr>
  </w:style>
  <w:style w:type="character" w:customStyle="1" w:styleId="542">
    <w:name w:val="未处理的提及3"/>
    <w:basedOn w:val="54"/>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60.jpeg"/><Relationship Id="rId98" Type="http://schemas.openxmlformats.org/officeDocument/2006/relationships/image" Target="media/image59.jpeg"/><Relationship Id="rId97" Type="http://schemas.openxmlformats.org/officeDocument/2006/relationships/image" Target="media/image58.jpeg"/><Relationship Id="rId96" Type="http://schemas.openxmlformats.org/officeDocument/2006/relationships/image" Target="media/image57.jpeg"/><Relationship Id="rId95" Type="http://schemas.openxmlformats.org/officeDocument/2006/relationships/image" Target="media/image56.jpeg"/><Relationship Id="rId94" Type="http://schemas.openxmlformats.org/officeDocument/2006/relationships/image" Target="media/image55.jpeg"/><Relationship Id="rId93" Type="http://schemas.openxmlformats.org/officeDocument/2006/relationships/image" Target="media/image54.jpeg"/><Relationship Id="rId92" Type="http://schemas.openxmlformats.org/officeDocument/2006/relationships/image" Target="media/image53.jpeg"/><Relationship Id="rId91" Type="http://schemas.openxmlformats.org/officeDocument/2006/relationships/image" Target="media/image52.jpeg"/><Relationship Id="rId90" Type="http://schemas.openxmlformats.org/officeDocument/2006/relationships/image" Target="media/image51.jpeg"/><Relationship Id="rId9" Type="http://schemas.openxmlformats.org/officeDocument/2006/relationships/header" Target="header5.xml"/><Relationship Id="rId89" Type="http://schemas.openxmlformats.org/officeDocument/2006/relationships/image" Target="media/image50.wmf"/><Relationship Id="rId88" Type="http://schemas.openxmlformats.org/officeDocument/2006/relationships/image" Target="media/image49.wmf"/><Relationship Id="rId87" Type="http://schemas.openxmlformats.org/officeDocument/2006/relationships/image" Target="media/image48.wmf"/><Relationship Id="rId86" Type="http://schemas.openxmlformats.org/officeDocument/2006/relationships/image" Target="media/image47.wmf"/><Relationship Id="rId85" Type="http://schemas.openxmlformats.org/officeDocument/2006/relationships/oleObject" Target="embeddings/oleObject5.bin"/><Relationship Id="rId84" Type="http://schemas.openxmlformats.org/officeDocument/2006/relationships/image" Target="media/image46.jpeg"/><Relationship Id="rId83" Type="http://schemas.openxmlformats.org/officeDocument/2006/relationships/image" Target="media/image45.jpeg"/><Relationship Id="rId82" Type="http://schemas.openxmlformats.org/officeDocument/2006/relationships/image" Target="media/image44.jpeg"/><Relationship Id="rId81" Type="http://schemas.openxmlformats.org/officeDocument/2006/relationships/image" Target="media/image43.wmf"/><Relationship Id="rId80" Type="http://schemas.openxmlformats.org/officeDocument/2006/relationships/image" Target="media/image42.wmf"/><Relationship Id="rId8" Type="http://schemas.openxmlformats.org/officeDocument/2006/relationships/footer" Target="footer2.xml"/><Relationship Id="rId79" Type="http://schemas.openxmlformats.org/officeDocument/2006/relationships/image" Target="media/image41.jpeg"/><Relationship Id="rId78" Type="http://schemas.openxmlformats.org/officeDocument/2006/relationships/image" Target="media/image40.png"/><Relationship Id="rId77" Type="http://schemas.openxmlformats.org/officeDocument/2006/relationships/image" Target="media/image39.jpeg"/><Relationship Id="rId76" Type="http://schemas.openxmlformats.org/officeDocument/2006/relationships/image" Target="media/image38.jpeg"/><Relationship Id="rId75" Type="http://schemas.openxmlformats.org/officeDocument/2006/relationships/image" Target="media/image37.png"/><Relationship Id="rId74" Type="http://schemas.openxmlformats.org/officeDocument/2006/relationships/image" Target="media/image36.png"/><Relationship Id="rId73" Type="http://schemas.openxmlformats.org/officeDocument/2006/relationships/image" Target="media/image35.png"/><Relationship Id="rId72" Type="http://schemas.openxmlformats.org/officeDocument/2006/relationships/image" Target="media/image34.png"/><Relationship Id="rId71" Type="http://schemas.openxmlformats.org/officeDocument/2006/relationships/image" Target="media/image33.png"/><Relationship Id="rId70" Type="http://schemas.openxmlformats.org/officeDocument/2006/relationships/image" Target="media/image32.png"/><Relationship Id="rId7" Type="http://schemas.openxmlformats.org/officeDocument/2006/relationships/header" Target="header4.xml"/><Relationship Id="rId69" Type="http://schemas.openxmlformats.org/officeDocument/2006/relationships/image" Target="media/image31.png"/><Relationship Id="rId68" Type="http://schemas.openxmlformats.org/officeDocument/2006/relationships/image" Target="media/image30.png"/><Relationship Id="rId67" Type="http://schemas.openxmlformats.org/officeDocument/2006/relationships/image" Target="media/image29.png"/><Relationship Id="rId66" Type="http://schemas.openxmlformats.org/officeDocument/2006/relationships/image" Target="media/image28.emf"/><Relationship Id="rId65" Type="http://schemas.openxmlformats.org/officeDocument/2006/relationships/oleObject" Target="embeddings/oleObject4.bin"/><Relationship Id="rId64" Type="http://schemas.openxmlformats.org/officeDocument/2006/relationships/image" Target="media/image27.emf"/><Relationship Id="rId63" Type="http://schemas.openxmlformats.org/officeDocument/2006/relationships/oleObject" Target="embeddings/oleObject3.bin"/><Relationship Id="rId62" Type="http://schemas.openxmlformats.org/officeDocument/2006/relationships/image" Target="media/image26.emf"/><Relationship Id="rId61" Type="http://schemas.openxmlformats.org/officeDocument/2006/relationships/oleObject" Target="embeddings/oleObject2.bin"/><Relationship Id="rId60" Type="http://schemas.openxmlformats.org/officeDocument/2006/relationships/image" Target="media/image25.png"/><Relationship Id="rId6" Type="http://schemas.openxmlformats.org/officeDocument/2006/relationships/header" Target="header3.xml"/><Relationship Id="rId59" Type="http://schemas.openxmlformats.org/officeDocument/2006/relationships/image" Target="media/image24.emf"/><Relationship Id="rId58" Type="http://schemas.openxmlformats.org/officeDocument/2006/relationships/oleObject" Target="embeddings/oleObject1.bin"/><Relationship Id="rId57" Type="http://schemas.openxmlformats.org/officeDocument/2006/relationships/image" Target="media/image23.jpeg"/><Relationship Id="rId56" Type="http://schemas.openxmlformats.org/officeDocument/2006/relationships/image" Target="media/image22.png"/><Relationship Id="rId55" Type="http://schemas.openxmlformats.org/officeDocument/2006/relationships/image" Target="media/image21.jpeg"/><Relationship Id="rId54" Type="http://schemas.openxmlformats.org/officeDocument/2006/relationships/image" Target="media/image20.png"/><Relationship Id="rId53" Type="http://schemas.openxmlformats.org/officeDocument/2006/relationships/image" Target="media/image19.jpeg"/><Relationship Id="rId52" Type="http://schemas.openxmlformats.org/officeDocument/2006/relationships/image" Target="media/image18.jpeg"/><Relationship Id="rId51" Type="http://schemas.openxmlformats.org/officeDocument/2006/relationships/image" Target="media/image17.jpeg"/><Relationship Id="rId50" Type="http://schemas.openxmlformats.org/officeDocument/2006/relationships/image" Target="media/image16.jpeg"/><Relationship Id="rId5" Type="http://schemas.openxmlformats.org/officeDocument/2006/relationships/header" Target="header2.xml"/><Relationship Id="rId49" Type="http://schemas.openxmlformats.org/officeDocument/2006/relationships/image" Target="media/image15.jpeg"/><Relationship Id="rId48" Type="http://schemas.openxmlformats.org/officeDocument/2006/relationships/image" Target="media/image14.wmf"/><Relationship Id="rId47" Type="http://schemas.openxmlformats.org/officeDocument/2006/relationships/image" Target="media/image13.png"/><Relationship Id="rId46" Type="http://schemas.openxmlformats.org/officeDocument/2006/relationships/image" Target="media/image12.jpeg"/><Relationship Id="rId45" Type="http://schemas.openxmlformats.org/officeDocument/2006/relationships/image" Target="media/image11.jpeg"/><Relationship Id="rId44" Type="http://schemas.microsoft.com/office/2007/relationships/hdphoto" Target="media/image10.wdp"/><Relationship Id="rId43" Type="http://schemas.openxmlformats.org/officeDocument/2006/relationships/image" Target="media/image9.png"/><Relationship Id="rId42" Type="http://schemas.microsoft.com/office/2007/relationships/hdphoto" Target="media/image8.wdp"/><Relationship Id="rId41" Type="http://schemas.openxmlformats.org/officeDocument/2006/relationships/image" Target="media/image7.png"/><Relationship Id="rId40" Type="http://schemas.microsoft.com/office/2007/relationships/hdphoto" Target="media/image6.wdp"/><Relationship Id="rId4" Type="http://schemas.openxmlformats.org/officeDocument/2006/relationships/footer" Target="footer1.xml"/><Relationship Id="rId39" Type="http://schemas.openxmlformats.org/officeDocument/2006/relationships/image" Target="media/image5.png"/><Relationship Id="rId38" Type="http://schemas.microsoft.com/office/2007/relationships/hdphoto" Target="media/image4.wdp"/><Relationship Id="rId37" Type="http://schemas.openxmlformats.org/officeDocument/2006/relationships/image" Target="media/image3.png"/><Relationship Id="rId36" Type="http://schemas.openxmlformats.org/officeDocument/2006/relationships/image" Target="media/image2.png"/><Relationship Id="rId35" Type="http://schemas.openxmlformats.org/officeDocument/2006/relationships/theme" Target="theme/theme1.xml"/><Relationship Id="rId34" Type="http://schemas.openxmlformats.org/officeDocument/2006/relationships/header" Target="header21.xml"/><Relationship Id="rId33" Type="http://schemas.openxmlformats.org/officeDocument/2006/relationships/header" Target="header20.xml"/><Relationship Id="rId32" Type="http://schemas.openxmlformats.org/officeDocument/2006/relationships/header" Target="header19.xml"/><Relationship Id="rId31" Type="http://schemas.openxmlformats.org/officeDocument/2006/relationships/header" Target="header18.xml"/><Relationship Id="rId30" Type="http://schemas.openxmlformats.org/officeDocument/2006/relationships/header" Target="header17.xml"/><Relationship Id="rId3" Type="http://schemas.openxmlformats.org/officeDocument/2006/relationships/header" Target="header1.xml"/><Relationship Id="rId29" Type="http://schemas.openxmlformats.org/officeDocument/2006/relationships/footer" Target="footer11.xml"/><Relationship Id="rId28" Type="http://schemas.openxmlformats.org/officeDocument/2006/relationships/header" Target="header16.xml"/><Relationship Id="rId27" Type="http://schemas.openxmlformats.org/officeDocument/2006/relationships/footer" Target="footer10.xml"/><Relationship Id="rId26" Type="http://schemas.openxmlformats.org/officeDocument/2006/relationships/footer" Target="footer9.xml"/><Relationship Id="rId25" Type="http://schemas.openxmlformats.org/officeDocument/2006/relationships/header" Target="header15.xml"/><Relationship Id="rId24" Type="http://schemas.openxmlformats.org/officeDocument/2006/relationships/footer" Target="footer8.xml"/><Relationship Id="rId23" Type="http://schemas.openxmlformats.org/officeDocument/2006/relationships/header" Target="header14.xml"/><Relationship Id="rId22" Type="http://schemas.openxmlformats.org/officeDocument/2006/relationships/footer" Target="footer7.xml"/><Relationship Id="rId21" Type="http://schemas.openxmlformats.org/officeDocument/2006/relationships/header" Target="header13.xml"/><Relationship Id="rId20" Type="http://schemas.openxmlformats.org/officeDocument/2006/relationships/footer" Target="footer6.xml"/><Relationship Id="rId2" Type="http://schemas.openxmlformats.org/officeDocument/2006/relationships/settings" Target="settings.xml"/><Relationship Id="rId19" Type="http://schemas.openxmlformats.org/officeDocument/2006/relationships/header" Target="header12.xml"/><Relationship Id="rId18" Type="http://schemas.openxmlformats.org/officeDocument/2006/relationships/header" Target="header11.xml"/><Relationship Id="rId170" Type="http://schemas.openxmlformats.org/officeDocument/2006/relationships/fontTable" Target="fontTable.xml"/><Relationship Id="rId17" Type="http://schemas.openxmlformats.org/officeDocument/2006/relationships/header" Target="header10.xml"/><Relationship Id="rId169" Type="http://schemas.openxmlformats.org/officeDocument/2006/relationships/customXml" Target="../customXml/item3.xml"/><Relationship Id="rId168" Type="http://schemas.openxmlformats.org/officeDocument/2006/relationships/customXml" Target="../customXml/item2.xml"/><Relationship Id="rId167" Type="http://schemas.openxmlformats.org/officeDocument/2006/relationships/numbering" Target="numbering.xml"/><Relationship Id="rId166" Type="http://schemas.openxmlformats.org/officeDocument/2006/relationships/customXml" Target="../customXml/item1.xml"/><Relationship Id="rId165" Type="http://schemas.openxmlformats.org/officeDocument/2006/relationships/image" Target="media/image124.png"/><Relationship Id="rId164" Type="http://schemas.openxmlformats.org/officeDocument/2006/relationships/image" Target="media/image123.png"/><Relationship Id="rId163" Type="http://schemas.openxmlformats.org/officeDocument/2006/relationships/image" Target="media/image122.png"/><Relationship Id="rId162" Type="http://schemas.openxmlformats.org/officeDocument/2006/relationships/image" Target="media/image121.png"/><Relationship Id="rId161" Type="http://schemas.openxmlformats.org/officeDocument/2006/relationships/image" Target="media/image120.png"/><Relationship Id="rId160" Type="http://schemas.openxmlformats.org/officeDocument/2006/relationships/image" Target="media/image119.png"/><Relationship Id="rId16" Type="http://schemas.openxmlformats.org/officeDocument/2006/relationships/header" Target="header9.xml"/><Relationship Id="rId159" Type="http://schemas.openxmlformats.org/officeDocument/2006/relationships/image" Target="media/image118.png"/><Relationship Id="rId158" Type="http://schemas.openxmlformats.org/officeDocument/2006/relationships/image" Target="media/image117.png"/><Relationship Id="rId157" Type="http://schemas.openxmlformats.org/officeDocument/2006/relationships/image" Target="media/image116.png"/><Relationship Id="rId156" Type="http://schemas.openxmlformats.org/officeDocument/2006/relationships/image" Target="media/image115.png"/><Relationship Id="rId155" Type="http://schemas.openxmlformats.org/officeDocument/2006/relationships/image" Target="media/image114.png"/><Relationship Id="rId154" Type="http://schemas.openxmlformats.org/officeDocument/2006/relationships/image" Target="media/image113.png"/><Relationship Id="rId153" Type="http://schemas.openxmlformats.org/officeDocument/2006/relationships/image" Target="media/image112.png"/><Relationship Id="rId152" Type="http://schemas.openxmlformats.org/officeDocument/2006/relationships/image" Target="media/image111.png"/><Relationship Id="rId151" Type="http://schemas.openxmlformats.org/officeDocument/2006/relationships/image" Target="media/image110.png"/><Relationship Id="rId150" Type="http://schemas.openxmlformats.org/officeDocument/2006/relationships/image" Target="media/image109.png"/><Relationship Id="rId15" Type="http://schemas.openxmlformats.org/officeDocument/2006/relationships/header" Target="header8.xml"/><Relationship Id="rId149" Type="http://schemas.openxmlformats.org/officeDocument/2006/relationships/image" Target="media/image108.png"/><Relationship Id="rId148" Type="http://schemas.openxmlformats.org/officeDocument/2006/relationships/image" Target="media/image107.png"/><Relationship Id="rId147" Type="http://schemas.openxmlformats.org/officeDocument/2006/relationships/image" Target="media/image106.png"/><Relationship Id="rId146" Type="http://schemas.openxmlformats.org/officeDocument/2006/relationships/image" Target="media/image105.png"/><Relationship Id="rId145" Type="http://schemas.openxmlformats.org/officeDocument/2006/relationships/image" Target="media/image104.png"/><Relationship Id="rId144" Type="http://schemas.openxmlformats.org/officeDocument/2006/relationships/image" Target="media/image103.png"/><Relationship Id="rId143" Type="http://schemas.openxmlformats.org/officeDocument/2006/relationships/image" Target="media/image102.png"/><Relationship Id="rId142" Type="http://schemas.openxmlformats.org/officeDocument/2006/relationships/image" Target="media/image101.png"/><Relationship Id="rId141" Type="http://schemas.openxmlformats.org/officeDocument/2006/relationships/image" Target="media/image100.png"/><Relationship Id="rId140" Type="http://schemas.openxmlformats.org/officeDocument/2006/relationships/image" Target="media/image99.png"/><Relationship Id="rId14" Type="http://schemas.openxmlformats.org/officeDocument/2006/relationships/footer" Target="footer5.xml"/><Relationship Id="rId139" Type="http://schemas.openxmlformats.org/officeDocument/2006/relationships/image" Target="media/image98.png"/><Relationship Id="rId138" Type="http://schemas.openxmlformats.org/officeDocument/2006/relationships/image" Target="media/image97.png"/><Relationship Id="rId137" Type="http://schemas.openxmlformats.org/officeDocument/2006/relationships/image" Target="media/image96.png"/><Relationship Id="rId136" Type="http://schemas.openxmlformats.org/officeDocument/2006/relationships/image" Target="media/image95.png"/><Relationship Id="rId135" Type="http://schemas.openxmlformats.org/officeDocument/2006/relationships/image" Target="media/image94.png"/><Relationship Id="rId134" Type="http://schemas.openxmlformats.org/officeDocument/2006/relationships/image" Target="media/image93.png"/><Relationship Id="rId133" Type="http://schemas.openxmlformats.org/officeDocument/2006/relationships/image" Target="media/image92.png"/><Relationship Id="rId132" Type="http://schemas.openxmlformats.org/officeDocument/2006/relationships/image" Target="media/image91.png"/><Relationship Id="rId131" Type="http://schemas.openxmlformats.org/officeDocument/2006/relationships/image" Target="media/image90.png"/><Relationship Id="rId130" Type="http://schemas.openxmlformats.org/officeDocument/2006/relationships/image" Target="media/image89.png"/><Relationship Id="rId13" Type="http://schemas.openxmlformats.org/officeDocument/2006/relationships/header" Target="header7.xml"/><Relationship Id="rId129" Type="http://schemas.openxmlformats.org/officeDocument/2006/relationships/image" Target="media/image88.png"/><Relationship Id="rId128" Type="http://schemas.openxmlformats.org/officeDocument/2006/relationships/image" Target="media/image87.png"/><Relationship Id="rId127" Type="http://schemas.openxmlformats.org/officeDocument/2006/relationships/image" Target="media/image86.png"/><Relationship Id="rId126" Type="http://schemas.openxmlformats.org/officeDocument/2006/relationships/image" Target="media/image85.png"/><Relationship Id="rId125" Type="http://schemas.openxmlformats.org/officeDocument/2006/relationships/image" Target="media/image84.png"/><Relationship Id="rId124" Type="http://schemas.openxmlformats.org/officeDocument/2006/relationships/image" Target="media/image83.png"/><Relationship Id="rId123" Type="http://schemas.openxmlformats.org/officeDocument/2006/relationships/image" Target="media/image82.png"/><Relationship Id="rId122" Type="http://schemas.openxmlformats.org/officeDocument/2006/relationships/image" Target="media/image81.png"/><Relationship Id="rId121" Type="http://schemas.openxmlformats.org/officeDocument/2006/relationships/image" Target="media/image80.png"/><Relationship Id="rId120" Type="http://schemas.openxmlformats.org/officeDocument/2006/relationships/image" Target="media/image79.png"/><Relationship Id="rId12" Type="http://schemas.openxmlformats.org/officeDocument/2006/relationships/footer" Target="footer4.xml"/><Relationship Id="rId119" Type="http://schemas.openxmlformats.org/officeDocument/2006/relationships/image" Target="media/image78.png"/><Relationship Id="rId118" Type="http://schemas.openxmlformats.org/officeDocument/2006/relationships/image" Target="media/image77.png"/><Relationship Id="rId117" Type="http://schemas.openxmlformats.org/officeDocument/2006/relationships/image" Target="media/image76.png"/><Relationship Id="rId116" Type="http://schemas.openxmlformats.org/officeDocument/2006/relationships/image" Target="media/image75.png"/><Relationship Id="rId115" Type="http://schemas.openxmlformats.org/officeDocument/2006/relationships/image" Target="media/image74.png"/><Relationship Id="rId114" Type="http://schemas.openxmlformats.org/officeDocument/2006/relationships/image" Target="media/image73.png"/><Relationship Id="rId113" Type="http://schemas.openxmlformats.org/officeDocument/2006/relationships/image" Target="media/image72.png"/><Relationship Id="rId112" Type="http://schemas.openxmlformats.org/officeDocument/2006/relationships/image" Target="media/image71.png"/><Relationship Id="rId111" Type="http://schemas.openxmlformats.org/officeDocument/2006/relationships/image" Target="media/image70.png"/><Relationship Id="rId110" Type="http://schemas.openxmlformats.org/officeDocument/2006/relationships/image" Target="media/image69.png"/><Relationship Id="rId11" Type="http://schemas.openxmlformats.org/officeDocument/2006/relationships/header" Target="header6.xml"/><Relationship Id="rId109" Type="http://schemas.openxmlformats.org/officeDocument/2006/relationships/image" Target="media/image68.png"/><Relationship Id="rId108" Type="http://schemas.openxmlformats.org/officeDocument/2006/relationships/image" Target="media/image67.png"/><Relationship Id="rId107" Type="http://schemas.openxmlformats.org/officeDocument/2006/relationships/image" Target="media/image66.jpeg"/><Relationship Id="rId106" Type="http://schemas.openxmlformats.org/officeDocument/2006/relationships/image" Target="media/image65.jpeg"/><Relationship Id="rId105" Type="http://schemas.openxmlformats.org/officeDocument/2006/relationships/image" Target="media/image64.wmf"/><Relationship Id="rId104" Type="http://schemas.openxmlformats.org/officeDocument/2006/relationships/oleObject" Target="embeddings/oleObject7.bin"/><Relationship Id="rId103" Type="http://schemas.openxmlformats.org/officeDocument/2006/relationships/image" Target="media/image63.emf"/><Relationship Id="rId102" Type="http://schemas.openxmlformats.org/officeDocument/2006/relationships/image" Target="media/image62.png"/><Relationship Id="rId101" Type="http://schemas.openxmlformats.org/officeDocument/2006/relationships/image" Target="media/image61.wmf"/><Relationship Id="rId100" Type="http://schemas.openxmlformats.org/officeDocument/2006/relationships/oleObject" Target="embeddings/oleObject6.bin"/><Relationship Id="rId10" Type="http://schemas.openxmlformats.org/officeDocument/2006/relationships/footer" Target="footer3.xml"/><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_rels/footer10.xml.rels><?xml version="1.0" encoding="UTF-8" standalone="yes"?>
<Relationships xmlns="http://schemas.openxmlformats.org/package/2006/relationships"><Relationship Id="rId1" Type="http://schemas.openxmlformats.org/officeDocument/2006/relationships/image" Target="media/image1.jpeg"/></Relationships>
</file>

<file path=word/_rels/footer11.xml.rels><?xml version="1.0" encoding="UTF-8" standalone="yes"?>
<Relationships xmlns="http://schemas.openxmlformats.org/package/2006/relationships"><Relationship Id="rId1" Type="http://schemas.openxmlformats.org/officeDocument/2006/relationships/image" Target="media/image1.jpeg"/></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image" Target="media/image1.jpeg"/></Relationships>
</file>

<file path=word/_rels/footer4.xml.rels><?xml version="1.0" encoding="UTF-8" standalone="yes"?>
<Relationships xmlns="http://schemas.openxmlformats.org/package/2006/relationships"><Relationship Id="rId1" Type="http://schemas.openxmlformats.org/officeDocument/2006/relationships/image" Target="media/image1.jpeg"/></Relationships>
</file>

<file path=word/_rels/footer5.xml.rels><?xml version="1.0" encoding="UTF-8" standalone="yes"?>
<Relationships xmlns="http://schemas.openxmlformats.org/package/2006/relationships"><Relationship Id="rId1" Type="http://schemas.openxmlformats.org/officeDocument/2006/relationships/image" Target="media/image1.jpeg"/></Relationships>
</file>

<file path=word/_rels/footer6.xml.rels><?xml version="1.0" encoding="UTF-8" standalone="yes"?>
<Relationships xmlns="http://schemas.openxmlformats.org/package/2006/relationships"><Relationship Id="rId1" Type="http://schemas.openxmlformats.org/officeDocument/2006/relationships/image" Target="media/image1.jpeg"/></Relationships>
</file>

<file path=word/_rels/footer7.xml.rels><?xml version="1.0" encoding="UTF-8" standalone="yes"?>
<Relationships xmlns="http://schemas.openxmlformats.org/package/2006/relationships"><Relationship Id="rId1" Type="http://schemas.openxmlformats.org/officeDocument/2006/relationships/image" Target="media/image1.jpeg"/></Relationships>
</file>

<file path=word/_rels/footer8.xml.rels><?xml version="1.0" encoding="UTF-8" standalone="yes"?>
<Relationships xmlns="http://schemas.openxmlformats.org/package/2006/relationships"><Relationship Id="rId1" Type="http://schemas.openxmlformats.org/officeDocument/2006/relationships/image" Target="media/image1.jpeg"/></Relationships>
</file>

<file path=word/_rels/foot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b8686d26-1ed9-46d8-8a6e-2e60894e96e5</errorID>
      <errorWord>结果显示</errorWord>
      <group>L1_AI</group>
      <groupName>深度校对</groupName>
      <ability>L2_AI_Grammar</ability>
      <abilityName>语法纠错</abilityName>
      <candidateList>
        <item>结果</item>
      </candidateList>
      <explain/>
      <paraID>3F6B6605</paraID>
      <start>295</start>
      <end>299</end>
      <status>unmodified</status>
      <modifiedWord/>
      <trackRevisions>false</trackRevisions>
    </reviewItem>
    <reviewItem>
      <errorID>7ba14caa-9631-4bfb-bd50-bea9410e8e82</errorID>
      <errorWord>，</errorWord>
      <group>L1_AI</group>
      <groupName>深度校对</groupName>
      <ability>L2_AI_Punc</ability>
      <abilityName>标点纠错</abilityName>
      <candidateList>
        <item>；</item>
      </candidateList>
      <explain/>
      <paraID> 87704A6</paraID>
      <start>155</start>
      <end>156</end>
      <status>modified</status>
      <modifiedWord>；</modifiedWord>
      <trackRevisions>false</trackRevisions>
    </reviewItem>
    <reviewItem>
      <errorID>35a0da44-d02b-48a7-b8f2-7a7fdd3853ec</errorID>
      <errorWord>，</errorWord>
      <group>L1_AI</group>
      <groupName>深度校对</groupName>
      <ability>L2_AI_Punc</ability>
      <abilityName>标点纠错</abilityName>
      <candidateList>
        <item>；</item>
      </candidateList>
      <explain/>
      <paraID> 87704A6</paraID>
      <start>171</start>
      <end>172</end>
      <status>modified</status>
      <modifiedWord>；</modifiedWord>
      <trackRevisions>false</trackRevisions>
    </reviewItem>
    <reviewItem>
      <errorID>a24ff667-a6c7-4575-9432-4be3d63d3b39</errorID>
      <errorWord>区块内</errorWord>
      <group>L1_AI</group>
      <groupName>深度校对</groupName>
      <ability>L2_AI_Word</ability>
      <abilityName>字词纠错</abilityName>
      <candidateList>
        <item>区块</item>
      </candidateList>
      <explain/>
      <paraID> BB8AD71</paraID>
      <start>49</start>
      <end>52</end>
      <status>unmodified</status>
      <modifiedWord/>
      <trackRevisions>false</trackRevisions>
    </reviewItem>
    <reviewItem>
      <errorID>2b8950bb-9096-43d2-8185-0f2780b149b1</errorID>
      <errorWord>以及</errorWord>
      <group>L1_AI</group>
      <groupName>深度校对</groupName>
      <ability>L2_AI_Punc</ability>
      <abilityName>标点纠错</abilityName>
      <candidateList>
        <item>，以及</item>
      </candidateList>
      <explain/>
      <paraID> EE9727E</paraID>
      <start>43</start>
      <end>46</end>
      <status>modified</status>
      <modifiedWord>，以及</modifiedWord>
      <trackRevisions>false</trackRevisions>
    </reviewItem>
    <reviewItem>
      <errorID>ef955ce8-7e26-4b9e-ae5e-e9844a5940e9</errorID>
      <errorWord>；</errorWord>
      <group>L1_AI</group>
      <groupName>深度校对</groupName>
      <ability>L2_AI_Punc</ability>
      <abilityName>标点纠错</abilityName>
      <candidateList>
        <item>。</item>
      </candidateList>
      <explain/>
      <paraID>69ABA293</paraID>
      <start>62</start>
      <end>63</end>
      <status>modified</status>
      <modifiedWord>。</modifiedWord>
      <trackRevisions>false</trackRevisions>
    </reviewItem>
    <reviewItem>
      <errorID>d0f421c9-a53b-4526-b48c-fc1b6a3d875a</errorID>
      <errorWord>减少</errorWord>
      <group>L1_AI</group>
      <groupName>深度校对</groupName>
      <ability>L2_AI_Word</ability>
      <abilityName>字词纠错</abilityName>
      <candidateList>
        <item>在减少</item>
      </candidateList>
      <explain/>
      <paraID>69ABA293</paraID>
      <start>95</start>
      <end>97</end>
      <status>unmodified</status>
      <modifiedWord/>
      <trackRevisions>false</trackRevisions>
    </reviewItem>
    <reviewItem>
      <errorID>7c6103a3-75eb-41cb-8e3d-fec75e671717</errorID>
      <errorWord>减少</errorWord>
      <group>L1_AI</group>
      <groupName>深度校对</groupName>
      <ability>L2_AI_Word</ability>
      <abilityName>字词纠错</abilityName>
      <candidateList>
        <item>也减少</item>
      </candidateList>
      <explain/>
      <paraID>69ABA293</paraID>
      <start>105</start>
      <end>107</end>
      <status>unmodified</status>
      <modifiedWord/>
      <trackRevisions>false</trackRevisions>
    </reviewItem>
    <reviewItem>
      <errorID>c7a9cdf6-1d12-44ad-939b-55ef23c14b5e</errorID>
      <errorWord>减少</errorWord>
      <group>L1_AI</group>
      <groupName>深度校对</groupName>
      <ability>L2_AI_Grammar</ability>
      <abilityName>语法纠错</abilityName>
      <candidateList>
        <item>从而减少</item>
      </candidateList>
      <explain/>
      <paraID>69ABA293</paraID>
      <start>115</start>
      <end>117</end>
      <status>unmodified</status>
      <modifiedWord/>
      <trackRevisions>false</trackRevisions>
    </reviewItem>
    <reviewItem>
      <errorID>a7705f79-7a34-469e-8ded-2a9a7688779d</errorID>
      <errorWord>，</errorWord>
      <group>L1_AI</group>
      <groupName>深度校对</groupName>
      <ability>L2_AI_Grammar</ability>
      <abilityName>语法纠错</abilityName>
      <candidateList>
        <item>的方式，</item>
      </candidateList>
      <explain/>
      <paraID>69ABA293</paraID>
      <start>203</start>
      <end>207</end>
      <status>modified</status>
      <modifiedWord>的方式，</modifiedWord>
      <trackRevisions>false</trackRevisions>
    </reviewItem>
    <reviewItem>
      <errorID>97a20806-b7dc-4700-8874-1c5fea69f4af</errorID>
      <errorWord>占用</errorWord>
      <group>L1_AI</group>
      <groupName>深度校对</groupName>
      <ability>L2_AI_Word</ability>
      <abilityName>字词纠错</abilityName>
      <candidateList>
        <item>后占用</item>
      </candidateList>
      <explain/>
      <paraID>69ABA293</paraID>
      <start>245</start>
      <end>248</end>
      <status>modified</status>
      <modifiedWord>后占用</modifiedWord>
      <trackRevisions>false</trackRevisions>
    </reviewItem>
    <reviewItem>
      <errorID>43353f4c-4164-48d0-bb89-2076e5488099</errorID>
      <errorWord>，项目</errorWord>
      <group>L1_AI</group>
      <groupName>深度校对</groupName>
      <ability>L2_AI_Grammar</ability>
      <abilityName>语法纠错</abilityName>
      <candidateList>
        <item>，</item>
      </candidateList>
      <explain/>
      <paraID>4C1BE309</paraID>
      <start>25</start>
      <end>28</end>
      <status>unmodified</status>
      <modifiedWord/>
      <trackRevisions>false</trackRevisions>
    </reviewItem>
    <reviewItem>
      <errorID>d9c455cb-1a1f-402c-aca7-c14e316bccd9</errorID>
      <errorWord>能</errorWord>
      <group>L1_AI</group>
      <groupName>深度校对</groupName>
      <ability>L2_AI_Word</ability>
      <abilityName>字词纠错</abilityName>
      <candidateList>
        <item>可</item>
      </candidateList>
      <explain/>
      <paraID>4C1BE309</paraID>
      <start>43</start>
      <end>44</end>
      <status>modified</status>
      <modifiedWord>可</modifiedWord>
      <trackRevisions>false</trackRevisions>
    </reviewItem>
    <reviewItem>
      <errorID>c9873edd-4afd-43d7-956f-411d1d1f37f2</errorID>
      <errorWord>实现</errorWord>
      <group>L1_AI</group>
      <groupName>深度校对</groupName>
      <ability>L2_AI_Word</ability>
      <abilityName>字词纠错</abilityName>
      <candidateList>
        <item>得到</item>
      </candidateList>
      <explain/>
      <paraID>4C1BE309</paraID>
      <start>60</start>
      <end>62</end>
      <status>unmodified</status>
      <modifiedWord/>
      <trackRevisions>false</trackRevisions>
    </reviewItem>
    <reviewItem>
      <errorID>489506b8-bc9e-4c64-ba29-1bb2ea6700fd</errorID>
      <errorWord>可以</errorWord>
      <group>L1_AI</group>
      <groupName>深度校对</groupName>
      <ability>L2_AI_Word</ability>
      <abilityName>字词纠错</abilityName>
      <candidateList>
        <item>能</item>
      </candidateList>
      <explain/>
      <paraID>4C1BE309</paraID>
      <start>77</start>
      <end>78</end>
      <status>modified</status>
      <modifiedWord>能</modifiedWord>
      <trackRevisions>false</trackRevisions>
    </reviewItem>
    <reviewItem>
      <errorID>460e011a-d3d7-411f-b07a-49d494a49d32</errorID>
      <errorWord>建设</errorWord>
      <group>L1_AI</group>
      <groupName>深度校对</groupName>
      <ability>L2_AI_Grammar</ability>
      <abilityName>语法纠错</abilityName>
      <candidateList>
        <item>项目建设</item>
      </candidateList>
      <explain/>
      <paraID>4C1BE309</paraID>
      <start>219</start>
      <end>221</end>
      <status>unmodified</status>
      <modifiedWord/>
      <trackRevisions>false</trackRevisions>
    </reviewItem>
    <reviewItem>
      <errorID>cc8a571f-1942-482d-8591-645459795117</errorID>
      <errorWord>27号</errorWord>
      <group>L1_Knowledge</group>
      <groupName>知识性问题</groupName>
      <ability>L2_Time</ability>
      <abilityName>日期时间</abilityName>
      <candidateList>
        <item>27日</item>
      </candidateList>
      <explain>日期表达规范为x月x日。</explain>
      <paraID>26BF2855</paraID>
      <start>49</start>
      <end>52</end>
      <status>modified</status>
      <modifiedWord>27日</modifiedWord>
      <trackRevisions>false</trackRevisions>
    </reviewItem>
    <reviewItem>
      <errorID>3d1f21fe-8870-4ca0-ba52-ab6d5671121c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745297B</paraID>
      <start>23</start>
      <end>24</end>
      <status>unmodified</status>
      <modifiedWord/>
      <trackRevisions>false</trackRevisions>
    </reviewItem>
    <reviewItem>
      <errorID>629f9847-fc60-4aa9-8f23-a95fa7ece0da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29CC86FC</paraID>
      <start>26</start>
      <end>27</end>
      <status>unmodified</status>
      <modifiedWord/>
      <trackRevisions>false</trackRevisions>
    </reviewItem>
    <reviewItem>
      <errorID>28028f13-a38c-4793-8b9a-4c289f9aa16f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26632CD1</paraID>
      <start>26</start>
      <end>27</end>
      <status>unmodified</status>
      <modifiedWord/>
      <trackRevisions>false</trackRevisions>
    </reviewItem>
    <reviewItem>
      <errorID>8cdd3716-f99e-4117-afd1-e4054835d112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2346AE1B</paraID>
      <start>0</start>
      <end>2</end>
      <status>unmodified</status>
      <modifiedWord/>
      <trackRevisions>false</trackRevisions>
    </reviewItem>
    <reviewItem>
      <errorID>653dae9f-8d09-429a-92cf-9af7400ebbef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13683A43</paraID>
      <start>0</start>
      <end>2</end>
      <status>unmodified</status>
      <modifiedWord/>
      <trackRevisions>false</trackRevisions>
    </reviewItem>
    <reviewItem>
      <errorID>94b6eeff-b665-4373-9a0b-f8032483eb70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B4B23C6</paraID>
      <start>0</start>
      <end>2</end>
      <status>unmodified</status>
      <modifiedWord/>
      <trackRevisions>false</trackRevisions>
    </reviewItem>
    <reviewItem>
      <errorID>d89b3e69-3cce-4ce3-b3ce-c5ce2da92681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3FF1978</paraID>
      <start>0</start>
      <end>2</end>
      <status>unmodified</status>
      <modifiedWord/>
      <trackRevisions>false</trackRevisions>
    </reviewItem>
    <reviewItem>
      <errorID>6a078b2b-0782-4ef5-8c81-a19df2ac2ad5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1BA085A8</paraID>
      <start>0</start>
      <end>2</end>
      <status>unmodified</status>
      <modifiedWord/>
      <trackRevisions>false</trackRevisions>
    </reviewItem>
    <reviewItem>
      <errorID>6b3826e8-ca7d-4e91-bddc-1ac64538efc5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521159F4</paraID>
      <start>0</start>
      <end>2</end>
      <status>unmodified</status>
      <modifiedWord/>
      <trackRevisions>false</trackRevisions>
    </reviewItem>
    <reviewItem>
      <errorID>a5287541-86f7-411d-aedd-b0099c02a21b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4D3C0BE1</paraID>
      <start>0</start>
      <end>2</end>
      <status>unmodified</status>
      <modifiedWord/>
      <trackRevisions>false</trackRevisions>
    </reviewItem>
    <reviewItem>
      <errorID>4698685a-a262-499f-b1e3-c18208924dd7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66ABEB65</paraID>
      <start>0</start>
      <end>2</end>
      <status>unmodified</status>
      <modifiedWord/>
      <trackRevisions>false</trackRevisions>
    </reviewItem>
    <reviewItem>
      <errorID>e16c96f8-9cda-4c3c-94cb-b63844eaed4b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189402A2</paraID>
      <start>0</start>
      <end>2</end>
      <status>unmodified</status>
      <modifiedWord/>
      <trackRevisions>false</trackRevisions>
    </reviewItem>
    <reviewItem>
      <errorID>8dad60ae-6083-4fdf-8fbf-d7058b4c456e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40CAF9A9</paraID>
      <start>0</start>
      <end>2</end>
      <status>unmodified</status>
      <modifiedWord/>
      <trackRevisions>false</trackRevisions>
    </reviewItem>
    <reviewItem>
      <errorID>009c26e0-a1cd-4775-8aad-0091952ffba0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5CD7BD5A</paraID>
      <start>0</start>
      <end>2</end>
      <status>unmodified</status>
      <modifiedWord/>
      <trackRevisions>false</trackRevisions>
    </reviewItem>
    <reviewItem>
      <errorID>1ad23f3d-782f-406e-a31e-9536d164e3ab</errorID>
      <errorWord>相关的其它</errorWord>
      <group>L1_Word</group>
      <groupName>字词问题</groupName>
      <ability>L2_Alias</ability>
      <abilityName>也作/曾用词</abilityName>
      <candidateList>
        <item>相关的其他</item>
      </candidateList>
      <explain>词汇[相关的其它]为不规范表述或旧称，其规范书面表述为[相关的其他]。</explain>
      <paraID>245746BA</paraID>
      <start>71</start>
      <end>76</end>
      <status>modified</status>
      <modifiedWord>相关的其他</modifiedWord>
      <trackRevisions>false</trackRevisions>
    </reviewItem>
    <reviewItem>
      <errorID>d2f917a8-bcbd-4a30-aef2-a82d9aa01f18</errorID>
      <errorWord>其它</errorWord>
      <group>L1_Word</group>
      <groupName>字词问题</groupName>
      <ability>L2_Alias</ability>
      <abilityName>也作/曾用词</abilityName>
      <candidateList>
        <item>其他</item>
      </candidateList>
      <explain>词汇[其它]为不规范表述或旧称，其规范书面表述为[其他]。</explain>
      <paraID> F562E6C</paraID>
      <start>67</start>
      <end>69</end>
      <status>modified</status>
      <modifiedWord>其他</modifiedWord>
      <trackRevisions>false</trackRevisions>
    </reviewItem>
    <reviewItem>
      <errorID>34bc7edb-e0ec-484d-9650-9c83a0888dd5</errorID>
      <errorWord>其它未</errorWord>
      <group>L1_Word</group>
      <groupName>字词问题</groupName>
      <ability>L2_Alias</ability>
      <abilityName>也作/曾用词</abilityName>
      <candidateList>
        <item>其他未</item>
      </candidateList>
      <explain>词汇[其它未]为不规范表述或旧称，其规范书面表述为[其他未]。</explain>
      <paraID> F562E6C</paraID>
      <start>118</start>
      <end>121</end>
      <status>modified</status>
      <modifiedWord>其他未</modifiedWord>
      <trackRevisions>false</trackRevisions>
    </reviewItem>
    <reviewItem>
      <errorID>1dd50d57-5919-4784-9bf7-300b55b1e4df</errorID>
      <errorWord>作为</errorWord>
      <group>L1_Word</group>
      <groupName>字词问题</groupName>
      <ability>L2_Typo</ability>
      <abilityName>字词错误</abilityName>
      <candidateList>
        <item>为</item>
      </candidateList>
      <explain>（爲、為）wèi❶〈书〉帮助；卫护：～吕氏者右袒，～刘氏者左袒。❷〈介〉表示行为的对象；替：～你庆幸｜～人民服务｜～这本书写一篇序。❸〈介〉表示原因、目的：大家都～这件事高兴｜～建设伟大祖国而奋斗。❹〈书〉〈介〉对；向：不足～外人道。</explain>
      <paraID>280AB327</paraID>
      <start>45</start>
      <end>46</end>
      <status>modified</status>
      <modifiedWord>为</modifiedWord>
      <trackRevisions>false</trackRevisions>
    </reviewItem>
    <reviewItem>
      <errorID>f023b82c-2506-485f-9aa5-b9fcc1da1050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1D26E4B6</paraID>
      <start>26</start>
      <end>27</end>
      <status>unmodified</status>
      <modifiedWord/>
      <trackRevisions>false</trackRevisions>
    </reviewItem>
    <reviewItem>
      <errorID>fde56cb6-94d1-4ef6-af45-aa61c89b4962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7820CD84</paraID>
      <start>22</start>
      <end>23</end>
      <status>unmodified</status>
      <modifiedWord/>
      <trackRevisions>false</trackRevisions>
    </reviewItem>
    <reviewItem>
      <errorID>c39c1c62-083e-4af3-9c49-35d34d47974e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7820CD84</paraID>
      <start>86</start>
      <end>87</end>
      <status>unmodified</status>
      <modifiedWord/>
      <trackRevisions>false</trackRevisions>
    </reviewItem>
    <reviewItem>
      <errorID>2849efe2-66f3-4494-acb0-36fccd3f37fe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1D793206</paraID>
      <start>22</start>
      <end>23</end>
      <status>unmodified</status>
      <modifiedWord/>
      <trackRevisions>false</trackRevisions>
    </reviewItem>
    <reviewItem>
      <errorID>2e571df8-1af5-4c86-89d0-abb119655a72</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1D793206</paraID>
      <start>141</start>
      <end>142</end>
      <status>unmodified</status>
      <modifiedWord/>
      <trackRevisions>false</trackRevisions>
    </reviewItem>
    <reviewItem>
      <errorID>65b4949d-045b-447e-96c8-8e46cf04df74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1D793206</paraID>
      <start>215</start>
      <end>216</end>
      <status>unmodified</status>
      <modifiedWord/>
      <trackRevisions>false</trackRevisions>
    </reviewItem>
    <reviewItem>
      <errorID>408c0f3d-fd2b-4236-bfe2-b10b45c2ec6f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1D793206</paraID>
      <start>311</start>
      <end>312</end>
      <status>unmodified</status>
      <modifiedWord/>
      <trackRevisions>false</trackRevisions>
    </reviewItem>
    <reviewItem>
      <errorID>bbf7c196-a6ef-43ba-a2f2-973962217c28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4D80C767</paraID>
      <start>25</start>
      <end>26</end>
      <status>unmodified</status>
      <modifiedWord/>
      <trackRevisions>false</trackRevisions>
    </reviewItem>
    <reviewItem>
      <errorID>d165a513-5b76-43e9-bf5f-082246458ead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606E8F3C</paraID>
      <start>21</start>
      <end>22</end>
      <status>unmodified</status>
      <modifiedWord/>
      <trackRevisions>false</trackRevisions>
    </reviewItem>
    <reviewItem>
      <errorID>b39e9fa4-d938-464f-a917-8e5b028a67f5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3AEBF805</paraID>
      <start>25</start>
      <end>26</end>
      <status>unmodified</status>
      <modifiedWord/>
      <trackRevisions>false</trackRevisions>
    </reviewItem>
    <reviewItem>
      <errorID>c159b3de-1c48-4e54-979c-d10fffd60204</errorID>
      <errorWord>减轻</errorWord>
      <group>L1_Grammar</group>
      <groupName>语法问题</groupName>
      <ability>L2_Grammar</ability>
      <abilityName>语法错误</abilityName>
      <candidateList>
        <item>减少</item>
      </candidateList>
      <explain>“减轻～排放”搭配不当，建议修改为“减少～排放”。</explain>
      <paraID>71DF241F</paraID>
      <start>31</start>
      <end>33</end>
      <status>unmodified</status>
      <modifiedWord/>
      <trackRevisions>false</trackRevisions>
    </reviewItem>
    <reviewItem>
      <errorID>3c1d3e26-cdc9-4931-9637-565be2eb7172</errorID>
      <errorWord>程</errorWord>
      <group>L1_Word</group>
      <groupName>字词问题</groupName>
      <ability>L2_Typo</ability>
      <abilityName>字词错误</abilityName>
      <candidateList>
        <item>程中</item>
      </candidateList>
      <explain/>
      <paraID> FB3BDB6</paraID>
      <start>67</start>
      <end>68</end>
      <status>unmodified</status>
      <modifiedWord/>
      <trackRevisions>false</trackRevisions>
    </reviewItem>
    <reviewItem>
      <errorID>bdbb58a4-2e4e-40f2-a42a-a8bb260a7a88</errorID>
      <errorWord>其它有效</errorWord>
      <group>L1_Word</group>
      <groupName>字词问题</groupName>
      <ability>L2_Alias</ability>
      <abilityName>也作/曾用词</abilityName>
      <candidateList>
        <item>其他有效</item>
      </candidateList>
      <explain>词汇[其它有效]为不规范表述或旧称，其规范书面表述为[其他有效]。</explain>
      <paraID>3C3F206F</paraID>
      <start>177</start>
      <end>181</end>
      <status>unmodified</status>
      <modifiedWord/>
      <trackRevisions>false</trackRevisions>
    </reviewItem>
    <reviewItem>
      <errorID>02ba2beb-a574-44ec-bc93-d28d67de5f25</errorID>
      <errorWord>硫磺</errorWord>
      <group>L1_Word</group>
      <groupName>字词问题</groupName>
      <ability>L2_Typo</ability>
      <abilityName>字词错误</abilityName>
      <candidateList>
        <item>硫黄</item>
      </candidateList>
      <explain/>
      <paraID>23F86929</paraID>
      <start>218</start>
      <end>220</end>
      <status>unmodified</status>
      <modifiedWord/>
      <trackRevisions>false</trackRevisions>
    </reviewItem>
    <reviewItem>
      <errorID>2d0f43a3-1030-46c7-840d-7d7552b62248</errorID>
      <errorWord>抛洒</errorWord>
      <group>L1_Word</group>
      <groupName>字词问题</groupName>
      <ability>L2_Typo</ability>
      <abilityName>字词错误</abilityName>
      <candidateList>
        <item>抛撒</item>
      </candidateList>
      <explain/>
      <paraID>249885DA</paraID>
      <start>49</start>
      <end>51</end>
      <status>modified</status>
      <modifiedWord>抛撒</modifiedWord>
      <trackRevisions>false</trackRevisions>
    </reviewItem>
    <reviewItem>
      <errorID>4afc7cf4-6ab1-4b30-8bdc-32729783eeb1</errorID>
      <errorWord>硫磺</errorWord>
      <group>L1_Word</group>
      <groupName>字词问题</groupName>
      <ability>L2_Typo</ability>
      <abilityName>字词错误</abilityName>
      <candidateList>
        <item>硫黄</item>
      </candidateList>
      <explain/>
      <paraID>4761F9FC</paraID>
      <start>383</start>
      <end>385</end>
      <status>unmodified</status>
      <modifiedWord/>
      <trackRevisions>false</trackRevisions>
    </reviewItem>
    <reviewItem>
      <errorID>f3060088-197a-4a38-bd83-90dd2341b8c5</errorID>
      <errorWord>）</errorWord>
      <group>L1_Word</group>
      <groupName>字词问题</groupName>
      <ability>L2_Typo</ability>
      <abilityName>字词错误</abilityName>
      <candidateList>
        <item>）和</item>
      </candidateList>
      <explain/>
      <paraID>22789877</paraID>
      <start>106</start>
      <end>108</end>
      <status>modified</status>
      <modifiedWord>）和</modifiedWord>
      <trackRevisions>false</trackRevisions>
    </reviewItem>
    <reviewItem>
      <errorID>adeac5e3-f6ec-42a5-b9e5-ae8aacd800f4</errorID>
      <errorWord>要</errorWord>
      <group>L1_Word</group>
      <groupName>字词问题</groupName>
      <ability>L2_Typo</ability>
      <abilityName>字词错误</abilityName>
      <candidateList>
        <item>要是</item>
      </candidateList>
      <explain/>
      <paraID>6246A6D7</paraID>
      <start>38</start>
      <end>39</end>
      <status>unmodified</status>
      <modifiedWord/>
      <trackRevisions>false</trackRevisions>
    </reviewItem>
    <reviewItem>
      <errorID>8985d668-8953-4039-ba2d-cccaafb70925</errorID>
      <errorWord>(</errorWord>
      <group>L1_Format</group>
      <groupName>格式问题</groupName>
      <ability>L2_HalfPunc</ability>
      <abilityName>全半角检查</abilityName>
      <candidateList>
        <item>（</item>
      </candidateList>
      <explain>文本全半角错误。</explain>
      <paraID>737EC4C1</paraID>
      <start>355</start>
      <end>356</end>
      <status>modified</status>
      <modifiedWord>（</modifiedWord>
      <trackRevisions>false</trackRevisions>
    </reviewItem>
    <reviewItem>
      <errorID>76dd6139-f63e-4208-94fe-c34fbc3d8dd2</errorID>
      <errorWord>)</errorWord>
      <group>L1_Format</group>
      <groupName>格式问题</groupName>
      <ability>L2_HalfPunc</ability>
      <abilityName>全半角检查</abilityName>
      <candidateList>
        <item>）</item>
      </candidateList>
      <explain>文本全半角错误。</explain>
      <paraID>737EC4C1</paraID>
      <start>367</start>
      <end>368</end>
      <status>modified</status>
      <modifiedWord>）</modifiedWord>
      <trackRevisions>false</trackRevisions>
    </reviewItem>
    <reviewItem>
      <errorID>c775431c-bd39-475c-bbb4-36c47137494c</errorID>
      <errorWord>(</errorWord>
      <group>L1_Format</group>
      <groupName>格式问题</groupName>
      <ability>L2_HalfPunc</ability>
      <abilityName>全半角检查</abilityName>
      <candidateList>
        <item>（</item>
      </candidateList>
      <explain>文本全半角错误。</explain>
      <paraID>737EC4C1</paraID>
      <start>399</start>
      <end>400</end>
      <status>modified</status>
      <modifiedWord>（</modifiedWord>
      <trackRevisions>false</trackRevisions>
    </reviewItem>
    <reviewItem>
      <errorID>c1814bd0-3880-4601-a257-787174e03571</errorID>
      <errorWord>)</errorWord>
      <group>L1_Format</group>
      <groupName>格式问题</groupName>
      <ability>L2_HalfPunc</ability>
      <abilityName>全半角检查</abilityName>
      <candidateList>
        <item>）</item>
      </candidateList>
      <explain>文本全半角错误。</explain>
      <paraID>737EC4C1</paraID>
      <start>401</start>
      <end>402</end>
      <status>modified</status>
      <modifiedWord>）</modifiedWord>
      <trackRevisions>false</trackRevisions>
    </reviewItem>
    <reviewItem>
      <errorID>b6f97ce5-842e-4ac4-a8b1-9be45a12113b</errorID>
      <errorWord>;</errorWord>
      <group>L1_Format</group>
      <groupName>格式问题</groupName>
      <ability>L2_HalfPunc</ability>
      <abilityName>全半角检查</abilityName>
      <candidateList>
        <item>；</item>
      </candidateList>
      <explain>文本全半角错误。</explain>
      <paraID>4658AF98</paraID>
      <start>414</start>
      <end>415</end>
      <status>modified</status>
      <modifiedWord>；</modifiedWord>
      <trackRevisions>false</trackRevisions>
    </reviewItem>
    <reviewItem>
      <errorID>e9d1f4a4-e35e-4f73-ad84-b0065aece33e</errorID>
      <errorWord>属</errorWord>
      <group>L1_Word</group>
      <groupName>字词问题</groupName>
      <ability>L2_Typo</ability>
      <abilityName>字词错误</abilityName>
      <candidateList>
        <item>属于</item>
      </candidateList>
      <explain/>
      <paraID>5902DDAB</paraID>
      <start>21</start>
      <end>23</end>
      <status>modified</status>
      <modifiedWord>属于</modifiedWord>
      <trackRevisions>false</trackRevisions>
    </reviewItem>
    <reviewItem>
      <errorID>755ad13a-8f28-43bc-87a8-e758e0e63d42</errorID>
      <errorWord>清浩</errorWord>
      <group>L1_Word</group>
      <groupName>字词问题</groupName>
      <ability>L2_Typo</ability>
      <abilityName>字词错误</abilityName>
      <candidateList>
        <item>清洁</item>
      </candidateList>
      <explain>存在字形相近字词的误用。</explain>
      <paraID>3C0A4DF2</paraID>
      <start>2</start>
      <end>4</end>
      <status>modified</status>
      <modifiedWord>清洁</modifiedWord>
      <trackRevisions>false</trackRevisions>
    </reviewItem>
    <reviewItem>
      <errorID>d6919a8f-d167-4448-bf4c-4614ad381fe0</errorID>
      <errorWord>属</errorWord>
      <group>L1_Word</group>
      <groupName>字词问题</groupName>
      <ability>L2_Typo</ability>
      <abilityName>字词错误</abilityName>
      <candidateList>
        <item>属于</item>
      </candidateList>
      <explain/>
      <paraID>60F3B4F5</paraID>
      <start>21</start>
      <end>23</end>
      <status>modified</status>
      <modifiedWord>属于</modifiedWord>
      <trackRevisions>false</trackRevisions>
    </reviewItem>
    <reviewItem>
      <errorID>3a787da6-7d62-4ece-b979-b2b29f2b1c60</errorID>
      <errorWord>洽理</errorWord>
      <group>L1_Word</group>
      <groupName>字词问题</groupName>
      <ability>L2_Typo</ability>
      <abilityName>字词错误</abilityName>
      <candidateList>
        <item>治理</item>
      </candidateList>
      <explain/>
      <paraID>43E5BDBC</paraID>
      <start>52</start>
      <end>54</end>
      <status>modified</status>
      <modifiedWord>治理</modifiedWord>
      <trackRevisions>false</trackRevisions>
    </reviewItem>
    <reviewItem>
      <errorID>7894ff1f-87a7-4933-9265-2086fed26d77</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5FACBE0C</paraID>
      <start>18</start>
      <end>19</end>
      <status>modified</status>
      <modifiedWord>地</modifiedWord>
      <trackRevisions>false</trackRevisions>
    </reviewItem>
    <reviewItem>
      <errorID>d766ac7f-2489-46cb-8daf-77766ccf8399</errorID>
      <errorWord>&lt;</errorWord>
      <group>L1_Format</group>
      <groupName>格式问题</groupName>
      <ability>L2_HalfPunc</ability>
      <abilityName>全半角检查</abilityName>
      <candidateList>
        <item>〈</item>
      </candidateList>
      <explain>文本全半角错误。</explain>
      <paraID>2B8B57A3</paraID>
      <start>15</start>
      <end>16</end>
      <status>modified</status>
      <modifiedWord>〈</modifiedWord>
      <trackRevisions>false</trackRevisions>
    </reviewItem>
    <reviewItem>
      <errorID>d76db8b4-1f15-40a3-868f-0597ed67985d</errorID>
      <errorWord>&gt;的通知》</errorWord>
      <group>L1_Punc</group>
      <groupName>标点问题</groupName>
      <ability>L2_Punc</ability>
      <abilityName>标点符号检查</abilityName>
      <candidateList>
        <item>〉的通知》</item>
      </candidateList>
      <explain/>
      <paraID>2B8B57A3</paraID>
      <start>32</start>
      <end>37</end>
      <status>modified</status>
      <modifiedWord>〉的通知》</modifiedWord>
      <trackRevisions>false</trackRevisions>
    </reviewItem>
    <reviewItem>
      <errorID>8fc14845-0c72-4e5b-9024-a225608fcc03</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26FF06F1</paraID>
      <start>18</start>
      <end>19</end>
      <status>modified</status>
      <modifiedWord>地</modifiedWord>
      <trackRevisions>false</trackRevisions>
    </reviewItem>
    <reviewItem>
      <errorID>a7d372e1-598c-4501-a0c8-395756221c31</errorID>
      <errorWord>"</errorWord>
      <group>L1_Format</group>
      <groupName>格式问题</groupName>
      <ability>L2_HalfPunc</ability>
      <abilityName>全半角检查</abilityName>
      <candidateList/>
      <explain>文本全半角错误。</explain>
      <paraID>2CE4230E</paraID>
      <start>156</start>
      <end>157</end>
      <status>unmodified</status>
      <modifiedWord/>
      <trackRevisions>false</trackRevisions>
    </reviewItem>
    <reviewItem>
      <errorID>3c54a215-ffd7-4fd9-ab52-468ce35570b8</errorID>
      <errorWord>"</errorWord>
      <group>L1_Format</group>
      <groupName>格式问题</groupName>
      <ability>L2_HalfPunc</ability>
      <abilityName>全半角检查</abilityName>
      <candidateList/>
      <explain>文本全半角错误。</explain>
      <paraID>2CE4230E</paraID>
      <start>170</start>
      <end>171</end>
      <status>unmodified</status>
      <modifiedWord/>
      <trackRevisions>false</trackRevisions>
    </reviewItem>
    <reviewItem>
      <errorID>20d18f45-86e8-425c-9509-1cef652970a9</errorID>
      <errorWord>*</errorWord>
      <group>L1_Punc</group>
      <groupName>标点问题</groupName>
      <ability>L2_Punc</ability>
      <abilityName>标点符号检查</abilityName>
      <candidateList/>
      <explain/>
      <paraID>6403A9FF</paraID>
      <start>0</start>
      <end>1</end>
      <status>unmodified</status>
      <modifiedWord/>
      <trackRevisions>false</trackRevisions>
    </reviewItem>
    <reviewItem>
      <errorID>152d5cf6-6f52-4860-958f-29fe3316bf38</errorID>
      <errorWord>*</errorWord>
      <group>L1_Punc</group>
      <groupName>标点问题</groupName>
      <ability>L2_Punc</ability>
      <abilityName>标点符号检查</abilityName>
      <candidateList/>
      <explain/>
      <paraID>63AAAFBD</paraID>
      <start>0</start>
      <end>1</end>
      <status>unmodified</status>
      <modifiedWord/>
      <trackRevisions>false</trackRevisions>
    </reviewItem>
    <reviewItem>
      <errorID>1ae9150a-d161-4bfb-b346-fda80aea887e</errorID>
      <errorWord>*</errorWord>
      <group>L1_Punc</group>
      <groupName>标点问题</groupName>
      <ability>L2_Punc</ability>
      <abilityName>标点符号检查</abilityName>
      <candidateList/>
      <explain/>
      <paraID>6E87F87E</paraID>
      <start>0</start>
      <end>1</end>
      <status>unmodified</status>
      <modifiedWord/>
      <trackRevisions>false</trackRevisions>
    </reviewItem>
    <reviewItem>
      <errorID>207175c6-c4dd-4e66-945a-6313d2007d38</errorID>
      <errorWord>*</errorWord>
      <group>L1_Punc</group>
      <groupName>标点问题</groupName>
      <ability>L2_Punc</ability>
      <abilityName>标点符号检查</abilityName>
      <candidateList/>
      <explain/>
      <paraID>61605C16</paraID>
      <start>0</start>
      <end>1</end>
      <status>unmodified</status>
      <modifiedWord/>
      <trackRevisions>false</trackRevisions>
    </reviewItem>
    <reviewItem>
      <errorID>da9d7cf1-2a7c-45b0-9f31-b97ff038bf45</errorID>
      <errorWord>系</errorWord>
      <group>L1_Word</group>
      <groupName>字词问题</groupName>
      <ability>L2_Typo</ability>
      <abilityName>字词错误</abilityName>
      <candidateList>
        <item>系统</item>
      </candidateList>
      <explain>❶〈名〉同类事物按一定的关系组成的整体：～化｜组织～｜灌溉～。❷〈形〉有条理的；有系统的：～学习｜～研究｜资料不够。</explain>
      <paraID>48B9A5E9</paraID>
      <start>19</start>
      <end>21</end>
      <status>modified</status>
      <modifiedWord>系统</modifiedWord>
      <trackRevisions>false</trackRevisions>
    </reviewItem>
    <reviewItem>
      <errorID>3d395a22-0a22-4bdf-ba4f-4b36e9b0e61f</errorID>
      <errorWord>期</errorWord>
      <group>L1_Word</group>
      <groupName>字词问题</groupName>
      <ability>L2_Typo</ability>
      <abilityName>字词错误</abilityName>
      <candidateList>
        <item>期间</item>
      </candidateList>
      <explain>〈名〉某个时期里面：农忙～｜春节～｜抗战～。</explain>
      <paraID>48B9A5E9</paraID>
      <start>259</start>
      <end>260</end>
      <status>unmodified</status>
      <modifiedWord/>
      <trackRevisions>false</trackRevisions>
    </reviewItem>
    <reviewItem>
      <errorID>96fb28dc-08e4-4db7-bf9d-864f05654d7d</errorID>
      <errorWord>*</errorWord>
      <group>L1_Punc</group>
      <groupName>标点问题</groupName>
      <ability>L2_Punc</ability>
      <abilityName>标点符号检查</abilityName>
      <candidateList/>
      <explain/>
      <paraID>151EC765</paraID>
      <start>0</start>
      <end>1</end>
      <status>unmodified</status>
      <modifiedWord/>
      <trackRevisions>false</trackRevisions>
    </reviewItem>
    <reviewItem>
      <errorID>6d63b9d9-3fba-4364-a67c-4dad3468f539</errorID>
      <errorWord>*</errorWord>
      <group>L1_Punc</group>
      <groupName>标点问题</groupName>
      <ability>L2_Punc</ability>
      <abilityName>标点符号检查</abilityName>
      <candidateList/>
      <explain/>
      <paraID>3702877C</paraID>
      <start>0</start>
      <end>1</end>
      <status>unmodified</status>
      <modifiedWord/>
      <trackRevisions>false</trackRevisions>
    </reviewItem>
    <reviewItem>
      <errorID>38f1f3dc-2f2e-44b2-8e1b-01569110923c</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77146E1E</paraID>
      <start>35</start>
      <end>36</end>
      <status>unmodified</status>
      <modifiedWord/>
      <trackRevisions>false</trackRevisions>
    </reviewItem>
    <reviewItem>
      <errorID>5b8dbbae-c6c4-466b-ac99-5bbfe06af6a7</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77146E1E</paraID>
      <start>183</start>
      <end>184</end>
      <status>unmodified</status>
      <modifiedWord/>
      <trackRevisions>false</trackRevisions>
    </reviewItem>
    <reviewItem>
      <errorID>ac69309f-38fa-4d01-a6b7-b1d02e03ddef</errorID>
      <errorWord>*</errorWord>
      <group>L1_Punc</group>
      <groupName>标点问题</groupName>
      <ability>L2_Punc</ability>
      <abilityName>标点符号检查</abilityName>
      <candidateList/>
      <explain/>
      <paraID>65D17F70</paraID>
      <start>0</start>
      <end>1</end>
      <status>unmodified</status>
      <modifiedWord/>
      <trackRevisions>false</trackRevisions>
    </reviewItem>
    <reviewItem>
      <errorID>405fca0b-3ec4-4843-8d83-6ec679f52129</errorID>
      <errorWord>*</errorWord>
      <group>L1_Punc</group>
      <groupName>标点问题</groupName>
      <ability>L2_Punc</ability>
      <abilityName>标点符号检查</abilityName>
      <candidateList/>
      <explain/>
      <paraID>3D1BA512</paraID>
      <start>0</start>
      <end>1</end>
      <status>unmodified</status>
      <modifiedWord/>
      <trackRevisions>false</trackRevisions>
    </reviewItem>
    <reviewItem>
      <errorID>4aceea45-3b9d-4e8e-a3a9-633817652330</errorID>
      <errorWord>*</errorWord>
      <group>L1_Punc</group>
      <groupName>标点问题</groupName>
      <ability>L2_Punc</ability>
      <abilityName>标点符号检查</abilityName>
      <candidateList/>
      <explain/>
      <paraID>3CB2C80D</paraID>
      <start>0</start>
      <end>1</end>
      <status>unmodified</status>
      <modifiedWord/>
      <trackRevisions>false</trackRevisions>
    </reviewItem>
    <reviewItem>
      <errorID>f25ba0e9-5957-40e2-a4fb-a407939837e8</errorID>
      <errorWord>*</errorWord>
      <group>L1_Punc</group>
      <groupName>标点问题</groupName>
      <ability>L2_Punc</ability>
      <abilityName>标点符号检查</abilityName>
      <candidateList/>
      <explain/>
      <paraID>7C847001</paraID>
      <start>0</start>
      <end>1</end>
      <status>unmodified</status>
      <modifiedWord/>
      <trackRevisions>false</trackRevisions>
    </reviewItem>
    <reviewItem>
      <errorID>f41f9ef7-e768-4b4d-bc8d-85f54136656f</errorID>
      <errorWord>（</errorWord>
      <group>L1_Format</group>
      <groupName>格式问题</groupName>
      <ability>L2_HalfPunc</ability>
      <abilityName>全半角检查</abilityName>
      <candidateList>
        <item>(</item>
      </candidateList>
      <explain>文本全半角错误。</explain>
      <paraID>7738761D</paraID>
      <start>0</start>
      <end>1</end>
      <status>modified</status>
      <modifiedWord>(</modifiedWord>
      <trackRevisions>false</trackRevisions>
    </reviewItem>
    <reviewItem>
      <errorID>1a80f5c3-6aba-485e-813d-dfb3cab2f393</errorID>
      <errorWord>）</errorWord>
      <group>L1_Format</group>
      <groupName>格式问题</groupName>
      <ability>L2_HalfPunc</ability>
      <abilityName>全半角检查</abilityName>
      <candidateList>
        <item>)</item>
      </candidateList>
      <explain>文本全半角错误。</explain>
      <paraID>7738761D</paraID>
      <start>8</start>
      <end>9</end>
      <status>modified</status>
      <modifiedWord>)</modifiedWord>
      <trackRevisions>false</trackRevisions>
    </reviewItem>
    <reviewItem>
      <errorID>3dab35cd-28f4-44f5-ae27-dfd6cce17706</errorID>
      <errorWord>（</errorWord>
      <group>L1_Format</group>
      <groupName>格式问题</groupName>
      <ability>L2_HalfPunc</ability>
      <abilityName>全半角检查</abilityName>
      <candidateList>
        <item>(</item>
      </candidateList>
      <explain>文本全半角错误。</explain>
      <paraID>552D10EB</paraID>
      <start>0</start>
      <end>1</end>
      <status>modified</status>
      <modifiedWord>(</modifiedWord>
      <trackRevisions>false</trackRevisions>
    </reviewItem>
    <reviewItem>
      <errorID>c8a73935-0412-4227-bd82-f6f5af6bfa40</errorID>
      <errorWord>）</errorWord>
      <group>L1_Format</group>
      <groupName>格式问题</groupName>
      <ability>L2_HalfPunc</ability>
      <abilityName>全半角检查</abilityName>
      <candidateList>
        <item>)</item>
      </candidateList>
      <explain>文本全半角错误。</explain>
      <paraID>552D10EB</paraID>
      <start>7</start>
      <end>8</end>
      <status>modified</status>
      <modifiedWord>)</modifiedWord>
      <trackRevisions>false</trackRevisions>
    </reviewItem>
    <reviewItem>
      <errorID>039a4ccd-cbdd-49ba-8f95-bcfed94ec4c2</errorID>
      <errorWord>（</errorWord>
      <group>L1_Format</group>
      <groupName>格式问题</groupName>
      <ability>L2_HalfPunc</ability>
      <abilityName>全半角检查</abilityName>
      <candidateList>
        <item>(</item>
      </candidateList>
      <explain>文本全半角错误。</explain>
      <paraID>36C65DD0</paraID>
      <start>0</start>
      <end>1</end>
      <status>modified</status>
      <modifiedWord>(</modifiedWord>
      <trackRevisions>false</trackRevisions>
    </reviewItem>
    <reviewItem>
      <errorID>befb1266-3ded-4fb0-b46a-4e18e9d9881f</errorID>
      <errorWord>）</errorWord>
      <group>L1_Format</group>
      <groupName>格式问题</groupName>
      <ability>L2_HalfPunc</ability>
      <abilityName>全半角检查</abilityName>
      <candidateList>
        <item>)</item>
      </candidateList>
      <explain>文本全半角错误。</explain>
      <paraID>36C65DD0</paraID>
      <start>5</start>
      <end>6</end>
      <status>modified</status>
      <modifiedWord>)</modifiedWord>
      <trackRevisions>false</trackRevisions>
    </reviewItem>
    <reviewItem>
      <errorID>d320d29c-eda2-4035-ad02-69ff6d4c5135</errorID>
      <errorWord>（</errorWord>
      <group>L1_Format</group>
      <groupName>格式问题</groupName>
      <ability>L2_HalfPunc</ability>
      <abilityName>全半角检查</abilityName>
      <candidateList>
        <item>(</item>
      </candidateList>
      <explain>文本全半角错误。</explain>
      <paraID>685E385A</paraID>
      <start>0</start>
      <end>1</end>
      <status>modified</status>
      <modifiedWord>(</modifiedWord>
      <trackRevisions>false</trackRevisions>
    </reviewItem>
    <reviewItem>
      <errorID>5e14a998-f925-4a59-9b90-084d153adcb2</errorID>
      <errorWord>）</errorWord>
      <group>L1_Format</group>
      <groupName>格式问题</groupName>
      <ability>L2_HalfPunc</ability>
      <abilityName>全半角检查</abilityName>
      <candidateList>
        <item>)</item>
      </candidateList>
      <explain>文本全半角错误。</explain>
      <paraID>685E385A</paraID>
      <start>6</start>
      <end>7</end>
      <status>modified</status>
      <modifiedWord>)</modifiedWord>
      <trackRevisions>false</trackRevisions>
    </reviewItem>
    <reviewItem>
      <errorID>aca10ef2-e0bf-4b59-9c9f-e8db0e9abaff</errorID>
      <errorWord>（</errorWord>
      <group>L1_Format</group>
      <groupName>格式问题</groupName>
      <ability>L2_HalfPunc</ability>
      <abilityName>全半角检查</abilityName>
      <candidateList>
        <item>(</item>
      </candidateList>
      <explain>文本全半角错误。</explain>
      <paraID>29D640C2</paraID>
      <start>0</start>
      <end>1</end>
      <status>modified</status>
      <modifiedWord>(</modifiedWord>
      <trackRevisions>false</trackRevisions>
    </reviewItem>
    <reviewItem>
      <errorID>b2c2a0eb-620c-4279-8c35-6c146513953f</errorID>
      <errorWord>）</errorWord>
      <group>L1_Format</group>
      <groupName>格式问题</groupName>
      <ability>L2_HalfPunc</ability>
      <abilityName>全半角检查</abilityName>
      <candidateList>
        <item>)</item>
      </candidateList>
      <explain>文本全半角错误。</explain>
      <paraID>29D640C2</paraID>
      <start>2</start>
      <end>3</end>
      <status>modified</status>
      <modifiedWord>)</modifiedWord>
      <trackRevisions>false</trackRevisions>
    </reviewItem>
    <reviewItem>
      <errorID>1b0ea7cf-4b18-495f-a840-58274518e05a</errorID>
      <errorWord>-</errorWord>
      <group>L1_Format</group>
      <groupName>格式问题</groupName>
      <ability>L2_HalfPunc</ability>
      <abilityName>全半角检查</abilityName>
      <candidateList>
        <item>－</item>
      </candidateList>
      <explain>文本全半角错误。</explain>
      <paraID>5E84779D</paraID>
      <start>2</start>
      <end>3</end>
      <status>unmodified</status>
      <modifiedWord/>
      <trackRevisions>false</trackRevisions>
    </reviewItem>
    <reviewItem>
      <errorID>4da4661d-c037-4639-829e-0ffde6b1cbe1</errorID>
      <errorWord>(</errorWord>
      <group>L1_Format</group>
      <groupName>格式问题</groupName>
      <ability>L2_HalfPunc</ability>
      <abilityName>全半角检查</abilityName>
      <candidateList>
        <item>（</item>
      </candidateList>
      <explain>文本全半角错误。</explain>
      <paraID>1E03D3EF</paraID>
      <start>2</start>
      <end>3</end>
      <status>modified</status>
      <modifiedWord>（</modifiedWord>
      <trackRevisions>false</trackRevisions>
    </reviewItem>
    <reviewItem>
      <errorID>b0cb809f-05a0-485c-8841-e85ebd46fcab</errorID>
      <errorWord>)</errorWord>
      <group>L1_Format</group>
      <groupName>格式问题</groupName>
      <ability>L2_HalfPunc</ability>
      <abilityName>全半角检查</abilityName>
      <candidateList>
        <item>）</item>
      </candidateList>
      <explain>文本全半角错误。</explain>
      <paraID>1E03D3EF</paraID>
      <start>8</start>
      <end>9</end>
      <status>modified</status>
      <modifiedWord>）</modifiedWord>
      <trackRevisions>false</trackRevisions>
    </reviewItem>
    <reviewItem>
      <errorID>c699a343-b28a-44af-9ad3-e15aaa59aa88</errorID>
      <errorWord>(</errorWord>
      <group>L1_Format</group>
      <groupName>格式问题</groupName>
      <ability>L2_HalfPunc</ability>
      <abilityName>全半角检查</abilityName>
      <candidateList>
        <item>（</item>
      </candidateList>
      <explain>文本全半角错误。</explain>
      <paraID>5F04DBC1</paraID>
      <start>2</start>
      <end>3</end>
      <status>modified</status>
      <modifiedWord>（</modifiedWord>
      <trackRevisions>false</trackRevisions>
    </reviewItem>
    <reviewItem>
      <errorID>0f457d25-956a-4972-8fe6-ca6db17071bc</errorID>
      <errorWord>)</errorWord>
      <group>L1_Format</group>
      <groupName>格式问题</groupName>
      <ability>L2_HalfPunc</ability>
      <abilityName>全半角检查</abilityName>
      <candidateList>
        <item>）</item>
      </candidateList>
      <explain>文本全半角错误。</explain>
      <paraID>5F04DBC1</paraID>
      <start>11</start>
      <end>12</end>
      <status>modified</status>
      <modifiedWord>）</modifiedWord>
      <trackRevisions>false</trackRevisions>
    </reviewItem>
    <reviewItem>
      <errorID>096ad1dc-2460-49fb-96c4-a5b074cb489b</errorID>
      <errorWord>(</errorWord>
      <group>L1_Format</group>
      <groupName>格式问题</groupName>
      <ability>L2_HalfPunc</ability>
      <abilityName>全半角检查</abilityName>
      <candidateList>
        <item>（</item>
      </candidateList>
      <explain>文本全半角错误。</explain>
      <paraID>5A9668E6</paraID>
      <start>3</start>
      <end>4</end>
      <status>modified</status>
      <modifiedWord>（</modifiedWord>
      <trackRevisions>false</trackRevisions>
    </reviewItem>
    <reviewItem>
      <errorID>5f83798b-e286-462b-9bf1-a7cfacf21b21</errorID>
      <errorWord>)</errorWord>
      <group>L1_Format</group>
      <groupName>格式问题</groupName>
      <ability>L2_HalfPunc</ability>
      <abilityName>全半角检查</abilityName>
      <candidateList>
        <item>）</item>
      </candidateList>
      <explain>文本全半角错误。</explain>
      <paraID>5A9668E6</paraID>
      <start>5</start>
      <end>6</end>
      <status>modified</status>
      <modifiedWord>）</modifiedWord>
      <trackRevisions>false</trackRevisions>
    </reviewItem>
    <reviewItem>
      <errorID>d4504bd4-cfdb-4aaa-a011-ac134ca3eefb</errorID>
      <errorWord>(</errorWord>
      <group>L1_Format</group>
      <groupName>格式问题</groupName>
      <ability>L2_HalfPunc</ability>
      <abilityName>全半角检查</abilityName>
      <candidateList>
        <item>（</item>
      </candidateList>
      <explain>文本全半角错误。</explain>
      <paraID>1EFBC16F</paraID>
      <start>3</start>
      <end>4</end>
      <status>modified</status>
      <modifiedWord>（</modifiedWord>
      <trackRevisions>false</trackRevisions>
    </reviewItem>
    <reviewItem>
      <errorID>33820455-fbfe-4341-a5b6-5e94b190d451</errorID>
      <errorWord>)</errorWord>
      <group>L1_Format</group>
      <groupName>格式问题</groupName>
      <ability>L2_HalfPunc</ability>
      <abilityName>全半角检查</abilityName>
      <candidateList>
        <item>）</item>
      </candidateList>
      <explain>文本全半角错误。</explain>
      <paraID>1EFBC16F</paraID>
      <start>5</start>
      <end>6</end>
      <status>modified</status>
      <modifiedWord>）</modifiedWord>
      <trackRevisions>false</trackRevisions>
    </reviewItem>
    <reviewItem>
      <errorID>e8ecacc1-f2f7-4ad1-9fc3-c1b986eecf86</errorID>
      <errorWord>(</errorWord>
      <group>L1_Format</group>
      <groupName>格式问题</groupName>
      <ability>L2_HalfPunc</ability>
      <abilityName>全半角检查</abilityName>
      <candidateList>
        <item>（</item>
      </candidateList>
      <explain>文本全半角错误。</explain>
      <paraID>7BC2D3DA</paraID>
      <start>3</start>
      <end>4</end>
      <status>modified</status>
      <modifiedWord>（</modifiedWord>
      <trackRevisions>false</trackRevisions>
    </reviewItem>
    <reviewItem>
      <errorID>1a31b471-d8f0-46ee-baa4-2d408f6b52c0</errorID>
      <errorWord>)</errorWord>
      <group>L1_Format</group>
      <groupName>格式问题</groupName>
      <ability>L2_HalfPunc</ability>
      <abilityName>全半角检查</abilityName>
      <candidateList>
        <item>）</item>
      </candidateList>
      <explain>文本全半角错误。</explain>
      <paraID>7BC2D3DA</paraID>
      <start>5</start>
      <end>6</end>
      <status>modified</status>
      <modifiedWord>）</modifiedWord>
      <trackRevisions>false</trackRevisions>
    </reviewItem>
    <reviewItem>
      <errorID>a296a79a-4d08-498f-a1e2-935a22c1a6cd</errorID>
      <errorWord>(</errorWord>
      <group>L1_Format</group>
      <groupName>格式问题</groupName>
      <ability>L2_HalfPunc</ability>
      <abilityName>全半角检查</abilityName>
      <candidateList>
        <item>（</item>
      </candidateList>
      <explain>文本全半角错误。</explain>
      <paraID>2A332F4A</paraID>
      <start>3</start>
      <end>4</end>
      <status>modified</status>
      <modifiedWord>（</modifiedWord>
      <trackRevisions>false</trackRevisions>
    </reviewItem>
    <reviewItem>
      <errorID>885a2214-5df1-4dd8-ad85-31af414541a4</errorID>
      <errorWord>)</errorWord>
      <group>L1_Format</group>
      <groupName>格式问题</groupName>
      <ability>L2_HalfPunc</ability>
      <abilityName>全半角检查</abilityName>
      <candidateList>
        <item>）</item>
      </candidateList>
      <explain>文本全半角错误。</explain>
      <paraID>2A332F4A</paraID>
      <start>5</start>
      <end>6</end>
      <status>modified</status>
      <modifiedWord>）</modifiedWord>
      <trackRevisions>false</trackRevisions>
    </reviewItem>
    <reviewItem>
      <errorID>92ac2e5b-1f3d-432b-9227-69f24859a8be</errorID>
      <errorWord>（</errorWord>
      <group>L1_Format</group>
      <groupName>格式问题</groupName>
      <ability>L2_HalfPunc</ability>
      <abilityName>全半角检查</abilityName>
      <candidateList>
        <item>(</item>
      </candidateList>
      <explain>文本全半角错误。</explain>
      <paraID>76E0E5AB</paraID>
      <start>3</start>
      <end>4</end>
      <status>modified</status>
      <modifiedWord>(</modifiedWord>
      <trackRevisions>false</trackRevisions>
    </reviewItem>
    <reviewItem>
      <errorID>d75e7dd3-d137-4844-85c3-763e65e38f24</errorID>
      <errorWord>)</errorWord>
      <group>L1_Format</group>
      <groupName>格式问题</groupName>
      <ability>L2_HalfPunc</ability>
      <abilityName>全半角检查</abilityName>
      <candidateList>
        <item>）</item>
      </candidateList>
      <explain>文本全半角错误。</explain>
      <paraID>2F256668</paraID>
      <start>8</start>
      <end>9</end>
      <status>modified</status>
      <modifiedWord>）</modifiedWord>
      <trackRevisions>false</trackRevisions>
    </reviewItem>
    <reviewItem>
      <errorID>65f59c13-62fe-46be-be76-3382a3a66d57</errorID>
      <errorWord>重碳酸钠</errorWord>
      <group>L1_Knowledge</group>
      <groupName>知识性问题</groupName>
      <ability>L2_Term</ability>
      <abilityName>专业术语</abilityName>
      <candidateList>
        <item>碳酸氢钠</item>
      </candidateList>
      <explain>医学名词[重碳酸钠]为不规范表述或旧称，其规范书面表述为[碳酸氢钠]。</explain>
      <paraID>67EFAA10</paraID>
      <start>0</start>
      <end>4</end>
      <status>unmodified</status>
      <modifiedWord/>
      <trackRevisions>false</trackRevisions>
    </reviewItem>
    <reviewItem>
      <errorID>9348748c-7d0e-4af4-9678-69b7a641097e</errorID>
      <errorWord>（</errorWord>
      <group>L1_Word</group>
      <groupName>字词问题</groupName>
      <ability>L2_Typo</ability>
      <abilityName>字词错误</abilityName>
      <candidateList>
        <item>（视</item>
      </candidateList>
      <explain/>
      <paraID> 2CD7AB1</paraID>
      <start>73</start>
      <end>74</end>
      <status>unmodified</status>
      <modifiedWord/>
      <trackRevisions>false</trackRevisions>
    </reviewItem>
    <reviewItem>
      <errorID>906efe88-153f-49b1-b289-484aee5555ef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5CE8C81D</paraID>
      <start>252</start>
      <end>253</end>
      <status>unmodified</status>
      <modifiedWord/>
      <trackRevisions>false</trackRevisions>
    </reviewItem>
    <reviewItem>
      <errorID>47613e95-0393-4e64-a008-d7664d406362</errorID>
      <errorWord>（</errorWord>
      <group>L1_Word</group>
      <groupName>字词问题</groupName>
      <ability>L2_Typo</ability>
      <abilityName>字词错误</abilityName>
      <candidateList>
        <item>（视</item>
      </candidateList>
      <explain/>
      <paraID>6BE7D1B2</paraID>
      <start>74</start>
      <end>75</end>
      <status>unmodified</status>
      <modifiedWord/>
      <trackRevisions>false</trackRevisions>
    </reviewItem>
    <reviewItem>
      <errorID>3d167ca3-1a59-4c01-a2e6-8f4c73da4207</errorID>
      <errorWord>粘</errorWord>
      <group>L1_Word</group>
      <groupName>字词问题</groupName>
      <ability>L2_Typo</ability>
      <abilityName>字词错误</abilityName>
      <candidateList>
        <item>黏</item>
      </candidateList>
      <explain>存在发音相同字词的误用。</explain>
      <paraID>238963E6</paraID>
      <start>52</start>
      <end>53</end>
      <status>unmodified</status>
      <modifiedWord/>
      <trackRevisions>false</trackRevisions>
    </reviewItem>
    <reviewItem>
      <errorID>e91a5f9e-5c36-4d82-93b4-73d4b183ad48</errorID>
      <errorWord>土层然</errorWord>
      <group>L1_Word</group>
      <groupName>字词问题</groupName>
      <ability>L2_Typo</ability>
      <abilityName>字词错误</abilityName>
      <candidateList>
        <item>土层</item>
      </candidateList>
      <explain/>
      <paraID>7CDFD8F6</paraID>
      <start>179</start>
      <end>181</end>
      <status>modified</status>
      <modifiedWord>土层</modifiedWord>
      <trackRevisions>false</trackRevisions>
    </reviewItem>
    <reviewItem>
      <errorID>e9ff90f8-db8d-4cc5-a1d4-ce8cfdac2f67</errorID>
      <errorWord>富裕</errorWord>
      <group>L1_Word</group>
      <groupName>字词问题</groupName>
      <ability>L2_Typo</ability>
      <abilityName>字词错误</abilityName>
      <candidateList>
        <item>富余</item>
      </candidateList>
      <explain>〈动〉足够而有剩余：～人员｜～了一些钱｜这里抽水机有～，可以支援你们两台。</explain>
      <paraID>7CDFD8F6</paraID>
      <start>183</start>
      <end>185</end>
      <status>modified</status>
      <modifiedWord>富余</modifiedWord>
      <trackRevisions>false</trackRevisions>
    </reviewItem>
    <reviewItem>
      <errorID>b5e5892a-6d41-4c71-bffe-bc2f3a158040</errorID>
      <errorWord>，，</errorWord>
      <group>L1_Punc</group>
      <groupName>标点问题</groupName>
      <ability>L2_Punc</ability>
      <abilityName>标点符号检查</abilityName>
      <candidateList>
        <item>，</item>
      </candidateList>
      <explain/>
      <paraID>6D509FDB</paraID>
      <start>152</start>
      <end>153</end>
      <status>modified</status>
      <modifiedWord>，</modifiedWord>
      <trackRevisions>false</trackRevisions>
    </reviewItem>
    <reviewItem>
      <errorID>0f00f7a0-eab7-4b82-a12a-420a51981467</errorID>
      <errorWord>＜</errorWord>
      <group>L1_Format</group>
      <groupName>格式问题</groupName>
      <ability>L2_HalfPunc</ability>
      <abilityName>全半角检查</abilityName>
      <candidateList>
        <item>&lt;</item>
      </candidateList>
      <explain>文本全半角错误。</explain>
      <paraID>578DD429</paraID>
      <start>0</start>
      <end>1</end>
      <status>unmodified</status>
      <modifiedWord/>
      <trackRevisions>false</trackRevisions>
    </reviewItem>
    <reviewItem>
      <errorID>e6eea32b-4f3e-4b77-b276-58790b8fb0c3</errorID>
      <errorWord>＜</errorWord>
      <group>L1_Format</group>
      <groupName>格式问题</groupName>
      <ability>L2_HalfPunc</ability>
      <abilityName>全半角检查</abilityName>
      <candidateList>
        <item>&lt;</item>
      </candidateList>
      <explain>文本全半角错误。</explain>
      <paraID>78C0ABCD</paraID>
      <start>0</start>
      <end>1</end>
      <status>unmodified</status>
      <modifiedWord/>
      <trackRevisions>false</trackRevisions>
    </reviewItem>
    <reviewItem>
      <errorID>ac63313c-3c15-4f41-b3cd-848d526eb464</errorID>
      <errorWord>＜</errorWord>
      <group>L1_Format</group>
      <groupName>格式问题</groupName>
      <ability>L2_HalfPunc</ability>
      <abilityName>全半角检查</abilityName>
      <candidateList>
        <item>&lt;</item>
      </candidateList>
      <explain>文本全半角错误。</explain>
      <paraID>2379798A</paraID>
      <start>0</start>
      <end>1</end>
      <status>unmodified</status>
      <modifiedWord/>
      <trackRevisions>false</trackRevisions>
    </reviewItem>
    <reviewItem>
      <errorID>d250d5bc-bc2b-441d-9a30-a30c7e816c27</errorID>
      <errorWord>＜</errorWord>
      <group>L1_Format</group>
      <groupName>格式问题</groupName>
      <ability>L2_HalfPunc</ability>
      <abilityName>全半角检查</abilityName>
      <candidateList>
        <item>&lt;</item>
      </candidateList>
      <explain>文本全半角错误。</explain>
      <paraID>6AC9FD42</paraID>
      <start>0</start>
      <end>1</end>
      <status>unmodified</status>
      <modifiedWord/>
      <trackRevisions>false</trackRevisions>
    </reviewItem>
    <reviewItem>
      <errorID>3c2e6989-aeab-470c-b36f-22d5e8382429</errorID>
      <errorWord>＜</errorWord>
      <group>L1_Format</group>
      <groupName>格式问题</groupName>
      <ability>L2_HalfPunc</ability>
      <abilityName>全半角检查</abilityName>
      <candidateList>
        <item>&lt;</item>
      </candidateList>
      <explain>文本全半角错误。</explain>
      <paraID>5FEA916D</paraID>
      <start>0</start>
      <end>1</end>
      <status>unmodified</status>
      <modifiedWord/>
      <trackRevisions>false</trackRevisions>
    </reviewItem>
    <reviewItem>
      <errorID>ed3b5c91-9c0f-4a37-be50-7d1ae42d6562</errorID>
      <errorWord>＜</errorWord>
      <group>L1_Format</group>
      <groupName>格式问题</groupName>
      <ability>L2_HalfPunc</ability>
      <abilityName>全半角检查</abilityName>
      <candidateList>
        <item>&lt;</item>
      </candidateList>
      <explain>文本全半角错误。</explain>
      <paraID>32DFA291</paraID>
      <start>0</start>
      <end>1</end>
      <status>unmodified</status>
      <modifiedWord/>
      <trackRevisions>false</trackRevisions>
    </reviewItem>
    <reviewItem>
      <errorID>f2e98474-13f7-4c20-a4be-421a77fd9500</errorID>
      <errorWord>：</errorWord>
      <group>L1_Format</group>
      <groupName>格式问题</groupName>
      <ability>L2_HalfPunc</ability>
      <abilityName>全半角检查</abilityName>
      <candidateList>
        <item>:</item>
      </candidateList>
      <explain>文本全半角错误。</explain>
      <paraID>55F5F85A</paraID>
      <start>236</start>
      <end>237</end>
      <status>modified</status>
      <modifiedWord>:</modifiedWord>
      <trackRevisions>false</trackRevisions>
    </reviewItem>
    <reviewItem>
      <errorID>81874024-ba11-4199-b181-884b8055c3a2</errorID>
      <errorWord>是由于温度和大气压力的变化引起</errorWord>
      <group>L1_Grammar</group>
      <groupName>语法问题</groupName>
      <ability>L2_Grammar</ability>
      <abilityName>语法错误</abilityName>
      <candidateList>
        <item>是由于温度和大气压力的变化</item>
      </candidateList>
      <explain/>
      <paraID>4670B171</paraID>
      <start>38</start>
      <end>53</end>
      <status>unmodified</status>
      <modifiedWord/>
      <trackRevisions>false</trackRevisions>
    </reviewItem>
    <reviewItem>
      <errorID>51a8cdc5-079f-4bc1-bb69-72aef9bc09ce</errorID>
      <errorWord>（</errorWord>
      <group>L1_Format</group>
      <groupName>格式问题</groupName>
      <ability>L2_HalfPunc</ability>
      <abilityName>全半角检查</abilityName>
      <candidateList>
        <item>(</item>
      </candidateList>
      <explain>文本全半角错误。</explain>
      <paraID>531CFA5D</paraID>
      <start>23</start>
      <end>24</end>
      <status>modified</status>
      <modifiedWord>(</modifiedWord>
      <trackRevisions>false</trackRevisions>
    </reviewItem>
    <reviewItem>
      <errorID>323e61d8-0bd5-4f09-8d2b-9e938588231d</errorID>
      <errorWord>）</errorWord>
      <group>L1_Format</group>
      <groupName>格式问题</groupName>
      <ability>L2_HalfPunc</ability>
      <abilityName>全半角检查</abilityName>
      <candidateList>
        <item>)</item>
      </candidateList>
      <explain>文本全半角错误。</explain>
      <paraID>531CFA5D</paraID>
      <start>29</start>
      <end>30</end>
      <status>modified</status>
      <modifiedWord>)</modifiedWord>
      <trackRevisions>false</trackRevisions>
    </reviewItem>
    <reviewItem>
      <errorID>d6af7613-de1c-45dc-a5f1-0a4a0a39f10e</errorID>
      <errorWord>]0</errorWord>
      <group>L1_Punc</group>
      <groupName>标点问题</groupName>
      <ability>L2_Punc</ability>
      <abilityName>标点符号检查</abilityName>
      <candidateList>
        <item>〕0</item>
      </candidateList>
      <explain/>
      <paraID>531CFA5D</paraID>
      <start>30</start>
      <end>32</end>
      <status>unmodified</status>
      <modifiedWord/>
      <trackRevisions>false</trackRevisions>
    </reviewItem>
    <reviewItem>
      <errorID>58cb9bf1-10c4-4c50-959c-c25d2ccd8906</errorID>
      <errorWord>-</errorWord>
      <group>L1_Format</group>
      <groupName>格式问题</groupName>
      <ability>L2_HalfPunc</ability>
      <abilityName>全半角检查</abilityName>
      <candidateList>
        <item>－</item>
      </candidateList>
      <explain>文本全半角错误。</explain>
      <paraID>6E21633D</paraID>
      <start>1</start>
      <end>2</end>
      <status>unmodified</status>
      <modifiedWord/>
      <trackRevisions>false</trackRevisions>
    </reviewItem>
    <reviewItem>
      <errorID>dc0c19d3-3970-4b45-9fb5-c1c1b18a4ba1</errorID>
      <errorWord>-</errorWord>
      <group>L1_Format</group>
      <groupName>格式问题</groupName>
      <ability>L2_HalfPunc</ability>
      <abilityName>全半角检查</abilityName>
      <candidateList>
        <item>－</item>
      </candidateList>
      <explain>文本全半角错误。</explain>
      <paraID>73602DFC</paraID>
      <start>1</start>
      <end>2</end>
      <status>unmodified</status>
      <modifiedWord/>
      <trackRevisions>false</trackRevisions>
    </reviewItem>
    <reviewItem>
      <errorID>d83fde84-8f3a-46d4-887e-0fd45dbc4443</errorID>
      <errorWord>～</errorWord>
      <group>L1_Format</group>
      <groupName>格式问题</groupName>
      <ability>L2_HalfPunc</ability>
      <abilityName>全半角检查</abilityName>
      <candidateList>
        <item>~</item>
      </candidateList>
      <explain>文本全半角错误。</explain>
      <paraID> 6E6BDCE</paraID>
      <start>2</start>
      <end>3</end>
      <status>unmodified</status>
      <modifiedWord/>
      <trackRevisions>false</trackRevisions>
    </reviewItem>
    <reviewItem>
      <errorID>cb548d73-0837-4f52-a788-d193f35b3e19</errorID>
      <errorWord>～</errorWord>
      <group>L1_Format</group>
      <groupName>格式问题</groupName>
      <ability>L2_HalfPunc</ability>
      <abilityName>全半角检查</abilityName>
      <candidateList>
        <item>~</item>
      </candidateList>
      <explain>文本全半角错误。</explain>
      <paraID>4CD2F8D2</paraID>
      <start>2</start>
      <end>3</end>
      <status>unmodified</status>
      <modifiedWord/>
      <trackRevisions>false</trackRevisions>
    </reviewItem>
    <reviewItem>
      <errorID>92ba74e7-b934-4189-b4c3-501d7d78b86b</errorID>
      <errorWord>～</errorWord>
      <group>L1_Format</group>
      <groupName>格式问题</groupName>
      <ability>L2_HalfPunc</ability>
      <abilityName>全半角检查</abilityName>
      <candidateList>
        <item>~</item>
      </candidateList>
      <explain>文本全半角错误。</explain>
      <paraID>62541DAE</paraID>
      <start>2</start>
      <end>3</end>
      <status>unmodified</status>
      <modifiedWord/>
      <trackRevisions>false</trackRevisions>
    </reviewItem>
    <reviewItem>
      <errorID>94a0e019-1cc6-4e79-b4dd-ea075f8294df</errorID>
      <errorWord>～</errorWord>
      <group>L1_Format</group>
      <groupName>格式问题</groupName>
      <ability>L2_HalfPunc</ability>
      <abilityName>全半角检查</abilityName>
      <candidateList>
        <item>~</item>
      </candidateList>
      <explain>文本全半角错误。</explain>
      <paraID>71AC8879</paraID>
      <start>2</start>
      <end>3</end>
      <status>unmodified</status>
      <modifiedWord/>
      <trackRevisions>false</trackRevisions>
    </reviewItem>
    <reviewItem>
      <errorID>c3842b41-a8b0-456a-9b26-dc91fa067f7d</errorID>
      <errorWord>～</errorWord>
      <group>L1_Format</group>
      <groupName>格式问题</groupName>
      <ability>L2_HalfPunc</ability>
      <abilityName>全半角检查</abilityName>
      <candidateList>
        <item>~</item>
      </candidateList>
      <explain>文本全半角错误。</explain>
      <paraID>5B32F0D5</paraID>
      <start>2</start>
      <end>3</end>
      <status>unmodified</status>
      <modifiedWord/>
      <trackRevisions>false</trackRevisions>
    </reviewItem>
    <reviewItem>
      <errorID>f4a32ea8-1cb4-40ea-9dfa-2261bd2fbdb4</errorID>
      <errorWord>～</errorWord>
      <group>L1_Format</group>
      <groupName>格式问题</groupName>
      <ability>L2_HalfPunc</ability>
      <abilityName>全半角检查</abilityName>
      <candidateList>
        <item>~</item>
      </candidateList>
      <explain>文本全半角错误。</explain>
      <paraID> D6D95D7</paraID>
      <start>2</start>
      <end>3</end>
      <status>unmodified</status>
      <modifiedWord/>
      <trackRevisions>false</trackRevisions>
    </reviewItem>
    <reviewItem>
      <errorID>8ee98858-725b-4bb8-8395-1400bfe22b43</errorID>
      <errorWord>～</errorWord>
      <group>L1_Format</group>
      <groupName>格式问题</groupName>
      <ability>L2_HalfPunc</ability>
      <abilityName>全半角检查</abilityName>
      <candidateList>
        <item>~</item>
      </candidateList>
      <explain>文本全半角错误。</explain>
      <paraID>56D9BA53</paraID>
      <start>2</start>
      <end>3</end>
      <status>unmodified</status>
      <modifiedWord/>
      <trackRevisions>false</trackRevisions>
    </reviewItem>
    <reviewItem>
      <errorID>c6851d40-3941-41f3-a058-cc7c99bb0b6e</errorID>
      <errorWord>～</errorWord>
      <group>L1_Format</group>
      <groupName>格式问题</groupName>
      <ability>L2_HalfPunc</ability>
      <abilityName>全半角检查</abilityName>
      <candidateList>
        <item>~</item>
      </candidateList>
      <explain>文本全半角错误。</explain>
      <paraID>3DD4B33F</paraID>
      <start>2</start>
      <end>3</end>
      <status>unmodified</status>
      <modifiedWord/>
      <trackRevisions>false</trackRevisions>
    </reviewItem>
    <reviewItem>
      <errorID>47551a33-831d-4c9e-af25-62e0c7bc0912</errorID>
      <errorWord>～</errorWord>
      <group>L1_Format</group>
      <groupName>格式问题</groupName>
      <ability>L2_HalfPunc</ability>
      <abilityName>全半角检查</abilityName>
      <candidateList>
        <item>~</item>
      </candidateList>
      <explain>文本全半角错误。</explain>
      <paraID>658519FC</paraID>
      <start>2</start>
      <end>3</end>
      <status>unmodified</status>
      <modifiedWord/>
      <trackRevisions>false</trackRevisions>
    </reviewItem>
    <reviewItem>
      <errorID>e9346740-5a88-4cc9-83b8-75a8c2022040</errorID>
      <errorWord>～</errorWord>
      <group>L1_Format</group>
      <groupName>格式问题</groupName>
      <ability>L2_HalfPunc</ability>
      <abilityName>全半角检查</abilityName>
      <candidateList>
        <item>~</item>
      </candidateList>
      <explain>文本全半角错误。</explain>
      <paraID>75647BFA</paraID>
      <start>2</start>
      <end>3</end>
      <status>unmodified</status>
      <modifiedWord/>
      <trackRevisions>false</trackRevisions>
    </reviewItem>
    <reviewItem>
      <errorID>c98ad9be-75bf-4556-b9ca-d85cca063d30</errorID>
      <errorWord>～</errorWord>
      <group>L1_Format</group>
      <groupName>格式问题</groupName>
      <ability>L2_HalfPunc</ability>
      <abilityName>全半角检查</abilityName>
      <candidateList>
        <item>~</item>
      </candidateList>
      <explain>文本全半角错误。</explain>
      <paraID>35BE7EF5</paraID>
      <start>2</start>
      <end>3</end>
      <status>unmodified</status>
      <modifiedWord/>
      <trackRevisions>false</trackRevisions>
    </reviewItem>
    <reviewItem>
      <errorID>1e336a33-263c-448e-b492-654c8a36fd05</errorID>
      <errorWord>沾</errorWord>
      <group>L1_Word</group>
      <groupName>字词问题</groupName>
      <ability>L2_Typo</ability>
      <abilityName>字词错误</abilityName>
      <candidateList>
        <item>蘸</item>
      </candidateList>
      <explain>存在发音相同字词的误用。</explain>
      <paraID>37BD8195</paraID>
      <start>1</start>
      <end>2</end>
      <status>unmodified</status>
      <modifiedWord/>
      <trackRevisions>false</trackRevisions>
    </reviewItem>
    <reviewItem>
      <errorID>9f0d2fdf-5486-4f64-9c4e-ea13a1bd69d3</errorID>
      <errorWord>、</errorWord>
      <group>L1_Punc</group>
      <groupName>标点问题</groupName>
      <ability>L2_Punc</ability>
      <abilityName>标点符号检查</abilityName>
      <candidateList>
        <item>.</item>
      </candidateList>
      <explain/>
      <paraID>62536B8D</paraID>
      <start>1</start>
      <end>2</end>
      <status>unmodified</status>
      <modifiedWord/>
      <trackRevisions>false</trackRevisions>
    </reviewItem>
    <reviewItem>
      <errorID>e02cb04b-c26d-43f8-815c-3d7932898a87</errorID>
      <errorWord>，</errorWord>
      <group>L1_Format</group>
      <groupName>格式问题</groupName>
      <ability>L2_HalfPunc</ability>
      <abilityName>全半角检查</abilityName>
      <candidateList>
        <item>, </item>
      </candidateList>
      <explain>文本全半角错误。</explain>
      <paraID>561D2103</paraID>
      <start>1</start>
      <end>2</end>
      <status>unmodified</status>
      <modifiedWord/>
      <trackRevisions>false</trackRevisions>
    </reviewItem>
    <reviewItem>
      <errorID>ab6969ca-96ea-4b3d-82d8-5634eabc76b7</errorID>
      <errorWord>，</errorWord>
      <group>L1_Format</group>
      <groupName>格式问题</groupName>
      <ability>L2_HalfPunc</ability>
      <abilityName>全半角检查</abilityName>
      <candidateList>
        <item>, </item>
      </candidateList>
      <explain>文本全半角错误。</explain>
      <paraID>3382E77D</paraID>
      <start>1</start>
      <end>2</end>
      <status>unmodified</status>
      <modifiedWord/>
      <trackRevisions>false</trackRevisions>
    </reviewItem>
    <reviewItem>
      <errorID>b174b31c-6b1b-4d5e-956b-a4e50ab65d8c</errorID>
      <errorWord>，</errorWord>
      <group>L1_Format</group>
      <groupName>格式问题</groupName>
      <ability>L2_HalfPunc</ability>
      <abilityName>全半角检查</abilityName>
      <candidateList>
        <item>, </item>
      </candidateList>
      <explain>文本全半角错误。</explain>
      <paraID>50A57172</paraID>
      <start>1</start>
      <end>2</end>
      <status>unmodified</status>
      <modifiedWord/>
      <trackRevisions>false</trackRevisions>
    </reviewItem>
    <reviewItem>
      <errorID>c5b8028d-da0e-4348-82de-d8fab8b747f5</errorID>
      <errorWord>-</errorWord>
      <group>L1_Format</group>
      <groupName>格式问题</groupName>
      <ability>L2_HalfPunc</ability>
      <abilityName>全半角检查</abilityName>
      <candidateList>
        <item>－</item>
      </candidateList>
      <explain>文本全半角错误。</explain>
      <paraID>6C63EE3F</paraID>
      <start>7</start>
      <end>8</end>
      <status>unmodified</status>
      <modifiedWord/>
      <trackRevisions>false</trackRevisions>
    </reviewItem>
    <reviewItem>
      <errorID>005aa4c6-95bb-496f-98c6-b6f73964c1c5</errorID>
      <errorWord>,</errorWord>
      <group>L1_Format</group>
      <groupName>格式问题</groupName>
      <ability>L2_HalfPunc</ability>
      <abilityName>全半角检查</abilityName>
      <candidateList>
        <item>，</item>
      </candidateList>
      <explain>文本全半角错误。</explain>
      <paraID> 5B05665</paraID>
      <start>6</start>
      <end>7</end>
      <status>unmodified</status>
      <modifiedWord/>
      <trackRevisions>false</trackRevisions>
    </reviewItem>
    <reviewItem>
      <errorID>467830a1-14bf-402a-b93d-1ef73f4a5f6d</errorID>
      <errorWord>,</errorWord>
      <group>L1_Format</group>
      <groupName>格式问题</groupName>
      <ability>L2_HalfPunc</ability>
      <abilityName>全半角检查</abilityName>
      <candidateList>
        <item>，</item>
      </candidateList>
      <explain>文本全半角错误。</explain>
      <paraID>58EF1D02</paraID>
      <start>4</start>
      <end>5</end>
      <status>unmodified</status>
      <modifiedWord/>
      <trackRevisions>false</trackRevisions>
    </reviewItem>
    <reviewItem>
      <errorID>303be23b-1c26-427a-ad55-c4b97a5ba911</errorID>
      <errorWord>三角鼎立</errorWord>
      <group>L1_Word</group>
      <groupName>字词问题</groupName>
      <ability>L2_Typo</ability>
      <abilityName>字词错误</abilityName>
      <candidateList>
        <item>三足鼎立</item>
      </candidateList>
      <explain>像鼎的三条腿那样站立着，比喻三方面的势力对峙。</explain>
      <paraID>241CD9B0</paraID>
      <start>200</start>
      <end>204</end>
      <status>unmodified</status>
      <modifiedWord/>
      <trackRevisions>false</trackRevisions>
    </reviewItem>
    <reviewItem>
      <errorID>0cb61123-0614-4442-9c51-b165f97701b3</errorID>
      <errorWord>-</errorWord>
      <group>L1_Format</group>
      <groupName>格式问题</groupName>
      <ability>L2_HalfPunc</ability>
      <abilityName>全半角检查</abilityName>
      <candidateList>
        <item>－</item>
      </candidateList>
      <explain>文本全半角错误。</explain>
      <paraID> D669AF2</paraID>
      <start>184</start>
      <end>185</end>
      <status>unmodified</status>
      <modifiedWord/>
      <trackRevisions>false</trackRevisions>
    </reviewItem>
    <reviewItem>
      <errorID>e374fa84-cf2b-4718-8db4-53f630af0f6a</errorID>
      <errorWord>)</errorWord>
      <group>L1_Format</group>
      <groupName>格式问题</groupName>
      <ability>L2_HalfPunc</ability>
      <abilityName>全半角检查</abilityName>
      <candidateList>
        <item>）</item>
      </candidateList>
      <explain>文本全半角错误。</explain>
      <paraID>743046FA</paraID>
      <start>86</start>
      <end>87</end>
      <status>modified</status>
      <modifiedWord>）</modifiedWord>
      <trackRevisions>false</trackRevisions>
    </reviewItem>
    <reviewItem>
      <errorID>31b61ed5-42ba-40f6-b5b2-50fcf318b1d7</errorID>
      <errorWord>)</errorWord>
      <group>L1_Format</group>
      <groupName>格式问题</groupName>
      <ability>L2_HalfPunc</ability>
      <abilityName>全半角检查</abilityName>
      <candidateList>
        <item>）</item>
      </candidateList>
      <explain>文本全半角错误。</explain>
      <paraID>743046FA</paraID>
      <start>120</start>
      <end>121</end>
      <status>modified</status>
      <modifiedWord>）</modifiedWord>
      <trackRevisions>false</trackRevisions>
    </reviewItem>
    <reviewItem>
      <errorID>b347470f-ffd9-4987-8ab8-0c4abfb2dfeb</errorID>
      <errorWord>（</errorWord>
      <group>L1_Format</group>
      <groupName>格式问题</groupName>
      <ability>L2_HalfPunc</ability>
      <abilityName>全半角检查</abilityName>
      <candidateList>
        <item>(</item>
      </candidateList>
      <explain>文本全半角错误。</explain>
      <paraID>148D33FC</paraID>
      <start>3</start>
      <end>4</end>
      <status>modified</status>
      <modifiedWord>(</modifiedWord>
      <trackRevisions>false</trackRevisions>
    </reviewItem>
    <reviewItem>
      <errorID>157ad49f-fb49-413a-8050-f4d2b5030ecd</errorID>
      <errorWord>）</errorWord>
      <group>L1_Format</group>
      <groupName>格式问题</groupName>
      <ability>L2_HalfPunc</ability>
      <abilityName>全半角检查</abilityName>
      <candidateList>
        <item>)</item>
      </candidateList>
      <explain>文本全半角错误。</explain>
      <paraID>148D33FC</paraID>
      <start>9</start>
      <end>10</end>
      <status>modified</status>
      <modifiedWord>)</modifiedWord>
      <trackRevisions>false</trackRevisions>
    </reviewItem>
    <reviewItem>
      <errorID>ab426db3-51b5-4bb2-974b-2d9fb7e06665</errorID>
      <errorWord>（</errorWord>
      <group>L1_Format</group>
      <groupName>格式问题</groupName>
      <ability>L2_HalfPunc</ability>
      <abilityName>全半角检查</abilityName>
      <candidateList>
        <item>(</item>
      </candidateList>
      <explain>文本全半角错误。</explain>
      <paraID> 80FFA94</paraID>
      <start>1</start>
      <end>2</end>
      <status>modified</status>
      <modifiedWord>(</modifiedWord>
      <trackRevisions>false</trackRevisions>
    </reviewItem>
    <reviewItem>
      <errorID>49384506-18d7-4f42-bccc-53f24c79eb6d</errorID>
      <errorWord>）</errorWord>
      <group>L1_Format</group>
      <groupName>格式问题</groupName>
      <ability>L2_HalfPunc</ability>
      <abilityName>全半角检查</abilityName>
      <candidateList>
        <item>)</item>
      </candidateList>
      <explain>文本全半角错误。</explain>
      <paraID> 80FFA94</paraID>
      <start>7</start>
      <end>8</end>
      <status>modified</status>
      <modifiedWord>)</modifiedWord>
      <trackRevisions>false</trackRevisions>
    </reviewItem>
    <reviewItem>
      <errorID>6d49ae5a-2872-4bec-abd0-6151695da1cb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1D325F58</paraID>
      <start>15</start>
      <end>16</end>
      <status>unmodified</status>
      <modifiedWord/>
      <trackRevisions>false</trackRevisions>
    </reviewItem>
    <reviewItem>
      <errorID>42c92f55-2494-435a-b595-acd459bdb0c5</errorID>
      <errorWord>（</errorWord>
      <group>L1_Format</group>
      <groupName>格式问题</groupName>
      <ability>L2_HalfPunc</ability>
      <abilityName>全半角检查</abilityName>
      <candidateList>
        <item>(</item>
      </candidateList>
      <explain>文本全半角错误。</explain>
      <paraID>44A59B50</paraID>
      <start>0</start>
      <end>1</end>
      <status>modified</status>
      <modifiedWord>(</modifiedWord>
      <trackRevisions>false</trackRevisions>
    </reviewItem>
    <reviewItem>
      <errorID>57debbef-703c-4f31-8da4-43329618bb43</errorID>
      <errorWord>）</errorWord>
      <group>L1_Format</group>
      <groupName>格式问题</groupName>
      <ability>L2_HalfPunc</ability>
      <abilityName>全半角检查</abilityName>
      <candidateList>
        <item>)</item>
      </candidateList>
      <explain>文本全半角错误。</explain>
      <paraID>44A59B50</paraID>
      <start>6</start>
      <end>7</end>
      <status>modified</status>
      <modifiedWord>)</modifiedWord>
      <trackRevisions>false</trackRevisions>
    </reviewItem>
    <reviewItem>
      <errorID>295c349c-bd24-478e-bebf-c3d0db80a1f6</errorID>
      <errorWord>（</errorWord>
      <group>L1_Format</group>
      <groupName>格式问题</groupName>
      <ability>L2_HalfPunc</ability>
      <abilityName>全半角检查</abilityName>
      <candidateList>
        <item>(</item>
      </candidateList>
      <explain>文本全半角错误。</explain>
      <paraID>6F91B60E</paraID>
      <start>0</start>
      <end>1</end>
      <status>modified</status>
      <modifiedWord>(</modifiedWord>
      <trackRevisions>false</trackRevisions>
    </reviewItem>
    <reviewItem>
      <errorID>9055b588-720f-4460-a647-26e8baa4bfc3</errorID>
      <errorWord>）</errorWord>
      <group>L1_Format</group>
      <groupName>格式问题</groupName>
      <ability>L2_HalfPunc</ability>
      <abilityName>全半角检查</abilityName>
      <candidateList>
        <item>)</item>
      </candidateList>
      <explain>文本全半角错误。</explain>
      <paraID>6F91B60E</paraID>
      <start>6</start>
      <end>7</end>
      <status>modified</status>
      <modifiedWord>)</modifiedWord>
      <trackRevisions>false</trackRevisions>
    </reviewItem>
    <reviewItem>
      <errorID>400ecfd5-7ed0-49da-99c3-07ddea16fc0d</errorID>
      <errorWord>～</errorWord>
      <group>L1_Format</group>
      <groupName>格式问题</groupName>
      <ability>L2_HalfPunc</ability>
      <abilityName>全半角检查</abilityName>
      <candidateList>
        <item>~</item>
      </candidateList>
      <explain>文本全半角错误。</explain>
      <paraID>511DE8DB</paraID>
      <start>2</start>
      <end>3</end>
      <status>unmodified</status>
      <modifiedWord/>
      <trackRevisions>false</trackRevisions>
    </reviewItem>
    <reviewItem>
      <errorID>af661474-e432-40a8-8836-ece79cf44a9c</errorID>
      <errorWord>～</errorWord>
      <group>L1_Format</group>
      <groupName>格式问题</groupName>
      <ability>L2_HalfPunc</ability>
      <abilityName>全半角检查</abilityName>
      <candidateList>
        <item>~</item>
      </candidateList>
      <explain>文本全半角错误。</explain>
      <paraID>3FEEBA67</paraID>
      <start>2</start>
      <end>3</end>
      <status>unmodified</status>
      <modifiedWord/>
      <trackRevisions>false</trackRevisions>
    </reviewItem>
    <reviewItem>
      <errorID>339e8128-5bbf-49f0-b713-36b549548b0f</errorID>
      <errorWord>&lt;</errorWord>
      <group>L1_Format</group>
      <groupName>格式问题</groupName>
      <ability>L2_HalfPunc</ability>
      <abilityName>全半角检查</abilityName>
      <candidateList>
        <item>〈</item>
      </candidateList>
      <explain>文本全半角错误。</explain>
      <paraID>2AFC682B</paraID>
      <start>21</start>
      <end>22</end>
      <status>modified</status>
      <modifiedWord>〈</modifiedWord>
      <trackRevisions>false</trackRevisions>
    </reviewItem>
    <reviewItem>
      <errorID>b877b6b6-bc10-488b-ba46-f689defe32ac</errorID>
      <errorWord>&gt;</errorWord>
      <group>L1_Format</group>
      <groupName>格式问题</groupName>
      <ability>L2_HalfPunc</ability>
      <abilityName>全半角检查</abilityName>
      <candidateList>
        <item>〉</item>
      </candidateList>
      <explain>文本全半角错误。</explain>
      <paraID>2AFC682B</paraID>
      <start>33</start>
      <end>34</end>
      <status>modified</status>
      <modifiedWord>〉</modifiedWord>
      <trackRevisions>false</trackRevisions>
    </reviewItem>
    <reviewItem>
      <errorID>eeccf280-0f34-46fa-a173-8577a1c4e14b</errorID>
      <errorWord>(</errorWord>
      <group>L1_Format</group>
      <groupName>格式问题</groupName>
      <ability>L2_HalfPunc</ability>
      <abilityName>全半角检查</abilityName>
      <candidateList>
        <item>（</item>
      </candidateList>
      <explain>文本全半角错误。</explain>
      <paraID>1B9D9812</paraID>
      <start>90</start>
      <end>91</end>
      <status>modified</status>
      <modifiedWord>（</modifiedWord>
      <trackRevisions>false</trackRevisions>
    </reviewItem>
    <reviewItem>
      <errorID>cc590728-0bc2-4ce7-9209-9c63c6881046</errorID>
      <errorWord>)</errorWord>
      <group>L1_Format</group>
      <groupName>格式问题</groupName>
      <ability>L2_HalfPunc</ability>
      <abilityName>全半角检查</abilityName>
      <candidateList>
        <item>）</item>
      </candidateList>
      <explain>文本全半角错误。</explain>
      <paraID>1B9D9812</paraID>
      <start>93</start>
      <end>94</end>
      <status>modified</status>
      <modifiedWord>）</modifiedWord>
      <trackRevisions>false</trackRevisions>
    </reviewItem>
    <reviewItem>
      <errorID>01083404-fc01-4c10-8ec3-a9740ea3a313</errorID>
      <errorWord>～</errorWord>
      <group>L1_Format</group>
      <groupName>格式问题</groupName>
      <ability>L2_HalfPunc</ability>
      <abilityName>全半角检查</abilityName>
      <candidateList>
        <item>~</item>
      </candidateList>
      <explain>文本全半角错误。</explain>
      <paraID>53EBA509</paraID>
      <start>3</start>
      <end>4</end>
      <status>unmodified</status>
      <modifiedWord/>
      <trackRevisions>false</trackRevisions>
    </reviewItem>
    <reviewItem>
      <errorID>15034dcf-6801-4708-9ead-1367288450d9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68C84489</paraID>
      <start>0</start>
      <end>2</end>
      <status>unmodified</status>
      <modifiedWord/>
      <trackRevisions>false</trackRevisions>
    </reviewItem>
    <reviewItem>
      <errorID>dcdf9857-a140-4698-ae48-c58092f56716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5F14BAC5</paraID>
      <start>0</start>
      <end>2</end>
      <status>unmodified</status>
      <modifiedWord/>
      <trackRevisions>false</trackRevisions>
    </reviewItem>
    <reviewItem>
      <errorID>3d89b408-5133-4812-b0ce-428c8c182391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4AE84ED2</paraID>
      <start>0</start>
      <end>2</end>
      <status>unmodified</status>
      <modifiedWord/>
      <trackRevisions>false</trackRevisions>
    </reviewItem>
    <reviewItem>
      <errorID>56b0a66a-d2b9-4f93-b388-66fffad2f788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639C0014</paraID>
      <start>0</start>
      <end>2</end>
      <status>unmodified</status>
      <modifiedWord/>
      <trackRevisions>false</trackRevisions>
    </reviewItem>
    <reviewItem>
      <errorID>f9c335ef-07e1-4c62-a3bb-aeb2570d0503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4CC4451E</paraID>
      <start>0</start>
      <end>2</end>
      <status>unmodified</status>
      <modifiedWord/>
      <trackRevisions>false</trackRevisions>
    </reviewItem>
    <reviewItem>
      <errorID>211569ad-e234-4d98-8d5a-4efaee4371d1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41C18EFC</paraID>
      <start>0</start>
      <end>2</end>
      <status>unmodified</status>
      <modifiedWord/>
      <trackRevisions>false</trackRevisions>
    </reviewItem>
    <reviewItem>
      <errorID>07849da2-3ef6-47a6-b2f4-cd5c1dc32cfa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311E62D9</paraID>
      <start>0</start>
      <end>2</end>
      <status>unmodified</status>
      <modifiedWord/>
      <trackRevisions>false</trackRevisions>
    </reviewItem>
    <reviewItem>
      <errorID>dd5f8658-76d9-438d-9cf8-33b50c3e1ed2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5B11B307</paraID>
      <start>0</start>
      <end>2</end>
      <status>unmodified</status>
      <modifiedWord/>
      <trackRevisions>false</trackRevisions>
    </reviewItem>
    <reviewItem>
      <errorID>edff178f-8c03-41df-89e9-61003d4eedad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21B30BE9</paraID>
      <start>0</start>
      <end>2</end>
      <status>unmodified</status>
      <modifiedWord/>
      <trackRevisions>false</trackRevisions>
    </reviewItem>
    <reviewItem>
      <errorID>b41f4af1-8a2e-4fb9-83bd-b27bdf17b4e0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292D360B</paraID>
      <start>0</start>
      <end>2</end>
      <status>unmodified</status>
      <modifiedWord/>
      <trackRevisions>false</trackRevisions>
    </reviewItem>
    <reviewItem>
      <errorID>3033e623-9760-4079-bb8f-9837057a3526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72DDA8BD</paraID>
      <start>0</start>
      <end>2</end>
      <status>unmodified</status>
      <modifiedWord/>
      <trackRevisions>false</trackRevisions>
    </reviewItem>
    <reviewItem>
      <errorID>fc234165-e4fc-4bd3-8765-434b8d2562b2</errorID>
      <errorWord>～</errorWord>
      <group>L1_Format</group>
      <groupName>格式问题</groupName>
      <ability>L2_HalfPunc</ability>
      <abilityName>全半角检查</abilityName>
      <candidateList>
        <item>~</item>
      </candidateList>
      <explain>文本全半角错误。</explain>
      <paraID>17F19049</paraID>
      <start>5</start>
      <end>6</end>
      <status>unmodified</status>
      <modifiedWord/>
      <trackRevisions>false</trackRevisions>
    </reviewItem>
    <reviewItem>
      <errorID>ef661595-6bb0-4bae-95bd-98dcabb83230</errorID>
      <errorWord>～</errorWord>
      <group>L1_Format</group>
      <groupName>格式问题</groupName>
      <ability>L2_HalfPunc</ability>
      <abilityName>全半角检查</abilityName>
      <candidateList>
        <item>~</item>
      </candidateList>
      <explain>文本全半角错误。</explain>
      <paraID>2938F1F9</paraID>
      <start>7</start>
      <end>8</end>
      <status>unmodified</status>
      <modifiedWord/>
      <trackRevisions>false</trackRevisions>
    </reviewItem>
    <reviewItem>
      <errorID>3b81601b-9d50-4f37-a20d-4fe323fb50c0</errorID>
      <errorWord>～</errorWord>
      <group>L1_Format</group>
      <groupName>格式问题</groupName>
      <ability>L2_HalfPunc</ability>
      <abilityName>全半角检查</abilityName>
      <candidateList>
        <item>~</item>
      </candidateList>
      <explain>文本全半角错误。</explain>
      <paraID> 8A7B2CE</paraID>
      <start>7</start>
      <end>8</end>
      <status>unmodified</status>
      <modifiedWord/>
      <trackRevisions>false</trackRevisions>
    </reviewItem>
    <reviewItem>
      <errorID>74043b88-2009-4a1d-b309-06ebfaf67538</errorID>
      <errorWord>～</errorWord>
      <group>L1_Format</group>
      <groupName>格式问题</groupName>
      <ability>L2_HalfPunc</ability>
      <abilityName>全半角检查</abilityName>
      <candidateList>
        <item>~</item>
      </candidateList>
      <explain>文本全半角错误。</explain>
      <paraID>2516B928</paraID>
      <start>5</start>
      <end>6</end>
      <status>unmodified</status>
      <modifiedWord/>
      <trackRevisions>false</trackRevisions>
    </reviewItem>
    <reviewItem>
      <errorID>7f6b5ee3-c168-4485-929f-a937d39046d4</errorID>
      <errorWord>～</errorWord>
      <group>L1_Format</group>
      <groupName>格式问题</groupName>
      <ability>L2_HalfPunc</ability>
      <abilityName>全半角检查</abilityName>
      <candidateList>
        <item>~</item>
      </candidateList>
      <explain>文本全半角错误。</explain>
      <paraID>73C9F2C5</paraID>
      <start>7</start>
      <end>8</end>
      <status>unmodified</status>
      <modifiedWord/>
      <trackRevisions>false</trackRevisions>
    </reviewItem>
    <reviewItem>
      <errorID>4f7b61fd-dac4-40d1-8806-478070aff126</errorID>
      <errorWord>～</errorWord>
      <group>L1_Format</group>
      <groupName>格式问题</groupName>
      <ability>L2_HalfPunc</ability>
      <abilityName>全半角检查</abilityName>
      <candidateList>
        <item>~</item>
      </candidateList>
      <explain>文本全半角错误。</explain>
      <paraID>25735519</paraID>
      <start>7</start>
      <end>8</end>
      <status>unmodified</status>
      <modifiedWord/>
      <trackRevisions>false</trackRevisions>
    </reviewItem>
    <reviewItem>
      <errorID>9a2a4bb1-e7e2-4a3d-b7c1-afe984303c71</errorID>
      <errorWord>～</errorWord>
      <group>L1_Format</group>
      <groupName>格式问题</groupName>
      <ability>L2_HalfPunc</ability>
      <abilityName>全半角检查</abilityName>
      <candidateList>
        <item>~</item>
      </candidateList>
      <explain>文本全半角错误。</explain>
      <paraID> 2291646</paraID>
      <start>5</start>
      <end>6</end>
      <status>unmodified</status>
      <modifiedWord/>
      <trackRevisions>false</trackRevisions>
    </reviewItem>
    <reviewItem>
      <errorID>3c4acebd-9bd9-4a21-abec-ef4e0d421ed7</errorID>
      <errorWord>～</errorWord>
      <group>L1_Format</group>
      <groupName>格式问题</groupName>
      <ability>L2_HalfPunc</ability>
      <abilityName>全半角检查</abilityName>
      <candidateList>
        <item>~</item>
      </candidateList>
      <explain>文本全半角错误。</explain>
      <paraID>7D483220</paraID>
      <start>7</start>
      <end>8</end>
      <status>unmodified</status>
      <modifiedWord/>
      <trackRevisions>false</trackRevisions>
    </reviewItem>
    <reviewItem>
      <errorID>87672a2a-01ab-4e30-8b69-2c03311057f6</errorID>
      <errorWord>～</errorWord>
      <group>L1_Format</group>
      <groupName>格式问题</groupName>
      <ability>L2_HalfPunc</ability>
      <abilityName>全半角检查</abilityName>
      <candidateList>
        <item>~</item>
      </candidateList>
      <explain>文本全半角错误。</explain>
      <paraID>55B7E665</paraID>
      <start>7</start>
      <end>8</end>
      <status>unmodified</status>
      <modifiedWord/>
      <trackRevisions>false</trackRevisions>
    </reviewItem>
    <reviewItem>
      <errorID>68e5acf1-6d74-4eb0-91d6-c0a72a037e6e</errorID>
      <errorWord>～</errorWord>
      <group>L1_Format</group>
      <groupName>格式问题</groupName>
      <ability>L2_HalfPunc</ability>
      <abilityName>全半角检查</abilityName>
      <candidateList>
        <item>~</item>
      </candidateList>
      <explain>文本全半角错误。</explain>
      <paraID>16F04AAC</paraID>
      <start>5</start>
      <end>6</end>
      <status>unmodified</status>
      <modifiedWord/>
      <trackRevisions>false</trackRevisions>
    </reviewItem>
    <reviewItem>
      <errorID>356d2b1e-bfbe-4396-a57c-d1dfe0f5b86b</errorID>
      <errorWord>～</errorWord>
      <group>L1_Format</group>
      <groupName>格式问题</groupName>
      <ability>L2_HalfPunc</ability>
      <abilityName>全半角检查</abilityName>
      <candidateList>
        <item>~</item>
      </candidateList>
      <explain>文本全半角错误。</explain>
      <paraID>1B6D7418</paraID>
      <start>5</start>
      <end>6</end>
      <status>unmodified</status>
      <modifiedWord/>
      <trackRevisions>false</trackRevisions>
    </reviewItem>
    <reviewItem>
      <errorID>cb1eba23-65bc-49fb-8cbd-eb14fb6e58df</errorID>
      <errorWord>～</errorWord>
      <group>L1_Format</group>
      <groupName>格式问题</groupName>
      <ability>L2_HalfPunc</ability>
      <abilityName>全半角检查</abilityName>
      <candidateList>
        <item>~</item>
      </candidateList>
      <explain>文本全半角错误。</explain>
      <paraID>510B6B66</paraID>
      <start>5</start>
      <end>6</end>
      <status>unmodified</status>
      <modifiedWord/>
      <trackRevisions>false</trackRevisions>
    </reviewItem>
    <reviewItem>
      <errorID>80ee6ce5-ae4f-4484-9704-9c2756a8f90e</errorID>
      <errorWord>～</errorWord>
      <group>L1_Format</group>
      <groupName>格式问题</groupName>
      <ability>L2_HalfPunc</ability>
      <abilityName>全半角检查</abilityName>
      <candidateList>
        <item>~</item>
      </candidateList>
      <explain>文本全半角错误。</explain>
      <paraID>2CB54B48</paraID>
      <start>5</start>
      <end>6</end>
      <status>unmodified</status>
      <modifiedWord/>
      <trackRevisions>false</trackRevisions>
    </reviewItem>
    <reviewItem>
      <errorID>ea7626e0-a52e-452a-a3f3-c01931fb40d7</errorID>
      <errorWord>～</errorWord>
      <group>L1_Format</group>
      <groupName>格式问题</groupName>
      <ability>L2_HalfPunc</ability>
      <abilityName>全半角检查</abilityName>
      <candidateList>
        <item>~</item>
      </candidateList>
      <explain>文本全半角错误。</explain>
      <paraID>4215C9D2</paraID>
      <start>5</start>
      <end>6</end>
      <status>unmodified</status>
      <modifiedWord/>
      <trackRevisions>false</trackRevisions>
    </reviewItem>
    <reviewItem>
      <errorID>a468e4dd-65a9-487e-b4f0-58672a5d2098</errorID>
      <errorWord>～</errorWord>
      <group>L1_Format</group>
      <groupName>格式问题</groupName>
      <ability>L2_HalfPunc</ability>
      <abilityName>全半角检查</abilityName>
      <candidateList>
        <item>~</item>
      </candidateList>
      <explain>文本全半角错误。</explain>
      <paraID>58EC4DC3</paraID>
      <start>5</start>
      <end>6</end>
      <status>unmodified</status>
      <modifiedWord/>
      <trackRevisions>false</trackRevisions>
    </reviewItem>
    <reviewItem>
      <errorID>c7f9c20a-ac50-4445-b5f0-8d151cfc7fa8</errorID>
      <errorWord>～</errorWord>
      <group>L1_Format</group>
      <groupName>格式问题</groupName>
      <ability>L2_HalfPunc</ability>
      <abilityName>全半角检查</abilityName>
      <candidateList>
        <item>~</item>
      </candidateList>
      <explain>文本全半角错误。</explain>
      <paraID>77979E99</paraID>
      <start>6</start>
      <end>7</end>
      <status>unmodified</status>
      <modifiedWord/>
      <trackRevisions>false</trackRevisions>
    </reviewItem>
    <reviewItem>
      <errorID>ca9ec46f-a875-4dc0-8dc5-2631c4c139e9</errorID>
      <errorWord>～</errorWord>
      <group>L1_Format</group>
      <groupName>格式问题</groupName>
      <ability>L2_HalfPunc</ability>
      <abilityName>全半角检查</abilityName>
      <candidateList>
        <item>~</item>
      </candidateList>
      <explain>文本全半角错误。</explain>
      <paraID>6EDB8FFD</paraID>
      <start>1</start>
      <end>2</end>
      <status>unmodified</status>
      <modifiedWord/>
      <trackRevisions>false</trackRevisions>
    </reviewItem>
    <reviewItem>
      <errorID>162822c3-15f3-4623-9776-4c0f797ce3bd</errorID>
      <errorWord>生物多样性维护</errorWord>
      <group>L1_Political</group>
      <groupName>政治性问题</groupName>
      <ability>L2_Keyword</ability>
      <abilityName>固定表述</abilityName>
      <candidateList>
        <item>生物多样性保护</item>
      </candidateList>
      <explain>词汇“生物多样性保护”在特定场景下为固定表述形式，请确认此处的“生物多样性维护”是否存在不当。</explain>
      <paraID>50A8AF62</paraID>
      <start>6</start>
      <end>13</end>
      <status>modified</status>
      <modifiedWord>生物多样性保护</modifiedWord>
      <trackRevisions>false</trackRevisions>
    </reviewItem>
    <reviewItem>
      <errorID>f4a0e308-5291-4377-ae79-b6000bc1ee80</errorID>
      <errorWord>憔采</errorWord>
      <group>L1_Word</group>
      <groupName>字词问题</groupName>
      <ability>L2_Typo</ability>
      <abilityName>字词错误</abilityName>
      <candidateList>
        <item>开采</item>
      </candidateList>
      <explain>〈动〉挖掘（矿物）：～石油｜～地下资源。</explain>
      <paraID>2316A025</paraID>
      <start>31</start>
      <end>33</end>
      <status>unmodified</status>
      <modifiedWord/>
      <trackRevisions>false</trackRevisions>
    </reviewItem>
    <reviewItem>
      <errorID>dd7f4086-3b6f-4536-a97d-db33ad8fd5eb</errorID>
      <errorWord>中</errorWord>
      <group>L1_Word</group>
      <groupName>字词问题</groupName>
      <ability>L2_Typo</ability>
      <abilityName>字词错误</abilityName>
      <candidateList>
        <item>沙</item>
      </candidateList>
      <explain/>
      <paraID>6508F745</paraID>
      <start>111</start>
      <end>112</end>
      <status>modified</status>
      <modifiedWord>沙</modifiedWord>
      <trackRevisions>false</trackRevisions>
    </reviewItem>
    <reviewItem>
      <errorID>10fc7dc0-9345-478c-983a-4efaf333dafd</errorID>
      <errorWord>5～10%</errorWord>
      <group>L1_Knowledge</group>
      <groupName>知识性问题</groupName>
      <ability>L2_Knowledge</ability>
      <abilityName>其他知识</abilityName>
      <candidateList>
        <item>5%～10%</item>
      </candidateList>
      <explain>1. “5～10%”中的单位“%”仅出现在后一个数字上，容易引起歧义；根据《现代汉语标点符号数字用法规范手册》，数字表示范围两边需要使用统一的格式。2. 根据标点国标 4.13 中的规则，数字、时间或地域连接符应使用（视觉上更长的）“—”或“～”。</explain>
      <paraID> 749F474</paraID>
      <start>44</start>
      <end>50</end>
      <status>modified</status>
      <modifiedWord>5%～10%</modifiedWord>
      <trackRevisions>false</trackRevisions>
    </reviewItem>
    <reviewItem>
      <errorID>dbabdc44-7159-45ad-9f3a-9ec918dc2301</errorID>
      <errorWord>5～10％</errorWord>
      <group>L1_Knowledge</group>
      <groupName>知识性问题</groupName>
      <ability>L2_Knowledge</ability>
      <abilityName>其他知识</abilityName>
      <candidateList>
        <item>5％～10％</item>
      </candidateList>
      <explain>1. “5～10％”中的单位“％”仅出现在后一个数字上，容易引起歧义；根据《现代汉语标点符号数字用法规范手册》，数字表示范围两边需要使用统一的格式。2. 根据标点国标 4.13 中的规则，数字、时间或地域连接符应使用（视觉上更长的）“—”或“～”。</explain>
      <paraID>750CC592</paraID>
      <start>17</start>
      <end>23</end>
      <status>modified</status>
      <modifiedWord>5％～10％</modifiedWord>
      <trackRevisions>false</trackRevisions>
    </reviewItem>
    <reviewItem>
      <errorID>142ce208-a9d0-4367-8a0d-5b90b12ef43e</errorID>
      <errorWord>～</errorWord>
      <group>L1_Format</group>
      <groupName>格式问题</groupName>
      <ability>L2_HalfPunc</ability>
      <abilityName>全半角检查</abilityName>
      <candidateList>
        <item>~</item>
      </candidateList>
      <explain>文本全半角错误。</explain>
      <paraID>4BEDEAD4</paraID>
      <start>2</start>
      <end>3</end>
      <status>unmodified</status>
      <modifiedWord/>
      <trackRevisions>false</trackRevisions>
    </reviewItem>
    <reviewItem>
      <errorID>5138a065-71b8-4668-b4b9-48808dad06ea</errorID>
      <errorWord>～</errorWord>
      <group>L1_Format</group>
      <groupName>格式问题</groupName>
      <ability>L2_HalfPunc</ability>
      <abilityName>全半角检查</abilityName>
      <candidateList>
        <item>~</item>
      </candidateList>
      <explain>文本全半角错误。</explain>
      <paraID>1ED57FA9</paraID>
      <start>2</start>
      <end>3</end>
      <status>unmodified</status>
      <modifiedWord/>
      <trackRevisions>false</trackRevisions>
    </reviewItem>
    <reviewItem>
      <errorID>4ddcfac1-5055-4976-ad8f-e7cdf7dd2a44</errorID>
      <errorWord>，</errorWord>
      <group>L1_Format</group>
      <groupName>格式问题</groupName>
      <ability>L2_HalfPunc</ability>
      <abilityName>全半角检查</abilityName>
      <candidateList>
        <item>, </item>
      </candidateList>
      <explain>文本全半角错误。</explain>
      <paraID>2BC157F4</paraID>
      <start>13</start>
      <end>14</end>
      <status>unmodified</status>
      <modifiedWord/>
      <trackRevisions>false</trackRevisions>
    </reviewItem>
    <reviewItem>
      <errorID>9ee7bd35-4f2d-4c83-90cd-b7247697a0ed</errorID>
      <errorWord>～</errorWord>
      <group>L1_Format</group>
      <groupName>格式问题</groupName>
      <ability>L2_HalfPunc</ability>
      <abilityName>全半角检查</abilityName>
      <candidateList>
        <item>~</item>
      </candidateList>
      <explain>文本全半角错误。</explain>
      <paraID>39AF9826</paraID>
      <start>2</start>
      <end>3</end>
      <status>unmodified</status>
      <modifiedWord/>
      <trackRevisions>false</trackRevisions>
    </reviewItem>
    <reviewItem>
      <errorID>289db672-4ccd-4794-be04-8cff07fd0406</errorID>
      <errorWord>～</errorWord>
      <group>L1_Format</group>
      <groupName>格式问题</groupName>
      <ability>L2_HalfPunc</ability>
      <abilityName>全半角检查</abilityName>
      <candidateList>
        <item>~</item>
      </candidateList>
      <explain>文本全半角错误。</explain>
      <paraID>37FB2397</paraID>
      <start>2</start>
      <end>3</end>
      <status>unmodified</status>
      <modifiedWord/>
      <trackRevisions>false</trackRevisions>
    </reviewItem>
    <reviewItem>
      <errorID>56e744a9-a751-461f-b97e-e2bf16f322f5</errorID>
      <errorWord>～</errorWord>
      <group>L1_Format</group>
      <groupName>格式问题</groupName>
      <ability>L2_HalfPunc</ability>
      <abilityName>全半角检查</abilityName>
      <candidateList>
        <item>~</item>
      </candidateList>
      <explain>文本全半角错误。</explain>
      <paraID>50C965B9</paraID>
      <start>2</start>
      <end>3</end>
      <status>unmodified</status>
      <modifiedWord/>
      <trackRevisions>false</trackRevisions>
    </reviewItem>
    <reviewItem>
      <errorID>6425fe1e-588b-4321-8b93-e01013a4ae7c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1CCDE24E</paraID>
      <start>0</start>
      <end>2</end>
      <status>unmodified</status>
      <modifiedWord/>
      <trackRevisions>false</trackRevisions>
    </reviewItem>
    <reviewItem>
      <errorID>88903eb4-4f41-4b38-a8ac-a79f63e0c9d5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24DBD6B1</paraID>
      <start>0</start>
      <end>2</end>
      <status>unmodified</status>
      <modifiedWord/>
      <trackRevisions>false</trackRevisions>
    </reviewItem>
    <reviewItem>
      <errorID>33fafb25-fcea-4105-966d-89ae5179a1fc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37ADBB21</paraID>
      <start>0</start>
      <end>2</end>
      <status>unmodified</status>
      <modifiedWord/>
      <trackRevisions>false</trackRevisions>
    </reviewItem>
    <reviewItem>
      <errorID>85b0e33b-459d-4012-8cde-e8d3eab34f5a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486E3EBB</paraID>
      <start>0</start>
      <end>2</end>
      <status>unmodified</status>
      <modifiedWord/>
      <trackRevisions>false</trackRevisions>
    </reviewItem>
    <reviewItem>
      <errorID>3ae43d72-de30-45fe-bf0d-021579f80d26</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46A4C3E3</paraID>
      <start>0</start>
      <end>2</end>
      <status>unmodified</status>
      <modifiedWord/>
      <trackRevisions>false</trackRevisions>
    </reviewItem>
    <reviewItem>
      <errorID>ddb34d40-df48-48d3-952d-878ba45ee390</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2B4C144D</paraID>
      <start>0</start>
      <end>2</end>
      <status>unmodified</status>
      <modifiedWord/>
      <trackRevisions>false</trackRevisions>
    </reviewItem>
    <reviewItem>
      <errorID>2ee86a45-1142-447c-8fcc-138ade465cb7</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5F4AE2FF</paraID>
      <start>0</start>
      <end>2</end>
      <status>unmodified</status>
      <modifiedWord/>
      <trackRevisions>false</trackRevisions>
    </reviewItem>
    <reviewItem>
      <errorID>b89a546b-afc6-4410-8b59-7169ecdf850a</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75552578</paraID>
      <start>0</start>
      <end>2</end>
      <status>unmodified</status>
      <modifiedWord/>
      <trackRevisions>false</trackRevisions>
    </reviewItem>
    <reviewItem>
      <errorID>f49d7822-b274-47d4-b88b-7727f607c646</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3686AFD5</paraID>
      <start>0</start>
      <end>3</end>
      <status>unmodified</status>
      <modifiedWord/>
      <trackRevisions>false</trackRevisions>
    </reviewItem>
    <reviewItem>
      <errorID>6eef56ff-bc91-470e-972a-e8b47fdbf613</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4BB5593E</paraID>
      <start>0</start>
      <end>3</end>
      <status>unmodified</status>
      <modifiedWord/>
      <trackRevisions>false</trackRevisions>
    </reviewItem>
    <reviewItem>
      <errorID>6ccb760e-8103-443a-b507-cf57b9330270</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549A3651</paraID>
      <start>0</start>
      <end>3</end>
      <status>unmodified</status>
      <modifiedWord/>
      <trackRevisions>false</trackRevisions>
    </reviewItem>
    <reviewItem>
      <errorID>392b790a-056b-4f2d-a5f4-44fb4d0c281b</errorID>
      <errorWord>13、</errorWord>
      <group>L1_Format</group>
      <groupName>格式问题</groupName>
      <ability>L2_Ordinal</ability>
      <abilityName>序号格式</abilityName>
      <candidateList>
        <item>13.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4AE313AB</paraID>
      <start>0</start>
      <end>3</end>
      <status>unmodified</status>
      <modifiedWord/>
      <trackRevisions>false</trackRevisions>
    </reviewItem>
    <reviewItem>
      <errorID>656017bb-6d7b-44bc-9496-87901546e3e5</errorID>
      <errorWord>14、</errorWord>
      <group>L1_Format</group>
      <groupName>格式问题</groupName>
      <ability>L2_Ordinal</ability>
      <abilityName>序号格式</abilityName>
      <candidateList>
        <item>14.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6FC99254</paraID>
      <start>0</start>
      <end>3</end>
      <status>unmodified</status>
      <modifiedWord/>
      <trackRevisions>false</trackRevisions>
    </reviewItem>
    <reviewItem>
      <errorID>f5dfe69f-124e-44d2-9a72-7254fdd8e2a0</errorID>
      <errorWord>15、</errorWord>
      <group>L1_Format</group>
      <groupName>格式问题</groupName>
      <ability>L2_Ordinal</ability>
      <abilityName>序号格式</abilityName>
      <candidateList>
        <item>15.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305FC84E</paraID>
      <start>0</start>
      <end>3</end>
      <status>unmodified</status>
      <modifiedWord/>
      <trackRevisions>false</trackRevisions>
    </reviewItem>
    <reviewItem>
      <errorID>b4ca7b0d-ad5e-4911-a9dd-903e156c3b6f</errorID>
      <errorWord>16、</errorWord>
      <group>L1_Format</group>
      <groupName>格式问题</groupName>
      <ability>L2_Ordinal</ability>
      <abilityName>序号格式</abilityName>
      <candidateList>
        <item>16.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5CE7652A</paraID>
      <start>0</start>
      <end>3</end>
      <status>unmodified</status>
      <modifiedWord/>
      <trackRevisions>false</trackRevisions>
    </reviewItem>
    <reviewItem>
      <errorID>9a345e1c-66fa-42ef-bd5e-7e9f800a9a6a</errorID>
      <errorWord>17、</errorWord>
      <group>L1_Format</group>
      <groupName>格式问题</groupName>
      <ability>L2_Ordinal</ability>
      <abilityName>序号格式</abilityName>
      <candidateList>
        <item>17.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3111CC3B</paraID>
      <start>0</start>
      <end>3</end>
      <status>unmodified</status>
      <modifiedWord/>
      <trackRevisions>false</trackRevisions>
    </reviewItem>
    <reviewItem>
      <errorID>58b9200e-b193-4927-ad9f-ff66df29a70e</errorID>
      <errorWord>18、</errorWord>
      <group>L1_Format</group>
      <groupName>格式问题</groupName>
      <ability>L2_Ordinal</ability>
      <abilityName>序号格式</abilityName>
      <candidateList>
        <item>18.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2CBFF5A2</paraID>
      <start>0</start>
      <end>3</end>
      <status>unmodified</status>
      <modifiedWord/>
      <trackRevisions>false</trackRevisions>
    </reviewItem>
    <reviewItem>
      <errorID>7689f3fc-c915-4bb0-a405-a3c1278723d2</errorID>
      <errorWord>19、</errorWord>
      <group>L1_Format</group>
      <groupName>格式问题</groupName>
      <ability>L2_Ordinal</ability>
      <abilityName>序号格式</abilityName>
      <candidateList>
        <item>19.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3E6FB628</paraID>
      <start>0</start>
      <end>3</end>
      <status>unmodified</status>
      <modifiedWord/>
      <trackRevisions>false</trackRevisions>
    </reviewItem>
    <reviewItem>
      <errorID>05135fa0-de7d-421b-97ab-17b4fa571230</errorID>
      <errorWord>20、</errorWord>
      <group>L1_Format</group>
      <groupName>格式问题</groupName>
      <ability>L2_Ordinal</ability>
      <abilityName>序号格式</abilityName>
      <candidateList>
        <item>20.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54CB7FA9</paraID>
      <start>0</start>
      <end>3</end>
      <status>unmodified</status>
      <modifiedWord/>
      <trackRevisions>false</trackRevisions>
    </reviewItem>
    <reviewItem>
      <errorID>52c1d629-3bd3-43b8-939c-3e7a3a2a3bc5</errorID>
      <errorWord>22、</errorWord>
      <group>L1_Format</group>
      <groupName>格式问题</groupName>
      <ability>L2_Ordinal</ability>
      <abilityName>序号格式</abilityName>
      <candidateList>
        <item>22.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910D5FB</paraID>
      <start>0</start>
      <end>3</end>
      <status>unmodified</status>
      <modifiedWord/>
      <trackRevisions>false</trackRevisions>
    </reviewItem>
    <reviewItem>
      <errorID>4cdf4529-562e-4875-b46f-95b41df60def</errorID>
      <errorWord>23、</errorWord>
      <group>L1_Format</group>
      <groupName>格式问题</groupName>
      <ability>L2_Ordinal</ability>
      <abilityName>序号格式</abilityName>
      <candidateList>
        <item>23.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3D3E10BE</paraID>
      <start>0</start>
      <end>3</end>
      <status>unmodified</status>
      <modifiedWord/>
      <trackRevisions>false</trackRevisions>
    </reviewItem>
    <reviewItem>
      <errorID>91580e57-b82b-4805-bb06-386401cdd08e</errorID>
      <errorWord>24、</errorWord>
      <group>L1_Format</group>
      <groupName>格式问题</groupName>
      <ability>L2_Ordinal</ability>
      <abilityName>序号格式</abilityName>
      <candidateList>
        <item>24.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311A2077</paraID>
      <start>0</start>
      <end>3</end>
      <status>unmodified</status>
      <modifiedWord/>
      <trackRevisions>false</trackRevisions>
    </reviewItem>
    <reviewItem>
      <errorID>7fa0d995-2e61-4a1e-8539-86d357adaa55</errorID>
      <errorWord>25、</errorWord>
      <group>L1_Format</group>
      <groupName>格式问题</groupName>
      <ability>L2_Ordinal</ability>
      <abilityName>序号格式</abilityName>
      <candidateList>
        <item>25.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58E3CA3C</paraID>
      <start>0</start>
      <end>3</end>
      <status>unmodified</status>
      <modifiedWord/>
      <trackRevisions>false</trackRevisions>
    </reviewItem>
    <reviewItem>
      <errorID>f2a0dad9-0df4-48cf-aa37-45d9cb970e0b</errorID>
      <errorWord>26、</errorWord>
      <group>L1_Format</group>
      <groupName>格式问题</groupName>
      <ability>L2_Ordinal</ability>
      <abilityName>序号格式</abilityName>
      <candidateList>
        <item>26.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E48564A</paraID>
      <start>0</start>
      <end>3</end>
      <status>unmodified</status>
      <modifiedWord/>
      <trackRevisions>false</trackRevisions>
    </reviewItem>
    <reviewItem>
      <errorID>8d0e634e-af29-48d4-a42b-0240717b7679</errorID>
      <errorWord>27、</errorWord>
      <group>L1_Format</group>
      <groupName>格式问题</groupName>
      <ability>L2_Ordinal</ability>
      <abilityName>序号格式</abilityName>
      <candidateList>
        <item>27.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6B1BF5CA</paraID>
      <start>0</start>
      <end>3</end>
      <status>unmodified</status>
      <modifiedWord/>
      <trackRevisions>false</trackRevisions>
    </reviewItem>
    <reviewItem>
      <errorID>8d817ee5-1999-4b7d-88ec-1cbf5a33a4c6</errorID>
      <errorWord>28、</errorWord>
      <group>L1_Format</group>
      <groupName>格式问题</groupName>
      <ability>L2_Ordinal</ability>
      <abilityName>序号格式</abilityName>
      <candidateList>
        <item>28.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3CDEBB37</paraID>
      <start>0</start>
      <end>3</end>
      <status>unmodified</status>
      <modifiedWord/>
      <trackRevisions>false</trackRevisions>
    </reviewItem>
    <reviewItem>
      <errorID>46a9e761-5c30-4c13-891c-0363a684498a</errorID>
      <errorWord>29、</errorWord>
      <group>L1_Format</group>
      <groupName>格式问题</groupName>
      <ability>L2_Ordinal</ability>
      <abilityName>序号格式</abilityName>
      <candidateList>
        <item>29.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85BB19</paraID>
      <start>0</start>
      <end>3</end>
      <status>unmodified</status>
      <modifiedWord/>
      <trackRevisions>false</trackRevisions>
    </reviewItem>
    <reviewItem>
      <errorID>2cbc3f3e-562f-406d-8165-fb25a50bc4e4</errorID>
      <errorWord>30、</errorWord>
      <group>L1_Format</group>
      <groupName>格式问题</groupName>
      <ability>L2_Ordinal</ability>
      <abilityName>序号格式</abilityName>
      <candidateList>
        <item>30.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1A74E9B7</paraID>
      <start>0</start>
      <end>3</end>
      <status>unmodified</status>
      <modifiedWord/>
      <trackRevisions>false</trackRevisions>
    </reviewItem>
    <reviewItem>
      <errorID>3d3d367c-4f07-4fdf-8d3f-d32a66f64562</errorID>
      <errorWord>31、</errorWord>
      <group>L1_Format</group>
      <groupName>格式问题</groupName>
      <ability>L2_Ordinal</ability>
      <abilityName>序号格式</abilityName>
      <candidateList>
        <item>31.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3DFF1DF</paraID>
      <start>0</start>
      <end>3</end>
      <status>unmodified</status>
      <modifiedWord/>
      <trackRevisions>false</trackRevisions>
    </reviewItem>
    <reviewItem>
      <errorID>532473c2-8197-4cac-a59f-005e420f9232</errorID>
      <errorWord>32、</errorWord>
      <group>L1_Format</group>
      <groupName>格式问题</groupName>
      <ability>L2_Ordinal</ability>
      <abilityName>序号格式</abilityName>
      <candidateList>
        <item>32.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3E153360</paraID>
      <start>0</start>
      <end>3</end>
      <status>unmodified</status>
      <modifiedWord/>
      <trackRevisions>false</trackRevisions>
    </reviewItem>
    <reviewItem>
      <errorID>c229d74d-029a-44c2-b935-7791b27989f4</errorID>
      <errorWord>33、</errorWord>
      <group>L1_Format</group>
      <groupName>格式问题</groupName>
      <ability>L2_Ordinal</ability>
      <abilityName>序号格式</abilityName>
      <candidateList>
        <item>33.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366751E9</paraID>
      <start>0</start>
      <end>3</end>
      <status>unmodified</status>
      <modifiedWord/>
      <trackRevisions>false</trackRevisions>
    </reviewItem>
    <reviewItem>
      <errorID>e3aee819-0e39-48fe-b43b-79a28f8854f4</errorID>
      <errorWord>主要以爬行动物和鸟类为主</errorWord>
      <group>L1_Grammar</group>
      <groupName>语法问题</groupName>
      <ability>L2_Grammar</ability>
      <abilityName>语法错误</abilityName>
      <candidateList>
        <item>以爬行动物和鸟类为主</item>
      </candidateList>
      <explain/>
      <paraID>2AC1FBFD</paraID>
      <start>43</start>
      <end>55</end>
      <status>unmodified</status>
      <modifiedWord/>
      <trackRevisions>false</trackRevisions>
    </reviewItem>
    <reviewItem>
      <errorID>8c958411-85b8-4173-9f26-36757ac6fec5</errorID>
      <errorWord>(</errorWord>
      <group>L1_Format</group>
      <groupName>格式问题</groupName>
      <ability>L2_HalfPunc</ability>
      <abilityName>全半角检查</abilityName>
      <candidateList>
        <item>（</item>
      </candidateList>
      <explain>文本全半角错误。</explain>
      <paraID>102A399A</paraID>
      <start>5</start>
      <end>6</end>
      <status>modified</status>
      <modifiedWord>（</modifiedWord>
      <trackRevisions>false</trackRevisions>
    </reviewItem>
    <reviewItem>
      <errorID>5e53c392-7698-4101-83bd-73f19695e20d</errorID>
      <errorWord>)</errorWord>
      <group>L1_Format</group>
      <groupName>格式问题</groupName>
      <ability>L2_HalfPunc</ability>
      <abilityName>全半角检查</abilityName>
      <candidateList>
        <item>）</item>
      </candidateList>
      <explain>文本全半角错误。</explain>
      <paraID>102A399A</paraID>
      <start>7</start>
      <end>8</end>
      <status>modified</status>
      <modifiedWord>）</modifiedWord>
      <trackRevisions>false</trackRevisions>
    </reviewItem>
    <reviewItem>
      <errorID>970f0a0b-6aef-4ce2-8c03-f512af16111e</errorID>
      <errorWord>，</errorWord>
      <group>L1_Format</group>
      <groupName>格式问题</groupName>
      <ability>L2_HalfPunc</ability>
      <abilityName>全半角检查</abilityName>
      <candidateList>
        <item>, </item>
      </candidateList>
      <explain>文本全半角错误。</explain>
      <paraID>314F49F8</paraID>
      <start>14</start>
      <end>16</end>
      <status>modified</status>
      <modifiedWord>, </modifiedWord>
      <trackRevisions>false</trackRevisions>
    </reviewItem>
    <reviewItem>
      <errorID>9c97a278-007e-46bb-91f1-c4bfcdc5b428</errorID>
      <errorWord>(</errorWord>
      <group>L1_Format</group>
      <groupName>格式问题</groupName>
      <ability>L2_HalfPunc</ability>
      <abilityName>全半角检查</abilityName>
      <candidateList>
        <item>（</item>
      </candidateList>
      <explain>文本全半角错误。</explain>
      <paraID>49D57573</paraID>
      <start>2</start>
      <end>3</end>
      <status>modified</status>
      <modifiedWord>（</modifiedWord>
      <trackRevisions>false</trackRevisions>
    </reviewItem>
    <reviewItem>
      <errorID>37bb8e2d-a818-4dd5-9b49-adf2ab4cc759</errorID>
      <errorWord>)</errorWord>
      <group>L1_Format</group>
      <groupName>格式问题</groupName>
      <ability>L2_HalfPunc</ability>
      <abilityName>全半角检查</abilityName>
      <candidateList>
        <item>）</item>
      </candidateList>
      <explain>文本全半角错误。</explain>
      <paraID>49D57573</paraID>
      <start>4</start>
      <end>5</end>
      <status>modified</status>
      <modifiedWord>）</modifiedWord>
      <trackRevisions>false</trackRevisions>
    </reviewItem>
    <reviewItem>
      <errorID>dc9b44f2-92aa-444a-8379-34e4044387c7</errorID>
      <errorWord>，</errorWord>
      <group>L1_Format</group>
      <groupName>格式问题</groupName>
      <ability>L2_HalfPunc</ability>
      <abilityName>全半角检查</abilityName>
      <candidateList>
        <item>, </item>
      </candidateList>
      <explain>文本全半角错误。</explain>
      <paraID>13C686E2</paraID>
      <start>14</start>
      <end>16</end>
      <status>modified</status>
      <modifiedWord>, </modifiedWord>
      <trackRevisions>false</trackRevisions>
    </reviewItem>
    <reviewItem>
      <errorID>3c0849d2-1920-4364-83f3-8534d57aa069</errorID>
      <errorWord>(</errorWord>
      <group>L1_Format</group>
      <groupName>格式问题</groupName>
      <ability>L2_HalfPunc</ability>
      <abilityName>全半角检查</abilityName>
      <candidateList>
        <item>（</item>
      </candidateList>
      <explain>文本全半角错误。</explain>
      <paraID>42314A98</paraID>
      <start>2</start>
      <end>3</end>
      <status>modified</status>
      <modifiedWord>（</modifiedWord>
      <trackRevisions>false</trackRevisions>
    </reviewItem>
    <reviewItem>
      <errorID>41235e95-b100-44e8-ad38-f6d5cfb874d2</errorID>
      <errorWord>)</errorWord>
      <group>L1_Format</group>
      <groupName>格式问题</groupName>
      <ability>L2_HalfPunc</ability>
      <abilityName>全半角检查</abilityName>
      <candidateList>
        <item>）</item>
      </candidateList>
      <explain>文本全半角错误。</explain>
      <paraID>42314A98</paraID>
      <start>4</start>
      <end>5</end>
      <status>modified</status>
      <modifiedWord>）</modifiedWord>
      <trackRevisions>false</trackRevisions>
    </reviewItem>
    <reviewItem>
      <errorID>31254b30-37b5-48a9-8f16-6263c62f1c50</errorID>
      <errorWord>(</errorWord>
      <group>L1_Format</group>
      <groupName>格式问题</groupName>
      <ability>L2_HalfPunc</ability>
      <abilityName>全半角检查</abilityName>
      <candidateList>
        <item>（</item>
      </candidateList>
      <explain>文本全半角错误。</explain>
      <paraID>2CF4EC45</paraID>
      <start>5</start>
      <end>6</end>
      <status>modified</status>
      <modifiedWord>（</modifiedWord>
      <trackRevisions>false</trackRevisions>
    </reviewItem>
    <reviewItem>
      <errorID>42d36eb9-dfd7-4a74-9b5c-8de3731a287a</errorID>
      <errorWord>)</errorWord>
      <group>L1_Format</group>
      <groupName>格式问题</groupName>
      <ability>L2_HalfPunc</ability>
      <abilityName>全半角检查</abilityName>
      <candidateList>
        <item>）</item>
      </candidateList>
      <explain>文本全半角错误。</explain>
      <paraID>2CF4EC45</paraID>
      <start>7</start>
      <end>8</end>
      <status>modified</status>
      <modifiedWord>）</modifiedWord>
      <trackRevisions>false</trackRevisions>
    </reviewItem>
    <reviewItem>
      <errorID>7d691846-3f9b-48a0-b531-1ac4f35d761d</errorID>
      <errorWord>(</errorWord>
      <group>L1_Format</group>
      <groupName>格式问题</groupName>
      <ability>L2_HalfPunc</ability>
      <abilityName>全半角检查</abilityName>
      <candidateList>
        <item>（</item>
      </candidateList>
      <explain>文本全半角错误。</explain>
      <paraID>337CA9D4</paraID>
      <start>2</start>
      <end>3</end>
      <status>modified</status>
      <modifiedWord>（</modifiedWord>
      <trackRevisions>false</trackRevisions>
    </reviewItem>
    <reviewItem>
      <errorID>cabfbea6-dcb1-4be3-bc23-6290a337c770</errorID>
      <errorWord>)</errorWord>
      <group>L1_Format</group>
      <groupName>格式问题</groupName>
      <ability>L2_HalfPunc</ability>
      <abilityName>全半角检查</abilityName>
      <candidateList>
        <item>）</item>
      </candidateList>
      <explain>文本全半角错误。</explain>
      <paraID>337CA9D4</paraID>
      <start>4</start>
      <end>5</end>
      <status>modified</status>
      <modifiedWord>）</modifiedWord>
      <trackRevisions>false</trackRevisions>
    </reviewItem>
    <reviewItem>
      <errorID>febfca10-2eca-462d-8312-3039daa3b963</errorID>
      <errorWord>(</errorWord>
      <group>L1_Format</group>
      <groupName>格式问题</groupName>
      <ability>L2_HalfPunc</ability>
      <abilityName>全半角检查</abilityName>
      <candidateList>
        <item>（</item>
      </candidateList>
      <explain>文本全半角错误。</explain>
      <paraID> 699FA85</paraID>
      <start>2</start>
      <end>3</end>
      <status>modified</status>
      <modifiedWord>（</modifiedWord>
      <trackRevisions>false</trackRevisions>
    </reviewItem>
    <reviewItem>
      <errorID>012345cd-4c4f-41a0-882f-79e44d58fec7</errorID>
      <errorWord>)</errorWord>
      <group>L1_Format</group>
      <groupName>格式问题</groupName>
      <ability>L2_HalfPunc</ability>
      <abilityName>全半角检查</abilityName>
      <candidateList>
        <item>）</item>
      </candidateList>
      <explain>文本全半角错误。</explain>
      <paraID> 699FA85</paraID>
      <start>4</start>
      <end>5</end>
      <status>modified</status>
      <modifiedWord>）</modifiedWord>
      <trackRevisions>false</trackRevisions>
    </reviewItem>
    <reviewItem>
      <errorID>b44d5258-0dc2-4428-997f-f281b92085c3</errorID>
      <errorWord>(</errorWord>
      <group>L1_Format</group>
      <groupName>格式问题</groupName>
      <ability>L2_HalfPunc</ability>
      <abilityName>全半角检查</abilityName>
      <candidateList>
        <item>（</item>
      </candidateList>
      <explain>文本全半角错误。</explain>
      <paraID>32C65FCA</paraID>
      <start>5</start>
      <end>6</end>
      <status>modified</status>
      <modifiedWord>（</modifiedWord>
      <trackRevisions>false</trackRevisions>
    </reviewItem>
    <reviewItem>
      <errorID>2f826fa6-50bf-451a-960c-7dfc17f0304e</errorID>
      <errorWord>)</errorWord>
      <group>L1_Format</group>
      <groupName>格式问题</groupName>
      <ability>L2_HalfPunc</ability>
      <abilityName>全半角检查</abilityName>
      <candidateList>
        <item>）</item>
      </candidateList>
      <explain>文本全半角错误。</explain>
      <paraID>32C65FCA</paraID>
      <start>7</start>
      <end>8</end>
      <status>modified</status>
      <modifiedWord>）</modifiedWord>
      <trackRevisions>false</trackRevisions>
    </reviewItem>
    <reviewItem>
      <errorID>fefa7f87-8e93-4818-9d35-02653d23476a</errorID>
      <errorWord>(</errorWord>
      <group>L1_Format</group>
      <groupName>格式问题</groupName>
      <ability>L2_HalfPunc</ability>
      <abilityName>全半角检查</abilityName>
      <candidateList>
        <item>（</item>
      </candidateList>
      <explain>文本全半角错误。</explain>
      <paraID> 7C0969B</paraID>
      <start>2</start>
      <end>3</end>
      <status>modified</status>
      <modifiedWord>（</modifiedWord>
      <trackRevisions>false</trackRevisions>
    </reviewItem>
    <reviewItem>
      <errorID>12a47b7a-901b-40c6-bd7f-14575dc8d4bf</errorID>
      <errorWord>)</errorWord>
      <group>L1_Format</group>
      <groupName>格式问题</groupName>
      <ability>L2_HalfPunc</ability>
      <abilityName>全半角检查</abilityName>
      <candidateList>
        <item>）</item>
      </candidateList>
      <explain>文本全半角错误。</explain>
      <paraID> 7C0969B</paraID>
      <start>4</start>
      <end>5</end>
      <status>modified</status>
      <modifiedWord>）</modifiedWord>
      <trackRevisions>false</trackRevisions>
    </reviewItem>
    <reviewItem>
      <errorID>3203d9a9-50b4-4eca-aaea-ff5e1fecfc3b</errorID>
      <errorWord>(</errorWord>
      <group>L1_Format</group>
      <groupName>格式问题</groupName>
      <ability>L2_HalfPunc</ability>
      <abilityName>全半角检查</abilityName>
      <candidateList>
        <item>（</item>
      </candidateList>
      <explain>文本全半角错误。</explain>
      <paraID>464B707E</paraID>
      <start>2</start>
      <end>3</end>
      <status>modified</status>
      <modifiedWord>（</modifiedWord>
      <trackRevisions>false</trackRevisions>
    </reviewItem>
    <reviewItem>
      <errorID>5e4b4130-99e6-4175-8584-a1dea96260d8</errorID>
      <errorWord>)</errorWord>
      <group>L1_Format</group>
      <groupName>格式问题</groupName>
      <ability>L2_HalfPunc</ability>
      <abilityName>全半角检查</abilityName>
      <candidateList>
        <item>）</item>
      </candidateList>
      <explain>文本全半角错误。</explain>
      <paraID>464B707E</paraID>
      <start>4</start>
      <end>5</end>
      <status>modified</status>
      <modifiedWord>）</modifiedWord>
      <trackRevisions>false</trackRevisions>
    </reviewItem>
    <reviewItem>
      <errorID>d0ea1cbb-8c5f-4288-beb3-5d31d34885aa</errorID>
      <errorWord>受到</errorWord>
      <group>L1_Word</group>
      <groupName>字词问题</groupName>
      <ability>L2_Typo</ability>
      <abilityName>字词错误</abilityName>
      <candidateList>
        <item>受</item>
      </candidateList>
      <explain>〈动〉❶接受：～贿｜～教育｜～到帮助。❷遭受：～灾｜～批评｜～委屈。❸忍受；禁受：～不了｜～得住。❹适合：～吃（吃着有味）｜～看（看着舒服）｜～听（听着入耳）。</explain>
      <paraID>38E17FB7</paraID>
      <start>80</start>
      <end>82</end>
      <status>unmodified</status>
      <modifiedWord/>
      <trackRevisions>false</trackRevisions>
    </reviewItem>
    <reviewItem>
      <errorID>04511ad0-35f5-48e9-8d2c-4fc455a765c0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2B904D99</paraID>
      <start>29</start>
      <end>30</end>
      <status>unmodified</status>
      <modifiedWord/>
      <trackRevisions>false</trackRevisions>
    </reviewItem>
    <reviewItem>
      <errorID>4601e6c4-a034-48f4-91b0-9109523dcee9</errorID>
      <errorWord>主要以轻度为主</errorWord>
      <group>L1_Grammar</group>
      <groupName>语法问题</groupName>
      <ability>L2_Grammar</ability>
      <abilityName>语法错误</abilityName>
      <candidateList>
        <item>以轻度为主</item>
      </candidateList>
      <explain/>
      <paraID>59FDC3F1</paraID>
      <start>21</start>
      <end>28</end>
      <status>unmodified</status>
      <modifiedWord/>
      <trackRevisions>false</trackRevisions>
    </reviewItem>
    <reviewItem>
      <errorID>4d4ddbec-5e37-4b22-be1d-151e1c0d1a56</errorID>
      <errorWord>通讯和水利</errorWord>
      <group>L1_Word</group>
      <groupName>字词问题</groupName>
      <ability>L2_Typo</ability>
      <abilityName>字词错误</abilityName>
      <candidateList>
        <item>通信和水利</item>
      </candidateList>
      <explain/>
      <paraID>59FDC3F1</paraID>
      <start>155</start>
      <end>160</end>
      <status>unmodified</status>
      <modifiedWord/>
      <trackRevisions>false</trackRevisions>
    </reviewItem>
    <reviewItem>
      <errorID>8e55baf1-77c5-4cab-a38b-9993c0824aeb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2B6BD827</paraID>
      <start>195</start>
      <end>196</end>
      <status>unmodified</status>
      <modifiedWord/>
      <trackRevisions>false</trackRevisions>
    </reviewItem>
    <reviewItem>
      <errorID>958bec40-47d3-4b28-aa96-6c080c659c90</errorID>
      <errorWord>终断</errorWord>
      <group>L1_Word</group>
      <groupName>字词问题</groupName>
      <ability>L2_Typo</ability>
      <abilityName>字词错误</abilityName>
      <candidateList>
        <item>中断</item>
      </candidateList>
      <explain/>
      <paraID>25740C62</paraID>
      <start>63</start>
      <end>65</end>
      <status>unmodified</status>
      <modifiedWord/>
      <trackRevisions>false</trackRevisions>
    </reviewItem>
    <reviewItem>
      <errorID>cb6c221e-2107-4308-9217-bac9977af203</errorID>
      <errorWord>产生的</errorWord>
      <group>L1_Word</group>
      <groupName>字词问题</groupName>
      <ability>L2_Typo</ability>
      <abilityName>字词错误</abilityName>
      <candidateList>
        <item>产生</item>
      </candidateList>
      <explain/>
      <paraID>  487956</paraID>
      <start>59</start>
      <end>61</end>
      <status>modified</status>
      <modifiedWord>产生</modifiedWord>
      <trackRevisions>false</trackRevisions>
    </reviewItem>
    <reviewItem>
      <errorID>6b291c86-6a82-4d02-8073-0c7bd168cecc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487956</paraID>
      <start>82</start>
      <end>83</end>
      <status>unmodified</status>
      <modifiedWord/>
      <trackRevisions>false</trackRevisions>
    </reviewItem>
    <reviewItem>
      <errorID>3ddeb79f-7f9d-47d5-b2b0-5bfabe884a84</errorID>
      <errorWord>～</errorWord>
      <group>L1_Format</group>
      <groupName>格式问题</groupName>
      <ability>L2_HalfPunc</ability>
      <abilityName>全半角检查</abilityName>
      <candidateList>
        <item>~</item>
      </candidateList>
      <explain>文本全半角错误。</explain>
      <paraID>65095555</paraID>
      <start>1</start>
      <end>2</end>
      <status>unmodified</status>
      <modifiedWord/>
      <trackRevisions>false</trackRevisions>
    </reviewItem>
    <reviewItem>
      <errorID>d8a2508e-3009-47d3-9392-3bb3f331d4fa</errorID>
      <errorWord>海拔高度</errorWord>
      <group>L1_Word</group>
      <groupName>字词问题</groupName>
      <ability>L2_Typo</ability>
      <abilityName>字词错误</abilityName>
      <candidateList>
        <item>海拔</item>
      </candidateList>
      <explain>〈名〉从平均海平面起算的高度。</explain>
      <paraID> 1D2397B</paraID>
      <start>5</start>
      <end>9</end>
      <status>unmodified</status>
      <modifiedWord/>
      <trackRevisions>false</trackRevisions>
    </reviewItem>
    <reviewItem>
      <errorID>3390e64c-b5a9-4445-8156-50eb2571cea4</errorID>
      <errorWord>海拔高度</errorWord>
      <group>L1_Word</group>
      <groupName>字词问题</groupName>
      <ability>L2_Typo</ability>
      <abilityName>字词错误</abilityName>
      <candidateList>
        <item>海拔</item>
      </candidateList>
      <explain>〈名〉从平均海平面起算的高度。</explain>
      <paraID>314664AF</paraID>
      <start>0</start>
      <end>4</end>
      <status>unmodified</status>
      <modifiedWord/>
      <trackRevisions>false</trackRevisions>
    </reviewItem>
    <reviewItem>
      <errorID>d7aaefd9-aefc-4efd-8be1-42f8422e5f86</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5DDCA67B</paraID>
      <start>0</start>
      <end>2</end>
      <status>unmodified</status>
      <modifiedWord/>
      <trackRevisions>false</trackRevisions>
    </reviewItem>
    <reviewItem>
      <errorID>aa0e5fba-2533-48e2-87d8-f57e4636ab52</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F58E911</paraID>
      <start>0</start>
      <end>2</end>
      <status>unmodified</status>
      <modifiedWord/>
      <trackRevisions>false</trackRevisions>
    </reviewItem>
    <reviewItem>
      <errorID>f3776747-2718-4d8e-8118-9ffe0fa9bde9</errorID>
      <errorWord>(</errorWord>
      <group>L1_Format</group>
      <groupName>格式问题</groupName>
      <ability>L2_HalfPunc</ability>
      <abilityName>全半角检查</abilityName>
      <candidateList>
        <item>（</item>
      </candidateList>
      <explain>文本全半角错误。</explain>
      <paraID>780C95A6</paraID>
      <start>5</start>
      <end>6</end>
      <status>modified</status>
      <modifiedWord>（</modifiedWord>
      <trackRevisions>false</trackRevisions>
    </reviewItem>
    <reviewItem>
      <errorID>279547c6-2eb8-4e51-841a-d94f4386de50</errorID>
      <errorWord>)</errorWord>
      <group>L1_Format</group>
      <groupName>格式问题</groupName>
      <ability>L2_HalfPunc</ability>
      <abilityName>全半角检查</abilityName>
      <candidateList>
        <item>）</item>
      </candidateList>
      <explain>文本全半角错误。</explain>
      <paraID>780C95A6</paraID>
      <start>8</start>
      <end>9</end>
      <status>modified</status>
      <modifiedWord>）</modifiedWord>
      <trackRevisions>false</trackRevisions>
    </reviewItem>
    <reviewItem>
      <errorID>08432680-3e38-424e-a6c2-4cd5a35595c8</errorID>
      <errorWord>(</errorWord>
      <group>L1_Format</group>
      <groupName>格式问题</groupName>
      <ability>L2_HalfPunc</ability>
      <abilityName>全半角检查</abilityName>
      <candidateList>
        <item>（</item>
      </candidateList>
      <explain>文本全半角错误。</explain>
      <paraID>15D5FAD7</paraID>
      <start>9</start>
      <end>10</end>
      <status>modified</status>
      <modifiedWord>（</modifiedWord>
      <trackRevisions>false</trackRevisions>
    </reviewItem>
    <reviewItem>
      <errorID>0bf54ae3-763a-4416-9892-26bb176845a1</errorID>
      <errorWord>)</errorWord>
      <group>L1_Format</group>
      <groupName>格式问题</groupName>
      <ability>L2_HalfPunc</ability>
      <abilityName>全半角检查</abilityName>
      <candidateList>
        <item>）</item>
      </candidateList>
      <explain>文本全半角错误。</explain>
      <paraID>15D5FAD7</paraID>
      <start>11</start>
      <end>12</end>
      <status>modified</status>
      <modifiedWord>）</modifiedWord>
      <trackRevisions>false</trackRevisions>
    </reviewItem>
    <reviewItem>
      <errorID>d852461a-99e7-4abf-bdd4-acee1de11970</errorID>
      <errorWord>(</errorWord>
      <group>L1_Format</group>
      <groupName>格式问题</groupName>
      <ability>L2_HalfPunc</ability>
      <abilityName>全半角检查</abilityName>
      <candidateList>
        <item>（</item>
      </candidateList>
      <explain>文本全半角错误。</explain>
      <paraID> 1B3C4E1</paraID>
      <start>4</start>
      <end>5</end>
      <status>modified</status>
      <modifiedWord>（</modifiedWord>
      <trackRevisions>false</trackRevisions>
    </reviewItem>
    <reviewItem>
      <errorID>35fce62e-a306-4782-be64-9dcfaa99d1e9</errorID>
      <errorWord>)</errorWord>
      <group>L1_Format</group>
      <groupName>格式问题</groupName>
      <ability>L2_HalfPunc</ability>
      <abilityName>全半角检查</abilityName>
      <candidateList>
        <item>）</item>
      </candidateList>
      <explain>文本全半角错误。</explain>
      <paraID> 1B3C4E1</paraID>
      <start>10</start>
      <end>11</end>
      <status>modified</status>
      <modifiedWord>）</modifiedWord>
      <trackRevisions>false</trackRevisions>
    </reviewItem>
    <reviewItem>
      <errorID>f1fdc562-0b9e-475e-bbf4-67eabf9b3b90</errorID>
      <errorWord>(</errorWord>
      <group>L1_Format</group>
      <groupName>格式问题</groupName>
      <ability>L2_HalfPunc</ability>
      <abilityName>全半角检查</abilityName>
      <candidateList>
        <item>（</item>
      </candidateList>
      <explain>文本全半角错误。</explain>
      <paraID>68949865</paraID>
      <start>4</start>
      <end>5</end>
      <status>modified</status>
      <modifiedWord>（</modifiedWord>
      <trackRevisions>false</trackRevisions>
    </reviewItem>
    <reviewItem>
      <errorID>7f346d37-277a-41b9-8979-3469fb6e5a90</errorID>
      <errorWord>)</errorWord>
      <group>L1_Format</group>
      <groupName>格式问题</groupName>
      <ability>L2_HalfPunc</ability>
      <abilityName>全半角检查</abilityName>
      <candidateList>
        <item>）</item>
      </candidateList>
      <explain>文本全半角错误。</explain>
      <paraID>68949865</paraID>
      <start>9</start>
      <end>10</end>
      <status>modified</status>
      <modifiedWord>）</modifiedWord>
      <trackRevisions>false</trackRevisions>
    </reviewItem>
    <reviewItem>
      <errorID>03248b98-8d79-4599-9967-68d423b128af</errorID>
      <errorWord>x、</errorWord>
      <group>L1_Format</group>
      <groupName>格式问题</groupName>
      <ability>L2_Ordinal</ability>
      <abilityName>序号格式</abilityName>
      <candidateList>
        <item>x.</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70BED345</paraID>
      <start>0</start>
      <end>2</end>
      <status>unmodified</status>
      <modifiedWord/>
      <trackRevisions>false</trackRevisions>
    </reviewItem>
    <reviewItem>
      <errorID>4d84b19c-10a1-4441-af66-f925e4b49729</errorID>
      <errorWord>(</errorWord>
      <group>L1_Format</group>
      <groupName>格式问题</groupName>
      <ability>L2_HalfPunc</ability>
      <abilityName>全半角检查</abilityName>
      <candidateList>
        <item>（</item>
      </candidateList>
      <explain>文本全半角错误。</explain>
      <paraID>63BBF3C7</paraID>
      <start>4</start>
      <end>5</end>
      <status>modified</status>
      <modifiedWord>（</modifiedWord>
      <trackRevisions>false</trackRevisions>
    </reviewItem>
    <reviewItem>
      <errorID>2f881908-e402-473a-9a10-e7cd739decdc</errorID>
      <errorWord>)</errorWord>
      <group>L1_Format</group>
      <groupName>格式问题</groupName>
      <ability>L2_HalfPunc</ability>
      <abilityName>全半角检查</abilityName>
      <candidateList>
        <item>）</item>
      </candidateList>
      <explain>文本全半角错误。</explain>
      <paraID>63BBF3C7</paraID>
      <start>6</start>
      <end>7</end>
      <status>modified</status>
      <modifiedWord>）</modifiedWord>
      <trackRevisions>false</trackRevisions>
    </reviewItem>
    <reviewItem>
      <errorID>f095f9a9-052c-4d5a-b4c9-3a54fbc1c759</errorID>
      <errorWord>(</errorWord>
      <group>L1_Format</group>
      <groupName>格式问题</groupName>
      <ability>L2_HalfPunc</ability>
      <abilityName>全半角检查</abilityName>
      <candidateList>
        <item>（</item>
      </candidateList>
      <explain>文本全半角错误。</explain>
      <paraID>3C8400EB</paraID>
      <start>23</start>
      <end>24</end>
      <status>modified</status>
      <modifiedWord>（</modifiedWord>
      <trackRevisions>false</trackRevisions>
    </reviewItem>
    <reviewItem>
      <errorID>9dcdb77e-d4f0-4956-8b6e-449cb6513f4e</errorID>
      <errorWord>)</errorWord>
      <group>L1_Format</group>
      <groupName>格式问题</groupName>
      <ability>L2_HalfPunc</ability>
      <abilityName>全半角检查</abilityName>
      <candidateList>
        <item>）</item>
      </candidateList>
      <explain>文本全半角错误。</explain>
      <paraID>3C8400EB</paraID>
      <start>27</start>
      <end>28</end>
      <status>modified</status>
      <modifiedWord>）</modifiedWord>
      <trackRevisions>false</trackRevisions>
    </reviewItem>
    <reviewItem>
      <errorID>f586dc95-c4ae-4bb8-9b7e-368816899c09</errorID>
      <errorWord>(</errorWord>
      <group>L1_Format</group>
      <groupName>格式问题</groupName>
      <ability>L2_HalfPunc</ability>
      <abilityName>全半角检查</abilityName>
      <candidateList>
        <item>（</item>
      </candidateList>
      <explain>文本全半角错误。</explain>
      <paraID>2F24193B</paraID>
      <start>7</start>
      <end>8</end>
      <status>modified</status>
      <modifiedWord>（</modifiedWord>
      <trackRevisions>false</trackRevisions>
    </reviewItem>
    <reviewItem>
      <errorID>44b94852-6e17-410c-89c1-813107267b08</errorID>
      <errorWord>)</errorWord>
      <group>L1_Format</group>
      <groupName>格式问题</groupName>
      <ability>L2_HalfPunc</ability>
      <abilityName>全半角检查</abilityName>
      <candidateList>
        <item>）</item>
      </candidateList>
      <explain>文本全半角错误。</explain>
      <paraID>2F24193B</paraID>
      <start>9</start>
      <end>10</end>
      <status>modified</status>
      <modifiedWord>）</modifiedWord>
      <trackRevisions>false</trackRevisions>
    </reviewItem>
    <reviewItem>
      <errorID>12ca4417-a661-4d37-bc2a-122a0c078083</errorID>
      <errorWord>(</errorWord>
      <group>L1_Format</group>
      <groupName>格式问题</groupName>
      <ability>L2_HalfPunc</ability>
      <abilityName>全半角检查</abilityName>
      <candidateList>
        <item>（</item>
      </candidateList>
      <explain>文本全半角错误。</explain>
      <paraID>16E8A874</paraID>
      <start>10</start>
      <end>11</end>
      <status>modified</status>
      <modifiedWord>（</modifiedWord>
      <trackRevisions>false</trackRevisions>
    </reviewItem>
    <reviewItem>
      <errorID>e51c0b9a-02a5-4fab-b1a6-91762c781363</errorID>
      <errorWord>)</errorWord>
      <group>L1_Format</group>
      <groupName>格式问题</groupName>
      <ability>L2_HalfPunc</ability>
      <abilityName>全半角检查</abilityName>
      <candidateList>
        <item>）</item>
      </candidateList>
      <explain>文本全半角错误。</explain>
      <paraID>16E8A874</paraID>
      <start>13</start>
      <end>14</end>
      <status>modified</status>
      <modifiedWord>）</modifiedWord>
      <trackRevisions>false</trackRevisions>
    </reviewItem>
    <reviewItem>
      <errorID>527d549f-ffa8-464b-bcc8-7c855612ce0f</errorID>
      <errorWord>(</errorWord>
      <group>L1_Format</group>
      <groupName>格式问题</groupName>
      <ability>L2_HalfPunc</ability>
      <abilityName>全半角检查</abilityName>
      <candidateList>
        <item>（</item>
      </candidateList>
      <explain>文本全半角错误。</explain>
      <paraID>76933092</paraID>
      <start>6</start>
      <end>7</end>
      <status>modified</status>
      <modifiedWord>（</modifiedWord>
      <trackRevisions>false</trackRevisions>
    </reviewItem>
    <reviewItem>
      <errorID>9946e2d9-63ac-45b6-93e5-b516b6ca07d8</errorID>
      <errorWord>)</errorWord>
      <group>L1_Format</group>
      <groupName>格式问题</groupName>
      <ability>L2_HalfPunc</ability>
      <abilityName>全半角检查</abilityName>
      <candidateList>
        <item>）</item>
      </candidateList>
      <explain>文本全半角错误。</explain>
      <paraID>76933092</paraID>
      <start>10</start>
      <end>11</end>
      <status>modified</status>
      <modifiedWord>）</modifiedWord>
      <trackRevisions>false</trackRevisions>
    </reviewItem>
    <reviewItem>
      <errorID>642a9ebf-4ccd-4765-a9ee-e812cd0275c1</errorID>
      <errorWord>(</errorWord>
      <group>L1_Format</group>
      <groupName>格式问题</groupName>
      <ability>L2_HalfPunc</ability>
      <abilityName>全半角检查</abilityName>
      <candidateList>
        <item>（</item>
      </candidateList>
      <explain>文本全半角错误。</explain>
      <paraID>36AD1A58</paraID>
      <start>9</start>
      <end>10</end>
      <status>modified</status>
      <modifiedWord>（</modifiedWord>
      <trackRevisions>false</trackRevisions>
    </reviewItem>
    <reviewItem>
      <errorID>c699a71f-425f-4aee-bd03-e5ff5641f579</errorID>
      <errorWord>)</errorWord>
      <group>L1_Format</group>
      <groupName>格式问题</groupName>
      <ability>L2_HalfPunc</ability>
      <abilityName>全半角检查</abilityName>
      <candidateList>
        <item>）</item>
      </candidateList>
      <explain>文本全半角错误。</explain>
      <paraID>36AD1A58</paraID>
      <start>14</start>
      <end>15</end>
      <status>modified</status>
      <modifiedWord>）</modifiedWord>
      <trackRevisions>false</trackRevisions>
    </reviewItem>
    <reviewItem>
      <errorID>850fcb9e-c1b4-4e36-bcc8-9affc71b66c6</errorID>
      <errorWord>(</errorWord>
      <group>L1_Format</group>
      <groupName>格式问题</groupName>
      <ability>L2_HalfPunc</ability>
      <abilityName>全半角检查</abilityName>
      <candidateList>
        <item>（</item>
      </candidateList>
      <explain>文本全半角错误。</explain>
      <paraID>29D862DC</paraID>
      <start>13</start>
      <end>14</end>
      <status>modified</status>
      <modifiedWord>（</modifiedWord>
      <trackRevisions>false</trackRevisions>
    </reviewItem>
    <reviewItem>
      <errorID>89b9b2cc-d977-467e-859a-ea84383d9623</errorID>
      <errorWord>)</errorWord>
      <group>L1_Format</group>
      <groupName>格式问题</groupName>
      <ability>L2_HalfPunc</ability>
      <abilityName>全半角检查</abilityName>
      <candidateList>
        <item>）</item>
      </candidateList>
      <explain>文本全半角错误。</explain>
      <paraID>29D862DC</paraID>
      <start>18</start>
      <end>19</end>
      <status>modified</status>
      <modifiedWord>）</modifiedWord>
      <trackRevisions>false</trackRevisions>
    </reviewItem>
    <reviewItem>
      <errorID>7ecfec8d-15a1-42d0-b57c-6f8c2d8e0c47</errorID>
      <errorWord>（</errorWord>
      <group>L1_Format</group>
      <groupName>格式问题</groupName>
      <ability>L2_HalfPunc</ability>
      <abilityName>全半角检查</abilityName>
      <candidateList>
        <item>(</item>
      </candidateList>
      <explain>文本全半角错误。</explain>
      <paraID>24FB97A5</paraID>
      <start>0</start>
      <end>1</end>
      <status>modified</status>
      <modifiedWord>(</modifiedWord>
      <trackRevisions>false</trackRevisions>
    </reviewItem>
    <reviewItem>
      <errorID>519cbc03-0acd-4eda-a3a6-86b756850c62</errorID>
      <errorWord>）</errorWord>
      <group>L1_Format</group>
      <groupName>格式问题</groupName>
      <ability>L2_HalfPunc</ability>
      <abilityName>全半角检查</abilityName>
      <candidateList>
        <item>)</item>
      </candidateList>
      <explain>文本全半角错误。</explain>
      <paraID>24FB97A5</paraID>
      <start>5</start>
      <end>6</end>
      <status>modified</status>
      <modifiedWord>)</modifiedWord>
      <trackRevisions>false</trackRevisions>
    </reviewItem>
    <reviewItem>
      <errorID>46d4f43d-41b0-4577-94c9-8a0885f3c586</errorID>
      <errorWord>（</errorWord>
      <group>L1_Format</group>
      <groupName>格式问题</groupName>
      <ability>L2_HalfPunc</ability>
      <abilityName>全半角检查</abilityName>
      <candidateList>
        <item>(</item>
      </candidateList>
      <explain>文本全半角错误。</explain>
      <paraID>3F9D4BF3</paraID>
      <start>0</start>
      <end>1</end>
      <status>modified</status>
      <modifiedWord>(</modifiedWord>
      <trackRevisions>false</trackRevisions>
    </reviewItem>
    <reviewItem>
      <errorID>c877e19c-cc30-4ac6-bb51-a1d979463456</errorID>
      <errorWord>）</errorWord>
      <group>L1_Format</group>
      <groupName>格式问题</groupName>
      <ability>L2_HalfPunc</ability>
      <abilityName>全半角检查</abilityName>
      <candidateList>
        <item>)</item>
      </candidateList>
      <explain>文本全半角错误。</explain>
      <paraID>3F9D4BF3</paraID>
      <start>5</start>
      <end>6</end>
      <status>modified</status>
      <modifiedWord>)</modifiedWord>
      <trackRevisions>false</trackRevisions>
    </reviewItem>
    <reviewItem>
      <errorID>18d68186-292c-4fce-8123-e48f09461d78</errorID>
      <errorWord>（</errorWord>
      <group>L1_Format</group>
      <groupName>格式问题</groupName>
      <ability>L2_HalfPunc</ability>
      <abilityName>全半角检查</abilityName>
      <candidateList>
        <item>(</item>
      </candidateList>
      <explain>文本全半角错误。</explain>
      <paraID>1C006697</paraID>
      <start>0</start>
      <end>1</end>
      <status>modified</status>
      <modifiedWord>(</modifiedWord>
      <trackRevisions>false</trackRevisions>
    </reviewItem>
    <reviewItem>
      <errorID>c6ef6c45-0d94-4694-97e6-a03d36c4fb45</errorID>
      <errorWord>）</errorWord>
      <group>L1_Format</group>
      <groupName>格式问题</groupName>
      <ability>L2_HalfPunc</ability>
      <abilityName>全半角检查</abilityName>
      <candidateList>
        <item>)</item>
      </candidateList>
      <explain>文本全半角错误。</explain>
      <paraID>1C006697</paraID>
      <start>5</start>
      <end>6</end>
      <status>modified</status>
      <modifiedWord>)</modifiedWord>
      <trackRevisions>false</trackRevisions>
    </reviewItem>
    <reviewItem>
      <errorID>0a1e0fab-e78b-45fd-9066-3b7abd685c27</errorID>
      <errorWord>（</errorWord>
      <group>L1_Format</group>
      <groupName>格式问题</groupName>
      <ability>L2_HalfPunc</ability>
      <abilityName>全半角检查</abilityName>
      <candidateList>
        <item>(</item>
      </candidateList>
      <explain>文本全半角错误。</explain>
      <paraID>581FE11E</paraID>
      <start>0</start>
      <end>1</end>
      <status>modified</status>
      <modifiedWord>(</modifiedWord>
      <trackRevisions>false</trackRevisions>
    </reviewItem>
    <reviewItem>
      <errorID>6b678258-4a23-4f5f-b955-aff4bbcd6dbd</errorID>
      <errorWord>）</errorWord>
      <group>L1_Format</group>
      <groupName>格式问题</groupName>
      <ability>L2_HalfPunc</ability>
      <abilityName>全半角检查</abilityName>
      <candidateList>
        <item>)</item>
      </candidateList>
      <explain>文本全半角错误。</explain>
      <paraID>581FE11E</paraID>
      <start>5</start>
      <end>6</end>
      <status>modified</status>
      <modifiedWord>)</modifiedWord>
      <trackRevisions>false</trackRevisions>
    </reviewItem>
    <reviewItem>
      <errorID>06a0a476-2f80-463a-bb97-34501a60d818</errorID>
      <errorWord>（</errorWord>
      <group>L1_Format</group>
      <groupName>格式问题</groupName>
      <ability>L2_HalfPunc</ability>
      <abilityName>全半角检查</abilityName>
      <candidateList>
        <item>(</item>
      </candidateList>
      <explain>文本全半角错误。</explain>
      <paraID>26F550D9</paraID>
      <start>0</start>
      <end>1</end>
      <status>modified</status>
      <modifiedWord>(</modifiedWord>
      <trackRevisions>false</trackRevisions>
    </reviewItem>
    <reviewItem>
      <errorID>5158d69f-8cd0-4983-ac47-74667c43bf24</errorID>
      <errorWord>）</errorWord>
      <group>L1_Format</group>
      <groupName>格式问题</groupName>
      <ability>L2_HalfPunc</ability>
      <abilityName>全半角检查</abilityName>
      <candidateList>
        <item>)</item>
      </candidateList>
      <explain>文本全半角错误。</explain>
      <paraID>26F550D9</paraID>
      <start>5</start>
      <end>6</end>
      <status>modified</status>
      <modifiedWord>)</modifiedWord>
      <trackRevisions>false</trackRevisions>
    </reviewItem>
    <reviewItem>
      <errorID>b7575e60-b850-4cca-a4c4-3da666fc23a8</errorID>
      <errorWord>～</errorWord>
      <group>L1_Format</group>
      <groupName>格式问题</groupName>
      <ability>L2_HalfPunc</ability>
      <abilityName>全半角检查</abilityName>
      <candidateList>
        <item>~</item>
      </candidateList>
      <explain>文本全半角错误。</explain>
      <paraID>5B18E1F6</paraID>
      <start>1</start>
      <end>2</end>
      <status>unmodified</status>
      <modifiedWord/>
      <trackRevisions>false</trackRevisions>
    </reviewItem>
    <reviewItem>
      <errorID>e98a57fa-c2b9-432a-8e3d-b83e8c64ce5b</errorID>
      <errorWord>～</errorWord>
      <group>L1_Format</group>
      <groupName>格式问题</groupName>
      <ability>L2_HalfPunc</ability>
      <abilityName>全半角检查</abilityName>
      <candidateList>
        <item>~</item>
      </candidateList>
      <explain>文本全半角错误。</explain>
      <paraID>64A18EE1</paraID>
      <start>3</start>
      <end>4</end>
      <status>unmodified</status>
      <modifiedWord/>
      <trackRevisions>false</trackRevisions>
    </reviewItem>
    <reviewItem>
      <errorID>64d99411-a3ef-4a58-8db6-a84d043cd701</errorID>
      <errorWord>～</errorWord>
      <group>L1_Format</group>
      <groupName>格式问题</groupName>
      <ability>L2_HalfPunc</ability>
      <abilityName>全半角检查</abilityName>
      <candidateList>
        <item>~</item>
      </candidateList>
      <explain>文本全半角错误。</explain>
      <paraID>24F338E3</paraID>
      <start>3</start>
      <end>4</end>
      <status>unmodified</status>
      <modifiedWord/>
      <trackRevisions>false</trackRevisions>
    </reviewItem>
    <reviewItem>
      <errorID>bcd16ea6-64cf-4919-9dc8-a2db2502529c</errorID>
      <errorWord>期</errorWord>
      <group>L1_Word</group>
      <groupName>字词问题</groupName>
      <ability>L2_Typo</ability>
      <abilityName>字词错误</abilityName>
      <candidateList>
        <item>期间</item>
      </candidateList>
      <explain>〈名〉某个时期里面：农忙～｜春节～｜抗战～。</explain>
      <paraID>76A55AC9</paraID>
      <start>72</start>
      <end>74</end>
      <status>modified</status>
      <modifiedWord>期间</modifiedWord>
      <trackRevisions>false</trackRevisions>
    </reviewItem>
    <reviewItem>
      <errorID>40b0c05c-5b07-4679-a304-b1c9d9dcaebf</errorID>
      <errorWord>没有了</errorWord>
      <group>L1_Word</group>
      <groupName>字词问题</groupName>
      <ability>L2_Typo</ability>
      <abilityName>字词错误</abilityName>
      <candidateList>
        <item>没有</item>
      </candidateList>
      <explain>〈副〉❶表示“已然”的否定：他还～回来｜天还～黑呢。❷表示“曾经”的否定：老张上个星期～回来过｜银行昨天～开门。</explain>
      <paraID> CBB6F6A</paraID>
      <start>33</start>
      <end>36</end>
      <status>unmodified</status>
      <modifiedWord/>
      <trackRevisions>false</trackRevisions>
    </reviewItem>
    <reviewItem>
      <errorID>2f2fb004-e0f0-40eb-b2e7-a994a980930a</errorID>
      <errorWord>产生的</errorWord>
      <group>L1_Word</group>
      <groupName>字词问题</groupName>
      <ability>L2_Typo</ability>
      <abilityName>字词错误</abilityName>
      <candidateList>
        <item>产生</item>
      </candidateList>
      <explain/>
      <paraID> DADE6AA</paraID>
      <start>61</start>
      <end>63</end>
      <status>modified</status>
      <modifiedWord>产生</modifiedWord>
      <trackRevisions>false</trackRevisions>
    </reviewItem>
    <reviewItem>
      <errorID>15d6e690-f9e5-4969-9164-2019adf95d1b</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3A821F0B</paraID>
      <start>50</start>
      <end>53</end>
      <status>unmodified</status>
      <modifiedWord/>
      <trackRevisions>false</trackRevisions>
    </reviewItem>
    <reviewItem>
      <errorID>37c33170-3f03-48fd-8e7a-4c1367124921</errorID>
      <errorWord>～</errorWord>
      <group>L1_Format</group>
      <groupName>格式问题</groupName>
      <ability>L2_HalfPunc</ability>
      <abilityName>全半角检查</abilityName>
      <candidateList>
        <item>~</item>
      </candidateList>
      <explain>文本全半角错误。</explain>
      <paraID>4B3A3521</paraID>
      <start>4</start>
      <end>5</end>
      <status>unmodified</status>
      <modifiedWord/>
      <trackRevisions>false</trackRevisions>
    </reviewItem>
    <reviewItem>
      <errorID>f28e4a44-3a38-482c-bc86-55626d5385a8</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64A7916F</paraID>
      <start>50</start>
      <end>53</end>
      <status>unmodified</status>
      <modifiedWord/>
      <trackRevisions>false</trackRevisions>
    </reviewItem>
    <reviewItem>
      <errorID>8e89897a-981e-486f-97a8-2a145bcd0536</errorID>
      <errorWord>环节有</errorWord>
      <group>L1_Word</group>
      <groupName>字词问题</groupName>
      <ability>L2_Typo</ability>
      <abilityName>字词错误</abilityName>
      <candidateList>
        <item>环节</item>
      </candidateList>
      <explain>〈名〉❶某些低等动物如蚯蚓、蜈蚣等，身体由许多大小差不多的环状结构互相连接组成，这些结构叫做环节，能伸缩。❷指互相关联的许多事物中的一个：主要～｜薄弱～。</explain>
      <paraID> 13C40BB</paraID>
      <start>75</start>
      <end>77</end>
      <status>modified</status>
      <modifiedWord>环节</modifiedWord>
      <trackRevisions>false</trackRevisions>
    </reviewItem>
    <reviewItem>
      <errorID>cdc6096d-5b90-43fc-a775-962f98c0799b</errorID>
      <errorWord>据类比资料显示</errorWord>
      <group>L1_Grammar</group>
      <groupName>语法问题</groupName>
      <ability>L2_Grammar</ability>
      <abilityName>语法错误</abilityName>
      <candidateList>
        <item>据类比资料</item>
      </candidateList>
      <explain/>
      <paraID>48381A20</paraID>
      <start>27</start>
      <end>34</end>
      <status>unmodified</status>
      <modifiedWord/>
      <trackRevisions>false</trackRevisions>
    </reviewItem>
    <reviewItem>
      <errorID>64e6a1b6-59a2-4b01-bf33-51d1ec264509</errorID>
      <errorWord>据类比资料显示</errorWord>
      <group>L1_Grammar</group>
      <groupName>语法问题</groupName>
      <ability>L2_Grammar</ability>
      <abilityName>语法错误</abilityName>
      <candidateList>
        <item>据类比资料</item>
      </candidateList>
      <explain/>
      <paraID>14FBF9A1</paraID>
      <start>84</start>
      <end>91</end>
      <status>unmodified</status>
      <modifiedWord/>
      <trackRevisions>false</trackRevisions>
    </reviewItem>
    <reviewItem>
      <errorID>2240ca26-969a-409c-8d5b-1829bf2ecfae</errorID>
      <errorWord>降低</errorWord>
      <group>L1_Grammar</group>
      <groupName>语法问题</groupName>
      <ability>L2_Grammar</ability>
      <abilityName>语法错误</abilityName>
      <candidateList>
        <item>防止</item>
      </candidateList>
      <explain>“降低～发生”搭配不当，建议修改为“防止～发生”。</explain>
      <paraID>3736B5E7</paraID>
      <start>286</start>
      <end>288</end>
      <status>unmodified</status>
      <modifiedWord/>
      <trackRevisions>false</trackRevisions>
    </reviewItem>
    <reviewItem>
      <errorID>14103a09-21c8-4ac4-9eb6-6fd7c0201c11</errorID>
      <errorWord>粘重</errorWord>
      <group>L1_Word</group>
      <groupName>字词问题</groupName>
      <ability>L2_Alias</ability>
      <abilityName>也作/曾用词</abilityName>
      <candidateList>
        <item>黏重</item>
      </candidateList>
      <explain>词汇[粘重]为不规范表述或旧称，其规范书面表述为[黏重]。</explain>
      <paraID> F2D6154</paraID>
      <start>269</start>
      <end>271</end>
      <status>unmodified</status>
      <modifiedWord/>
      <trackRevisions>false</trackRevisions>
    </reviewItem>
    <reviewItem>
      <errorID>0d5e3f34-d608-46e1-bce4-b2163c07022b</errorID>
      <errorWord>对对</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 40D5E25</paraID>
      <start>29</start>
      <end>30</end>
      <status>modified</status>
      <modifiedWord>对</modifiedWord>
      <trackRevisions>false</trackRevisions>
    </reviewItem>
    <reviewItem>
      <errorID>087f91a4-73d9-481a-8d0b-8cd9f9d95248</errorID>
      <errorWord>几率</errorWord>
      <group>L1_Word</group>
      <groupName>字词问题</groupName>
      <ability>L2_Typo</ability>
      <abilityName>字词错误</abilityName>
      <candidateList>
        <item>概率</item>
      </candidateList>
      <explain/>
      <paraID> 40D5E25</paraID>
      <start>155</start>
      <end>157</end>
      <status>modified</status>
      <modifiedWord>概率</modifiedWord>
      <trackRevisions>false</trackRevisions>
    </reviewItem>
    <reviewItem>
      <errorID>2567a6bc-8824-4881-af0a-7b86c363fbb9</errorID>
      <errorWord>下角料</errorWord>
      <group>L1_Word</group>
      <groupName>字词问题</groupName>
      <ability>L2_Typo</ability>
      <abilityName>字词错误</abilityName>
      <candidateList>
        <item>下脚料</item>
      </candidateList>
      <explain>存在发音相同字词的误用。</explain>
      <paraID>4C875210</paraID>
      <start>72</start>
      <end>75</end>
      <status>unmodified</status>
      <modifiedWord/>
      <trackRevisions>false</trackRevisions>
    </reviewItem>
    <reviewItem>
      <errorID>0fd1baa0-2853-499d-b092-3a74359ad1b3</errorID>
      <errorWord>抛撒</errorWord>
      <group>L1_Word</group>
      <groupName>字词问题</groupName>
      <ability>L2_Typo</ability>
      <abilityName>字词错误</abilityName>
      <candidateList>
        <item>抛洒</item>
      </candidateList>
      <explain>存在发音相同字词的误用。</explain>
      <paraID>7074584A</paraID>
      <start>16</start>
      <end>18</end>
      <status>unmodified</status>
      <modifiedWord/>
      <trackRevisions>false</trackRevisions>
    </reviewItem>
    <reviewItem>
      <errorID>c4256ea0-f0a3-4e61-b9e6-66d3aeceb4fd</errorID>
      <errorWord>道路及</errorWord>
      <group>L1_Word</group>
      <groupName>字词问题</groupName>
      <ability>L2_Typo</ability>
      <abilityName>字词错误</abilityName>
      <candidateList>
        <item>道路</item>
      </candidateList>
      <explain/>
      <paraID> 971C4CE</paraID>
      <start>55</start>
      <end>58</end>
      <status>unmodified</status>
      <modifiedWord/>
      <trackRevisions>false</trackRevisions>
    </reviewItem>
    <reviewItem>
      <errorID>e232a463-fc3b-4021-91e4-75bbb00a53fb</errorID>
      <errorWord>-</errorWord>
      <group>L1_Format</group>
      <groupName>格式问题</groupName>
      <ability>L2_HalfPunc</ability>
      <abilityName>全半角检查</abilityName>
      <candidateList>
        <item>－</item>
      </candidateList>
      <explain>文本全半角错误。</explain>
      <paraID>33684B25</paraID>
      <start>25</start>
      <end>26</end>
      <status>unmodified</status>
      <modifiedWord/>
      <trackRevisions>false</trackRevisions>
    </reviewItem>
    <reviewItem>
      <errorID>025cab1b-2a15-41c3-a36a-3f5fd992a68f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33684B25</paraID>
      <start>163</start>
      <end>164</end>
      <status>unmodified</status>
      <modifiedWord/>
      <trackRevisions>false</trackRevisions>
    </reviewItem>
    <reviewItem>
      <errorID>412b0a8e-41e8-4cc6-8d22-a2a84d453f22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33684B25</paraID>
      <start>208</start>
      <end>209</end>
      <status>unmodified</status>
      <modifiedWord/>
      <trackRevisions>false</trackRevisions>
    </reviewItem>
    <reviewItem>
      <errorID>16176640-bfe1-4b8b-be36-d059b4033915</errorID>
      <errorWord>其它</errorWord>
      <group>L1_Word</group>
      <groupName>字词问题</groupName>
      <ability>L2_Alias</ability>
      <abilityName>也作/曾用词</abilityName>
      <candidateList>
        <item>其他</item>
      </candidateList>
      <explain>词汇[其它]为不规范表述或旧称，其规范书面表述为[其他]。</explain>
      <paraID>691763DE</paraID>
      <start>61</start>
      <end>63</end>
      <status>unmodified</status>
      <modifiedWord/>
      <trackRevisions>false</trackRevisions>
    </reviewItem>
    <reviewItem>
      <errorID>273e0ab5-8f2b-4bac-865d-d2475ceae825</errorID>
      <errorWord>详实</errorWord>
      <group>L1_Word</group>
      <groupName>字词问题</groupName>
      <ability>L2_Typo</ability>
      <abilityName>字词错误</abilityName>
      <candidateList>
        <item>翔实</item>
      </candidateList>
      <explain>存在发音相同字词的误用。</explain>
      <paraID>415F3DA6</paraID>
      <start>220</start>
      <end>222</end>
      <status>unmodified</status>
      <modifiedWord/>
      <trackRevisions>false</trackRevisions>
    </reviewItem>
    <reviewItem>
      <errorID>8eb24e94-de29-4db4-bb88-70b2f45e9a3b</errorID>
      <errorWord>交通部</errorWord>
      <group>L1_Knowledge</group>
      <groupName>知识性问题</groupName>
      <ability>L2_Knowledge</ability>
      <abilityName>其他知识</abilityName>
      <candidateList>
        <item>交通运输部</item>
      </candidateList>
      <explain/>
      <paraID>12832579</paraID>
      <start>116</start>
      <end>119</end>
      <status>unmodified</status>
      <modifiedWord/>
      <trackRevisions>false</trackRevisions>
    </reviewItem>
    <reviewItem>
      <errorID>7ac181cc-7668-4b2d-ba00-47be51bf66b6</errorID>
      <errorWord>超声波检查</errorWord>
      <group>L1_Knowledge</group>
      <groupName>知识性问题</groupName>
      <ability>L2_Term</ability>
      <abilityName>专业术语</abilityName>
      <candidateList>
        <item>超声检查</item>
      </candidateList>
      <explain>医学名词[超声波检查]为不规范表述或旧称，其规范书面表述为[超声检查]。</explain>
      <paraID>24695393</paraID>
      <start>34</start>
      <end>39</end>
      <status>unmodified</status>
      <modifiedWord/>
      <trackRevisions>false</trackRevisions>
    </reviewItem>
    <reviewItem>
      <errorID>ec4951e4-3bf3-4597-9e90-1ca58fd13c26</errorID>
      <errorWord>车箱</errorWord>
      <group>L1_Word</group>
      <groupName>字词问题</groupName>
      <ability>L2_Variant</ability>
      <abilityName>异形词</abilityName>
      <candidateList>
        <item>车厢</item>
      </candidateList>
      <explain>词汇[车箱]的规范词形写作[车厢]。</explain>
      <paraID>4D8B86A5</paraID>
      <start>46</start>
      <end>48</end>
      <status>modified</status>
      <modifiedWord>车厢</modifiedWord>
      <trackRevisions>false</trackRevisions>
    </reviewItem>
    <reviewItem>
      <errorID>bfefb837-1c53-4600-9bbc-81bb276398d5</errorID>
      <errorWord>"</errorWord>
      <group>L1_Format</group>
      <groupName>格式问题</groupName>
      <ability>L2_HalfPunc</ability>
      <abilityName>全半角检查</abilityName>
      <candidateList/>
      <explain>文本全半角错误。</explain>
      <paraID>5C4ABC9F</paraID>
      <start>20</start>
      <end>21</end>
      <status>unmodified</status>
      <modifiedWord/>
      <trackRevisions>false</trackRevisions>
    </reviewItem>
    <reviewItem>
      <errorID>f7da9331-1095-4f5e-a081-339e9125615e</errorID>
      <errorWord>"</errorWord>
      <group>L1_Format</group>
      <groupName>格式问题</groupName>
      <ability>L2_HalfPunc</ability>
      <abilityName>全半角检查</abilityName>
      <candidateList/>
      <explain>文本全半角错误。</explain>
      <paraID>5C4ABC9F</paraID>
      <start>34</start>
      <end>35</end>
      <status>unmodified</status>
      <modifiedWord/>
      <trackRevisions>false</trackRevisions>
    </reviewItem>
    <reviewItem>
      <errorID>4c89ff1d-b6be-4f7d-92a2-48e6a80e057c</errorID>
      <errorWord>"</errorWord>
      <group>L1_Format</group>
      <groupName>格式问题</groupName>
      <ability>L2_HalfPunc</ability>
      <abilityName>全半角检查</abilityName>
      <candidateList/>
      <explain>文本全半角错误。</explain>
      <paraID>3A330E6E</paraID>
      <start>21</start>
      <end>22</end>
      <status>unmodified</status>
      <modifiedWord/>
      <trackRevisions>false</trackRevisions>
    </reviewItem>
    <reviewItem>
      <errorID>682f29d6-2844-4d10-941a-a5c5c1be54cd</errorID>
      <errorWord>"</errorWord>
      <group>L1_Format</group>
      <groupName>格式问题</groupName>
      <ability>L2_HalfPunc</ability>
      <abilityName>全半角检查</abilityName>
      <candidateList/>
      <explain>文本全半角错误。</explain>
      <paraID>3A330E6E</paraID>
      <start>35</start>
      <end>36</end>
      <status>unmodified</status>
      <modifiedWord/>
      <trackRevisions>false</trackRevisions>
    </reviewItem>
    <reviewItem>
      <errorID>7348e71a-1337-44db-9ce8-29146e86ff7a</errorID>
      <errorWord>"</errorWord>
      <group>L1_Format</group>
      <groupName>格式问题</groupName>
      <ability>L2_HalfPunc</ability>
      <abilityName>全半角检查</abilityName>
      <candidateList/>
      <explain>文本全半角错误。</explain>
      <paraID>53BD76AA</paraID>
      <start>21</start>
      <end>22</end>
      <status>unmodified</status>
      <modifiedWord/>
      <trackRevisions>false</trackRevisions>
    </reviewItem>
    <reviewItem>
      <errorID>413ba94d-8bac-4494-b97d-cc1b4afec007</errorID>
      <errorWord>"</errorWord>
      <group>L1_Format</group>
      <groupName>格式问题</groupName>
      <ability>L2_HalfPunc</ability>
      <abilityName>全半角检查</abilityName>
      <candidateList/>
      <explain>文本全半角错误。</explain>
      <paraID>53BD76AA</paraID>
      <start>36</start>
      <end>37</end>
      <status>unmodified</status>
      <modifiedWord/>
      <trackRevisions>false</trackRevisions>
    </reviewItem>
    <reviewItem>
      <errorID>6b7d0f1b-a3ce-43c8-ae82-5ab039880b7f</errorID>
      <errorWord>电器设备</errorWord>
      <group>L1_Word</group>
      <groupName>字词问题</groupName>
      <ability>L2_Typo</ability>
      <abilityName>字词错误</abilityName>
      <candidateList>
        <item>电气设备</item>
      </candidateList>
      <explain/>
      <paraID>79AB80B4</paraID>
      <start>50</start>
      <end>54</end>
      <status>unmodified</status>
      <modifiedWord/>
      <trackRevisions>false</trackRevisions>
    </reviewItem>
    <reviewItem>
      <errorID>93687da4-3b53-4bf6-9d52-1dacbff90cfd</errorID>
      <errorWord>设</errorWord>
      <group>L1_Word</group>
      <groupName>字词问题</groupName>
      <ability>L2_Typo</ability>
      <abilityName>字词错误</abilityName>
      <candidateList>
        <item>设置</item>
      </candidateList>
      <explain>〈动〉❶设立：这座剧院是为儿童～的。❷安放；安装：～障碍。</explain>
      <paraID>79AB80B4</paraID>
      <start>99</start>
      <end>101</end>
      <status>modified</status>
      <modifiedWord>设置</modifiedWord>
      <trackRevisions>false</trackRevisions>
    </reviewItem>
    <reviewItem>
      <errorID>c1781b3f-c8fc-4f49-8b5a-74ed0b111227</errorID>
      <errorWord>最少</errorWord>
      <group>L1_Word</group>
      <groupName>字词问题</groupName>
      <ability>L2_Typo</ability>
      <abilityName>字词错误</abilityName>
      <candidateList>
        <item>最小</item>
      </candidateList>
      <explain>存在字形相近字词的误用。</explain>
      <paraID>437582CF</paraID>
      <start>48</start>
      <end>50</end>
      <status>modified</status>
      <modifiedWord>最小</modifiedWord>
      <trackRevisions>false</trackRevisions>
    </reviewItem>
    <reviewItem>
      <errorID>bad89f17-5cd0-451a-ad3c-4f86083dd1b8</errorID>
      <errorWord>超声波检查</errorWord>
      <group>L1_Knowledge</group>
      <groupName>知识性问题</groupName>
      <ability>L2_Term</ability>
      <abilityName>专业术语</abilityName>
      <candidateList>
        <item>超声检查</item>
      </candidateList>
      <explain>医学名词[超声波检查]为不规范表述或旧称，其规范书面表述为[超声检查]。</explain>
      <paraID> E281E23</paraID>
      <start>76</start>
      <end>81</end>
      <status>unmodified</status>
      <modifiedWord/>
      <trackRevisions>false</trackRevisions>
    </reviewItem>
    <reviewItem>
      <errorID>b7c2ffd5-256e-4c33-85ee-788cd67ce1bb</errorID>
      <errorWord>作法</errorWord>
      <group>L1_Word</group>
      <groupName>字词问题</groupName>
      <ability>L2_Typo</ability>
      <abilityName>字词错误</abilityName>
      <candidateList>
        <item>做法</item>
      </candidateList>
      <explain>存在发音相同字词的误用。</explain>
      <paraID> DE219E1</paraID>
      <start>64</start>
      <end>66</end>
      <status>unmodified</status>
      <modifiedWord/>
      <trackRevisions>false</trackRevisions>
    </reviewItem>
    <reviewItem>
      <errorID>0bfec830-45f2-47d5-b699-4cd02628b8a5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F2157AD</paraID>
      <start>15</start>
      <end>16</end>
      <status>unmodified</status>
      <modifiedWord/>
      <trackRevisions>false</trackRevisions>
    </reviewItem>
    <reviewItem>
      <errorID>705177fa-f9d3-4068-8602-3411a6b81e07</errorID>
      <errorWord>、以及</errorWord>
      <group>L1_Punc</group>
      <groupName>标点问题</groupName>
      <ability>L2_Punc</ability>
      <abilityName>标点符号检查</abilityName>
      <candidateList>
        <item>，以及</item>
      </candidateList>
      <explain>连接词前后不宜使用顿号，建议使用逗号。</explain>
      <paraID>  7A7105</paraID>
      <start>53</start>
      <end>56</end>
      <status>unmodified</status>
      <modifiedWord/>
      <trackRevisions>false</trackRevisions>
    </reviewItem>
    <reviewItem>
      <errorID>a0009146-0c34-4cb9-8672-299e0c520bab</errorID>
      <errorWord>～</errorWord>
      <group>L1_Format</group>
      <groupName>格式问题</groupName>
      <ability>L2_HalfPunc</ability>
      <abilityName>全半角检查</abilityName>
      <candidateList>
        <item>~</item>
      </candidateList>
      <explain>文本全半角错误。</explain>
      <paraID>7F962929</paraID>
      <start>2</start>
      <end>3</end>
      <status>unmodified</status>
      <modifiedWord/>
      <trackRevisions>false</trackRevisions>
    </reviewItem>
    <reviewItem>
      <errorID>2d3fd648-a6f4-4a8d-a4c4-ae9e3e8d85c4</errorID>
      <errorWord>法律、法规</errorWord>
      <group>L1_Word</group>
      <groupName>字词问题</groupName>
      <ability>L2_Typo</ability>
      <abilityName>字词错误</abilityName>
      <candidateList>
        <item>法律法规</item>
      </candidateList>
      <explain/>
      <paraID>65EE3A72</paraID>
      <start>43</start>
      <end>48</end>
      <status>unmodified</status>
      <modifiedWord/>
      <trackRevisions>false</trackRevisions>
    </reviewItem>
    <reviewItem>
      <errorID>d13f5969-7643-46b4-87f7-235d0a259f79</errorID>
      <errorWord>法律、法规</errorWord>
      <group>L1_Word</group>
      <groupName>字词问题</groupName>
      <ability>L2_Typo</ability>
      <abilityName>字词错误</abilityName>
      <candidateList>
        <item>法律法规</item>
      </candidateList>
      <explain/>
      <paraID>17F72DA3</paraID>
      <start>28</start>
      <end>33</end>
      <status>unmodified</status>
      <modifiedWord/>
      <trackRevisions>false</trackRevisions>
    </reviewItem>
    <reviewItem>
      <errorID>a42d527f-e085-4384-ba68-947d8e040507</errorID>
      <errorWord>法律、法规</errorWord>
      <group>L1_Word</group>
      <groupName>字词问题</groupName>
      <ability>L2_Typo</ability>
      <abilityName>字词错误</abilityName>
      <candidateList>
        <item>法律法规</item>
      </candidateList>
      <explain/>
      <paraID>4D7AF9B1</paraID>
      <start>29</start>
      <end>34</end>
      <status>unmodified</status>
      <modifiedWord/>
      <trackRevisions>false</trackRevisions>
    </reviewItem>
    <reviewItem>
      <errorID>fa963307-e8a1-491a-b6d8-874242b1e3e6</errorID>
      <errorWord>其它</errorWord>
      <group>L1_Word</group>
      <groupName>字词问题</groupName>
      <ability>L2_Alias</ability>
      <abilityName>也作/曾用词</abilityName>
      <candidateList>
        <item>其他</item>
      </candidateList>
      <explain>词汇[其它]为不规范表述或旧称，其规范书面表述为[其他]。</explain>
      <paraID> 27F6EF4</paraID>
      <start>0</start>
      <end>2</end>
      <status>unmodified</status>
      <modifiedWord/>
      <trackRevisions>false</trackRevisions>
    </reviewItem>
    <reviewItem>
      <errorID>d6d3a8ab-ed06-413c-a05c-558b7af15810</errorID>
      <errorWord>其它环境</errorWord>
      <group>L1_Word</group>
      <groupName>字词问题</groupName>
      <ability>L2_Alias</ability>
      <abilityName>也作/曾用词</abilityName>
      <candidateList>
        <item>其他环境</item>
      </candidateList>
      <explain>词汇[其它环境]为不规范表述或旧称，其规范书面表述为[其他环境]。</explain>
      <paraID>5DB6DDA9</paraID>
      <start>46</start>
      <end>50</end>
      <status>modified</status>
      <modifiedWord>其他环境</modifiedWord>
      <trackRevisions>false</trackRevisions>
    </reviewItem>
    <reviewItem>
      <errorID>b754846e-72e8-4e22-883d-cb0ec5d70f79</errorID>
      <errorWord>～</errorWord>
      <group>L1_Format</group>
      <groupName>格式问题</groupName>
      <ability>L2_HalfPunc</ability>
      <abilityName>全半角检查</abilityName>
      <candidateList>
        <item>~</item>
      </candidateList>
      <explain>文本全半角错误。</explain>
      <paraID>4CAABD8E</paraID>
      <start>3</start>
      <end>4</end>
      <status>unmodified</status>
      <modifiedWord/>
      <trackRevisions>false</trackRevisions>
    </reviewItem>
    <reviewItem>
      <errorID>0984055c-d525-44cb-98b5-c063c6126dc7</errorID>
      <errorWord>＜</errorWord>
      <group>L1_Format</group>
      <groupName>格式问题</groupName>
      <ability>L2_HalfPunc</ability>
      <abilityName>全半角检查</abilityName>
      <candidateList>
        <item>&lt;</item>
      </candidateList>
      <explain>文本全半角错误。</explain>
      <paraID>4D36C4E1</paraID>
      <start>0</start>
      <end>1</end>
      <status>unmodified</status>
      <modifiedWord/>
      <trackRevisions>false</trackRevisions>
    </reviewItem>
    <reviewItem>
      <errorID>b0437641-0735-47cf-bc01-0b1a759fa8fd</errorID>
      <errorWord>（）</errorWord>
      <group>L1_Format</group>
      <groupName>格式问题</groupName>
      <ability>L2_HalfPunc</ability>
      <abilityName>全半角检查</abilityName>
      <candidateList>
        <item>()</item>
      </candidateList>
      <explain>文本全半角错误。</explain>
      <paraID>379B1B11</paraID>
      <start>0</start>
      <end>2</end>
      <status>unmodified</status>
      <modifiedWord/>
      <trackRevisions>false</trackRevisions>
    </reviewItem>
    <reviewItem>
      <errorID>b1a838ff-5366-427b-bfcc-2ec16e8faafd</errorID>
      <errorWord>＞</errorWord>
      <group>L1_Format</group>
      <groupName>格式问题</groupName>
      <ability>L2_HalfPunc</ability>
      <abilityName>全半角检查</abilityName>
      <candidateList>
        <item>&gt;</item>
      </candidateList>
      <explain>文本全半角错误。</explain>
      <paraID>47E3E9CE</paraID>
      <start>1</start>
      <end>2</end>
      <status>unmodified</status>
      <modifiedWord/>
      <trackRevisions>false</trackRevisions>
    </reviewItem>
    <reviewItem>
      <errorID>de2e8c61-8882-4c35-bf72-8d6a89e74870</errorID>
      <errorWord>：（</errorWord>
      <group>L1_Format</group>
      <groupName>格式问题</groupName>
      <ability>L2_HalfPunc</ability>
      <abilityName>全半角检查</abilityName>
      <candidateList>
        <item>:(</item>
      </candidateList>
      <explain>文本全半角错误。</explain>
      <paraID>5B6862FC</paraID>
      <start>3</start>
      <end>5</end>
      <status>unmodified</status>
      <modifiedWord/>
      <trackRevisions>false</trackRevisions>
    </reviewItem>
    <reviewItem>
      <errorID>70be9eae-527e-4df4-aca7-7c944a61eb7b</errorID>
      <errorWord>）</errorWord>
      <group>L1_Format</group>
      <groupName>格式问题</groupName>
      <ability>L2_HalfPunc</ability>
      <abilityName>全半角检查</abilityName>
      <candidateList>
        <item>)</item>
      </candidateList>
      <explain>文本全半角错误。</explain>
      <paraID>5B6862FC</paraID>
      <start>11</start>
      <end>12</end>
      <status>unmodified</status>
      <modifiedWord/>
      <trackRevisions>false</trackRevisions>
    </reviewItem>
    <reviewItem>
      <errorID>19a1a4eb-f61a-43a9-92dc-29da2bb0e22c</errorID>
      <errorWord>：（</errorWord>
      <group>L1_Format</group>
      <groupName>格式问题</groupName>
      <ability>L2_HalfPunc</ability>
      <abilityName>全半角检查</abilityName>
      <candidateList>
        <item>:(</item>
      </candidateList>
      <explain>文本全半角错误。</explain>
      <paraID>4EAA5761</paraID>
      <start>3</start>
      <end>5</end>
      <status>unmodified</status>
      <modifiedWord/>
      <trackRevisions>false</trackRevisions>
    </reviewItem>
    <reviewItem>
      <errorID>a51c03e9-a4fa-444c-a47c-074a066eb7ce</errorID>
      <errorWord>）</errorWord>
      <group>L1_Format</group>
      <groupName>格式问题</groupName>
      <ability>L2_HalfPunc</ability>
      <abilityName>全半角检查</abilityName>
      <candidateList>
        <item>)</item>
      </candidateList>
      <explain>文本全半角错误。</explain>
      <paraID>4EAA5761</paraID>
      <start>11</start>
      <end>12</end>
      <status>unmodified</status>
      <modifiedWord/>
      <trackRevisions>false</trackRevisions>
    </reviewItem>
    <reviewItem>
      <errorID>6edb8a5c-7d06-4612-8e32-4fc0dd05bcc8</errorID>
      <errorWord>：（</errorWord>
      <group>L1_Format</group>
      <groupName>格式问题</groupName>
      <ability>L2_HalfPunc</ability>
      <abilityName>全半角检查</abilityName>
      <candidateList>
        <item>:(</item>
      </candidateList>
      <explain>文本全半角错误。</explain>
      <paraID>75ADBFEA</paraID>
      <start>4</start>
      <end>6</end>
      <status>unmodified</status>
      <modifiedWord/>
      <trackRevisions>false</trackRevisions>
    </reviewItem>
    <reviewItem>
      <errorID>39235990-cb90-406c-8f3e-881739a49d8e</errorID>
      <errorWord>）</errorWord>
      <group>L1_Format</group>
      <groupName>格式问题</groupName>
      <ability>L2_HalfPunc</ability>
      <abilityName>全半角检查</abilityName>
      <candidateList>
        <item>)</item>
      </candidateList>
      <explain>文本全半角错误。</explain>
      <paraID>75ADBFEA</paraID>
      <start>12</start>
      <end>13</end>
      <status>unmodified</status>
      <modifiedWord/>
      <trackRevisions>false</trackRevisions>
    </reviewItem>
    <reviewItem>
      <errorID>b1931cf5-916a-49fa-aa4e-5908d221f17d</errorID>
      <errorWord>(</errorWord>
      <group>L1_Format</group>
      <groupName>格式问题</groupName>
      <ability>L2_HalfPunc</ability>
      <abilityName>全半角检查</abilityName>
      <candidateList>
        <item>（</item>
      </candidateList>
      <explain>文本全半角错误。</explain>
      <paraID>1FBE7D9F</paraID>
      <start>5</start>
      <end>6</end>
      <status>unmodified</status>
      <modifiedWord/>
      <trackRevisions>false</trackRevisions>
    </reviewItem>
    <reviewItem>
      <errorID>fa61266f-6fa7-4579-a737-79b117681797</errorID>
      <errorWord>)</errorWord>
      <group>L1_Format</group>
      <groupName>格式问题</groupName>
      <ability>L2_HalfPunc</ability>
      <abilityName>全半角检查</abilityName>
      <candidateList>
        <item>）</item>
      </candidateList>
      <explain>文本全半角错误。</explain>
      <paraID>1FBE7D9F</paraID>
      <start>6</start>
      <end>7</end>
      <status>unmodified</status>
      <modifiedWord/>
      <trackRevisions>false</trackRevisions>
    </reviewItem>
    <reviewItem>
      <errorID>c0324353-5ea9-4402-83c6-6c6e4cdd86b3</errorID>
      <errorWord>(</errorWord>
      <group>L1_Format</group>
      <groupName>格式问题</groupName>
      <ability>L2_HalfPunc</ability>
      <abilityName>全半角检查</abilityName>
      <candidateList>
        <item>（</item>
      </candidateList>
      <explain>文本全半角错误。</explain>
      <paraID>69E6097C</paraID>
      <start>5</start>
      <end>6</end>
      <status>unmodified</status>
      <modifiedWord/>
      <trackRevisions>false</trackRevisions>
    </reviewItem>
    <reviewItem>
      <errorID>69e8e256-f154-40eb-9a3d-6ab96a61e9f6</errorID>
      <errorWord>)</errorWord>
      <group>L1_Format</group>
      <groupName>格式问题</groupName>
      <ability>L2_HalfPunc</ability>
      <abilityName>全半角检查</abilityName>
      <candidateList>
        <item>）</item>
      </candidateList>
      <explain>文本全半角错误。</explain>
      <paraID>69E6097C</paraID>
      <start>6</start>
      <end>7</end>
      <status>unmodified</status>
      <modifiedWord/>
      <trackRevisions>false</trackRevisions>
    </reviewItem>
    <reviewItem>
      <errorID>e5af3da5-f4ae-4059-8ce5-6437ff26b99f</errorID>
      <errorWord>()</errorWord>
      <group>L1_Format</group>
      <groupName>格式问题</groupName>
      <ability>L2_HalfPunc</ability>
      <abilityName>全半角检查</abilityName>
      <candidateList>
        <item>（）</item>
      </candidateList>
      <explain>文本全半角错误。</explain>
      <paraID>3212587F</paraID>
      <start>14</start>
      <end>16</end>
      <status>unmodified</status>
      <modifiedWord/>
      <trackRevisions>false</trackRevisions>
    </reviewItem>
    <reviewItem>
      <errorID>57ed92c9-f32e-4302-a8df-7eae9bc135d1</errorID>
      <errorWord>（</errorWord>
      <group>L1_Format</group>
      <groupName>格式问题</groupName>
      <ability>L2_HalfPunc</ability>
      <abilityName>全半角检查</abilityName>
      <candidateList>
        <item>(</item>
      </candidateList>
      <explain>文本全半角错误。</explain>
      <paraID>39C6967D</paraID>
      <start>0</start>
      <end>1</end>
      <status>unmodified</status>
      <modifiedWord/>
      <trackRevisions>false</trackRevisions>
    </reviewItem>
    <reviewItem>
      <errorID>49139a74-f5fc-47a2-ae5e-00a781d7a88b</errorID>
      <errorWord>）</errorWord>
      <group>L1_Format</group>
      <groupName>格式问题</groupName>
      <ability>L2_HalfPunc</ability>
      <abilityName>全半角检查</abilityName>
      <candidateList>
        <item>)</item>
      </candidateList>
      <explain>文本全半角错误。</explain>
      <paraID>39C6967D</paraID>
      <start>6</start>
      <end>7</end>
      <status>unmodified</status>
      <modifiedWord/>
      <trackRevisions>false</trackRevisions>
    </reviewItem>
    <reviewItem>
      <errorID>0d783d92-4ce7-42d4-8a8a-0d30b3ebc535</errorID>
      <errorWord>）</errorWord>
      <group>L1_Format</group>
      <groupName>格式问题</groupName>
      <ability>L2_HalfPunc</ability>
      <abilityName>全半角检查</abilityName>
      <candidateList>
        <item>)</item>
      </candidateList>
      <explain>文本全半角错误。</explain>
      <paraID>7373240F</paraID>
      <start>1</start>
      <end>2</end>
      <status>unmodified</status>
      <modifiedWord/>
      <trackRevisions>false</trackRevisions>
    </reviewItem>
    <reviewItem>
      <errorID>dd11342e-d8fd-4039-9475-e26f2639ef96</errorID>
      <errorWord>；</errorWord>
      <group>L1_Format</group>
      <groupName>格式问题</groupName>
      <ability>L2_HalfPunc</ability>
      <abilityName>全半角检查</abilityName>
      <candidateList>
        <item>; </item>
      </candidateList>
      <explain>文本全半角错误。</explain>
      <paraID>7373240F</paraID>
      <start>3</start>
      <end>4</end>
      <status>unmodified</status>
      <modifiedWord/>
      <trackRevisions>false</trackRevisions>
    </reviewItem>
    <reviewItem>
      <errorID>e0923271-f61b-478b-bf5f-bc3daf9f9689</errorID>
      <errorWord>）</errorWord>
      <group>L1_Format</group>
      <groupName>格式问题</groupName>
      <ability>L2_HalfPunc</ability>
      <abilityName>全半角检查</abilityName>
      <candidateList>
        <item>)</item>
      </candidateList>
      <explain>文本全半角错误。</explain>
      <paraID>7373240F</paraID>
      <start>5</start>
      <end>6</end>
      <status>unmodified</status>
      <modifiedWord/>
      <trackRevisions>false</trackRevisions>
    </reviewItem>
    <reviewItem>
      <errorID>d7ca44b6-824a-4307-ba9a-02cba2ba7a54</errorID>
      <errorWord>；</errorWord>
      <group>L1_Format</group>
      <groupName>格式问题</groupName>
      <ability>L2_HalfPunc</ability>
      <abilityName>全半角检查</abilityName>
      <candidateList>
        <item>; </item>
      </candidateList>
      <explain>文本全半角错误。</explain>
      <paraID>7373240F</paraID>
      <start>7</start>
      <end>8</end>
      <status>unmodified</status>
      <modifiedWord/>
      <trackRevisions>false</trackRevisions>
    </reviewItem>
    <reviewItem>
      <errorID>2bb45005-0f86-4258-865d-e8c5d43884ff</errorID>
      <errorWord>）</errorWord>
      <group>L1_Format</group>
      <groupName>格式问题</groupName>
      <ability>L2_HalfPunc</ability>
      <abilityName>全半角检查</abilityName>
      <candidateList>
        <item>)</item>
      </candidateList>
      <explain>文本全半角错误。</explain>
      <paraID>7373240F</paraID>
      <start>9</start>
      <end>10</end>
      <status>unmodified</status>
      <modifiedWord/>
      <trackRevisions>false</trackRevisions>
    </reviewItem>
    <reviewItem>
      <errorID>d499d7f5-be2a-40e0-90e4-668620f2afbc</errorID>
      <errorWord>；</errorWord>
      <group>L1_Format</group>
      <groupName>格式问题</groupName>
      <ability>L2_HalfPunc</ability>
      <abilityName>全半角检查</abilityName>
      <candidateList>
        <item>; </item>
      </candidateList>
      <explain>文本全半角错误。</explain>
      <paraID>7373240F</paraID>
      <start>11</start>
      <end>12</end>
      <status>unmodified</status>
      <modifiedWord/>
      <trackRevisions>false</trackRevisions>
    </reviewItem>
    <reviewItem>
      <errorID>e9c29913-c160-42da-ab78-2b5a88056b94</errorID>
      <errorWord>）</errorWord>
      <group>L1_Format</group>
      <groupName>格式问题</groupName>
      <ability>L2_HalfPunc</ability>
      <abilityName>全半角检查</abilityName>
      <candidateList>
        <item>)</item>
      </candidateList>
      <explain>文本全半角错误。</explain>
      <paraID>7373240F</paraID>
      <start>13</start>
      <end>14</end>
      <status>unmodified</status>
      <modifiedWord/>
      <trackRevisions>false</trackRevisions>
    </reviewItem>
    <reviewItem>
      <errorID>0811f467-2d64-44e8-93bd-92cfe524fa90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5C8735D9</paraID>
      <start>10</start>
      <end>11</end>
      <status>unmodified</status>
      <modifiedWord/>
      <trackRevisions>false</trackRevisions>
    </reviewItem>
    <reviewItem>
      <errorID>0f6a3c07-c7b2-4602-98a7-6f9fcfd78a44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5C8735D9</paraID>
      <start>19</start>
      <end>20</end>
      <status>unmodified</status>
      <modifiedWord/>
      <trackRevisions>false</trackRevisions>
    </reviewItem>
    <reviewItem>
      <errorID>2c695750-67ed-4074-bd4d-dcdea5cb2b44</errorID>
      <errorWord>(</errorWord>
      <group>L1_Format</group>
      <groupName>格式问题</groupName>
      <ability>L2_HalfPunc</ability>
      <abilityName>全半角检查</abilityName>
      <candidateList>
        <item>（</item>
      </candidateList>
      <explain>文本全半角错误。</explain>
      <paraID>769216F6</paraID>
      <start>5</start>
      <end>6</end>
      <status>unmodified</status>
      <modifiedWord/>
      <trackRevisions>false</trackRevisions>
    </reviewItem>
    <reviewItem>
      <errorID>dca86728-6614-4436-8bd3-128e42499501</errorID>
      <errorWord>(</errorWord>
      <group>L1_Format</group>
      <groupName>格式问题</groupName>
      <ability>L2_HalfPunc</ability>
      <abilityName>全半角检查</abilityName>
      <candidateList>
        <item>（</item>
      </candidateList>
      <explain>文本全半角错误。</explain>
      <paraID>769216F6</paraID>
      <start>21</start>
      <end>22</end>
      <status>unmodified</status>
      <modifiedWord/>
      <trackRevisions>false</trackRevisions>
    </reviewItem>
    <reviewItem>
      <errorID>a661583f-7cf8-453e-be0b-9a46aeeefb7b</errorID>
      <errorWord>)</errorWord>
      <group>L1_Format</group>
      <groupName>格式问题</groupName>
      <ability>L2_HalfPunc</ability>
      <abilityName>全半角检查</abilityName>
      <candidateList>
        <item>）</item>
      </candidateList>
      <explain>文本全半角错误。</explain>
      <paraID>769216F6</paraID>
      <start>23</start>
      <end>24</end>
      <status>unmodified</status>
      <modifiedWord/>
      <trackRevisions>false</trackRevisions>
    </reviewItem>
    <reviewItem>
      <errorID>0c8d4edb-3f83-4d9e-bbb6-61946a938e3e</errorID>
      <errorWord>(</errorWord>
      <group>L1_Format</group>
      <groupName>格式问题</groupName>
      <ability>L2_HalfPunc</ability>
      <abilityName>全半角检查</abilityName>
      <candidateList>
        <item>（</item>
      </candidateList>
      <explain>文本全半角错误。</explain>
      <paraID> B75F414</paraID>
      <start>14</start>
      <end>15</end>
      <status>unmodified</status>
      <modifiedWord/>
      <trackRevisions>false</trackRevisions>
    </reviewItem>
    <reviewItem>
      <errorID>f4f9a65a-1465-41e4-8bca-5c6bb7631d13</errorID>
      <errorWord>)</errorWord>
      <group>L1_Format</group>
      <groupName>格式问题</groupName>
      <ability>L2_HalfPunc</ability>
      <abilityName>全半角检查</abilityName>
      <candidateList>
        <item>）</item>
      </candidateList>
      <explain>文本全半角错误。</explain>
      <paraID> B75F414</paraID>
      <start>18</start>
      <end>19</end>
      <status>unmodified</status>
      <modifiedWord/>
      <trackRevisions>false</trackRevisions>
    </reviewItem>
    <reviewItem>
      <errorID>361e9657-0706-4ca7-94f6-7827908c911e</errorID>
      <errorWord>超声波检查</errorWord>
      <group>L1_Knowledge</group>
      <groupName>知识性问题</groupName>
      <ability>L2_Term</ability>
      <abilityName>专业术语</abilityName>
      <candidateList>
        <item>超声检查</item>
      </candidateList>
      <explain>医学名词[超声波检查]为不规范表述或旧称，其规范书面表述为[超声检查]。</explain>
      <paraID>1F061A8E</paraID>
      <start>113</start>
      <end>118</end>
      <status>unmodified</status>
      <modifiedWord/>
      <trackRevisions>false</trackRevisions>
    </reviewItem>
  </reviewItems>
  <config/>
</contractReview>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3979FD2-8844-47F7-B887-A534D005B5CC}">
  <ds:schemaRefs/>
</ds:datastoreItem>
</file>

<file path=customXml/itemProps3.xml><?xml version="1.0" encoding="utf-8"?>
<ds:datastoreItem xmlns:ds="http://schemas.openxmlformats.org/officeDocument/2006/customXml" ds:itemID="{F0B68410-13B8-4F6B-A116-8ADFF490AC89}">
  <ds:schemaRefs/>
</ds:datastoreItem>
</file>

<file path=docProps/app.xml><?xml version="1.0" encoding="utf-8"?>
<Properties xmlns="http://schemas.openxmlformats.org/officeDocument/2006/extended-properties" xmlns:vt="http://schemas.openxmlformats.org/officeDocument/2006/docPropsVTypes">
  <Template>Normal</Template>
  <Pages>277</Pages>
  <Words>124235</Words>
  <Characters>143991</Characters>
  <Lines>1152</Lines>
  <Paragraphs>324</Paragraphs>
  <TotalTime>59</TotalTime>
  <ScaleCrop>false</ScaleCrop>
  <LinksUpToDate>false</LinksUpToDate>
  <CharactersWithSpaces>146122</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2026-03-14T11:56:00Z</dcterms:created>
  <dc:creator>曾志豪</dc:creator>
  <cp:lastModifiedBy>暖伈</cp:lastModifiedBy>
  <cp:lastPrinted>2026-03-18T08:56:00Z</cp:lastPrinted>
  <dcterms:modified xsi:type="dcterms:W3CDTF">2026-04-16T03:56:20Z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eyJoZGlkIjoiYjU5NjA0OWJmMDFiNTRlN2RlY2I2YmQxMGUxMTQ1OWQiLCJ1c2VySWQiOiI4MDI4Njg2MDcifQ==</vt:lpwstr>
  </property>
  <property fmtid="{D5CDD505-2E9C-101B-9397-08002B2CF9AE}" pid="3" name="KSOProductBuildVer">
    <vt:lpwstr>2052-12.1.0.25225</vt:lpwstr>
  </property>
  <property fmtid="{D5CDD505-2E9C-101B-9397-08002B2CF9AE}" pid="4" name="ICV">
    <vt:lpwstr>69B501B79DDF477A8EB0A8F7E5E071CF_13</vt:lpwstr>
  </property>
</Properties>
</file>